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C0" w:rsidRPr="00F0562B" w:rsidRDefault="007364C0" w:rsidP="007364C0">
      <w:pPr>
        <w:spacing w:after="0" w:line="300" w:lineRule="auto"/>
        <w:ind w:left="2835" w:hanging="2835"/>
        <w:jc w:val="both"/>
        <w:rPr>
          <w:rFonts w:ascii="Times New Roman" w:hAnsi="Times New Roman" w:cs="Times New Roman"/>
          <w:b/>
        </w:rPr>
      </w:pPr>
      <w:r w:rsidRPr="00F0562B">
        <w:rPr>
          <w:rFonts w:ascii="Times New Roman" w:hAnsi="Times New Roman" w:cs="Times New Roman"/>
          <w:b/>
        </w:rPr>
        <w:t>ÉTICA (PRÁCTICO)</w:t>
      </w:r>
    </w:p>
    <w:p w:rsidR="007364C0" w:rsidRPr="00F0562B" w:rsidRDefault="007364C0" w:rsidP="007364C0">
      <w:pPr>
        <w:spacing w:after="0" w:line="300" w:lineRule="auto"/>
        <w:ind w:left="2835" w:hanging="2835"/>
        <w:jc w:val="both"/>
        <w:rPr>
          <w:rFonts w:ascii="Times New Roman" w:hAnsi="Times New Roman" w:cs="Times New Roman"/>
          <w:b/>
        </w:rPr>
      </w:pPr>
      <w:r w:rsidRPr="00F0562B">
        <w:rPr>
          <w:rFonts w:ascii="Times New Roman" w:hAnsi="Times New Roman" w:cs="Times New Roman"/>
          <w:b/>
        </w:rPr>
        <w:t>SEMESTRE 2022-II</w:t>
      </w:r>
    </w:p>
    <w:p w:rsidR="007364C0" w:rsidRPr="00F0562B" w:rsidRDefault="007364C0" w:rsidP="007364C0">
      <w:pPr>
        <w:spacing w:after="0" w:line="300" w:lineRule="auto"/>
        <w:ind w:left="2835" w:hanging="2835"/>
        <w:jc w:val="both"/>
        <w:rPr>
          <w:rFonts w:ascii="Times New Roman" w:hAnsi="Times New Roman" w:cs="Times New Roman"/>
          <w:b/>
        </w:rPr>
      </w:pPr>
      <w:r w:rsidRPr="00F0562B">
        <w:rPr>
          <w:rFonts w:ascii="Times New Roman" w:hAnsi="Times New Roman" w:cs="Times New Roman"/>
          <w:b/>
        </w:rPr>
        <w:t>PROF. FERNANDO GARCÍA ALCALÁ</w:t>
      </w:r>
    </w:p>
    <w:p w:rsidR="007364C0" w:rsidRPr="00F0562B" w:rsidRDefault="007364C0" w:rsidP="007364C0">
      <w:pPr>
        <w:spacing w:after="0" w:line="300" w:lineRule="auto"/>
        <w:jc w:val="both"/>
        <w:rPr>
          <w:rFonts w:ascii="Times New Roman" w:hAnsi="Times New Roman" w:cs="Times New Roman"/>
          <w:b/>
        </w:rPr>
      </w:pPr>
    </w:p>
    <w:p w:rsidR="007364C0" w:rsidRPr="00F0562B" w:rsidRDefault="007364C0" w:rsidP="007364C0">
      <w:pPr>
        <w:spacing w:after="0" w:line="300" w:lineRule="auto"/>
        <w:ind w:left="2835" w:hanging="2835"/>
        <w:jc w:val="both"/>
        <w:rPr>
          <w:rFonts w:ascii="Times New Roman" w:hAnsi="Times New Roman" w:cs="Times New Roman"/>
          <w:b/>
        </w:rPr>
      </w:pPr>
    </w:p>
    <w:p w:rsidR="007364C0" w:rsidRPr="00F0562B" w:rsidRDefault="007364C0" w:rsidP="007364C0">
      <w:pPr>
        <w:spacing w:after="0" w:line="300" w:lineRule="auto"/>
        <w:ind w:left="2835" w:hanging="2835"/>
        <w:jc w:val="center"/>
        <w:rPr>
          <w:rFonts w:ascii="Times New Roman" w:hAnsi="Times New Roman" w:cs="Times New Roman"/>
          <w:b/>
        </w:rPr>
      </w:pPr>
      <w:r w:rsidRPr="00F0562B">
        <w:rPr>
          <w:rFonts w:ascii="Times New Roman" w:hAnsi="Times New Roman" w:cs="Times New Roman"/>
          <w:b/>
        </w:rPr>
        <w:t>II</w:t>
      </w:r>
      <w:r>
        <w:rPr>
          <w:rFonts w:ascii="Times New Roman" w:hAnsi="Times New Roman" w:cs="Times New Roman"/>
          <w:b/>
        </w:rPr>
        <w:t>I</w:t>
      </w:r>
      <w:r w:rsidRPr="00F0562B">
        <w:rPr>
          <w:rFonts w:ascii="Times New Roman" w:hAnsi="Times New Roman" w:cs="Times New Roman"/>
          <w:b/>
        </w:rPr>
        <w:t xml:space="preserve"> CONTROL DE LECTURA</w:t>
      </w:r>
    </w:p>
    <w:p w:rsidR="007364C0" w:rsidRPr="00EF2E86" w:rsidRDefault="007364C0" w:rsidP="007364C0">
      <w:pPr>
        <w:spacing w:after="0" w:line="300" w:lineRule="auto"/>
        <w:jc w:val="center"/>
        <w:rPr>
          <w:rFonts w:ascii="Times New Roman" w:hAnsi="Times New Roman" w:cs="Times New Roman"/>
          <w:sz w:val="10"/>
        </w:rPr>
      </w:pPr>
    </w:p>
    <w:p w:rsidR="007364C0" w:rsidRPr="00F0562B" w:rsidRDefault="007364C0" w:rsidP="007364C0">
      <w:pPr>
        <w:spacing w:after="0" w:line="300" w:lineRule="auto"/>
        <w:jc w:val="center"/>
        <w:rPr>
          <w:rFonts w:ascii="Times New Roman" w:hAnsi="Times New Roman" w:cs="Times New Roman"/>
          <w:b/>
        </w:rPr>
      </w:pPr>
      <w:r>
        <w:rPr>
          <w:rFonts w:ascii="Times New Roman" w:hAnsi="Times New Roman" w:cs="Times New Roman"/>
        </w:rPr>
        <w:t xml:space="preserve">Charles Taylor </w:t>
      </w:r>
      <w:r w:rsidRPr="00EF2E86">
        <w:rPr>
          <w:rFonts w:ascii="Times New Roman" w:hAnsi="Times New Roman" w:cs="Times New Roman"/>
          <w:i/>
        </w:rPr>
        <w:t>“La libertad de los modernos”</w:t>
      </w:r>
      <w:r>
        <w:rPr>
          <w:rFonts w:ascii="Times New Roman" w:hAnsi="Times New Roman" w:cs="Times New Roman"/>
        </w:rPr>
        <w:t>, capí</w:t>
      </w:r>
      <w:r w:rsidRPr="00EF2E86">
        <w:rPr>
          <w:rFonts w:ascii="Times New Roman" w:hAnsi="Times New Roman" w:cs="Times New Roman"/>
        </w:rPr>
        <w:t>tulo</w:t>
      </w:r>
      <w:r>
        <w:rPr>
          <w:rFonts w:ascii="Times New Roman" w:hAnsi="Times New Roman" w:cs="Times New Roman"/>
        </w:rPr>
        <w:t xml:space="preserve"> IX</w:t>
      </w:r>
    </w:p>
    <w:p w:rsidR="007364C0" w:rsidRPr="00F0562B" w:rsidRDefault="007364C0" w:rsidP="007364C0">
      <w:pPr>
        <w:spacing w:after="0" w:line="300" w:lineRule="auto"/>
        <w:jc w:val="both"/>
        <w:rPr>
          <w:rFonts w:ascii="Times New Roman" w:hAnsi="Times New Roman" w:cs="Times New Roman"/>
          <w:b/>
        </w:rPr>
      </w:pPr>
    </w:p>
    <w:p w:rsidR="007364C0" w:rsidRPr="00F0562B" w:rsidRDefault="007364C0" w:rsidP="007364C0">
      <w:pPr>
        <w:spacing w:after="0" w:line="300" w:lineRule="auto"/>
        <w:jc w:val="both"/>
        <w:rPr>
          <w:rFonts w:ascii="Times New Roman" w:hAnsi="Times New Roman" w:cs="Times New Roman"/>
        </w:rPr>
      </w:pPr>
      <w:r w:rsidRPr="00F0562B">
        <w:rPr>
          <w:rFonts w:ascii="Times New Roman" w:hAnsi="Times New Roman" w:cs="Times New Roman"/>
          <w:b/>
        </w:rPr>
        <w:t>Alumno:</w:t>
      </w:r>
      <w:r w:rsidRPr="00F0562B">
        <w:rPr>
          <w:rFonts w:ascii="Times New Roman" w:hAnsi="Times New Roman" w:cs="Times New Roman"/>
        </w:rPr>
        <w:t xml:space="preserve"> Harry Homer Neira Neyra</w:t>
      </w:r>
    </w:p>
    <w:p w:rsidR="007364C0" w:rsidRPr="00F0562B" w:rsidRDefault="007364C0" w:rsidP="007364C0">
      <w:pPr>
        <w:spacing w:after="0" w:line="300" w:lineRule="auto"/>
        <w:jc w:val="both"/>
        <w:rPr>
          <w:rFonts w:ascii="Times New Roman" w:hAnsi="Times New Roman" w:cs="Times New Roman"/>
        </w:rPr>
      </w:pPr>
    </w:p>
    <w:p w:rsidR="007364C0" w:rsidRDefault="007364C0" w:rsidP="007364C0">
      <w:pPr>
        <w:spacing w:after="0" w:line="300" w:lineRule="auto"/>
        <w:jc w:val="center"/>
        <w:rPr>
          <w:rFonts w:ascii="Times New Roman" w:hAnsi="Times New Roman" w:cs="Times New Roman"/>
        </w:rPr>
      </w:pPr>
      <w:r w:rsidRPr="007F6AF2">
        <w:rPr>
          <w:rFonts w:ascii="Times New Roman" w:hAnsi="Times New Roman" w:cs="Times New Roman"/>
        </w:rPr>
        <w:t>“La conducción de una vida y el momento del bien”</w:t>
      </w:r>
    </w:p>
    <w:p w:rsidR="007364C0" w:rsidRPr="00F0562B" w:rsidRDefault="007364C0" w:rsidP="007364C0">
      <w:pPr>
        <w:spacing w:after="0" w:line="300" w:lineRule="auto"/>
        <w:jc w:val="center"/>
        <w:rPr>
          <w:rFonts w:ascii="Times New Roman" w:hAnsi="Times New Roman" w:cs="Times New Roman"/>
        </w:rPr>
      </w:pPr>
    </w:p>
    <w:p w:rsidR="007364C0" w:rsidRPr="00F0562B" w:rsidRDefault="007364C0" w:rsidP="007364C0">
      <w:pPr>
        <w:spacing w:after="0" w:line="300" w:lineRule="auto"/>
        <w:ind w:firstLine="708"/>
        <w:jc w:val="both"/>
        <w:rPr>
          <w:rFonts w:ascii="Times New Roman" w:hAnsi="Times New Roman" w:cs="Times New Roman"/>
        </w:rPr>
      </w:pPr>
      <w:r>
        <w:rPr>
          <w:rFonts w:ascii="Times New Roman" w:hAnsi="Times New Roman" w:cs="Times New Roman"/>
        </w:rPr>
        <w:t>En este capítulo, Taylor nos explica que en medio de grandes temas de los cuales debemos tomar decisiones apelando a cuestiones éticas o morales, es imposible tener un “molde” único para tomar una decisión. En este sentido, entiendo que tampoco se puede uniformizar la realidad al respecto de equiparar dos o varias situaciones totalmente diferentes, negando la diversidad que cada una de esas situaciones tiene, incluso en un mismo contexto. Hacer esto, uniformizar, ver un único molde de solución, sería ilógico y –diría yo–  contraproducente.</w:t>
      </w:r>
    </w:p>
    <w:p w:rsidR="007364C0" w:rsidRDefault="007364C0" w:rsidP="007364C0">
      <w:pPr>
        <w:spacing w:after="0" w:line="300" w:lineRule="auto"/>
        <w:jc w:val="both"/>
        <w:rPr>
          <w:rFonts w:ascii="Times New Roman" w:hAnsi="Times New Roman" w:cs="Times New Roman"/>
        </w:rPr>
      </w:pPr>
    </w:p>
    <w:p w:rsidR="007364C0" w:rsidRDefault="007364C0" w:rsidP="007364C0">
      <w:pPr>
        <w:spacing w:after="0" w:line="300" w:lineRule="auto"/>
        <w:jc w:val="both"/>
        <w:rPr>
          <w:rFonts w:ascii="Times New Roman" w:hAnsi="Times New Roman" w:cs="Times New Roman"/>
        </w:rPr>
      </w:pPr>
      <w:r>
        <w:rPr>
          <w:rFonts w:ascii="Times New Roman" w:hAnsi="Times New Roman" w:cs="Times New Roman"/>
        </w:rPr>
        <w:tab/>
        <w:t xml:space="preserve">Hay cosas, situaciones, disyuntivas, bienes en general que no podemos </w:t>
      </w:r>
      <w:r w:rsidRPr="006317FD">
        <w:rPr>
          <w:rFonts w:ascii="Times New Roman" w:hAnsi="Times New Roman" w:cs="Times New Roman"/>
          <w:i/>
        </w:rPr>
        <w:t>conmensurar</w:t>
      </w:r>
      <w:r>
        <w:rPr>
          <w:rFonts w:ascii="Times New Roman" w:hAnsi="Times New Roman" w:cs="Times New Roman"/>
        </w:rPr>
        <w:t xml:space="preserve"> en una sola y única forma posible de solución, de moldear o dar razón de juicio. En este sentido, Taylor nos habla de la inconmensurabilidad respecto a ciertas situaciones o bienes de los cuales tienen un peso que no pueden equipararse uno con otros: </w:t>
      </w:r>
      <w:r w:rsidRPr="006317FD">
        <w:rPr>
          <w:rFonts w:ascii="Times New Roman" w:hAnsi="Times New Roman" w:cs="Times New Roman"/>
          <w:i/>
        </w:rPr>
        <w:t>“La palabra «inconmensurabilidad» suele dejarse ver en la discusión de dos tipos diferentes de situación en la vida moral”</w:t>
      </w:r>
      <w:r w:rsidRPr="006317FD">
        <w:rPr>
          <w:rFonts w:ascii="Times New Roman" w:hAnsi="Times New Roman" w:cs="Times New Roman"/>
        </w:rPr>
        <w:t>.</w:t>
      </w:r>
      <w:r>
        <w:rPr>
          <w:rFonts w:ascii="Times New Roman" w:hAnsi="Times New Roman" w:cs="Times New Roman"/>
        </w:rPr>
        <w:t xml:space="preserve"> En este sentido, Taylor hace dos buenas distinciones:</w:t>
      </w:r>
    </w:p>
    <w:p w:rsidR="007364C0" w:rsidRPr="006317FD" w:rsidRDefault="007364C0" w:rsidP="007364C0">
      <w:pPr>
        <w:spacing w:after="0" w:line="300" w:lineRule="auto"/>
        <w:jc w:val="both"/>
        <w:rPr>
          <w:rFonts w:ascii="Times New Roman" w:hAnsi="Times New Roman" w:cs="Times New Roman"/>
        </w:rPr>
      </w:pPr>
    </w:p>
    <w:p w:rsidR="007364C0" w:rsidRDefault="007364C0" w:rsidP="007364C0">
      <w:pPr>
        <w:spacing w:after="0" w:line="300" w:lineRule="auto"/>
        <w:ind w:left="708" w:firstLine="708"/>
        <w:jc w:val="both"/>
        <w:rPr>
          <w:rFonts w:ascii="Times New Roman" w:hAnsi="Times New Roman" w:cs="Times New Roman"/>
        </w:rPr>
      </w:pPr>
      <w:r>
        <w:rPr>
          <w:rFonts w:ascii="Times New Roman" w:hAnsi="Times New Roman" w:cs="Times New Roman"/>
        </w:rPr>
        <w:t xml:space="preserve">(1) </w:t>
      </w:r>
      <w:r w:rsidRPr="006317FD">
        <w:rPr>
          <w:rFonts w:ascii="Times New Roman" w:hAnsi="Times New Roman" w:cs="Times New Roman"/>
        </w:rPr>
        <w:t>La primera se da cuando</w:t>
      </w:r>
      <w:r>
        <w:rPr>
          <w:rFonts w:ascii="Times New Roman" w:hAnsi="Times New Roman" w:cs="Times New Roman"/>
        </w:rPr>
        <w:t xml:space="preserve"> tenemos que hacer una elección </w:t>
      </w:r>
      <w:r w:rsidRPr="006317FD">
        <w:rPr>
          <w:rFonts w:ascii="Times New Roman" w:hAnsi="Times New Roman" w:cs="Times New Roman"/>
        </w:rPr>
        <w:t>y hay dos bienes diferentes en juego:</w:t>
      </w:r>
      <w:r>
        <w:rPr>
          <w:rFonts w:ascii="Times New Roman" w:hAnsi="Times New Roman" w:cs="Times New Roman"/>
        </w:rPr>
        <w:t xml:space="preserve"> bienes que son lo bastante </w:t>
      </w:r>
      <w:r w:rsidRPr="006317FD">
        <w:rPr>
          <w:rFonts w:ascii="Times New Roman" w:hAnsi="Times New Roman" w:cs="Times New Roman"/>
        </w:rPr>
        <w:t>distintos para que nos cueste ponderarlos entre sí en</w:t>
      </w:r>
      <w:r>
        <w:rPr>
          <w:rFonts w:ascii="Times New Roman" w:hAnsi="Times New Roman" w:cs="Times New Roman"/>
        </w:rPr>
        <w:t xml:space="preserve"> </w:t>
      </w:r>
      <w:r w:rsidRPr="006317FD">
        <w:rPr>
          <w:rFonts w:ascii="Times New Roman" w:hAnsi="Times New Roman" w:cs="Times New Roman"/>
        </w:rPr>
        <w:t>una misma deliberación.</w:t>
      </w:r>
      <w:r>
        <w:rPr>
          <w:rFonts w:ascii="Times New Roman" w:hAnsi="Times New Roman" w:cs="Times New Roman"/>
        </w:rPr>
        <w:t xml:space="preserve"> (2) </w:t>
      </w:r>
      <w:r w:rsidRPr="006317FD">
        <w:rPr>
          <w:rFonts w:ascii="Times New Roman" w:hAnsi="Times New Roman" w:cs="Times New Roman"/>
        </w:rPr>
        <w:t>El segundo tipo de conte</w:t>
      </w:r>
      <w:r>
        <w:rPr>
          <w:rFonts w:ascii="Times New Roman" w:hAnsi="Times New Roman" w:cs="Times New Roman"/>
        </w:rPr>
        <w:t xml:space="preserve">xto es cada vez más habitual en </w:t>
      </w:r>
      <w:r w:rsidRPr="006317FD">
        <w:rPr>
          <w:rFonts w:ascii="Times New Roman" w:hAnsi="Times New Roman" w:cs="Times New Roman"/>
        </w:rPr>
        <w:t>nuestro mundo. En él deb</w:t>
      </w:r>
      <w:r>
        <w:rPr>
          <w:rFonts w:ascii="Times New Roman" w:hAnsi="Times New Roman" w:cs="Times New Roman"/>
        </w:rPr>
        <w:t xml:space="preserve">emos comparar de algún modo las </w:t>
      </w:r>
      <w:r w:rsidRPr="006317FD">
        <w:rPr>
          <w:rFonts w:ascii="Times New Roman" w:hAnsi="Times New Roman" w:cs="Times New Roman"/>
        </w:rPr>
        <w:t>exigencias surgidas de las perspectiv</w:t>
      </w:r>
      <w:r>
        <w:rPr>
          <w:rFonts w:ascii="Times New Roman" w:hAnsi="Times New Roman" w:cs="Times New Roman"/>
        </w:rPr>
        <w:t xml:space="preserve">as éticas de culturas </w:t>
      </w:r>
      <w:r w:rsidRPr="006317FD">
        <w:rPr>
          <w:rFonts w:ascii="Times New Roman" w:hAnsi="Times New Roman" w:cs="Times New Roman"/>
        </w:rPr>
        <w:t>y civilizaciones muy diferen</w:t>
      </w:r>
      <w:r>
        <w:rPr>
          <w:rFonts w:ascii="Times New Roman" w:hAnsi="Times New Roman" w:cs="Times New Roman"/>
        </w:rPr>
        <w:t xml:space="preserve">tes, y tal vez incluso arbitrar </w:t>
      </w:r>
      <w:r w:rsidRPr="006317FD">
        <w:rPr>
          <w:rFonts w:ascii="Times New Roman" w:hAnsi="Times New Roman" w:cs="Times New Roman"/>
        </w:rPr>
        <w:t>entre ellas. En este caso,</w:t>
      </w:r>
      <w:r>
        <w:rPr>
          <w:rFonts w:ascii="Times New Roman" w:hAnsi="Times New Roman" w:cs="Times New Roman"/>
        </w:rPr>
        <w:t xml:space="preserve"> solemos esforzamos en vano por </w:t>
      </w:r>
      <w:r w:rsidRPr="006317FD">
        <w:rPr>
          <w:rFonts w:ascii="Times New Roman" w:hAnsi="Times New Roman" w:cs="Times New Roman"/>
        </w:rPr>
        <w:t xml:space="preserve">encontrar un terreno </w:t>
      </w:r>
      <w:r>
        <w:rPr>
          <w:rFonts w:ascii="Times New Roman" w:hAnsi="Times New Roman" w:cs="Times New Roman"/>
        </w:rPr>
        <w:t xml:space="preserve">común de razonamiento que pueda </w:t>
      </w:r>
      <w:r w:rsidRPr="006317FD">
        <w:rPr>
          <w:rFonts w:ascii="Times New Roman" w:hAnsi="Times New Roman" w:cs="Times New Roman"/>
        </w:rPr>
        <w:t>ser aceptado por los integrantes de ambas culturas.</w:t>
      </w:r>
    </w:p>
    <w:p w:rsidR="007364C0" w:rsidRPr="00F0562B" w:rsidRDefault="007364C0" w:rsidP="007364C0">
      <w:pPr>
        <w:spacing w:after="0" w:line="300" w:lineRule="auto"/>
        <w:jc w:val="both"/>
        <w:rPr>
          <w:rFonts w:ascii="Times New Roman" w:hAnsi="Times New Roman" w:cs="Times New Roman"/>
        </w:rPr>
      </w:pPr>
    </w:p>
    <w:p w:rsidR="007364C0" w:rsidRDefault="007364C0" w:rsidP="007364C0">
      <w:pPr>
        <w:spacing w:after="0" w:line="300" w:lineRule="auto"/>
        <w:ind w:firstLine="708"/>
        <w:jc w:val="both"/>
        <w:rPr>
          <w:rFonts w:ascii="Times New Roman" w:hAnsi="Times New Roman" w:cs="Times New Roman"/>
        </w:rPr>
      </w:pPr>
      <w:r>
        <w:rPr>
          <w:rFonts w:ascii="Times New Roman" w:hAnsi="Times New Roman" w:cs="Times New Roman"/>
        </w:rPr>
        <w:t>¿Cómo podemos dar una medición objetiva desde una discusión ética y tomar una elección? En ambos casos difícil, aún más en el segundo. Para ilustrarnos mejor al respecto, Taylor nos da dos ejemplos, el de Priscilla y el de un pasaje bíblico en los Evangelios. Ambos casos son muy buenos e interesantes. Me referiré al segundo a continuación.</w:t>
      </w:r>
    </w:p>
    <w:p w:rsidR="007364C0" w:rsidRDefault="007364C0" w:rsidP="007364C0">
      <w:pPr>
        <w:spacing w:after="0" w:line="300" w:lineRule="auto"/>
        <w:ind w:firstLine="708"/>
        <w:jc w:val="both"/>
        <w:rPr>
          <w:rFonts w:ascii="Times New Roman" w:hAnsi="Times New Roman" w:cs="Times New Roman"/>
        </w:rPr>
      </w:pPr>
    </w:p>
    <w:p w:rsidR="007364C0" w:rsidRDefault="007364C0" w:rsidP="007364C0">
      <w:pPr>
        <w:spacing w:after="0" w:line="300" w:lineRule="auto"/>
        <w:ind w:firstLine="708"/>
        <w:jc w:val="both"/>
        <w:rPr>
          <w:rFonts w:ascii="Times New Roman" w:hAnsi="Times New Roman" w:cs="Times New Roman"/>
        </w:rPr>
      </w:pPr>
      <w:r>
        <w:rPr>
          <w:rFonts w:ascii="Times New Roman" w:hAnsi="Times New Roman" w:cs="Times New Roman"/>
        </w:rPr>
        <w:t xml:space="preserve">Al respecto, Taylor dice: </w:t>
      </w:r>
      <w:r w:rsidRPr="00C15695">
        <w:rPr>
          <w:rFonts w:ascii="Times New Roman" w:hAnsi="Times New Roman" w:cs="Times New Roman"/>
          <w:i/>
        </w:rPr>
        <w:t>“en ese caso la virtud del acto tiene algo que ver con el peso. El acto de devoción sólo puede encontrar expresión a través de algo de valor”</w:t>
      </w:r>
      <w:r>
        <w:rPr>
          <w:rFonts w:ascii="Times New Roman" w:hAnsi="Times New Roman" w:cs="Times New Roman"/>
        </w:rPr>
        <w:t xml:space="preserve">. La actitud de María de Betania (No es María la Madre de Jesús, sino que se hace referencia a María Magdalena) no es que su acción condenara a la pobreza a muchas personas, sino que fue su opción en el preciso </w:t>
      </w:r>
      <w:r>
        <w:rPr>
          <w:rFonts w:ascii="Times New Roman" w:hAnsi="Times New Roman" w:cs="Times New Roman"/>
        </w:rPr>
        <w:lastRenderedPageBreak/>
        <w:t>momento porque le dio peso al hecho de que era el único momento que podría tener ese detalle con Jesús, antes de su muerte.</w:t>
      </w:r>
    </w:p>
    <w:p w:rsidR="007364C0" w:rsidRDefault="007364C0" w:rsidP="007364C0">
      <w:pPr>
        <w:spacing w:after="0" w:line="300" w:lineRule="auto"/>
        <w:ind w:firstLine="708"/>
        <w:jc w:val="both"/>
        <w:rPr>
          <w:rFonts w:ascii="Times New Roman" w:hAnsi="Times New Roman" w:cs="Times New Roman"/>
        </w:rPr>
      </w:pPr>
    </w:p>
    <w:p w:rsidR="007364C0" w:rsidRDefault="007364C0" w:rsidP="007364C0">
      <w:pPr>
        <w:spacing w:after="0" w:line="300" w:lineRule="auto"/>
        <w:ind w:firstLine="708"/>
        <w:jc w:val="both"/>
        <w:rPr>
          <w:rFonts w:ascii="Times New Roman" w:hAnsi="Times New Roman" w:cs="Times New Roman"/>
        </w:rPr>
      </w:pPr>
      <w:r>
        <w:rPr>
          <w:rFonts w:ascii="Times New Roman" w:hAnsi="Times New Roman" w:cs="Times New Roman"/>
        </w:rPr>
        <w:t>Haciendo un paréntesis al respecto del segundo ejemplo que brinda Taylor, me resulta muy interesante la figura de Judas Iscariote y en donde Taylor representa en él a los socialdemócratas utilitaristas. Yo siempre vi en él la imagen de un subversivo oportunista, un revoltoso de quien significaba de que el fin sí justica los medios. Pero se ve muy aclarador como Taylor lo ha ilustrado y comparado. Claro, se puede aplicar en varios contextos.</w:t>
      </w:r>
    </w:p>
    <w:p w:rsidR="007364C0" w:rsidRDefault="007364C0" w:rsidP="007364C0">
      <w:pPr>
        <w:spacing w:after="0" w:line="300" w:lineRule="auto"/>
        <w:ind w:firstLine="708"/>
        <w:jc w:val="both"/>
        <w:rPr>
          <w:rFonts w:ascii="Times New Roman" w:hAnsi="Times New Roman" w:cs="Times New Roman"/>
        </w:rPr>
      </w:pPr>
    </w:p>
    <w:p w:rsidR="007364C0" w:rsidRDefault="007364C0" w:rsidP="007364C0">
      <w:pPr>
        <w:spacing w:after="0" w:line="300" w:lineRule="auto"/>
        <w:ind w:firstLine="708"/>
        <w:jc w:val="both"/>
        <w:rPr>
          <w:rFonts w:ascii="Times New Roman" w:hAnsi="Times New Roman" w:cs="Times New Roman"/>
        </w:rPr>
      </w:pPr>
      <w:r>
        <w:rPr>
          <w:rFonts w:ascii="Times New Roman" w:hAnsi="Times New Roman" w:cs="Times New Roman"/>
        </w:rPr>
        <w:t>En medio de esas decisiones de bienes totalmente diferentes, la tesis de Taylor nos propone:</w:t>
      </w:r>
    </w:p>
    <w:p w:rsidR="007364C0" w:rsidRDefault="007364C0" w:rsidP="007364C0">
      <w:pPr>
        <w:spacing w:after="0" w:line="300" w:lineRule="auto"/>
        <w:ind w:firstLine="708"/>
        <w:jc w:val="both"/>
        <w:rPr>
          <w:rFonts w:ascii="Times New Roman" w:hAnsi="Times New Roman" w:cs="Times New Roman"/>
        </w:rPr>
      </w:pPr>
    </w:p>
    <w:p w:rsidR="007364C0" w:rsidRDefault="007364C0" w:rsidP="007364C0">
      <w:pPr>
        <w:spacing w:after="0" w:line="300" w:lineRule="auto"/>
        <w:ind w:left="708" w:firstLine="708"/>
        <w:jc w:val="both"/>
        <w:rPr>
          <w:rFonts w:ascii="Times New Roman" w:hAnsi="Times New Roman" w:cs="Times New Roman"/>
        </w:rPr>
      </w:pPr>
      <w:r>
        <w:rPr>
          <w:rFonts w:ascii="Times New Roman" w:hAnsi="Times New Roman" w:cs="Times New Roman"/>
        </w:rPr>
        <w:t>“es que tenemos a nuestra disposición recursos potencialmente ricos para ayudarnos en esas decisiones, aunque la filosofía moral moderna ha tenido a ignorarlos. Entre ellos se cuenta no solo la articulación de los bienes y de una idea de su importancia relativa, sino también la percepción de la forma de nuestra vida y el ajuste, dentro de ella, de diferentes bienes en distintos lugares y momentos”.</w:t>
      </w:r>
    </w:p>
    <w:p w:rsidR="007364C0" w:rsidRDefault="007364C0" w:rsidP="007364C0">
      <w:pPr>
        <w:spacing w:after="0" w:line="300" w:lineRule="auto"/>
        <w:ind w:firstLine="708"/>
        <w:jc w:val="both"/>
        <w:rPr>
          <w:rFonts w:ascii="Times New Roman" w:hAnsi="Times New Roman" w:cs="Times New Roman"/>
        </w:rPr>
      </w:pPr>
    </w:p>
    <w:p w:rsidR="007364C0" w:rsidRDefault="007364C0" w:rsidP="007364C0">
      <w:pPr>
        <w:spacing w:after="0" w:line="300" w:lineRule="auto"/>
        <w:ind w:firstLine="708"/>
        <w:jc w:val="both"/>
        <w:rPr>
          <w:rFonts w:ascii="Times New Roman" w:hAnsi="Times New Roman" w:cs="Times New Roman"/>
        </w:rPr>
      </w:pPr>
      <w:r>
        <w:rPr>
          <w:rFonts w:ascii="Times New Roman" w:hAnsi="Times New Roman" w:cs="Times New Roman"/>
        </w:rPr>
        <w:t xml:space="preserve">Volviendo a dos ideas de Taylor al inicio del capítulo, en donde nos dice </w:t>
      </w:r>
      <w:r w:rsidRPr="002B28D0">
        <w:rPr>
          <w:rFonts w:ascii="Times New Roman" w:hAnsi="Times New Roman" w:cs="Times New Roman"/>
          <w:i/>
        </w:rPr>
        <w:t>“que en cierto modo la unidad es algo que podemos buscar en nuestra vida moral. (…) a forjar una concepción plausible del razonamiento moral que refleje tanto su ineludible diversidad como su lucha constante por la unidad”</w:t>
      </w:r>
      <w:r w:rsidRPr="00923F19">
        <w:rPr>
          <w:rFonts w:ascii="Times New Roman" w:hAnsi="Times New Roman" w:cs="Times New Roman"/>
        </w:rPr>
        <w:t>.</w:t>
      </w:r>
    </w:p>
    <w:p w:rsidR="007364C0" w:rsidRDefault="007364C0" w:rsidP="007364C0">
      <w:pPr>
        <w:spacing w:after="0" w:line="300" w:lineRule="auto"/>
        <w:ind w:firstLine="708"/>
        <w:jc w:val="both"/>
        <w:rPr>
          <w:rFonts w:ascii="Times New Roman" w:hAnsi="Times New Roman" w:cs="Times New Roman"/>
        </w:rPr>
      </w:pPr>
    </w:p>
    <w:p w:rsidR="007364C0" w:rsidRPr="00C53D52" w:rsidRDefault="007364C0" w:rsidP="007364C0">
      <w:pPr>
        <w:spacing w:after="0" w:line="300" w:lineRule="auto"/>
        <w:ind w:firstLine="708"/>
        <w:jc w:val="both"/>
        <w:rPr>
          <w:rFonts w:ascii="Times New Roman" w:hAnsi="Times New Roman" w:cs="Times New Roman"/>
        </w:rPr>
      </w:pPr>
      <w:r w:rsidRPr="002B28D0">
        <w:rPr>
          <w:rFonts w:ascii="Times New Roman" w:hAnsi="Times New Roman" w:cs="Times New Roman"/>
        </w:rPr>
        <w:t xml:space="preserve">Si bien </w:t>
      </w:r>
      <w:r>
        <w:rPr>
          <w:rFonts w:ascii="Times New Roman" w:hAnsi="Times New Roman" w:cs="Times New Roman"/>
        </w:rPr>
        <w:t xml:space="preserve">–nos dice Taylor– </w:t>
      </w:r>
      <w:r w:rsidRPr="002B28D0">
        <w:rPr>
          <w:rFonts w:ascii="Times New Roman" w:hAnsi="Times New Roman" w:cs="Times New Roman"/>
        </w:rPr>
        <w:t>la diferenc</w:t>
      </w:r>
      <w:r>
        <w:rPr>
          <w:rFonts w:ascii="Times New Roman" w:hAnsi="Times New Roman" w:cs="Times New Roman"/>
        </w:rPr>
        <w:t xml:space="preserve">ia es necesaria para la unidad. Mi reflexión conclusiva es que considero que realmente la diferencia, la diversidad, </w:t>
      </w:r>
      <w:r w:rsidRPr="002B28D0">
        <w:rPr>
          <w:rFonts w:ascii="Times New Roman" w:hAnsi="Times New Roman" w:cs="Times New Roman"/>
        </w:rPr>
        <w:t xml:space="preserve">es una </w:t>
      </w:r>
      <w:r w:rsidRPr="002B28D0">
        <w:rPr>
          <w:rFonts w:ascii="Times New Roman" w:hAnsi="Times New Roman" w:cs="Times New Roman"/>
          <w:i/>
        </w:rPr>
        <w:t>condición necesaria</w:t>
      </w:r>
      <w:r>
        <w:rPr>
          <w:rFonts w:ascii="Times New Roman" w:hAnsi="Times New Roman" w:cs="Times New Roman"/>
        </w:rPr>
        <w:t xml:space="preserve"> al hablar de unidad. L</w:t>
      </w:r>
      <w:r w:rsidRPr="002B28D0">
        <w:rPr>
          <w:rFonts w:ascii="Times New Roman" w:hAnsi="Times New Roman" w:cs="Times New Roman"/>
        </w:rPr>
        <w:t>as diferencias dentro de</w:t>
      </w:r>
      <w:r>
        <w:rPr>
          <w:rFonts w:ascii="Times New Roman" w:hAnsi="Times New Roman" w:cs="Times New Roman"/>
        </w:rPr>
        <w:t xml:space="preserve"> ella no suponen aniquilar el principio de unidad dentro de una universalidad de códigos y modos de ser de culturas, sociedades, religiones, personas. Son las distinciones y</w:t>
      </w:r>
      <w:r w:rsidRPr="002B28D0">
        <w:rPr>
          <w:rFonts w:ascii="Times New Roman" w:hAnsi="Times New Roman" w:cs="Times New Roman"/>
        </w:rPr>
        <w:t xml:space="preserve"> lo diferente y </w:t>
      </w:r>
      <w:r>
        <w:rPr>
          <w:rFonts w:ascii="Times New Roman" w:hAnsi="Times New Roman" w:cs="Times New Roman"/>
        </w:rPr>
        <w:t xml:space="preserve">lo </w:t>
      </w:r>
      <w:r w:rsidRPr="002B28D0">
        <w:rPr>
          <w:rFonts w:ascii="Times New Roman" w:hAnsi="Times New Roman" w:cs="Times New Roman"/>
        </w:rPr>
        <w:t>diverso que da ese sentido de cohesión dentro de un grupo humano, ya sea cultural, social, político y hasta epistémico. Si no hay diferencias, no hay diversidad, no podemos hablar de unidad, de lo contrario, estaría</w:t>
      </w:r>
      <w:r>
        <w:rPr>
          <w:rFonts w:ascii="Times New Roman" w:hAnsi="Times New Roman" w:cs="Times New Roman"/>
        </w:rPr>
        <w:t>mos refiriéndonos a uniformidad:</w:t>
      </w:r>
      <w:r w:rsidRPr="002B28D0">
        <w:rPr>
          <w:rFonts w:ascii="Times New Roman" w:hAnsi="Times New Roman" w:cs="Times New Roman"/>
        </w:rPr>
        <w:t xml:space="preserve"> todos pensamos igual, nos vestimos igual, nos peinamos igual (y aunque estos últimos ejemplos sea</w:t>
      </w:r>
      <w:r>
        <w:rPr>
          <w:rFonts w:ascii="Times New Roman" w:hAnsi="Times New Roman" w:cs="Times New Roman"/>
        </w:rPr>
        <w:t>n risibles, es real, y en ciertas</w:t>
      </w:r>
      <w:r w:rsidRPr="002B28D0">
        <w:rPr>
          <w:rFonts w:ascii="Times New Roman" w:hAnsi="Times New Roman" w:cs="Times New Roman"/>
        </w:rPr>
        <w:t xml:space="preserve"> congregaciones religiosas</w:t>
      </w:r>
      <w:r>
        <w:rPr>
          <w:rFonts w:ascii="Times New Roman" w:hAnsi="Times New Roman" w:cs="Times New Roman"/>
        </w:rPr>
        <w:t xml:space="preserve"> católicas, lamentablemente). </w:t>
      </w:r>
      <w:r w:rsidRPr="002B28D0">
        <w:rPr>
          <w:rFonts w:ascii="Times New Roman" w:hAnsi="Times New Roman" w:cs="Times New Roman"/>
        </w:rPr>
        <w:t xml:space="preserve">Aunque esto último no tendría mucho de malo, como en los colegios o en la vida militar, ni uno es igual que el otro, por ello </w:t>
      </w:r>
      <w:r>
        <w:rPr>
          <w:rFonts w:ascii="Times New Roman" w:hAnsi="Times New Roman" w:cs="Times New Roman"/>
        </w:rPr>
        <w:t>no lo preferiría en lo primero (</w:t>
      </w:r>
      <w:r w:rsidRPr="002B28D0">
        <w:rPr>
          <w:rFonts w:ascii="Times New Roman" w:hAnsi="Times New Roman" w:cs="Times New Roman"/>
        </w:rPr>
        <w:t>en la vida escolar</w:t>
      </w:r>
      <w:r>
        <w:rPr>
          <w:rFonts w:ascii="Times New Roman" w:hAnsi="Times New Roman" w:cs="Times New Roman"/>
        </w:rPr>
        <w:t>). He querido aterrizarlo a un  contexto diferente, pero no quiero salirme de contexto de la lectura ni tampoco reducirlo a aspectos físicos o de uniformes. Es necesario –y saludable– en nuestra vida práctica, cotidiana y moral, poder mirar la realidad aceptando esa pluralidad y, en medio de ella, lograr la unidad en ese sistema de inter-relaciones que existen. Entiendo en otra parte de la lectura, que mientras más distintos esos bienes, más hay posibilidades de relación y de semejanza. Aniquilar la diversidad, en definitiva, no es opción. Al fin de cuentas la pluralidad, la diferencia, nos enriquece. Aceptar esa inconmensurabilidad nos dará el equilibrio para aceptar la unidad en la pluralidad y la diversidad de bienes para poder tomar decisiones sin necesidad de un molde único para ello, sino, y en cada caso, una decisión diferente.</w:t>
      </w:r>
    </w:p>
    <w:p w:rsidR="00D7663D" w:rsidRDefault="00D7663D">
      <w:bookmarkStart w:id="0" w:name="_GoBack"/>
      <w:bookmarkEnd w:id="0"/>
    </w:p>
    <w:sectPr w:rsidR="00D7663D" w:rsidSect="00C41EEE">
      <w:pgSz w:w="11906" w:h="16838"/>
      <w:pgMar w:top="1843" w:right="1559" w:bottom="731" w:left="1701" w:header="851"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4C0"/>
    <w:rsid w:val="00343C94"/>
    <w:rsid w:val="00506C8A"/>
    <w:rsid w:val="007364C0"/>
    <w:rsid w:val="008C40C8"/>
    <w:rsid w:val="00D766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4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4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4957</Characters>
  <Application>Microsoft Office Word</Application>
  <DocSecurity>0</DocSecurity>
  <Lines>41</Lines>
  <Paragraphs>11</Paragraphs>
  <ScaleCrop>false</ScaleCrop>
  <Company>Windows User</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Pastoral Juvenil</dc:creator>
  <cp:lastModifiedBy>Pastoral Juvenil</cp:lastModifiedBy>
  <cp:revision>1</cp:revision>
  <dcterms:created xsi:type="dcterms:W3CDTF">2022-12-05T03:49:00Z</dcterms:created>
  <dcterms:modified xsi:type="dcterms:W3CDTF">2022-12-05T03:49:00Z</dcterms:modified>
</cp:coreProperties>
</file>