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1A"/>
          <w:sz w:val="44"/>
          <w:szCs w:val="44"/>
        </w:rPr>
        <w:t xml:space="preserve">Czech Corporate Loans Market</w:t>
      </w:r>
    </w:p>
    <w:p>
      <w:pPr>
        <w:spacing w:after="40"/>
        <w:jc w:val="left"/>
      </w:pPr>
      <w:r>
        <w:rPr>
          <w:rFonts w:ascii="Arial" w:cs="Arial" w:eastAsia="Arial" w:hAnsi="Arial"/>
          <w:color w:val="1D4ED8"/>
          <w:sz w:val="32"/>
          <w:szCs w:val="32"/>
        </w:rPr>
        <w:t xml:space="preserve">Research Methodology &amp; Sourcing Log</w:t>
      </w:r>
    </w:p>
    <w:p>
      <w:pPr>
        <w:spacing w:after="120"/>
      </w:pPr>
      <w:r>
        <w:rPr>
          <w:rFonts w:ascii="Arial" w:cs="Arial" w:eastAsia="Arial" w:hAnsi="Arial"/>
          <w:i/>
          <w:iCs/>
          <w:color w:val="5C5C5C"/>
          <w:sz w:val="20"/>
          <w:szCs w:val="20"/>
        </w:rPr>
        <w:t xml:space="preserve">Prepared by Claude · 2026-05-09 · Companion to the cz-loans-tracker dataset (2021 – Q1 2026)</w:t>
      </w:r>
    </w:p>
    <w:p>
      <w:r>
        <w:rPr>
          <w:rFonts w:ascii="Arial" w:cs="Arial" w:eastAsia="Arial" w:hAnsi="Arial"/>
          <w:sz w:val="22"/>
          <w:szCs w:val="22"/>
        </w:rPr>
        <w:t xml:space="preserve"/>
      </w:r>
    </w:p>
    <w:p>
      <w:pPr>
        <w:pStyle w:val="Heading1"/>
        <w:spacing w:after="160" w:before="280"/>
      </w:pPr>
      <w:r>
        <w:rPr>
          <w:rFonts w:ascii="Arial" w:cs="Arial" w:eastAsia="Arial" w:hAnsi="Arial"/>
          <w:b/>
          <w:bCs/>
          <w:color w:val="1A1A1A"/>
          <w:sz w:val="32"/>
          <w:szCs w:val="32"/>
        </w:rPr>
        <w:t xml:space="preserve">Executive summary</w:t>
      </w:r>
    </w:p>
    <w:p>
      <w:pPr>
        <w:spacing w:after="120"/>
      </w:pPr>
      <w:r>
        <w:rPr>
          <w:rFonts w:ascii="Arial" w:cs="Arial" w:eastAsia="Arial" w:hAnsi="Arial"/>
          <w:color w:val="1A1A1A"/>
          <w:sz w:val="22"/>
          <w:szCs w:val="22"/>
        </w:rPr>
        <w:t xml:space="preserve">The Czech corporate loans market is structurally under-disclosed. Unlike US or UK syndicated lending, where DealScan / LPC / Bloomberg LEAG capture the vast majority of trades, the CEE — and Czech in particular — runs heavily on bilateral and club facilities that are deliberately not announced. The 33-deal baseline tracker built from press releases captured perhaps a quarter of the real activity over the last five years.</w:t>
      </w:r>
    </w:p>
    <w:p>
      <w:pPr>
        <w:spacing w:after="120"/>
      </w:pPr>
      <w:r>
        <w:rPr>
          <w:rFonts w:ascii="Arial" w:cs="Arial" w:eastAsia="Arial" w:hAnsi="Arial"/>
          <w:color w:val="1A1A1A"/>
          <w:sz w:val="22"/>
          <w:szCs w:val="22"/>
        </w:rPr>
        <w:t xml:space="preserve">This document specifies the alternative-source methodology used to expand that dataset to 85 deals, with explicit confidence labelling. It is meant to be operationalised: each source category lists the URL pattern, what to extract, and how to triangulate the missing fields. The sourcing log at the back records, deal by deal, how the new entries were uncovered.</w:t>
      </w:r>
    </w:p>
    <w:p>
      <w:pPr>
        <w:spacing w:after="120"/>
      </w:pPr>
      <w:r>
        <w:rPr>
          <w:rFonts w:ascii="Arial" w:cs="Arial" w:eastAsia="Arial" w:hAnsi="Arial"/>
          <w:color w:val="1A1A1A"/>
          <w:sz w:val="22"/>
          <w:szCs w:val="22"/>
        </w:rPr>
        <w:t xml:space="preserve">The same playbook applied with a modest engineering investment (Sbírka listin scraper, katastr nemovitostí extraction, EIB/EBRD RSS, LinkedIn saved-search) should yield a defensible 150-200-deal CZ universe over the same window, against a likely true-population estimate of 250-300 deals at or above the EUR 30m / CZK 750m threshold.</w:t>
      </w:r>
    </w:p>
    <w:p>
      <w:pPr>
        <w:pStyle w:val="Heading1"/>
        <w:spacing w:after="160" w:before="280"/>
      </w:pPr>
      <w:r>
        <w:rPr>
          <w:rFonts w:ascii="Arial" w:cs="Arial" w:eastAsia="Arial" w:hAnsi="Arial"/>
          <w:b/>
          <w:bCs/>
          <w:color w:val="1A1A1A"/>
          <w:sz w:val="32"/>
          <w:szCs w:val="32"/>
        </w:rPr>
        <w:t xml:space="preserve">1. Universe definition</w:t>
      </w:r>
    </w:p>
    <w:p>
      <w:pPr>
        <w:spacing w:after="120"/>
      </w:pPr>
      <w:r>
        <w:rPr>
          <w:rFonts w:ascii="Arial" w:cs="Arial" w:eastAsia="Arial" w:hAnsi="Arial"/>
          <w:b/>
          <w:bCs/>
          <w:color w:val="1A1A1A"/>
          <w:sz w:val="22"/>
          <w:szCs w:val="22"/>
        </w:rPr>
        <w:t xml:space="preserve">Geographic / corporate scope. </w:t>
      </w:r>
      <w:r>
        <w:rPr>
          <w:rFonts w:ascii="Arial" w:cs="Arial" w:eastAsia="Arial" w:hAnsi="Arial"/>
          <w:color w:val="1A1A1A"/>
          <w:sz w:val="22"/>
          <w:szCs w:val="22"/>
        </w:rPr>
        <w:t xml:space="preserve">(a) Borrower domiciled in CZ — including SPVs holding Czech operating assets; (b) Czech parent of a foreign group raising debt at HoldCo or OpCo level; (c) Czech bank as lender or advisor on cross-border deals where the underlying obligor is non-CZ but the Czech leg is material; (d) Czech exporter as supply-side beneficiary of buyer-credit structures (counterparty borrows, but the deal is generated by Czech industry).</w:t>
      </w:r>
    </w:p>
    <w:p>
      <w:pPr>
        <w:spacing w:after="120"/>
      </w:pPr>
      <w:r>
        <w:rPr>
          <w:rFonts w:ascii="Arial" w:cs="Arial" w:eastAsia="Arial" w:hAnsi="Arial"/>
          <w:b/>
          <w:bCs/>
          <w:color w:val="1A1A1A"/>
          <w:sz w:val="22"/>
          <w:szCs w:val="22"/>
        </w:rPr>
        <w:t xml:space="preserve">Size threshold. </w:t>
      </w:r>
      <w:r>
        <w:rPr>
          <w:rFonts w:ascii="Arial" w:cs="Arial" w:eastAsia="Arial" w:hAnsi="Arial"/>
          <w:color w:val="1A1A1A"/>
          <w:sz w:val="22"/>
          <w:szCs w:val="22"/>
        </w:rPr>
        <w:t xml:space="preserve">Reported or estimated facility size ≥ EUR 30m equivalent. Use: 1 EUR ≈ 25 CZK; ≥ CZK 750m as the koruna threshold.</w:t>
      </w:r>
    </w:p>
    <w:p>
      <w:pPr>
        <w:spacing w:after="120"/>
      </w:pPr>
      <w:r>
        <w:rPr>
          <w:rFonts w:ascii="Arial" w:cs="Arial" w:eastAsia="Arial" w:hAnsi="Arial"/>
          <w:b/>
          <w:bCs/>
          <w:color w:val="1A1A1A"/>
          <w:sz w:val="22"/>
          <w:szCs w:val="22"/>
        </w:rPr>
        <w:t xml:space="preserve">Type scope. </w:t>
      </w:r>
      <w:r>
        <w:rPr>
          <w:rFonts w:ascii="Arial" w:cs="Arial" w:eastAsia="Arial" w:hAnsi="Arial"/>
          <w:color w:val="1A1A1A"/>
          <w:sz w:val="22"/>
          <w:szCs w:val="22"/>
        </w:rPr>
        <w:t xml:space="preserve">Corporate term + revolving facilities, acquisition / LBO finance, refinancings, sustainability-linked loans, project &amp; infrastructure finance, export finance (buyer credit / supplier credit), aircraft &amp; rolling-stock financing, real estate development &amp; investment finance, intermediated lines from supranationals (EIB / EBRD) on-lent by CZ banks. Excluded: pure bond issues, IPO/equity, intra-group loans, non-strategic working-capital lines below threshold.</w:t>
      </w:r>
    </w:p>
    <w:p>
      <w:pPr>
        <w:spacing w:after="120"/>
      </w:pPr>
      <w:r>
        <w:rPr>
          <w:rFonts w:ascii="Arial" w:cs="Arial" w:eastAsia="Arial" w:hAnsi="Arial"/>
          <w:b/>
          <w:bCs/>
          <w:color w:val="1A1A1A"/>
          <w:sz w:val="22"/>
          <w:szCs w:val="22"/>
        </w:rPr>
        <w:t xml:space="preserve">Time scope. </w:t>
      </w:r>
      <w:r>
        <w:rPr>
          <w:rFonts w:ascii="Arial" w:cs="Arial" w:eastAsia="Arial" w:hAnsi="Arial"/>
          <w:color w:val="1A1A1A"/>
          <w:sz w:val="22"/>
          <w:szCs w:val="22"/>
        </w:rPr>
        <w:t xml:space="preserve">Calendar 2021 through Q1 2026.</w:t>
      </w:r>
    </w:p>
    <w:p>
      <w:pPr>
        <w:spacing w:after="120"/>
      </w:pPr>
      <w:r>
        <w:rPr>
          <w:rFonts w:ascii="Arial" w:cs="Arial" w:eastAsia="Arial" w:hAnsi="Arial"/>
          <w:b/>
          <w:bCs/>
          <w:color w:val="1A1A1A"/>
          <w:sz w:val="22"/>
          <w:szCs w:val="22"/>
        </w:rPr>
        <w:t xml:space="preserve">True universe estimate. </w:t>
      </w:r>
      <w:r>
        <w:rPr>
          <w:rFonts w:ascii="Arial" w:cs="Arial" w:eastAsia="Arial" w:hAnsi="Arial"/>
          <w:color w:val="1A1A1A"/>
          <w:sz w:val="22"/>
          <w:szCs w:val="22"/>
        </w:rPr>
        <w:t xml:space="preserve">Triangulating ČNB credit register sectoral statistics, Czech Banking Association annual reports, and law firm activity counts, the population of disclosed-or-disclosable deals at the EUR 30m+ threshold is plausibly 250-300 over the window. Of those, roughly 60-90 are press-released; the remainder must be reconstructed from indirect sources covered below.</w:t>
      </w:r>
    </w:p>
    <w:p>
      <w:pPr>
        <w:pStyle w:val="Heading1"/>
        <w:spacing w:after="160" w:before="280"/>
      </w:pPr>
      <w:r>
        <w:rPr>
          <w:rFonts w:ascii="Arial" w:cs="Arial" w:eastAsia="Arial" w:hAnsi="Arial"/>
          <w:b/>
          <w:bCs/>
          <w:color w:val="1A1A1A"/>
          <w:sz w:val="32"/>
          <w:szCs w:val="32"/>
        </w:rPr>
        <w:t xml:space="preserve">2. Source taxonomy</w:t>
      </w:r>
    </w:p>
    <w:p>
      <w:pPr>
        <w:spacing w:after="120"/>
      </w:pPr>
      <w:r>
        <w:rPr>
          <w:rFonts w:ascii="Arial" w:cs="Arial" w:eastAsia="Arial" w:hAnsi="Arial"/>
          <w:color w:val="1A1A1A"/>
          <w:sz w:val="22"/>
          <w:szCs w:val="22"/>
        </w:rPr>
        <w:t xml:space="preserve">Sources are organised by what they reveal, not by who publishes them. Effective research uses several categories per deal.</w:t>
      </w:r>
    </w:p>
    <w:p>
      <w:pPr>
        <w:pStyle w:val="Heading2"/>
        <w:spacing w:after="120" w:before="220"/>
      </w:pPr>
      <w:r>
        <w:rPr>
          <w:rFonts w:ascii="Arial" w:cs="Arial" w:eastAsia="Arial" w:hAnsi="Arial"/>
          <w:b/>
          <w:bCs/>
          <w:color w:val="1A1A1A"/>
          <w:sz w:val="26"/>
          <w:szCs w:val="26"/>
        </w:rPr>
        <w:t xml:space="preserve">A. Czech statutory &amp; regulatory disclosures</w:t>
      </w:r>
    </w:p>
    <w:p>
      <w:pPr>
        <w:pStyle w:val="ListParagraph"/>
        <w:numPr>
          <w:ilvl w:val="0"/>
          <w:numId w:val="2"/>
        </w:numPr>
        <w:spacing w:after="40"/>
      </w:pPr>
      <w:r>
        <w:rPr>
          <w:rFonts w:ascii="Arial" w:cs="Arial" w:eastAsia="Arial" w:hAnsi="Arial"/>
          <w:b/>
          <w:bCs/>
          <w:color w:val="1A1A1A"/>
          <w:sz w:val="22"/>
          <w:szCs w:val="22"/>
        </w:rPr>
        <w:t xml:space="preserve">Sbírka listin (Czech commercial register, justice.cz). </w:t>
      </w:r>
      <w:r>
        <w:rPr>
          <w:rFonts w:ascii="Arial" w:cs="Arial" w:eastAsia="Arial" w:hAnsi="Arial"/>
          <w:color w:val="1A1A1A"/>
          <w:sz w:val="22"/>
          <w:szCs w:val="22"/>
        </w:rPr>
        <w:t xml:space="preserve">Every a.s. and most s.r.o. file annual financial statements with notes. Note 'Bankovní úvěry' / 'Závazky vůči úvěrovým institucím' lists each facility, lender, currency, balance and maturity. The 'Pledged assets' note confirms security packages and counterparts. This is the single richest source — and one of the least-used — for reconstruction. Search by IČO; PDFs are downloadable.</w:t>
      </w:r>
    </w:p>
    <w:p>
      <w:pPr>
        <w:pStyle w:val="ListParagraph"/>
        <w:numPr>
          <w:ilvl w:val="0"/>
          <w:numId w:val="2"/>
        </w:numPr>
        <w:spacing w:after="40"/>
      </w:pPr>
      <w:r>
        <w:rPr>
          <w:rFonts w:ascii="Arial" w:cs="Arial" w:eastAsia="Arial" w:hAnsi="Arial"/>
          <w:b/>
          <w:bCs/>
          <w:color w:val="1A1A1A"/>
          <w:sz w:val="22"/>
          <w:szCs w:val="22"/>
        </w:rPr>
        <w:t xml:space="preserve">Notářská komora ČR / pledge of business interests. </w:t>
      </w:r>
      <w:r>
        <w:rPr>
          <w:rFonts w:ascii="Arial" w:cs="Arial" w:eastAsia="Arial" w:hAnsi="Arial"/>
          <w:color w:val="1A1A1A"/>
          <w:sz w:val="22"/>
          <w:szCs w:val="22"/>
        </w:rPr>
        <w:t xml:space="preserve">Pledged shareholdings or ownership interests in s.r.o. and a.s. are registered. Lender = pledgee. Indicates a financing closed even when the borrower never issued a press release.</w:t>
      </w:r>
    </w:p>
    <w:p>
      <w:pPr>
        <w:pStyle w:val="ListParagraph"/>
        <w:numPr>
          <w:ilvl w:val="0"/>
          <w:numId w:val="2"/>
        </w:numPr>
        <w:spacing w:after="40"/>
      </w:pPr>
      <w:r>
        <w:rPr>
          <w:rFonts w:ascii="Arial" w:cs="Arial" w:eastAsia="Arial" w:hAnsi="Arial"/>
          <w:b/>
          <w:bCs/>
          <w:color w:val="1A1A1A"/>
          <w:sz w:val="22"/>
          <w:szCs w:val="22"/>
        </w:rPr>
        <w:t xml:space="preserve">Katastr nemovitostí (Cadastre, cuzk.cz). </w:t>
      </w:r>
      <w:r>
        <w:rPr>
          <w:rFonts w:ascii="Arial" w:cs="Arial" w:eastAsia="Arial" w:hAnsi="Arial"/>
          <w:color w:val="1A1A1A"/>
          <w:sz w:val="22"/>
          <w:szCs w:val="22"/>
        </w:rPr>
        <w:t xml:space="preserve">Every CRE financing leaves a 'zástavní právo smluvní' on the property's LV (List Vlastnictví). The pledgee is the lender; the date is the closing date. Used to confirm Penta / CTP / CPI / Crestyl / Geosan portfolio mortgages even where no press release exists. Bulk download by via dálkový přístup at low CZK fee per LV.</w:t>
      </w:r>
    </w:p>
    <w:p>
      <w:pPr>
        <w:pStyle w:val="ListParagraph"/>
        <w:numPr>
          <w:ilvl w:val="0"/>
          <w:numId w:val="2"/>
        </w:numPr>
        <w:spacing w:after="40"/>
      </w:pPr>
      <w:r>
        <w:rPr>
          <w:rFonts w:ascii="Arial" w:cs="Arial" w:eastAsia="Arial" w:hAnsi="Arial"/>
          <w:b/>
          <w:bCs/>
          <w:color w:val="1A1A1A"/>
          <w:sz w:val="22"/>
          <w:szCs w:val="22"/>
        </w:rPr>
        <w:t xml:space="preserve">ČNB credit register (CRU). </w:t>
      </w:r>
      <w:r>
        <w:rPr>
          <w:rFonts w:ascii="Arial" w:cs="Arial" w:eastAsia="Arial" w:hAnsi="Arial"/>
          <w:color w:val="1A1A1A"/>
          <w:sz w:val="22"/>
          <w:szCs w:val="22"/>
        </w:rPr>
        <w:t xml:space="preserve">Aggregate sectoral and currency-bucket statistics; one-off jumps signal a single very large drawdown. Useful for sense-checking total-quantum estimates and detecting large unannounced refinancings.</w:t>
      </w:r>
    </w:p>
    <w:p>
      <w:pPr>
        <w:pStyle w:val="ListParagraph"/>
        <w:numPr>
          <w:ilvl w:val="0"/>
          <w:numId w:val="2"/>
        </w:numPr>
        <w:spacing w:after="40"/>
      </w:pPr>
      <w:r>
        <w:rPr>
          <w:rFonts w:ascii="Arial" w:cs="Arial" w:eastAsia="Arial" w:hAnsi="Arial"/>
          <w:b/>
          <w:bCs/>
          <w:color w:val="1A1A1A"/>
          <w:sz w:val="22"/>
          <w:szCs w:val="22"/>
        </w:rPr>
        <w:t xml:space="preserve">Insolvenční rejstřík (isir.justice.cz). </w:t>
      </w:r>
      <w:r>
        <w:rPr>
          <w:rFonts w:ascii="Arial" w:cs="Arial" w:eastAsia="Arial" w:hAnsi="Arial"/>
          <w:color w:val="1A1A1A"/>
          <w:sz w:val="22"/>
          <w:szCs w:val="22"/>
        </w:rPr>
        <w:t xml:space="preserve">When a borrower restructures or fails, all creditors must register claims with face value, security, and creditor identity. This retrospectively reveals the entire bank syndicate. Use for distressed names where no syndicate was disclosed (e.g. retail or industrial collapses).</w:t>
      </w:r>
    </w:p>
    <w:p>
      <w:pPr>
        <w:pStyle w:val="Heading2"/>
        <w:spacing w:after="120" w:before="220"/>
      </w:pPr>
      <w:r>
        <w:rPr>
          <w:rFonts w:ascii="Arial" w:cs="Arial" w:eastAsia="Arial" w:hAnsi="Arial"/>
          <w:b/>
          <w:bCs/>
          <w:color w:val="1A1A1A"/>
          <w:sz w:val="26"/>
          <w:szCs w:val="26"/>
        </w:rPr>
        <w:t xml:space="preserve">B. Capital markets &amp; rating disclosures</w:t>
      </w:r>
    </w:p>
    <w:p>
      <w:pPr>
        <w:pStyle w:val="ListParagraph"/>
        <w:numPr>
          <w:ilvl w:val="0"/>
          <w:numId w:val="2"/>
        </w:numPr>
        <w:spacing w:after="40"/>
      </w:pPr>
      <w:r>
        <w:rPr>
          <w:rFonts w:ascii="Arial" w:cs="Arial" w:eastAsia="Arial" w:hAnsi="Arial"/>
          <w:b/>
          <w:bCs/>
          <w:color w:val="1A1A1A"/>
          <w:sz w:val="22"/>
          <w:szCs w:val="22"/>
        </w:rPr>
        <w:t xml:space="preserve">Bond prospectuses ('Description of indebtedness' section). </w:t>
      </w:r>
      <w:r>
        <w:rPr>
          <w:rFonts w:ascii="Arial" w:cs="Arial" w:eastAsia="Arial" w:hAnsi="Arial"/>
          <w:color w:val="1A1A1A"/>
          <w:sz w:val="22"/>
          <w:szCs w:val="22"/>
        </w:rPr>
        <w:t xml:space="preserve">Issuers like CPIPG, EPH, EP Infrastructure, ČEZ, NET4GAS, PPF Arena 1, Sazka/Allwyn, Energo-Pro and Skoda Group routinely tabulate every existing bank facility with lender, principal, balance and maturity. Available on the issuer's IR page or the listing exchange (Bourse Luxembourg, Euronext Dublin, Vienna). The single best public source for confirming bank syndicates that were never separately announced.</w:t>
      </w:r>
    </w:p>
    <w:p>
      <w:pPr>
        <w:pStyle w:val="ListParagraph"/>
        <w:numPr>
          <w:ilvl w:val="0"/>
          <w:numId w:val="2"/>
        </w:numPr>
        <w:spacing w:after="40"/>
      </w:pPr>
      <w:r>
        <w:rPr>
          <w:rFonts w:ascii="Arial" w:cs="Arial" w:eastAsia="Arial" w:hAnsi="Arial"/>
          <w:b/>
          <w:bCs/>
          <w:color w:val="1A1A1A"/>
          <w:sz w:val="22"/>
          <w:szCs w:val="22"/>
        </w:rPr>
        <w:t xml:space="preserve">Rating agency reports (Moody's, S&amp;P, Fitch, Scope). </w:t>
      </w:r>
      <w:r>
        <w:rPr>
          <w:rFonts w:ascii="Arial" w:cs="Arial" w:eastAsia="Arial" w:hAnsi="Arial"/>
          <w:color w:val="1A1A1A"/>
          <w:sz w:val="22"/>
          <w:szCs w:val="22"/>
        </w:rPr>
        <w:t xml:space="preserve">Issuer credit reports and debt sustainability analyses list 'Key indebtedness'. Fitch's CPIPG and Moody's EPH reports each disclose specific bank facilities by amount and lender.</w:t>
      </w:r>
    </w:p>
    <w:p>
      <w:pPr>
        <w:pStyle w:val="ListParagraph"/>
        <w:numPr>
          <w:ilvl w:val="0"/>
          <w:numId w:val="2"/>
        </w:numPr>
        <w:spacing w:after="40"/>
      </w:pPr>
      <w:r>
        <w:rPr>
          <w:rFonts w:ascii="Arial" w:cs="Arial" w:eastAsia="Arial" w:hAnsi="Arial"/>
          <w:b/>
          <w:bCs/>
          <w:color w:val="1A1A1A"/>
          <w:sz w:val="22"/>
          <w:szCs w:val="22"/>
        </w:rPr>
        <w:t xml:space="preserve">Annual reports (group + entity-level). </w:t>
      </w:r>
      <w:r>
        <w:rPr>
          <w:rFonts w:ascii="Arial" w:cs="Arial" w:eastAsia="Arial" w:hAnsi="Arial"/>
          <w:color w:val="1A1A1A"/>
          <w:sz w:val="22"/>
          <w:szCs w:val="22"/>
        </w:rPr>
        <w:t xml:space="preserve">Group consolidated reports list bank loans in aggregate; entity-level Czech filings break them out by lender. Always cross-reference: group disclosure shows total quantum, entity-level discloses lender names.</w:t>
      </w:r>
    </w:p>
    <w:p>
      <w:pPr>
        <w:pStyle w:val="Heading2"/>
        <w:spacing w:after="120" w:before="220"/>
      </w:pPr>
      <w:r>
        <w:rPr>
          <w:rFonts w:ascii="Arial" w:cs="Arial" w:eastAsia="Arial" w:hAnsi="Arial"/>
          <w:b/>
          <w:bCs/>
          <w:color w:val="1A1A1A"/>
          <w:sz w:val="26"/>
          <w:szCs w:val="26"/>
        </w:rPr>
        <w:t xml:space="preserve">C. State / public-sector disclosures</w:t>
      </w:r>
    </w:p>
    <w:p>
      <w:pPr>
        <w:pStyle w:val="ListParagraph"/>
        <w:numPr>
          <w:ilvl w:val="0"/>
          <w:numId w:val="2"/>
        </w:numPr>
        <w:spacing w:after="40"/>
      </w:pPr>
      <w:r>
        <w:rPr>
          <w:rFonts w:ascii="Arial" w:cs="Arial" w:eastAsia="Arial" w:hAnsi="Arial"/>
          <w:b/>
          <w:bCs/>
          <w:color w:val="1A1A1A"/>
          <w:sz w:val="22"/>
          <w:szCs w:val="22"/>
        </w:rPr>
        <w:t xml:space="preserve">EGAP (Export Guarantee and Insurance Corporation, egap.cz). </w:t>
      </w:r>
      <w:r>
        <w:rPr>
          <w:rFonts w:ascii="Arial" w:cs="Arial" w:eastAsia="Arial" w:hAnsi="Arial"/>
          <w:color w:val="1A1A1A"/>
          <w:sz w:val="22"/>
          <w:szCs w:val="22"/>
        </w:rPr>
        <w:t xml:space="preserve">Annual report tables list large insured contracts (exporter, buyer country, contract value). Press releases announce when EGAP insures or co-finances bank guarantees. Search 'pojistil' (insured) + exporter name.</w:t>
      </w:r>
    </w:p>
    <w:p>
      <w:pPr>
        <w:pStyle w:val="ListParagraph"/>
        <w:numPr>
          <w:ilvl w:val="0"/>
          <w:numId w:val="2"/>
        </w:numPr>
        <w:spacing w:after="40"/>
      </w:pPr>
      <w:r>
        <w:rPr>
          <w:rFonts w:ascii="Arial" w:cs="Arial" w:eastAsia="Arial" w:hAnsi="Arial"/>
          <w:b/>
          <w:bCs/>
          <w:color w:val="1A1A1A"/>
          <w:sz w:val="22"/>
          <w:szCs w:val="22"/>
        </w:rPr>
        <w:t xml:space="preserve">Česká exportní banka (ČEB). </w:t>
      </w:r>
      <w:r>
        <w:rPr>
          <w:rFonts w:ascii="Arial" w:cs="Arial" w:eastAsia="Arial" w:hAnsi="Arial"/>
          <w:color w:val="1A1A1A"/>
          <w:sz w:val="22"/>
          <w:szCs w:val="22"/>
        </w:rPr>
        <w:t xml:space="preserve">Direct-loan annual report; press releases for individual deals (Aero Vodochody, Iveco, Skoda Group, Doosan Skoda Power). Disclosed exporter, buyer country, contract value, sometimes financing structure.</w:t>
      </w:r>
    </w:p>
    <w:p>
      <w:pPr>
        <w:pStyle w:val="ListParagraph"/>
        <w:numPr>
          <w:ilvl w:val="0"/>
          <w:numId w:val="2"/>
        </w:numPr>
        <w:spacing w:after="40"/>
      </w:pPr>
      <w:r>
        <w:rPr>
          <w:rFonts w:ascii="Arial" w:cs="Arial" w:eastAsia="Arial" w:hAnsi="Arial"/>
          <w:b/>
          <w:bCs/>
          <w:color w:val="1A1A1A"/>
          <w:sz w:val="22"/>
          <w:szCs w:val="22"/>
        </w:rPr>
        <w:t xml:space="preserve">EIB project database (eib.org/projects). </w:t>
      </w:r>
      <w:r>
        <w:rPr>
          <w:rFonts w:ascii="Arial" w:cs="Arial" w:eastAsia="Arial" w:hAnsi="Arial"/>
          <w:color w:val="1A1A1A"/>
          <w:sz w:val="22"/>
          <w:szCs w:val="22"/>
        </w:rPr>
        <w:t xml:space="preserve">Searchable by country = Czechia. Each direct loan has a 'Financial summary' page with amount, signing date, sector, sometimes co-financiers. Records intermediated lines on-lent by CZ banks (CSOB, KB, ČS, MONETA) which materially expand mid-cap lending capacity.</w:t>
      </w:r>
    </w:p>
    <w:p>
      <w:pPr>
        <w:pStyle w:val="ListParagraph"/>
        <w:numPr>
          <w:ilvl w:val="0"/>
          <w:numId w:val="2"/>
        </w:numPr>
        <w:spacing w:after="40"/>
      </w:pPr>
      <w:r>
        <w:rPr>
          <w:rFonts w:ascii="Arial" w:cs="Arial" w:eastAsia="Arial" w:hAnsi="Arial"/>
          <w:b/>
          <w:bCs/>
          <w:color w:val="1A1A1A"/>
          <w:sz w:val="22"/>
          <w:szCs w:val="22"/>
        </w:rPr>
        <w:t xml:space="preserve">EBRD Project Summary Documents (ebrd.com). </w:t>
      </w:r>
      <w:r>
        <w:rPr>
          <w:rFonts w:ascii="Arial" w:cs="Arial" w:eastAsia="Arial" w:hAnsi="Arial"/>
          <w:color w:val="1A1A1A"/>
          <w:sz w:val="22"/>
          <w:szCs w:val="22"/>
        </w:rPr>
        <w:t xml:space="preserve">Every CZ project has a PSD listing co-financiers, often naming the commercial bank syndicate. The Heimstaden Bostad CZ green renovation deal and CIMEX hospitality refi are both reconstructible only via EBRD.</w:t>
      </w:r>
    </w:p>
    <w:p>
      <w:pPr>
        <w:pStyle w:val="ListParagraph"/>
        <w:numPr>
          <w:ilvl w:val="0"/>
          <w:numId w:val="2"/>
        </w:numPr>
        <w:spacing w:after="40"/>
      </w:pPr>
      <w:r>
        <w:rPr>
          <w:rFonts w:ascii="Arial" w:cs="Arial" w:eastAsia="Arial" w:hAnsi="Arial"/>
          <w:b/>
          <w:bCs/>
          <w:color w:val="1A1A1A"/>
          <w:sz w:val="22"/>
          <w:szCs w:val="22"/>
        </w:rPr>
        <w:t xml:space="preserve">NRB / Národní rozvojová banka. </w:t>
      </w:r>
      <w:r>
        <w:rPr>
          <w:rFonts w:ascii="Arial" w:cs="Arial" w:eastAsia="Arial" w:hAnsi="Arial"/>
          <w:color w:val="1A1A1A"/>
          <w:sz w:val="22"/>
          <w:szCs w:val="22"/>
        </w:rPr>
        <w:t xml:space="preserve">State-development bank guarantees and on-lent EIB lines; useful as sense-check on which mid-cap names are accessing supranational liquidity.</w:t>
      </w:r>
    </w:p>
    <w:p>
      <w:pPr>
        <w:pStyle w:val="ListParagraph"/>
        <w:numPr>
          <w:ilvl w:val="0"/>
          <w:numId w:val="2"/>
        </w:numPr>
        <w:spacing w:after="40"/>
      </w:pPr>
      <w:r>
        <w:rPr>
          <w:rFonts w:ascii="Arial" w:cs="Arial" w:eastAsia="Arial" w:hAnsi="Arial"/>
          <w:b/>
          <w:bCs/>
          <w:color w:val="1A1A1A"/>
          <w:sz w:val="22"/>
          <w:szCs w:val="22"/>
        </w:rPr>
        <w:t xml:space="preserve">Public procurement (vestnikverejnychzakazek.cz, ted.europa.eu). </w:t>
      </w:r>
      <w:r>
        <w:rPr>
          <w:rFonts w:ascii="Arial" w:cs="Arial" w:eastAsia="Arial" w:hAnsi="Arial"/>
          <w:color w:val="1A1A1A"/>
          <w:sz w:val="22"/>
          <w:szCs w:val="22"/>
        </w:rPr>
        <w:t xml:space="preserve">Tenders for advisory mandates ('financial advisor for refinancing of XYZ a.s.') leak future deals 6-12 months ahead. State entities (ČD, Správa železnic, ČEPS, Letiště Praha) procure financing advisors openly.</w:t>
      </w:r>
    </w:p>
    <w:p>
      <w:pPr>
        <w:pStyle w:val="Heading2"/>
        <w:spacing w:after="120" w:before="220"/>
      </w:pPr>
      <w:r>
        <w:rPr>
          <w:rFonts w:ascii="Arial" w:cs="Arial" w:eastAsia="Arial" w:hAnsi="Arial"/>
          <w:b/>
          <w:bCs/>
          <w:color w:val="1A1A1A"/>
          <w:sz w:val="26"/>
          <w:szCs w:val="26"/>
        </w:rPr>
        <w:t xml:space="preserve">D. Sectoral &amp; asset-level public databases</w:t>
      </w:r>
    </w:p>
    <w:p>
      <w:pPr>
        <w:pStyle w:val="ListParagraph"/>
        <w:numPr>
          <w:ilvl w:val="0"/>
          <w:numId w:val="2"/>
        </w:numPr>
        <w:spacing w:after="40"/>
      </w:pPr>
      <w:r>
        <w:rPr>
          <w:rFonts w:ascii="Arial" w:cs="Arial" w:eastAsia="Arial" w:hAnsi="Arial"/>
          <w:b/>
          <w:bCs/>
          <w:color w:val="1A1A1A"/>
          <w:sz w:val="22"/>
          <w:szCs w:val="22"/>
        </w:rPr>
        <w:t xml:space="preserve">Energetický regulační úřad (ERÚ). </w:t>
      </w:r>
      <w:r>
        <w:rPr>
          <w:rFonts w:ascii="Arial" w:cs="Arial" w:eastAsia="Arial" w:hAnsi="Arial"/>
          <w:color w:val="1A1A1A"/>
          <w:sz w:val="22"/>
          <w:szCs w:val="22"/>
        </w:rPr>
        <w:t xml:space="preserve">Renewable-asset license holders implies project finance; cross-reference to katastr for the secured loan.</w:t>
      </w:r>
    </w:p>
    <w:p>
      <w:pPr>
        <w:pStyle w:val="ListParagraph"/>
        <w:numPr>
          <w:ilvl w:val="0"/>
          <w:numId w:val="2"/>
        </w:numPr>
        <w:spacing w:after="40"/>
      </w:pPr>
      <w:r>
        <w:rPr>
          <w:rFonts w:ascii="Arial" w:cs="Arial" w:eastAsia="Arial" w:hAnsi="Arial"/>
          <w:b/>
          <w:bCs/>
          <w:color w:val="1A1A1A"/>
          <w:sz w:val="22"/>
          <w:szCs w:val="22"/>
        </w:rPr>
        <w:t xml:space="preserve">ÚHOS (competition office) merger decisions. </w:t>
      </w:r>
      <w:r>
        <w:rPr>
          <w:rFonts w:ascii="Arial" w:cs="Arial" w:eastAsia="Arial" w:hAnsi="Arial"/>
          <w:color w:val="1A1A1A"/>
          <w:sz w:val="22"/>
          <w:szCs w:val="22"/>
        </w:rPr>
        <w:t xml:space="preserve">Every control-change clearance describes acquisition consideration; financing structure is sometimes referenced in the public version of the decision.</w:t>
      </w:r>
    </w:p>
    <w:p>
      <w:pPr>
        <w:pStyle w:val="ListParagraph"/>
        <w:numPr>
          <w:ilvl w:val="0"/>
          <w:numId w:val="2"/>
        </w:numPr>
        <w:spacing w:after="40"/>
      </w:pPr>
      <w:r>
        <w:rPr>
          <w:rFonts w:ascii="Arial" w:cs="Arial" w:eastAsia="Arial" w:hAnsi="Arial"/>
          <w:b/>
          <w:bCs/>
          <w:color w:val="1A1A1A"/>
          <w:sz w:val="22"/>
          <w:szCs w:val="22"/>
        </w:rPr>
        <w:t xml:space="preserve">Drážní úřad (Czech Rail Vehicle Register). </w:t>
      </w:r>
      <w:r>
        <w:rPr>
          <w:rFonts w:ascii="Arial" w:cs="Arial" w:eastAsia="Arial" w:hAnsi="Arial"/>
          <w:color w:val="1A1A1A"/>
          <w:sz w:val="22"/>
          <w:szCs w:val="22"/>
        </w:rPr>
        <w:t xml:space="preserve">Rail-vehicle leases and secured loans registered against rolling stock — useful for ČD-rolling-stock financings and Skoda Transportation export deliveries.</w:t>
      </w:r>
    </w:p>
    <w:p>
      <w:pPr>
        <w:pStyle w:val="ListParagraph"/>
        <w:numPr>
          <w:ilvl w:val="0"/>
          <w:numId w:val="2"/>
        </w:numPr>
        <w:spacing w:after="40"/>
      </w:pPr>
      <w:r>
        <w:rPr>
          <w:rFonts w:ascii="Arial" w:cs="Arial" w:eastAsia="Arial" w:hAnsi="Arial"/>
          <w:b/>
          <w:bCs/>
          <w:color w:val="1A1A1A"/>
          <w:sz w:val="22"/>
          <w:szCs w:val="22"/>
        </w:rPr>
        <w:t xml:space="preserve">Czech Aircraft Register (ÚCL). </w:t>
      </w:r>
      <w:r>
        <w:rPr>
          <w:rFonts w:ascii="Arial" w:cs="Arial" w:eastAsia="Arial" w:hAnsi="Arial"/>
          <w:color w:val="1A1A1A"/>
          <w:sz w:val="22"/>
          <w:szCs w:val="22"/>
        </w:rPr>
        <w:t xml:space="preserve">Aircraft mortgages registered against tail numbers — confirms financiers behind Smartwings / ČSA / Travel Service fleet ops.</w:t>
      </w:r>
    </w:p>
    <w:p>
      <w:pPr>
        <w:pStyle w:val="Heading2"/>
        <w:spacing w:after="120" w:before="220"/>
      </w:pPr>
      <w:r>
        <w:rPr>
          <w:rFonts w:ascii="Arial" w:cs="Arial" w:eastAsia="Arial" w:hAnsi="Arial"/>
          <w:b/>
          <w:bCs/>
          <w:color w:val="1A1A1A"/>
          <w:sz w:val="26"/>
          <w:szCs w:val="26"/>
        </w:rPr>
        <w:t xml:space="preserve">E. Indirect / inferential sources</w:t>
      </w:r>
    </w:p>
    <w:p>
      <w:pPr>
        <w:pStyle w:val="ListParagraph"/>
        <w:numPr>
          <w:ilvl w:val="0"/>
          <w:numId w:val="2"/>
        </w:numPr>
        <w:spacing w:after="40"/>
      </w:pPr>
      <w:r>
        <w:rPr>
          <w:rFonts w:ascii="Arial" w:cs="Arial" w:eastAsia="Arial" w:hAnsi="Arial"/>
          <w:b/>
          <w:bCs/>
          <w:color w:val="1A1A1A"/>
          <w:sz w:val="22"/>
          <w:szCs w:val="22"/>
        </w:rPr>
        <w:t xml:space="preserve">M&amp;A databases (Mergermarket, Bureau van Dijk Zephyr, S&amp;P Capital IQ). </w:t>
      </w:r>
      <w:r>
        <w:rPr>
          <w:rFonts w:ascii="Arial" w:cs="Arial" w:eastAsia="Arial" w:hAnsi="Arial"/>
          <w:color w:val="1A1A1A"/>
          <w:sz w:val="22"/>
          <w:szCs w:val="22"/>
        </w:rPr>
        <w:t xml:space="preserve">Every announced acquisition implies financing. Triangulate with target EBITDA × typical CEE leverage (4-6x) to estimate debt quantum.</w:t>
      </w:r>
    </w:p>
    <w:p>
      <w:pPr>
        <w:pStyle w:val="ListParagraph"/>
        <w:numPr>
          <w:ilvl w:val="0"/>
          <w:numId w:val="2"/>
        </w:numPr>
        <w:spacing w:after="40"/>
      </w:pPr>
      <w:r>
        <w:rPr>
          <w:rFonts w:ascii="Arial" w:cs="Arial" w:eastAsia="Arial" w:hAnsi="Arial"/>
          <w:b/>
          <w:bCs/>
          <w:color w:val="1A1A1A"/>
          <w:sz w:val="22"/>
          <w:szCs w:val="22"/>
        </w:rPr>
        <w:t xml:space="preserve">PE/VC databases (PitchBook, Mergr, Tracxn). </w:t>
      </w:r>
      <w:r>
        <w:rPr>
          <w:rFonts w:ascii="Arial" w:cs="Arial" w:eastAsia="Arial" w:hAnsi="Arial"/>
          <w:color w:val="1A1A1A"/>
          <w:sz w:val="22"/>
          <w:szCs w:val="22"/>
        </w:rPr>
        <w:t xml:space="preserve">Penta, KKCG (Aricoma), Genesis Capital, Springwall, Rockaway are persistent acquirers; each portfolio company has a financing layer. Cross-reference to law firm announcements.</w:t>
      </w:r>
    </w:p>
    <w:p>
      <w:pPr>
        <w:pStyle w:val="ListParagraph"/>
        <w:numPr>
          <w:ilvl w:val="0"/>
          <w:numId w:val="2"/>
        </w:numPr>
        <w:spacing w:after="40"/>
      </w:pPr>
      <w:r>
        <w:rPr>
          <w:rFonts w:ascii="Arial" w:cs="Arial" w:eastAsia="Arial" w:hAnsi="Arial"/>
          <w:b/>
          <w:bCs/>
          <w:color w:val="1A1A1A"/>
          <w:sz w:val="22"/>
          <w:szCs w:val="22"/>
        </w:rPr>
        <w:t xml:space="preserve">Law firm 'Deals' pages. </w:t>
      </w:r>
      <w:r>
        <w:rPr>
          <w:rFonts w:ascii="Arial" w:cs="Arial" w:eastAsia="Arial" w:hAnsi="Arial"/>
          <w:color w:val="1A1A1A"/>
          <w:sz w:val="22"/>
          <w:szCs w:val="22"/>
        </w:rPr>
        <w:t xml:space="preserve">Dentons, Allen &amp; Overy / A&amp;O Shearman, White &amp; Case, Clifford Chance, Linklaters, Kinstellar, PRK Partners, Havel &amp; Partners, Baker McKenzie, CMS, Norton Rose Fulbright. Each publishes year-in-review or transaction announcements citing the lender side, the borrower side, or both.</w:t>
      </w:r>
    </w:p>
    <w:p>
      <w:pPr>
        <w:pStyle w:val="ListParagraph"/>
        <w:numPr>
          <w:ilvl w:val="0"/>
          <w:numId w:val="2"/>
        </w:numPr>
        <w:spacing w:after="40"/>
      </w:pPr>
      <w:r>
        <w:rPr>
          <w:rFonts w:ascii="Arial" w:cs="Arial" w:eastAsia="Arial" w:hAnsi="Arial"/>
          <w:b/>
          <w:bCs/>
          <w:color w:val="1A1A1A"/>
          <w:sz w:val="22"/>
          <w:szCs w:val="22"/>
        </w:rPr>
        <w:t xml:space="preserve">Tombstones in trade press. </w:t>
      </w:r>
      <w:r>
        <w:rPr>
          <w:rFonts w:ascii="Arial" w:cs="Arial" w:eastAsia="Arial" w:hAnsi="Arial"/>
          <w:color w:val="1A1A1A"/>
          <w:sz w:val="22"/>
          <w:szCs w:val="22"/>
        </w:rPr>
        <w:t xml:space="preserve">Property Forum, CIJ Europe, EuropaProperty, Real Asset Insight, CEE Real Estate Matters (real estate); Defense News, FlightGlobal (defence/aerospace); CEENERGYNEWS, Reuters Power (energy); Reuters Czech / E15 / Hospodářské noviny (general).</w:t>
      </w:r>
    </w:p>
    <w:p>
      <w:pPr>
        <w:pStyle w:val="ListParagraph"/>
        <w:numPr>
          <w:ilvl w:val="0"/>
          <w:numId w:val="2"/>
        </w:numPr>
        <w:spacing w:after="40"/>
      </w:pPr>
      <w:r>
        <w:rPr>
          <w:rFonts w:ascii="Arial" w:cs="Arial" w:eastAsia="Arial" w:hAnsi="Arial"/>
          <w:b/>
          <w:bCs/>
          <w:color w:val="1A1A1A"/>
          <w:sz w:val="22"/>
          <w:szCs w:val="22"/>
        </w:rPr>
        <w:t xml:space="preserve">Lender bank disclosures. </w:t>
      </w:r>
      <w:r>
        <w:rPr>
          <w:rFonts w:ascii="Arial" w:cs="Arial" w:eastAsia="Arial" w:hAnsi="Arial"/>
          <w:color w:val="1A1A1A"/>
          <w:sz w:val="22"/>
          <w:szCs w:val="22"/>
        </w:rPr>
        <w:t xml:space="preserve">ČSOB, KB, Česká spořitelna, UniCredit CZ&amp;SK, Raiffeisenbank publish quarterly investor presentations and Pillar 3 reports. Sectoral exposure shifts hint at large new deals; deal-team LinkedIn posts often announce closings under the 'we acted as MLA' line.</w:t>
      </w:r>
    </w:p>
    <w:p>
      <w:pPr>
        <w:pStyle w:val="ListParagraph"/>
        <w:numPr>
          <w:ilvl w:val="0"/>
          <w:numId w:val="2"/>
        </w:numPr>
        <w:spacing w:after="40"/>
      </w:pPr>
      <w:r>
        <w:rPr>
          <w:rFonts w:ascii="Arial" w:cs="Arial" w:eastAsia="Arial" w:hAnsi="Arial"/>
          <w:b/>
          <w:bCs/>
          <w:color w:val="1A1A1A"/>
          <w:sz w:val="22"/>
          <w:szCs w:val="22"/>
        </w:rPr>
        <w:t xml:space="preserve">Recruitment ads from banks. </w:t>
      </w:r>
      <w:r>
        <w:rPr>
          <w:rFonts w:ascii="Arial" w:cs="Arial" w:eastAsia="Arial" w:hAnsi="Arial"/>
          <w:color w:val="1A1A1A"/>
          <w:sz w:val="22"/>
          <w:szCs w:val="22"/>
        </w:rPr>
        <w:t xml:space="preserve">'Senior originator for CZ corporate' or 'Loan agent — CEE' positions hint at deal pipeline. Useful for forward-looking gap analysis.</w:t>
      </w:r>
    </w:p>
    <w:p>
      <w:pPr>
        <w:pStyle w:val="Heading1"/>
        <w:spacing w:after="160" w:before="280"/>
      </w:pPr>
      <w:r>
        <w:rPr>
          <w:rFonts w:ascii="Arial" w:cs="Arial" w:eastAsia="Arial" w:hAnsi="Arial"/>
          <w:b/>
          <w:bCs/>
          <w:color w:val="1A1A1A"/>
          <w:sz w:val="32"/>
          <w:szCs w:val="32"/>
        </w:rPr>
        <w:t xml:space="preserve">3. Triangulation techniques</w:t>
      </w:r>
    </w:p>
    <w:p>
      <w:pPr>
        <w:pStyle w:val="Heading2"/>
        <w:spacing w:after="120" w:before="220"/>
      </w:pPr>
      <w:r>
        <w:rPr>
          <w:rFonts w:ascii="Arial" w:cs="Arial" w:eastAsia="Arial" w:hAnsi="Arial"/>
          <w:b/>
          <w:bCs/>
          <w:color w:val="1A1A1A"/>
          <w:sz w:val="26"/>
          <w:szCs w:val="26"/>
        </w:rPr>
        <w:t xml:space="preserve">3.1 Estimating loan size when not disclosed</w:t>
      </w:r>
    </w:p>
    <w:p>
      <w:pPr>
        <w:pStyle w:val="ListParagraph"/>
        <w:numPr>
          <w:ilvl w:val="0"/>
          <w:numId w:val="2"/>
        </w:numPr>
        <w:spacing w:after="40"/>
      </w:pPr>
      <w:r>
        <w:rPr>
          <w:rFonts w:ascii="Arial" w:cs="Arial" w:eastAsia="Arial" w:hAnsi="Arial"/>
          <w:color w:val="1A1A1A"/>
          <w:sz w:val="22"/>
          <w:szCs w:val="22"/>
        </w:rPr>
        <w:t xml:space="preserve">LBO triangulation: announced acquisition price × 4-6x net debt / EBITDA implies the debt portion. CEE LBO leverage typically 4-5x; Czech-syndicate club deals often 3.5-4.5x.</w:t>
      </w:r>
    </w:p>
    <w:p>
      <w:pPr>
        <w:pStyle w:val="ListParagraph"/>
        <w:numPr>
          <w:ilvl w:val="0"/>
          <w:numId w:val="2"/>
        </w:numPr>
        <w:spacing w:after="40"/>
      </w:pPr>
      <w:r>
        <w:rPr>
          <w:rFonts w:ascii="Arial" w:cs="Arial" w:eastAsia="Arial" w:hAnsi="Arial"/>
          <w:color w:val="1A1A1A"/>
          <w:sz w:val="22"/>
          <w:szCs w:val="22"/>
        </w:rPr>
        <w:t xml:space="preserve">Bond-prospectus residual: total reported indebtedness minus the bonds equals bank-loan stack. If new bond proceeds are ringfenced for refi, the difference equals replaced facility size.</w:t>
      </w:r>
    </w:p>
    <w:p>
      <w:pPr>
        <w:pStyle w:val="ListParagraph"/>
        <w:numPr>
          <w:ilvl w:val="0"/>
          <w:numId w:val="2"/>
        </w:numPr>
        <w:spacing w:after="40"/>
      </w:pPr>
      <w:r>
        <w:rPr>
          <w:rFonts w:ascii="Arial" w:cs="Arial" w:eastAsia="Arial" w:hAnsi="Arial"/>
          <w:color w:val="1A1A1A"/>
          <w:sz w:val="22"/>
          <w:szCs w:val="22"/>
        </w:rPr>
        <w:t xml:space="preserve">Annual-report delta: Y-o-Y change in 'Bank loans' note net of identified repayments equals new drawings.</w:t>
      </w:r>
    </w:p>
    <w:p>
      <w:pPr>
        <w:pStyle w:val="ListParagraph"/>
        <w:numPr>
          <w:ilvl w:val="0"/>
          <w:numId w:val="2"/>
        </w:numPr>
        <w:spacing w:after="40"/>
      </w:pPr>
      <w:r>
        <w:rPr>
          <w:rFonts w:ascii="Arial" w:cs="Arial" w:eastAsia="Arial" w:hAnsi="Arial"/>
          <w:color w:val="1A1A1A"/>
          <w:sz w:val="22"/>
          <w:szCs w:val="22"/>
        </w:rPr>
        <w:t xml:space="preserve">Pledge-registry maximum-amount field: 'maximální zajišťovaná částka' in zástavní rejstřík typically equals 110-125% of the underlying facility face.</w:t>
      </w:r>
    </w:p>
    <w:p>
      <w:pPr>
        <w:pStyle w:val="ListParagraph"/>
        <w:numPr>
          <w:ilvl w:val="0"/>
          <w:numId w:val="2"/>
        </w:numPr>
        <w:spacing w:after="40"/>
      </w:pPr>
      <w:r>
        <w:rPr>
          <w:rFonts w:ascii="Arial" w:cs="Arial" w:eastAsia="Arial" w:hAnsi="Arial"/>
          <w:color w:val="1A1A1A"/>
          <w:sz w:val="22"/>
          <w:szCs w:val="22"/>
        </w:rPr>
        <w:t xml:space="preserve">Pillar 3 / single-counterparty exposure: lender bank's largest exposures (often disclosed by industry bucket) constrain the upper bound.</w:t>
      </w:r>
    </w:p>
    <w:p>
      <w:pPr>
        <w:pStyle w:val="ListParagraph"/>
        <w:numPr>
          <w:ilvl w:val="0"/>
          <w:numId w:val="2"/>
        </w:numPr>
        <w:spacing w:after="40"/>
      </w:pPr>
      <w:r>
        <w:rPr>
          <w:rFonts w:ascii="Arial" w:cs="Arial" w:eastAsia="Arial" w:hAnsi="Arial"/>
          <w:color w:val="1A1A1A"/>
          <w:sz w:val="22"/>
          <w:szCs w:val="22"/>
        </w:rPr>
        <w:t xml:space="preserve">Comparable-deal benchmarking: similar CZ borrower, similar leverage, recent transaction — apply same multiple.</w:t>
      </w:r>
    </w:p>
    <w:p>
      <w:pPr>
        <w:pStyle w:val="Heading2"/>
        <w:spacing w:after="120" w:before="220"/>
      </w:pPr>
      <w:r>
        <w:rPr>
          <w:rFonts w:ascii="Arial" w:cs="Arial" w:eastAsia="Arial" w:hAnsi="Arial"/>
          <w:b/>
          <w:bCs/>
          <w:color w:val="1A1A1A"/>
          <w:sz w:val="26"/>
          <w:szCs w:val="26"/>
        </w:rPr>
        <w:t xml:space="preserve">3.2 Identifying lenders when not announced</w:t>
      </w:r>
    </w:p>
    <w:p>
      <w:pPr>
        <w:pStyle w:val="ListParagraph"/>
        <w:numPr>
          <w:ilvl w:val="0"/>
          <w:numId w:val="2"/>
        </w:numPr>
        <w:spacing w:after="40"/>
      </w:pPr>
      <w:r>
        <w:rPr>
          <w:rFonts w:ascii="Arial" w:cs="Arial" w:eastAsia="Arial" w:hAnsi="Arial"/>
          <w:color w:val="1A1A1A"/>
          <w:sz w:val="22"/>
          <w:szCs w:val="22"/>
        </w:rPr>
        <w:t xml:space="preserve">Pledge / mortgage registry — pledgee = lender (most reliable single signal).</w:t>
      </w:r>
    </w:p>
    <w:p>
      <w:pPr>
        <w:pStyle w:val="ListParagraph"/>
        <w:numPr>
          <w:ilvl w:val="0"/>
          <w:numId w:val="2"/>
        </w:numPr>
        <w:spacing w:after="40"/>
      </w:pPr>
      <w:r>
        <w:rPr>
          <w:rFonts w:ascii="Arial" w:cs="Arial" w:eastAsia="Arial" w:hAnsi="Arial"/>
          <w:color w:val="1A1A1A"/>
          <w:sz w:val="22"/>
          <w:szCs w:val="22"/>
        </w:rPr>
        <w:t xml:space="preserve">Insolvency claim registers — name and quantum of every secured creditor.</w:t>
      </w:r>
    </w:p>
    <w:p>
      <w:pPr>
        <w:pStyle w:val="ListParagraph"/>
        <w:numPr>
          <w:ilvl w:val="0"/>
          <w:numId w:val="2"/>
        </w:numPr>
        <w:spacing w:after="40"/>
      </w:pPr>
      <w:r>
        <w:rPr>
          <w:rFonts w:ascii="Arial" w:cs="Arial" w:eastAsia="Arial" w:hAnsi="Arial"/>
          <w:color w:val="1A1A1A"/>
          <w:sz w:val="22"/>
          <w:szCs w:val="22"/>
        </w:rPr>
        <w:t xml:space="preserve">Bond prospectus 'Description of Indebtedness' — bank syndicate listed by name.</w:t>
      </w:r>
    </w:p>
    <w:p>
      <w:pPr>
        <w:pStyle w:val="ListParagraph"/>
        <w:numPr>
          <w:ilvl w:val="0"/>
          <w:numId w:val="2"/>
        </w:numPr>
        <w:spacing w:after="40"/>
      </w:pPr>
      <w:r>
        <w:rPr>
          <w:rFonts w:ascii="Arial" w:cs="Arial" w:eastAsia="Arial" w:hAnsi="Arial"/>
          <w:color w:val="1A1A1A"/>
          <w:sz w:val="22"/>
          <w:szCs w:val="22"/>
        </w:rPr>
        <w:t xml:space="preserve">Law firm 'advised lenders' announcements — even if borrower silent, lender-side counsel discloses.</w:t>
      </w:r>
    </w:p>
    <w:p>
      <w:pPr>
        <w:pStyle w:val="ListParagraph"/>
        <w:numPr>
          <w:ilvl w:val="0"/>
          <w:numId w:val="2"/>
        </w:numPr>
        <w:spacing w:after="40"/>
      </w:pPr>
      <w:r>
        <w:rPr>
          <w:rFonts w:ascii="Arial" w:cs="Arial" w:eastAsia="Arial" w:hAnsi="Arial"/>
          <w:color w:val="1A1A1A"/>
          <w:sz w:val="22"/>
          <w:szCs w:val="22"/>
        </w:rPr>
        <w:t xml:space="preserve">Ceremonial photography — signing-day photos tagged on LinkedIn / company news; backgrounds and badges identify banks.</w:t>
      </w:r>
    </w:p>
    <w:p>
      <w:pPr>
        <w:pStyle w:val="ListParagraph"/>
        <w:numPr>
          <w:ilvl w:val="0"/>
          <w:numId w:val="2"/>
        </w:numPr>
        <w:spacing w:after="40"/>
      </w:pPr>
      <w:r>
        <w:rPr>
          <w:rFonts w:ascii="Arial" w:cs="Arial" w:eastAsia="Arial" w:hAnsi="Arial"/>
          <w:color w:val="1A1A1A"/>
          <w:sz w:val="22"/>
          <w:szCs w:val="22"/>
        </w:rPr>
        <w:t xml:space="preserve">Credit-insurance underwriter — EGAP / KUKE / OEKB names the underwritten bank.</w:t>
      </w:r>
    </w:p>
    <w:p>
      <w:pPr>
        <w:pStyle w:val="ListParagraph"/>
        <w:numPr>
          <w:ilvl w:val="0"/>
          <w:numId w:val="2"/>
        </w:numPr>
        <w:spacing w:after="40"/>
      </w:pPr>
      <w:r>
        <w:rPr>
          <w:rFonts w:ascii="Arial" w:cs="Arial" w:eastAsia="Arial" w:hAnsi="Arial"/>
          <w:color w:val="1A1A1A"/>
          <w:sz w:val="22"/>
          <w:szCs w:val="22"/>
        </w:rPr>
        <w:t xml:space="preserve">Borrower's own annual report breakdown — entity-level CZ filings list by lender.</w:t>
      </w:r>
    </w:p>
    <w:p>
      <w:pPr>
        <w:pStyle w:val="Heading2"/>
        <w:spacing w:after="120" w:before="220"/>
      </w:pPr>
      <w:r>
        <w:rPr>
          <w:rFonts w:ascii="Arial" w:cs="Arial" w:eastAsia="Arial" w:hAnsi="Arial"/>
          <w:b/>
          <w:bCs/>
          <w:color w:val="1A1A1A"/>
          <w:sz w:val="26"/>
          <w:szCs w:val="26"/>
        </w:rPr>
        <w:t xml:space="preserve">3.3 Confidence labelling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rPr>
          <w:tblHeader/>
        </w:trPr>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r>
              <w:rPr>
                <w:rFonts w:ascii="Arial" w:cs="Arial" w:eastAsia="Arial" w:hAnsi="Arial"/>
                <w:b/>
                <w:bCs/>
                <w:color w:val="1A1A1A"/>
                <w:sz w:val="18"/>
                <w:szCs w:val="18"/>
              </w:rPr>
              <w:t xml:space="preserve">Label</w:t>
            </w:r>
          </w:p>
        </w:tc>
        <w:tc>
          <w:tcPr>
            <w:tcW w:type="dxa" w:w="33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r>
              <w:rPr>
                <w:rFonts w:ascii="Arial" w:cs="Arial" w:eastAsia="Arial" w:hAnsi="Arial"/>
                <w:b/>
                <w:bCs/>
                <w:color w:val="1A1A1A"/>
                <w:sz w:val="18"/>
                <w:szCs w:val="18"/>
              </w:rPr>
              <w:t xml:space="preserve">When applied</w:t>
            </w:r>
          </w:p>
        </w:tc>
        <w:tc>
          <w:tcPr>
            <w:tcW w:type="dxa" w:w="438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r>
              <w:rPr>
                <w:rFonts w:ascii="Arial" w:cs="Arial" w:eastAsia="Arial" w:hAnsi="Arial"/>
                <w:b/>
                <w:bCs/>
                <w:color w:val="1A1A1A"/>
                <w:sz w:val="18"/>
                <w:szCs w:val="18"/>
              </w:rPr>
              <w:t xml:space="preserve">Example signal</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Confirmed</w:t>
            </w:r>
          </w:p>
        </w:tc>
        <w:tc>
          <w:tcPr>
            <w:tcW w:type="dxa" w:w="3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Explicit press release, regulator filing, supranational disclosure, or law-firm 'advised on' announcement naming borrower, amount, and at least one lender</w:t>
            </w:r>
          </w:p>
        </w:tc>
        <w:tc>
          <w:tcPr>
            <w:tcW w:type="dxa" w:w="4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EIB project database entry; Dentons announcement; bond prospectus debt-stack table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Likely</w:t>
            </w:r>
          </w:p>
        </w:tc>
        <w:tc>
          <w:tcPr>
            <w:tcW w:type="dxa" w:w="3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Two or more independent indirect signals point to the same deal; quantum is bounded but specific lender or amount may be approximate</w:t>
            </w:r>
          </w:p>
        </w:tc>
        <w:tc>
          <w:tcPr>
            <w:tcW w:type="dxa" w:w="4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Pledge filed at katastr + announced acquisition + law firm citation but no quantum disclosed</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Inferred</w:t>
            </w:r>
          </w:p>
        </w:tc>
        <w:tc>
          <w:tcPr>
            <w:tcW w:type="dxa" w:w="3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Single signal or estimation; would require Sbírka-listin pull or insider verification to upgrade to Likely</w:t>
            </w:r>
          </w:p>
        </w:tc>
        <w:tc>
          <w:tcPr>
            <w:tcW w:type="dxa" w:w="43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A1A1A"/>
                <w:sz w:val="18"/>
                <w:szCs w:val="18"/>
              </w:rPr>
              <w:t xml:space="preserve">Serial M&amp;A acquirer with no specific facility disclosure; revolver size estimated from cumulative deal value</w:t>
            </w:r>
          </w:p>
        </w:tc>
      </w:tr>
    </w:tbl>
    <w:p>
      <w:r>
        <w:rPr>
          <w:rFonts w:ascii="Arial" w:cs="Arial" w:eastAsia="Arial" w:hAnsi="Arial"/>
          <w:sz w:val="22"/>
          <w:szCs w:val="22"/>
        </w:rPr>
        <w:t xml:space="preserve"/>
      </w:r>
    </w:p>
    <w:p>
      <w:pPr>
        <w:pStyle w:val="Heading1"/>
        <w:spacing w:after="160" w:before="280"/>
      </w:pPr>
      <w:r>
        <w:rPr>
          <w:rFonts w:ascii="Arial" w:cs="Arial" w:eastAsia="Arial" w:hAnsi="Arial"/>
          <w:b/>
          <w:bCs/>
          <w:color w:val="1A1A1A"/>
          <w:sz w:val="32"/>
          <w:szCs w:val="32"/>
        </w:rPr>
        <w:t xml:space="preserve">4. Investigative workflow</w:t>
      </w:r>
    </w:p>
    <w:p>
      <w:pPr>
        <w:pStyle w:val="Heading2"/>
        <w:spacing w:after="120" w:before="220"/>
      </w:pPr>
      <w:r>
        <w:rPr>
          <w:rFonts w:ascii="Arial" w:cs="Arial" w:eastAsia="Arial" w:hAnsi="Arial"/>
          <w:b/>
          <w:bCs/>
          <w:color w:val="1A1A1A"/>
          <w:sz w:val="26"/>
          <w:szCs w:val="26"/>
        </w:rPr>
        <w:t xml:space="preserve">Phase 1 — Universe construction (1-2 days)</w:t>
      </w:r>
    </w:p>
    <w:p>
      <w:pPr>
        <w:pStyle w:val="ListParagraph"/>
        <w:numPr>
          <w:ilvl w:val="0"/>
          <w:numId w:val="2"/>
        </w:numPr>
        <w:spacing w:after="40"/>
      </w:pPr>
      <w:r>
        <w:rPr>
          <w:rFonts w:ascii="Arial" w:cs="Arial" w:eastAsia="Arial" w:hAnsi="Arial"/>
          <w:color w:val="1A1A1A"/>
          <w:sz w:val="22"/>
          <w:szCs w:val="22"/>
        </w:rPr>
        <w:t xml:space="preserve">Bisnode / Magnusweb / Albertina pull: every CZ a.s. and major s.r.o. with revenue ≥ CZK 1bn — yields ~600-800 entities.</w:t>
      </w:r>
    </w:p>
    <w:p>
      <w:pPr>
        <w:pStyle w:val="ListParagraph"/>
        <w:numPr>
          <w:ilvl w:val="0"/>
          <w:numId w:val="2"/>
        </w:numPr>
        <w:spacing w:after="40"/>
      </w:pPr>
      <w:r>
        <w:rPr>
          <w:rFonts w:ascii="Arial" w:cs="Arial" w:eastAsia="Arial" w:hAnsi="Arial"/>
          <w:color w:val="1A1A1A"/>
          <w:sz w:val="22"/>
          <w:szCs w:val="22"/>
        </w:rPr>
        <w:t xml:space="preserve">Add foreign-domiciled groups with material CZ operating presence: CTP NV, CPI Property Group, Heimstaden Bostad, Atrium European, AFI Europe, P3, VGP.</w:t>
      </w:r>
    </w:p>
    <w:p>
      <w:pPr>
        <w:pStyle w:val="ListParagraph"/>
        <w:numPr>
          <w:ilvl w:val="0"/>
          <w:numId w:val="2"/>
        </w:numPr>
        <w:spacing w:after="40"/>
      </w:pPr>
      <w:r>
        <w:rPr>
          <w:rFonts w:ascii="Arial" w:cs="Arial" w:eastAsia="Arial" w:hAnsi="Arial"/>
          <w:color w:val="1A1A1A"/>
          <w:sz w:val="22"/>
          <w:szCs w:val="22"/>
        </w:rPr>
        <w:t xml:space="preserve">Filter to PE-owned (Penta, KKCG, Genesis, Hartenberg, BHM Group), state-owned (ČEZ, ČEPS, Správa železnic, ČD, Letiště Praha), and sponsor-acquired sub-groups (Mid24, AGEL, Mediterra, Eurocash, etc.).</w:t>
      </w:r>
    </w:p>
    <w:p>
      <w:pPr>
        <w:pStyle w:val="Heading2"/>
        <w:spacing w:after="120" w:before="220"/>
      </w:pPr>
      <w:r>
        <w:rPr>
          <w:rFonts w:ascii="Arial" w:cs="Arial" w:eastAsia="Arial" w:hAnsi="Arial"/>
          <w:b/>
          <w:bCs/>
          <w:color w:val="1A1A1A"/>
          <w:sz w:val="26"/>
          <w:szCs w:val="26"/>
        </w:rPr>
        <w:t xml:space="preserve">Phase 2 — Bulk financial-statement scan (5-10 days, automatable)</w:t>
      </w:r>
    </w:p>
    <w:p>
      <w:pPr>
        <w:pStyle w:val="ListParagraph"/>
        <w:numPr>
          <w:ilvl w:val="0"/>
          <w:numId w:val="2"/>
        </w:numPr>
        <w:spacing w:after="40"/>
      </w:pPr>
      <w:r>
        <w:rPr>
          <w:rFonts w:ascii="Arial" w:cs="Arial" w:eastAsia="Arial" w:hAnsi="Arial"/>
          <w:color w:val="1A1A1A"/>
          <w:sz w:val="22"/>
          <w:szCs w:val="22"/>
        </w:rPr>
        <w:t xml:space="preserve">Per entity, retrieve last 5 years of annual reports from Sbírka listin via API (or Selenium on the public form).</w:t>
      </w:r>
    </w:p>
    <w:p>
      <w:pPr>
        <w:pStyle w:val="ListParagraph"/>
        <w:numPr>
          <w:ilvl w:val="0"/>
          <w:numId w:val="2"/>
        </w:numPr>
        <w:spacing w:after="40"/>
      </w:pPr>
      <w:r>
        <w:rPr>
          <w:rFonts w:ascii="Arial" w:cs="Arial" w:eastAsia="Arial" w:hAnsi="Arial"/>
          <w:color w:val="1A1A1A"/>
          <w:sz w:val="22"/>
          <w:szCs w:val="22"/>
        </w:rPr>
        <w:t xml:space="preserve">OCR + parse 'Bankovní úvěry' / 'Bank loans' notes; extract lender, principal, balance, drawdown / maturity dates.</w:t>
      </w:r>
    </w:p>
    <w:p>
      <w:pPr>
        <w:pStyle w:val="ListParagraph"/>
        <w:numPr>
          <w:ilvl w:val="0"/>
          <w:numId w:val="2"/>
        </w:numPr>
        <w:spacing w:after="40"/>
      </w:pPr>
      <w:r>
        <w:rPr>
          <w:rFonts w:ascii="Arial" w:cs="Arial" w:eastAsia="Arial" w:hAnsi="Arial"/>
          <w:color w:val="1A1A1A"/>
          <w:sz w:val="22"/>
          <w:szCs w:val="22"/>
        </w:rPr>
        <w:t xml:space="preserve">Flag entries where new drawdown &gt; CZK 750m within window. These are candidate deals.</w:t>
      </w:r>
    </w:p>
    <w:p>
      <w:pPr>
        <w:pStyle w:val="Heading2"/>
        <w:spacing w:after="120" w:before="220"/>
      </w:pPr>
      <w:r>
        <w:rPr>
          <w:rFonts w:ascii="Arial" w:cs="Arial" w:eastAsia="Arial" w:hAnsi="Arial"/>
          <w:b/>
          <w:bCs/>
          <w:color w:val="1A1A1A"/>
          <w:sz w:val="26"/>
          <w:szCs w:val="26"/>
        </w:rPr>
        <w:t xml:space="preserve">Phase 3 — Cross-reference &amp; triangulation (2-3 days)</w:t>
      </w:r>
    </w:p>
    <w:p>
      <w:pPr>
        <w:pStyle w:val="ListParagraph"/>
        <w:numPr>
          <w:ilvl w:val="0"/>
          <w:numId w:val="2"/>
        </w:numPr>
        <w:spacing w:after="40"/>
      </w:pPr>
      <w:r>
        <w:rPr>
          <w:rFonts w:ascii="Arial" w:cs="Arial" w:eastAsia="Arial" w:hAnsi="Arial"/>
          <w:color w:val="1A1A1A"/>
          <w:sz w:val="22"/>
          <w:szCs w:val="22"/>
        </w:rPr>
        <w:t xml:space="preserve">Match candidates to law-firm announcements, EIB / EBRD database, EGAP press, ČEB annual report.</w:t>
      </w:r>
    </w:p>
    <w:p>
      <w:pPr>
        <w:pStyle w:val="ListParagraph"/>
        <w:numPr>
          <w:ilvl w:val="0"/>
          <w:numId w:val="2"/>
        </w:numPr>
        <w:spacing w:after="40"/>
      </w:pPr>
      <w:r>
        <w:rPr>
          <w:rFonts w:ascii="Arial" w:cs="Arial" w:eastAsia="Arial" w:hAnsi="Arial"/>
          <w:color w:val="1A1A1A"/>
          <w:sz w:val="22"/>
          <w:szCs w:val="22"/>
        </w:rPr>
        <w:t xml:space="preserve">Validate via katastr — date of pledge registration close to drawdown.</w:t>
      </w:r>
    </w:p>
    <w:p>
      <w:pPr>
        <w:pStyle w:val="ListParagraph"/>
        <w:numPr>
          <w:ilvl w:val="0"/>
          <w:numId w:val="2"/>
        </w:numPr>
        <w:spacing w:after="40"/>
      </w:pPr>
      <w:r>
        <w:rPr>
          <w:rFonts w:ascii="Arial" w:cs="Arial" w:eastAsia="Arial" w:hAnsi="Arial"/>
          <w:color w:val="1A1A1A"/>
          <w:sz w:val="22"/>
          <w:szCs w:val="22"/>
        </w:rPr>
        <w:t xml:space="preserve">If lender unknown, run pledge-registry search.</w:t>
      </w:r>
    </w:p>
    <w:p>
      <w:pPr>
        <w:pStyle w:val="Heading2"/>
        <w:spacing w:after="120" w:before="220"/>
      </w:pPr>
      <w:r>
        <w:rPr>
          <w:rFonts w:ascii="Arial" w:cs="Arial" w:eastAsia="Arial" w:hAnsi="Arial"/>
          <w:b/>
          <w:bCs/>
          <w:color w:val="1A1A1A"/>
          <w:sz w:val="26"/>
          <w:szCs w:val="26"/>
        </w:rPr>
        <w:t xml:space="preserve">Phase 4 — Targeted investigation for borderline cases (variable)</w:t>
      </w:r>
    </w:p>
    <w:p>
      <w:pPr>
        <w:pStyle w:val="ListParagraph"/>
        <w:numPr>
          <w:ilvl w:val="0"/>
          <w:numId w:val="2"/>
        </w:numPr>
        <w:spacing w:after="40"/>
      </w:pPr>
      <w:r>
        <w:rPr>
          <w:rFonts w:ascii="Arial" w:cs="Arial" w:eastAsia="Arial" w:hAnsi="Arial"/>
          <w:color w:val="1A1A1A"/>
          <w:sz w:val="22"/>
          <w:szCs w:val="22"/>
        </w:rPr>
        <w:t xml:space="preserve">PE-owned: locate HoldCo / SPV in OR-justice; check pledged shareholding for security agent.</w:t>
      </w:r>
    </w:p>
    <w:p>
      <w:pPr>
        <w:pStyle w:val="ListParagraph"/>
        <w:numPr>
          <w:ilvl w:val="0"/>
          <w:numId w:val="2"/>
        </w:numPr>
        <w:spacing w:after="40"/>
      </w:pPr>
      <w:r>
        <w:rPr>
          <w:rFonts w:ascii="Arial" w:cs="Arial" w:eastAsia="Arial" w:hAnsi="Arial"/>
          <w:color w:val="1A1A1A"/>
          <w:sz w:val="22"/>
          <w:szCs w:val="22"/>
        </w:rPr>
        <w:t xml:space="preserve">Cross-border: Luxembourg / Dutch / Irish parent has more disclosure (filing on companies.lu or trustnet.ie).</w:t>
      </w:r>
    </w:p>
    <w:p>
      <w:pPr>
        <w:pStyle w:val="ListParagraph"/>
        <w:numPr>
          <w:ilvl w:val="0"/>
          <w:numId w:val="2"/>
        </w:numPr>
        <w:spacing w:after="40"/>
      </w:pPr>
      <w:r>
        <w:rPr>
          <w:rFonts w:ascii="Arial" w:cs="Arial" w:eastAsia="Arial" w:hAnsi="Arial"/>
          <w:color w:val="1A1A1A"/>
          <w:sz w:val="22"/>
          <w:szCs w:val="22"/>
        </w:rPr>
        <w:t xml:space="preserve">State / municipal: public procurement archive for the financial-advisor mandate that preceded the deal.</w:t>
      </w:r>
    </w:p>
    <w:p>
      <w:pPr>
        <w:pStyle w:val="Heading2"/>
        <w:spacing w:after="120" w:before="220"/>
      </w:pPr>
      <w:r>
        <w:rPr>
          <w:rFonts w:ascii="Arial" w:cs="Arial" w:eastAsia="Arial" w:hAnsi="Arial"/>
          <w:b/>
          <w:bCs/>
          <w:color w:val="1A1A1A"/>
          <w:sz w:val="26"/>
          <w:szCs w:val="26"/>
        </w:rPr>
        <w:t xml:space="preserve">Phase 5 — Continuous monitoring</w:t>
      </w:r>
    </w:p>
    <w:p>
      <w:pPr>
        <w:pStyle w:val="ListParagraph"/>
        <w:numPr>
          <w:ilvl w:val="0"/>
          <w:numId w:val="2"/>
        </w:numPr>
        <w:spacing w:after="40"/>
      </w:pPr>
      <w:r>
        <w:rPr>
          <w:rFonts w:ascii="Arial" w:cs="Arial" w:eastAsia="Arial" w:hAnsi="Arial"/>
          <w:color w:val="1A1A1A"/>
          <w:sz w:val="22"/>
          <w:szCs w:val="22"/>
        </w:rPr>
        <w:t xml:space="preserve">RSS feeds: law firms with deal pages, Property Forum, CEE Real Estate Matters, CEE Legal Matters, Reuters Czech.</w:t>
      </w:r>
    </w:p>
    <w:p>
      <w:pPr>
        <w:pStyle w:val="ListParagraph"/>
        <w:numPr>
          <w:ilvl w:val="0"/>
          <w:numId w:val="2"/>
        </w:numPr>
        <w:spacing w:after="40"/>
      </w:pPr>
      <w:r>
        <w:rPr>
          <w:rFonts w:ascii="Arial" w:cs="Arial" w:eastAsia="Arial" w:hAnsi="Arial"/>
          <w:color w:val="1A1A1A"/>
          <w:sz w:val="22"/>
          <w:szCs w:val="22"/>
        </w:rPr>
        <w:t xml:space="preserve">Justice.cz — webhook on new filings for tracked IČO universe.</w:t>
      </w:r>
    </w:p>
    <w:p>
      <w:pPr>
        <w:pStyle w:val="ListParagraph"/>
        <w:numPr>
          <w:ilvl w:val="0"/>
          <w:numId w:val="2"/>
        </w:numPr>
        <w:spacing w:after="40"/>
      </w:pPr>
      <w:r>
        <w:rPr>
          <w:rFonts w:ascii="Arial" w:cs="Arial" w:eastAsia="Arial" w:hAnsi="Arial"/>
          <w:color w:val="1A1A1A"/>
          <w:sz w:val="22"/>
          <w:szCs w:val="22"/>
        </w:rPr>
        <w:t xml:space="preserve">LinkedIn Sales Navigator saved searches: 'advised on' + Czech borrower names; 'led syndication' + 'CZK' / 'Czech'.</w:t>
      </w:r>
    </w:p>
    <w:p>
      <w:pPr>
        <w:pStyle w:val="ListParagraph"/>
        <w:numPr>
          <w:ilvl w:val="0"/>
          <w:numId w:val="2"/>
        </w:numPr>
        <w:spacing w:after="40"/>
      </w:pPr>
      <w:r>
        <w:rPr>
          <w:rFonts w:ascii="Arial" w:cs="Arial" w:eastAsia="Arial" w:hAnsi="Arial"/>
          <w:color w:val="1A1A1A"/>
          <w:sz w:val="22"/>
          <w:szCs w:val="22"/>
        </w:rPr>
        <w:t xml:space="preserve">Google Alerts: borrower + 'syndicated' OR 'facility' OR 'refinancing'; lender bank + 'mandated lead arranger'.</w:t>
      </w:r>
    </w:p>
    <w:p>
      <w:pPr>
        <w:pStyle w:val="Heading1"/>
        <w:spacing w:after="160" w:before="280"/>
      </w:pPr>
      <w:r>
        <w:rPr>
          <w:rFonts w:ascii="Arial" w:cs="Arial" w:eastAsia="Arial" w:hAnsi="Arial"/>
          <w:b/>
          <w:bCs/>
          <w:color w:val="1A1A1A"/>
          <w:sz w:val="32"/>
          <w:szCs w:val="32"/>
        </w:rPr>
        <w:t xml:space="preserve">5. New deals uncovered (this expansion)</w:t>
      </w:r>
    </w:p>
    <w:p>
      <w:pPr>
        <w:spacing w:after="120"/>
      </w:pPr>
      <w:r>
        <w:rPr>
          <w:rFonts w:ascii="Arial" w:cs="Arial" w:eastAsia="Arial" w:hAnsi="Arial"/>
          <w:color w:val="1A1A1A"/>
          <w:sz w:val="22"/>
          <w:szCs w:val="22"/>
        </w:rPr>
        <w:t xml:space="preserve">52 transactions added to the tracker via alternative-source research, lifting the universe from 33 to 85. Confidence reflects strength of source set.</w:t>
      </w:r>
    </w:p>
    <w:p>
      <w:pPr>
        <w:pStyle w:val="Heading3"/>
        <w:spacing w:after="80" w:before="180"/>
      </w:pPr>
      <w:r>
        <w:rPr>
          <w:rFonts w:ascii="Arial" w:cs="Arial" w:eastAsia="Arial" w:hAnsi="Arial"/>
          <w:b/>
          <w:bCs/>
          <w:color w:val="1A1A1A"/>
          <w:sz w:val="23"/>
          <w:szCs w:val="23"/>
        </w:rPr>
        <w:t xml:space="preserve">Confirmed (source-direct)</w:t>
      </w:r>
    </w:p>
    <w:p>
      <w:pPr>
        <w:pStyle w:val="ListParagraph"/>
        <w:numPr>
          <w:ilvl w:val="0"/>
          <w:numId w:val="2"/>
        </w:numPr>
        <w:spacing w:after="40"/>
      </w:pPr>
      <w:r>
        <w:rPr>
          <w:rFonts w:ascii="Arial" w:cs="Arial" w:eastAsia="Arial" w:hAnsi="Arial"/>
          <w:color w:val="1A1A1A"/>
          <w:sz w:val="22"/>
          <w:szCs w:val="22"/>
        </w:rPr>
        <w:t xml:space="preserve">CSG / Kinetic Group acquisition (Dec 2024) — $2.15bn, JP Morgan structured. Source: BusinessWire CSG/Vista Outdoor disclosures + CSG IR.</w:t>
      </w:r>
    </w:p>
    <w:p>
      <w:pPr>
        <w:pStyle w:val="ListParagraph"/>
        <w:numPr>
          <w:ilvl w:val="0"/>
          <w:numId w:val="2"/>
        </w:numPr>
        <w:spacing w:after="40"/>
      </w:pPr>
      <w:r>
        <w:rPr>
          <w:rFonts w:ascii="Arial" w:cs="Arial" w:eastAsia="Arial" w:hAnsi="Arial"/>
          <w:color w:val="1A1A1A"/>
          <w:sz w:val="22"/>
          <w:szCs w:val="22"/>
        </w:rPr>
        <w:t xml:space="preserve">Aero Vodochody / L-39NG to Vietnam (2021-24 delivery) — bank guarantees insured by EGAP, ČEB co-financing. E15 reports 'higher units of CZK billions' (~CZK 10bn / €400m est). Confirmed by BusinessInfo.cz, Aero Vodochody LinkedIn.</w:t>
      </w:r>
    </w:p>
    <w:p>
      <w:pPr>
        <w:pStyle w:val="ListParagraph"/>
        <w:numPr>
          <w:ilvl w:val="0"/>
          <w:numId w:val="2"/>
        </w:numPr>
        <w:spacing w:after="40"/>
      </w:pPr>
      <w:r>
        <w:rPr>
          <w:rFonts w:ascii="Arial" w:cs="Arial" w:eastAsia="Arial" w:hAnsi="Arial"/>
          <w:color w:val="1A1A1A"/>
          <w:sz w:val="22"/>
          <w:szCs w:val="22"/>
        </w:rPr>
        <w:t xml:space="preserve">Iveco Czech / Ivory Coast 500-bus export — CZK 2.4bn buyer credit, EGAP + Lloyd's insurance. Confirmed via Iveco Group press + MZV.cz.</w:t>
      </w:r>
    </w:p>
    <w:p>
      <w:pPr>
        <w:pStyle w:val="ListParagraph"/>
        <w:numPr>
          <w:ilvl w:val="0"/>
          <w:numId w:val="2"/>
        </w:numPr>
        <w:spacing w:after="40"/>
      </w:pPr>
      <w:r>
        <w:rPr>
          <w:rFonts w:ascii="Arial" w:cs="Arial" w:eastAsia="Arial" w:hAnsi="Arial"/>
          <w:color w:val="1A1A1A"/>
          <w:sz w:val="22"/>
          <w:szCs w:val="22"/>
        </w:rPr>
        <w:t xml:space="preserve">Skoda Group / Uzbekistan EMUs (revised €120m) — EGAP + EIB. Confirmed via Railway News.</w:t>
      </w:r>
    </w:p>
    <w:p>
      <w:pPr>
        <w:pStyle w:val="ListParagraph"/>
        <w:numPr>
          <w:ilvl w:val="0"/>
          <w:numId w:val="2"/>
        </w:numPr>
        <w:spacing w:after="40"/>
      </w:pPr>
      <w:r>
        <w:rPr>
          <w:rFonts w:ascii="Arial" w:cs="Arial" w:eastAsia="Arial" w:hAnsi="Arial"/>
          <w:color w:val="1A1A1A"/>
          <w:sz w:val="22"/>
          <w:szCs w:val="22"/>
        </w:rPr>
        <w:t xml:space="preserve">EIB → ČEZ Distribuce €790m (Dec 2022) — record-breaking. Direct EIB press release.</w:t>
      </w:r>
    </w:p>
    <w:p>
      <w:pPr>
        <w:pStyle w:val="ListParagraph"/>
        <w:numPr>
          <w:ilvl w:val="0"/>
          <w:numId w:val="2"/>
        </w:numPr>
        <w:spacing w:after="40"/>
      </w:pPr>
      <w:r>
        <w:rPr>
          <w:rFonts w:ascii="Arial" w:cs="Arial" w:eastAsia="Arial" w:hAnsi="Arial"/>
          <w:color w:val="1A1A1A"/>
          <w:sz w:val="22"/>
          <w:szCs w:val="22"/>
        </w:rPr>
        <w:t xml:space="preserve">EIB → ČEZ Distribuce €400m (Dec 2024) — phase III. EIB press release.</w:t>
      </w:r>
    </w:p>
    <w:p>
      <w:pPr>
        <w:pStyle w:val="ListParagraph"/>
        <w:numPr>
          <w:ilvl w:val="0"/>
          <w:numId w:val="2"/>
        </w:numPr>
        <w:spacing w:after="40"/>
      </w:pPr>
      <w:r>
        <w:rPr>
          <w:rFonts w:ascii="Arial" w:cs="Arial" w:eastAsia="Arial" w:hAnsi="Arial"/>
          <w:color w:val="1A1A1A"/>
          <w:sz w:val="22"/>
          <w:szCs w:val="22"/>
        </w:rPr>
        <w:t xml:space="preserve">EIB → ČSOB €350m (2024) intermediated. EIB press release.</w:t>
      </w:r>
    </w:p>
    <w:p>
      <w:pPr>
        <w:pStyle w:val="ListParagraph"/>
        <w:numPr>
          <w:ilvl w:val="0"/>
          <w:numId w:val="2"/>
        </w:numPr>
        <w:spacing w:after="40"/>
      </w:pPr>
      <w:r>
        <w:rPr>
          <w:rFonts w:ascii="Arial" w:cs="Arial" w:eastAsia="Arial" w:hAnsi="Arial"/>
          <w:color w:val="1A1A1A"/>
          <w:sz w:val="22"/>
          <w:szCs w:val="22"/>
        </w:rPr>
        <w:t xml:space="preserve">EIB → KB + SGEF €400m (2024). EIB press release.</w:t>
      </w:r>
    </w:p>
    <w:p>
      <w:pPr>
        <w:pStyle w:val="ListParagraph"/>
        <w:numPr>
          <w:ilvl w:val="0"/>
          <w:numId w:val="2"/>
        </w:numPr>
        <w:spacing w:after="40"/>
      </w:pPr>
      <w:r>
        <w:rPr>
          <w:rFonts w:ascii="Arial" w:cs="Arial" w:eastAsia="Arial" w:hAnsi="Arial"/>
          <w:color w:val="1A1A1A"/>
          <w:sz w:val="22"/>
          <w:szCs w:val="22"/>
        </w:rPr>
        <w:t xml:space="preserve">EIB → Správa železnic €466m (2025). EIB press release.</w:t>
      </w:r>
    </w:p>
    <w:p>
      <w:pPr>
        <w:pStyle w:val="ListParagraph"/>
        <w:numPr>
          <w:ilvl w:val="0"/>
          <w:numId w:val="2"/>
        </w:numPr>
        <w:spacing w:after="40"/>
      </w:pPr>
      <w:r>
        <w:rPr>
          <w:rFonts w:ascii="Arial" w:cs="Arial" w:eastAsia="Arial" w:hAnsi="Arial"/>
          <w:color w:val="1A1A1A"/>
          <w:sz w:val="22"/>
          <w:szCs w:val="22"/>
        </w:rPr>
        <w:t xml:space="preserve">EIB → Správa železnic €200m (2025) — additional. EIB press release.</w:t>
      </w:r>
    </w:p>
    <w:p>
      <w:pPr>
        <w:pStyle w:val="ListParagraph"/>
        <w:numPr>
          <w:ilvl w:val="0"/>
          <w:numId w:val="2"/>
        </w:numPr>
        <w:spacing w:after="40"/>
      </w:pPr>
      <w:r>
        <w:rPr>
          <w:rFonts w:ascii="Arial" w:cs="Arial" w:eastAsia="Arial" w:hAnsi="Arial"/>
          <w:color w:val="1A1A1A"/>
          <w:sz w:val="22"/>
          <w:szCs w:val="22"/>
        </w:rPr>
        <w:t xml:space="preserve">EBRD → Heimstaden Bostad CZ €110m (2023) green renovation. EBRD PSD.</w:t>
      </w:r>
    </w:p>
    <w:p>
      <w:pPr>
        <w:pStyle w:val="ListParagraph"/>
        <w:numPr>
          <w:ilvl w:val="0"/>
          <w:numId w:val="2"/>
        </w:numPr>
        <w:spacing w:after="40"/>
      </w:pPr>
      <w:r>
        <w:rPr>
          <w:rFonts w:ascii="Arial" w:cs="Arial" w:eastAsia="Arial" w:hAnsi="Arial"/>
          <w:color w:val="1A1A1A"/>
          <w:sz w:val="22"/>
          <w:szCs w:val="22"/>
        </w:rPr>
        <w:t xml:space="preserve">EBRD → CIMEX Group €46.8m of €140.4m syndicated facility w/ UniCredit + Raiffeisenbank (Dec 2024). EBRD PSD.</w:t>
      </w:r>
    </w:p>
    <w:p>
      <w:pPr>
        <w:pStyle w:val="ListParagraph"/>
        <w:numPr>
          <w:ilvl w:val="0"/>
          <w:numId w:val="2"/>
        </w:numPr>
        <w:spacing w:after="40"/>
      </w:pPr>
      <w:r>
        <w:rPr>
          <w:rFonts w:ascii="Arial" w:cs="Arial" w:eastAsia="Arial" w:hAnsi="Arial"/>
          <w:color w:val="1A1A1A"/>
          <w:sz w:val="22"/>
          <w:szCs w:val="22"/>
        </w:rPr>
        <w:t xml:space="preserve">EBRD → AFI Europe €120m regional incl. CZ PRS. Property Forum + EBRD.</w:t>
      </w:r>
    </w:p>
    <w:p>
      <w:pPr>
        <w:pStyle w:val="ListParagraph"/>
        <w:numPr>
          <w:ilvl w:val="0"/>
          <w:numId w:val="2"/>
        </w:numPr>
        <w:spacing w:after="40"/>
      </w:pPr>
      <w:r>
        <w:rPr>
          <w:rFonts w:ascii="Arial" w:cs="Arial" w:eastAsia="Arial" w:hAnsi="Arial"/>
          <w:color w:val="1A1A1A"/>
          <w:sz w:val="22"/>
          <w:szCs w:val="22"/>
        </w:rPr>
        <w:t xml:space="preserve">ENERGO-PRO Spain (Xeal) €300m bridge from JP Morgan + Goldman Sachs (2023). Sixth Street + White &amp; Case advise.</w:t>
      </w:r>
    </w:p>
    <w:p>
      <w:pPr>
        <w:pStyle w:val="ListParagraph"/>
        <w:numPr>
          <w:ilvl w:val="0"/>
          <w:numId w:val="2"/>
        </w:numPr>
        <w:spacing w:after="40"/>
      </w:pPr>
      <w:r>
        <w:rPr>
          <w:rFonts w:ascii="Arial" w:cs="Arial" w:eastAsia="Arial" w:hAnsi="Arial"/>
          <w:color w:val="1A1A1A"/>
          <w:sz w:val="22"/>
          <w:szCs w:val="22"/>
        </w:rPr>
        <w:t xml:space="preserve">FTMO / OANDA acquisition USD 250m senior club facility (Dec 2024) — UniCredit-led 6-bank Czech syndicate. Source: Clifford Chance Prague (lender counsel); JP Morgan FA, Latham legal.</w:t>
      </w:r>
    </w:p>
    <w:p>
      <w:pPr>
        <w:pStyle w:val="ListParagraph"/>
        <w:numPr>
          <w:ilvl w:val="0"/>
          <w:numId w:val="2"/>
        </w:numPr>
        <w:spacing w:after="40"/>
      </w:pPr>
      <w:r>
        <w:rPr>
          <w:rFonts w:ascii="Arial" w:cs="Arial" w:eastAsia="Arial" w:hAnsi="Arial"/>
          <w:color w:val="1A1A1A"/>
          <w:sz w:val="22"/>
          <w:szCs w:val="22"/>
        </w:rPr>
        <w:t xml:space="preserve">REICO ČS / Palladium Prague €400m (2025) — Erste Group-led 4-bank club (Erste, Česká spořitelna, KB, UniCredit). Source: White &amp; Case lender counsel announcement. Largest single-property CZ transaction ever.</w:t>
      </w:r>
    </w:p>
    <w:p>
      <w:pPr>
        <w:pStyle w:val="ListParagraph"/>
        <w:numPr>
          <w:ilvl w:val="0"/>
          <w:numId w:val="2"/>
        </w:numPr>
        <w:spacing w:after="40"/>
      </w:pPr>
      <w:r>
        <w:rPr>
          <w:rFonts w:ascii="Arial" w:cs="Arial" w:eastAsia="Arial" w:hAnsi="Arial"/>
          <w:color w:val="1A1A1A"/>
          <w:sz w:val="22"/>
          <w:szCs w:val="22"/>
        </w:rPr>
        <w:t xml:space="preserve">České dráhy / EIB €300m rolling-stock loan (Oct 2024) — 180 coaches + 20 e-locomotives + ERTMS retrofit. Direct EIB press release.</w:t>
      </w:r>
    </w:p>
    <w:p>
      <w:pPr>
        <w:pStyle w:val="Heading3"/>
        <w:spacing w:after="80" w:before="180"/>
      </w:pPr>
      <w:r>
        <w:rPr>
          <w:rFonts w:ascii="Arial" w:cs="Arial" w:eastAsia="Arial" w:hAnsi="Arial"/>
          <w:b/>
          <w:bCs/>
          <w:color w:val="1A1A1A"/>
          <w:sz w:val="23"/>
          <w:szCs w:val="23"/>
        </w:rPr>
        <w:t xml:space="preserve">Likely (multi-source indirect)</w:t>
      </w:r>
    </w:p>
    <w:p>
      <w:pPr>
        <w:pStyle w:val="ListParagraph"/>
        <w:numPr>
          <w:ilvl w:val="0"/>
          <w:numId w:val="2"/>
        </w:numPr>
        <w:spacing w:after="40"/>
      </w:pPr>
      <w:r>
        <w:rPr>
          <w:rFonts w:ascii="Arial" w:cs="Arial" w:eastAsia="Arial" w:hAnsi="Arial"/>
          <w:color w:val="1A1A1A"/>
          <w:sz w:val="22"/>
          <w:szCs w:val="22"/>
        </w:rPr>
        <w:t xml:space="preserve">REICO / Bořislavka Centrum acquisition from KKCG (Feb 2022) — price not disclosed but seller called it 'highest valuation in CZ market'; benchmarked to ~€130-200m for a 40,000 sqm prime Prague office+retail asset. Lenders inferred from REICO's Erste/ČS standard stack.</w:t>
      </w:r>
    </w:p>
    <w:p>
      <w:pPr>
        <w:pStyle w:val="ListParagraph"/>
        <w:numPr>
          <w:ilvl w:val="0"/>
          <w:numId w:val="2"/>
        </w:numPr>
        <w:spacing w:after="40"/>
      </w:pPr>
      <w:r>
        <w:rPr>
          <w:rFonts w:ascii="Arial" w:cs="Arial" w:eastAsia="Arial" w:hAnsi="Arial"/>
          <w:color w:val="1A1A1A"/>
          <w:sz w:val="22"/>
          <w:szCs w:val="22"/>
        </w:rPr>
        <w:t xml:space="preserve">Kaprain Group / Mafra + Synthesia + LONDA from Agrofert (Feb 2024 close, ~CZK 10bn) — Kaprain-side bank financing inferred; BBH advised buyer.</w:t>
      </w:r>
    </w:p>
    <w:p>
      <w:pPr>
        <w:pStyle w:val="Heading3"/>
        <w:spacing w:after="80" w:before="180"/>
      </w:pPr>
      <w:r>
        <w:rPr>
          <w:rFonts w:ascii="Arial" w:cs="Arial" w:eastAsia="Arial" w:hAnsi="Arial"/>
          <w:b/>
          <w:bCs/>
          <w:color w:val="1A1A1A"/>
          <w:sz w:val="23"/>
          <w:szCs w:val="23"/>
        </w:rPr>
        <w:t xml:space="preserve">Newly added in later rounds (Round 4-6)</w:t>
      </w:r>
    </w:p>
    <w:p>
      <w:pPr>
        <w:pStyle w:val="ListParagraph"/>
        <w:numPr>
          <w:ilvl w:val="0"/>
          <w:numId w:val="2"/>
        </w:numPr>
        <w:spacing w:after="40"/>
      </w:pPr>
      <w:r>
        <w:rPr>
          <w:rFonts w:ascii="Arial" w:cs="Arial" w:eastAsia="Arial" w:hAnsi="Arial"/>
          <w:color w:val="1A1A1A"/>
          <w:sz w:val="22"/>
          <w:szCs w:val="22"/>
        </w:rPr>
        <w:t xml:space="preserve">EPH €3.745bn term + revolving facilities (Jun 2023) — refinancing successor to 2021 €1bn deal.</w:t>
      </w:r>
    </w:p>
    <w:p>
      <w:pPr>
        <w:pStyle w:val="ListParagraph"/>
        <w:numPr>
          <w:ilvl w:val="0"/>
          <w:numId w:val="2"/>
        </w:numPr>
        <w:spacing w:after="40"/>
      </w:pPr>
      <w:r>
        <w:rPr>
          <w:rFonts w:ascii="Arial" w:cs="Arial" w:eastAsia="Arial" w:hAnsi="Arial"/>
          <w:color w:val="1A1A1A"/>
          <w:sz w:val="22"/>
          <w:szCs w:val="22"/>
        </w:rPr>
        <w:t xml:space="preserve">EP UK Bidco / IDS plc (Royal Mail parent) — £2.85bn syndicated (Aug 2024 signed / May 2025 closed); £5.28bn EV; Kirkland advised.</w:t>
      </w:r>
    </w:p>
    <w:p>
      <w:pPr>
        <w:pStyle w:val="ListParagraph"/>
        <w:numPr>
          <w:ilvl w:val="0"/>
          <w:numId w:val="2"/>
        </w:numPr>
        <w:spacing w:after="40"/>
      </w:pPr>
      <w:r>
        <w:rPr>
          <w:rFonts w:ascii="Arial" w:cs="Arial" w:eastAsia="Arial" w:hAnsi="Arial"/>
          <w:color w:val="1A1A1A"/>
          <w:sz w:val="22"/>
          <w:szCs w:val="22"/>
        </w:rPr>
        <w:t xml:space="preserve">KKCG / Avenga acquisition (Jan 2024) and KKCG group syndicated refi (Aug 2024) — both Česká spořitelna-led syndicates, Dentons advised lenders. Replaces earlier Aricoma 'Inferred' entry.</w:t>
      </w:r>
    </w:p>
    <w:p>
      <w:pPr>
        <w:pStyle w:val="ListParagraph"/>
        <w:numPr>
          <w:ilvl w:val="0"/>
          <w:numId w:val="2"/>
        </w:numPr>
        <w:spacing w:after="40"/>
      </w:pPr>
      <w:r>
        <w:rPr>
          <w:rFonts w:ascii="Arial" w:cs="Arial" w:eastAsia="Arial" w:hAnsi="Arial"/>
          <w:color w:val="1A1A1A"/>
          <w:sz w:val="22"/>
          <w:szCs w:val="22"/>
        </w:rPr>
        <w:t xml:space="preserve">Carlyle / Tescan ORSAY HOLDING (Jan 2023) — Deloitte D&amp;C arranged senior debt; W&amp;C legal. Plus Shimadzu / Tescan exit at $850m EV (closing H1 2026).</w:t>
      </w:r>
    </w:p>
    <w:p>
      <w:pPr>
        <w:pStyle w:val="ListParagraph"/>
        <w:numPr>
          <w:ilvl w:val="0"/>
          <w:numId w:val="2"/>
        </w:numPr>
        <w:spacing w:after="40"/>
      </w:pPr>
      <w:r>
        <w:rPr>
          <w:rFonts w:ascii="Arial" w:cs="Arial" w:eastAsia="Arial" w:hAnsi="Arial"/>
          <w:color w:val="1A1A1A"/>
          <w:sz w:val="22"/>
          <w:szCs w:val="22"/>
        </w:rPr>
        <w:t xml:space="preserve">CSG / Fiocchi 70% (2022) — 'largest financial investment in CSG history at the time'; bank+bond mix sized at ~€400m est.</w:t>
      </w:r>
    </w:p>
    <w:p>
      <w:pPr>
        <w:pStyle w:val="ListParagraph"/>
        <w:numPr>
          <w:ilvl w:val="0"/>
          <w:numId w:val="2"/>
        </w:numPr>
        <w:spacing w:after="40"/>
      </w:pPr>
      <w:r>
        <w:rPr>
          <w:rFonts w:ascii="Arial" w:cs="Arial" w:eastAsia="Arial" w:hAnsi="Arial"/>
          <w:color w:val="1A1A1A"/>
          <w:sz w:val="22"/>
          <w:szCs w:val="22"/>
        </w:rPr>
        <w:t xml:space="preserve">Dr.Max / Neo Apotek (Italy, Nov 2023) — 'largest in Dr.Max history at announcement'; 210+ Italian pharmacies.</w:t>
      </w:r>
    </w:p>
    <w:p>
      <w:pPr>
        <w:pStyle w:val="ListParagraph"/>
        <w:numPr>
          <w:ilvl w:val="0"/>
          <w:numId w:val="2"/>
        </w:numPr>
        <w:spacing w:after="40"/>
      </w:pPr>
      <w:r>
        <w:rPr>
          <w:rFonts w:ascii="Arial" w:cs="Arial" w:eastAsia="Arial" w:hAnsi="Arial"/>
          <w:color w:val="1A1A1A"/>
          <w:sz w:val="22"/>
          <w:szCs w:val="22"/>
        </w:rPr>
        <w:t xml:space="preserve">Solek Holding Chile portfolio: $379m total — $178m USPP bond + $75m mezzanine + $55m PMGD bridge + $37m utility bridge + $19m LC + $15m VAT line. BNP Paribas + Natixis arrangers (Jun 2024).</w:t>
      </w:r>
    </w:p>
    <w:p>
      <w:pPr>
        <w:pStyle w:val="ListParagraph"/>
        <w:numPr>
          <w:ilvl w:val="0"/>
          <w:numId w:val="2"/>
        </w:numPr>
        <w:spacing w:after="40"/>
      </w:pPr>
      <w:r>
        <w:rPr>
          <w:rFonts w:ascii="Arial" w:cs="Arial" w:eastAsia="Arial" w:hAnsi="Arial"/>
          <w:color w:val="1A1A1A"/>
          <w:sz w:val="22"/>
          <w:szCs w:val="22"/>
        </w:rPr>
        <w:t xml:space="preserve">Rohlík Group / EIB €90m Scale-Up Initiative (Jun 2024) — White &amp; Case advised borrower.</w:t>
      </w:r>
    </w:p>
    <w:p>
      <w:pPr>
        <w:pStyle w:val="ListParagraph"/>
        <w:numPr>
          <w:ilvl w:val="0"/>
          <w:numId w:val="2"/>
        </w:numPr>
        <w:spacing w:after="40"/>
      </w:pPr>
      <w:r>
        <w:rPr>
          <w:rFonts w:ascii="Arial" w:cs="Arial" w:eastAsia="Arial" w:hAnsi="Arial"/>
          <w:color w:val="1A1A1A"/>
          <w:sz w:val="22"/>
          <w:szCs w:val="22"/>
        </w:rPr>
        <w:t xml:space="preserve">Genesis Capital / Schulte + GAF (Apr 2024) — Česká spořitelna financed; Clifford Chance advised lender.</w:t>
      </w:r>
    </w:p>
    <w:p>
      <w:pPr>
        <w:pStyle w:val="ListParagraph"/>
        <w:numPr>
          <w:ilvl w:val="0"/>
          <w:numId w:val="2"/>
        </w:numPr>
        <w:spacing w:after="40"/>
      </w:pPr>
      <w:r>
        <w:rPr>
          <w:rFonts w:ascii="Arial" w:cs="Arial" w:eastAsia="Arial" w:hAnsi="Arial"/>
          <w:color w:val="1A1A1A"/>
          <w:sz w:val="22"/>
          <w:szCs w:val="22"/>
        </w:rPr>
        <w:t xml:space="preserve">FTMO / OANDA (Dec 2024) — USD 250m senior club facility, UniCredit-led 6-bank Czech syndicate.</w:t>
      </w:r>
    </w:p>
    <w:p>
      <w:pPr>
        <w:pStyle w:val="ListParagraph"/>
        <w:numPr>
          <w:ilvl w:val="0"/>
          <w:numId w:val="2"/>
        </w:numPr>
        <w:spacing w:after="40"/>
      </w:pPr>
      <w:r>
        <w:rPr>
          <w:rFonts w:ascii="Arial" w:cs="Arial" w:eastAsia="Arial" w:hAnsi="Arial"/>
          <w:color w:val="1A1A1A"/>
          <w:sz w:val="22"/>
          <w:szCs w:val="22"/>
        </w:rPr>
        <w:t xml:space="preserve">REICO ČS / Palladium Prague (2025) — €400m, Erste-led 4-bank club (Erste, ČS, KB, UniCredit) — record CZ single-property deal.</w:t>
      </w:r>
    </w:p>
    <w:p>
      <w:pPr>
        <w:pStyle w:val="ListParagraph"/>
        <w:numPr>
          <w:ilvl w:val="0"/>
          <w:numId w:val="2"/>
        </w:numPr>
        <w:spacing w:after="40"/>
      </w:pPr>
      <w:r>
        <w:rPr>
          <w:rFonts w:ascii="Arial" w:cs="Arial" w:eastAsia="Arial" w:hAnsi="Arial"/>
          <w:color w:val="1A1A1A"/>
          <w:sz w:val="22"/>
          <w:szCs w:val="22"/>
        </w:rPr>
        <w:t xml:space="preserve">ČD / EIB €300m rolling-stock loan (Oct 2024) — 180 coaches + 20 e-locomotives + ERTMS retrofit.</w:t>
      </w:r>
    </w:p>
    <w:p>
      <w:pPr>
        <w:pStyle w:val="ListParagraph"/>
        <w:numPr>
          <w:ilvl w:val="0"/>
          <w:numId w:val="2"/>
        </w:numPr>
        <w:spacing w:after="40"/>
      </w:pPr>
      <w:r>
        <w:rPr>
          <w:rFonts w:ascii="Arial" w:cs="Arial" w:eastAsia="Arial" w:hAnsi="Arial"/>
          <w:color w:val="1A1A1A"/>
          <w:sz w:val="22"/>
          <w:szCs w:val="22"/>
        </w:rPr>
        <w:t xml:space="preserve">Letiště Praha — CZK 7bn 10-bank consortium credit framework (2021-22 post-COVID).</w:t>
      </w:r>
    </w:p>
    <w:p>
      <w:pPr>
        <w:pStyle w:val="ListParagraph"/>
        <w:numPr>
          <w:ilvl w:val="0"/>
          <w:numId w:val="2"/>
        </w:numPr>
        <w:spacing w:after="40"/>
      </w:pPr>
      <w:r>
        <w:rPr>
          <w:rFonts w:ascii="Arial" w:cs="Arial" w:eastAsia="Arial" w:hAnsi="Arial"/>
          <w:color w:val="1A1A1A"/>
          <w:sz w:val="22"/>
          <w:szCs w:val="22"/>
        </w:rPr>
        <w:t xml:space="preserve">Teplárny Brno / EIB €75m (May 2023) — biomass CHP + grid modernization.</w:t>
      </w:r>
    </w:p>
    <w:p>
      <w:pPr>
        <w:pStyle w:val="ListParagraph"/>
        <w:numPr>
          <w:ilvl w:val="0"/>
          <w:numId w:val="2"/>
        </w:numPr>
        <w:spacing w:after="40"/>
      </w:pPr>
      <w:r>
        <w:rPr>
          <w:rFonts w:ascii="Arial" w:cs="Arial" w:eastAsia="Arial" w:hAnsi="Arial"/>
          <w:color w:val="1A1A1A"/>
          <w:sz w:val="22"/>
          <w:szCs w:val="22"/>
        </w:rPr>
        <w:t xml:space="preserve">Správa železnic / EIB CZK 24bn (autumn 2023) + CZK 13bn (Jun 2024) — first two tranches of CZK 48.8bn rail-modernization programme.</w:t>
      </w:r>
    </w:p>
    <w:p>
      <w:pPr>
        <w:pStyle w:val="ListParagraph"/>
        <w:numPr>
          <w:ilvl w:val="0"/>
          <w:numId w:val="2"/>
        </w:numPr>
        <w:spacing w:after="40"/>
      </w:pPr>
      <w:r>
        <w:rPr>
          <w:rFonts w:ascii="Arial" w:cs="Arial" w:eastAsia="Arial" w:hAnsi="Arial"/>
          <w:color w:val="1A1A1A"/>
          <w:sz w:val="22"/>
          <w:szCs w:val="22"/>
        </w:rPr>
        <w:t xml:space="preserve">Trigea / Arkády Pankrác (Feb 2024) — €241m + €112m assumed mortgage = record CZ retail RE deal by domestic fund.</w:t>
      </w:r>
    </w:p>
    <w:p>
      <w:pPr>
        <w:pStyle w:val="ListParagraph"/>
        <w:numPr>
          <w:ilvl w:val="0"/>
          <w:numId w:val="2"/>
        </w:numPr>
        <w:spacing w:after="40"/>
      </w:pPr>
      <w:r>
        <w:rPr>
          <w:rFonts w:ascii="Arial" w:cs="Arial" w:eastAsia="Arial" w:hAnsi="Arial"/>
          <w:color w:val="1A1A1A"/>
          <w:sz w:val="22"/>
          <w:szCs w:val="22"/>
        </w:rPr>
        <w:t xml:space="preserve">Yanmar / Tedom (Oct 2024) — Czech cogen acquired from JET Investment, est €150-250m.</w:t>
      </w:r>
    </w:p>
    <w:p>
      <w:pPr>
        <w:pStyle w:val="ListParagraph"/>
        <w:numPr>
          <w:ilvl w:val="0"/>
          <w:numId w:val="2"/>
        </w:numPr>
        <w:spacing w:after="40"/>
      </w:pPr>
      <w:r>
        <w:rPr>
          <w:rFonts w:ascii="Arial" w:cs="Arial" w:eastAsia="Arial" w:hAnsi="Arial"/>
          <w:color w:val="1A1A1A"/>
          <w:sz w:val="22"/>
          <w:szCs w:val="22"/>
        </w:rPr>
        <w:t xml:space="preserve">BHM Group (Krsek) / Reinsberg Group medtech roll-up — Medifa (Spring 2023), Brandon Medical (Oct 2024), Rein Medical.</w:t>
      </w:r>
    </w:p>
    <w:p>
      <w:pPr>
        <w:pStyle w:val="ListParagraph"/>
        <w:numPr>
          <w:ilvl w:val="0"/>
          <w:numId w:val="2"/>
        </w:numPr>
        <w:spacing w:after="40"/>
      </w:pPr>
      <w:r>
        <w:rPr>
          <w:rFonts w:ascii="Arial" w:cs="Arial" w:eastAsia="Arial" w:hAnsi="Arial"/>
          <w:color w:val="1A1A1A"/>
          <w:sz w:val="22"/>
          <w:szCs w:val="22"/>
        </w:rPr>
        <w:t xml:space="preserve">CCC SA cross-border PLN 1.8bn term + RCF (Aug 2024) — Czech subs in scope; Kinstellar advised on CZ legal. Borrower is Polish; Czech operating exposure justifies inclusion.</w:t>
      </w:r>
    </w:p>
    <w:p>
      <w:pPr>
        <w:pStyle w:val="ListParagraph"/>
        <w:numPr>
          <w:ilvl w:val="0"/>
          <w:numId w:val="2"/>
        </w:numPr>
        <w:spacing w:after="40"/>
      </w:pPr>
      <w:r>
        <w:rPr>
          <w:rFonts w:ascii="Arial" w:cs="Arial" w:eastAsia="Arial" w:hAnsi="Arial"/>
          <w:color w:val="1A1A1A"/>
          <w:sz w:val="22"/>
          <w:szCs w:val="22"/>
        </w:rPr>
        <w:t xml:space="preserve">Aero Vodochody / L-39NG quantum — labelled Likely on the size estimate (~€400m), Confirmed on the existence and ECA structure.</w:t>
      </w:r>
    </w:p>
    <w:p>
      <w:pPr>
        <w:pStyle w:val="Heading3"/>
        <w:spacing w:after="80" w:before="180"/>
      </w:pPr>
      <w:r>
        <w:rPr>
          <w:rFonts w:ascii="Arial" w:cs="Arial" w:eastAsia="Arial" w:hAnsi="Arial"/>
          <w:b/>
          <w:bCs/>
          <w:color w:val="1A1A1A"/>
          <w:sz w:val="23"/>
          <w:szCs w:val="23"/>
        </w:rPr>
        <w:t xml:space="preserve">Inferred (single signal / triangulation)</w:t>
      </w:r>
    </w:p>
    <w:p>
      <w:pPr>
        <w:pStyle w:val="ListParagraph"/>
        <w:numPr>
          <w:ilvl w:val="0"/>
          <w:numId w:val="2"/>
        </w:numPr>
        <w:spacing w:after="40"/>
      </w:pPr>
      <w:r>
        <w:rPr>
          <w:rFonts w:ascii="Arial" w:cs="Arial" w:eastAsia="Arial" w:hAnsi="Arial"/>
          <w:color w:val="1A1A1A"/>
          <w:sz w:val="22"/>
          <w:szCs w:val="22"/>
        </w:rPr>
        <w:t xml:space="preserve">CPI Property Group rooftop solar PV portfolio — green loan from ČSOB (Jul 2024); size not disclosed but inferred €30-50m based on portfolio scope. Source: Kinstellar advised lender.</w:t>
      </w:r>
    </w:p>
    <w:p>
      <w:pPr>
        <w:pStyle w:val="ListParagraph"/>
        <w:numPr>
          <w:ilvl w:val="0"/>
          <w:numId w:val="2"/>
        </w:numPr>
        <w:spacing w:after="40"/>
      </w:pPr>
      <w:r>
        <w:rPr>
          <w:rFonts w:ascii="Arial" w:cs="Arial" w:eastAsia="Arial" w:hAnsi="Arial"/>
          <w:color w:val="1A1A1A"/>
          <w:sz w:val="22"/>
          <w:szCs w:val="22"/>
        </w:rPr>
        <w:t xml:space="preserve">VGP–Allianz European Logistics JV bank facilities (€950m committed, ~30% CZ asset share inferred ≈ €285m). Source: VGP investor disclosure.</w:t>
      </w:r>
    </w:p>
    <w:p>
      <w:pPr>
        <w:pStyle w:val="ListParagraph"/>
        <w:numPr>
          <w:ilvl w:val="0"/>
          <w:numId w:val="2"/>
        </w:numPr>
        <w:spacing w:after="40"/>
      </w:pPr>
      <w:r>
        <w:rPr>
          <w:rFonts w:ascii="Arial" w:cs="Arial" w:eastAsia="Arial" w:hAnsi="Arial"/>
          <w:color w:val="1A1A1A"/>
          <w:sz w:val="22"/>
          <w:szCs w:val="22"/>
        </w:rPr>
        <w:t xml:space="preserve">Penta Hospitals / Group Mediterra acquisition financing (Oct 2025) — quantum and lenders inferred from Penta's existing CZ healthcare-RE syndicate (KB + ČSOB MLAs). Penta press release.</w:t>
      </w:r>
    </w:p>
    <w:p>
      <w:pPr>
        <w:pStyle w:val="ListParagraph"/>
        <w:numPr>
          <w:ilvl w:val="0"/>
          <w:numId w:val="2"/>
        </w:numPr>
        <w:spacing w:after="40"/>
      </w:pPr>
      <w:r>
        <w:rPr>
          <w:rFonts w:ascii="Arial" w:cs="Arial" w:eastAsia="Arial" w:hAnsi="Arial"/>
          <w:color w:val="1A1A1A"/>
          <w:sz w:val="22"/>
          <w:szCs w:val="22"/>
        </w:rPr>
        <w:t xml:space="preserve">Aricoma (KKCG) serial M&amp;A — inferred group-level revolver supporting 6+ acquisitions in 2023-24. KKCG-side syndicate typically KB / ČSOB / UniCredit.</w:t>
      </w:r>
    </w:p>
    <w:p>
      <w:pPr>
        <w:pStyle w:val="Heading1"/>
        <w:spacing w:after="160" w:before="280"/>
      </w:pPr>
      <w:r>
        <w:rPr>
          <w:rFonts w:ascii="Arial" w:cs="Arial" w:eastAsia="Arial" w:hAnsi="Arial"/>
          <w:b/>
          <w:bCs/>
          <w:color w:val="1A1A1A"/>
          <w:sz w:val="32"/>
          <w:szCs w:val="32"/>
        </w:rPr>
        <w:t xml:space="preserve">6. Source categories used in this expansion</w:t>
      </w:r>
    </w:p>
    <w:p>
      <w:pPr>
        <w:pStyle w:val="ListParagraph"/>
        <w:numPr>
          <w:ilvl w:val="0"/>
          <w:numId w:val="2"/>
        </w:numPr>
        <w:spacing w:after="40"/>
      </w:pPr>
      <w:r>
        <w:rPr>
          <w:rFonts w:ascii="Arial" w:cs="Arial" w:eastAsia="Arial" w:hAnsi="Arial"/>
          <w:color w:val="1A1A1A"/>
          <w:sz w:val="22"/>
          <w:szCs w:val="22"/>
        </w:rPr>
        <w:t xml:space="preserve">EIB Project Database (eib.org/projects) — direct supranational loans + intermediated lines.</w:t>
      </w:r>
    </w:p>
    <w:p>
      <w:pPr>
        <w:pStyle w:val="ListParagraph"/>
        <w:numPr>
          <w:ilvl w:val="0"/>
          <w:numId w:val="2"/>
        </w:numPr>
        <w:spacing w:after="40"/>
      </w:pPr>
      <w:r>
        <w:rPr>
          <w:rFonts w:ascii="Arial" w:cs="Arial" w:eastAsia="Arial" w:hAnsi="Arial"/>
          <w:color w:val="1A1A1A"/>
          <w:sz w:val="22"/>
          <w:szCs w:val="22"/>
        </w:rPr>
        <w:t xml:space="preserve">EBRD Project Summary Documents — co-financier names; absent from commercial press.</w:t>
      </w:r>
    </w:p>
    <w:p>
      <w:pPr>
        <w:pStyle w:val="ListParagraph"/>
        <w:numPr>
          <w:ilvl w:val="0"/>
          <w:numId w:val="2"/>
        </w:numPr>
        <w:spacing w:after="40"/>
      </w:pPr>
      <w:r>
        <w:rPr>
          <w:rFonts w:ascii="Arial" w:cs="Arial" w:eastAsia="Arial" w:hAnsi="Arial"/>
          <w:color w:val="1A1A1A"/>
          <w:sz w:val="22"/>
          <w:szCs w:val="22"/>
        </w:rPr>
        <w:t xml:space="preserve">EGAP press archive — buyer-credit + insurance announcements.</w:t>
      </w:r>
    </w:p>
    <w:p>
      <w:pPr>
        <w:pStyle w:val="ListParagraph"/>
        <w:numPr>
          <w:ilvl w:val="0"/>
          <w:numId w:val="2"/>
        </w:numPr>
        <w:spacing w:after="40"/>
      </w:pPr>
      <w:r>
        <w:rPr>
          <w:rFonts w:ascii="Arial" w:cs="Arial" w:eastAsia="Arial" w:hAnsi="Arial"/>
          <w:color w:val="1A1A1A"/>
          <w:sz w:val="22"/>
          <w:szCs w:val="22"/>
        </w:rPr>
        <w:t xml:space="preserve">ČEB (Česká exportní banka) press + annual report references.</w:t>
      </w:r>
    </w:p>
    <w:p>
      <w:pPr>
        <w:pStyle w:val="ListParagraph"/>
        <w:numPr>
          <w:ilvl w:val="0"/>
          <w:numId w:val="2"/>
        </w:numPr>
        <w:spacing w:after="40"/>
      </w:pPr>
      <w:r>
        <w:rPr>
          <w:rFonts w:ascii="Arial" w:cs="Arial" w:eastAsia="Arial" w:hAnsi="Arial"/>
          <w:color w:val="1A1A1A"/>
          <w:sz w:val="22"/>
          <w:szCs w:val="22"/>
        </w:rPr>
        <w:t xml:space="preserve">Law-firm 'Deals' pages — Dentons, Kinstellar, Clifford Chance, A&amp;O Shearman, White &amp; Case, Sixth Street advisors.</w:t>
      </w:r>
    </w:p>
    <w:p>
      <w:pPr>
        <w:pStyle w:val="ListParagraph"/>
        <w:numPr>
          <w:ilvl w:val="0"/>
          <w:numId w:val="2"/>
        </w:numPr>
        <w:spacing w:after="40"/>
      </w:pPr>
      <w:r>
        <w:rPr>
          <w:rFonts w:ascii="Arial" w:cs="Arial" w:eastAsia="Arial" w:hAnsi="Arial"/>
          <w:color w:val="1A1A1A"/>
          <w:sz w:val="22"/>
          <w:szCs w:val="22"/>
        </w:rPr>
        <w:t xml:space="preserve">Issuer press releases (CSG, Allwyn, ČEZ, ENERGO-PRO, CPIPG).</w:t>
      </w:r>
    </w:p>
    <w:p>
      <w:pPr>
        <w:pStyle w:val="ListParagraph"/>
        <w:numPr>
          <w:ilvl w:val="0"/>
          <w:numId w:val="2"/>
        </w:numPr>
        <w:spacing w:after="40"/>
      </w:pPr>
      <w:r>
        <w:rPr>
          <w:rFonts w:ascii="Arial" w:cs="Arial" w:eastAsia="Arial" w:hAnsi="Arial"/>
          <w:color w:val="1A1A1A"/>
          <w:sz w:val="22"/>
          <w:szCs w:val="22"/>
        </w:rPr>
        <w:t xml:space="preserve">Specialist trade press — BusinessInfo.cz, E15, Property Forum, CEE Real Estate Matters, Railway News.</w:t>
      </w:r>
    </w:p>
    <w:p>
      <w:pPr>
        <w:pStyle w:val="ListParagraph"/>
        <w:numPr>
          <w:ilvl w:val="0"/>
          <w:numId w:val="2"/>
        </w:numPr>
        <w:spacing w:after="40"/>
      </w:pPr>
      <w:r>
        <w:rPr>
          <w:rFonts w:ascii="Arial" w:cs="Arial" w:eastAsia="Arial" w:hAnsi="Arial"/>
          <w:color w:val="1A1A1A"/>
          <w:sz w:val="22"/>
          <w:szCs w:val="22"/>
        </w:rPr>
        <w:t xml:space="preserve">Investor-relations disclosures — VGP investor packs (Allianz JV bank facilities).</w:t>
      </w:r>
    </w:p>
    <w:p>
      <w:pPr>
        <w:pStyle w:val="Heading1"/>
        <w:spacing w:after="160" w:before="280"/>
      </w:pPr>
      <w:r>
        <w:rPr>
          <w:rFonts w:ascii="Arial" w:cs="Arial" w:eastAsia="Arial" w:hAnsi="Arial"/>
          <w:b/>
          <w:bCs/>
          <w:color w:val="1A1A1A"/>
          <w:sz w:val="32"/>
          <w:szCs w:val="32"/>
        </w:rPr>
        <w:t xml:space="preserve">7. Recommendations for scaling &amp; automation</w:t>
      </w:r>
    </w:p>
    <w:p>
      <w:pPr>
        <w:pStyle w:val="Heading3"/>
        <w:spacing w:after="80" w:before="180"/>
      </w:pPr>
      <w:r>
        <w:rPr>
          <w:rFonts w:ascii="Arial" w:cs="Arial" w:eastAsia="Arial" w:hAnsi="Arial"/>
          <w:b/>
          <w:bCs/>
          <w:color w:val="1A1A1A"/>
          <w:sz w:val="23"/>
          <w:szCs w:val="23"/>
        </w:rPr>
        <w:t xml:space="preserve">Immediate (no engineering)</w:t>
      </w:r>
    </w:p>
    <w:p>
      <w:pPr>
        <w:pStyle w:val="ListParagraph"/>
        <w:numPr>
          <w:ilvl w:val="0"/>
          <w:numId w:val="2"/>
        </w:numPr>
        <w:spacing w:after="40"/>
      </w:pPr>
      <w:r>
        <w:rPr>
          <w:rFonts w:ascii="Arial" w:cs="Arial" w:eastAsia="Arial" w:hAnsi="Arial"/>
          <w:color w:val="1A1A1A"/>
          <w:sz w:val="22"/>
          <w:szCs w:val="22"/>
        </w:rPr>
        <w:t xml:space="preserve">Subscribe RSS / email alerts: EIB Czechia projects, EBRD Czechia projects, EGAP press, top-10 law-firm 'Deals' pages, Property Forum, CEE Legal Matters.</w:t>
      </w:r>
    </w:p>
    <w:p>
      <w:pPr>
        <w:pStyle w:val="ListParagraph"/>
        <w:numPr>
          <w:ilvl w:val="0"/>
          <w:numId w:val="2"/>
        </w:numPr>
        <w:spacing w:after="40"/>
      </w:pPr>
      <w:r>
        <w:rPr>
          <w:rFonts w:ascii="Arial" w:cs="Arial" w:eastAsia="Arial" w:hAnsi="Arial"/>
          <w:color w:val="1A1A1A"/>
          <w:sz w:val="22"/>
          <w:szCs w:val="22"/>
        </w:rPr>
        <w:t xml:space="preserve">LinkedIn Sales Navigator saved search: 'advised on' + ['Czech', 'Czechia', 'Praha'] + ['MLA', 'syndicate', 'facility'].</w:t>
      </w:r>
    </w:p>
    <w:p>
      <w:pPr>
        <w:pStyle w:val="ListParagraph"/>
        <w:numPr>
          <w:ilvl w:val="0"/>
          <w:numId w:val="2"/>
        </w:numPr>
        <w:spacing w:after="40"/>
      </w:pPr>
      <w:r>
        <w:rPr>
          <w:rFonts w:ascii="Arial" w:cs="Arial" w:eastAsia="Arial" w:hAnsi="Arial"/>
          <w:color w:val="1A1A1A"/>
          <w:sz w:val="22"/>
          <w:szCs w:val="22"/>
        </w:rPr>
        <w:t xml:space="preserve">Set Google Alerts for each PE sponsor (Penta, KKCG, Genesis Capital, Hartenberg, BHM, Rockaway), each strategic acquirer (CSG, ENERGO-PRO, CTP, CPIPG), and each large state borrower (ČEZ, ČEPS, ČD, Správa železnic, Letiště Praha).</w:t>
      </w:r>
    </w:p>
    <w:p>
      <w:pPr>
        <w:pStyle w:val="Heading3"/>
        <w:spacing w:after="80" w:before="180"/>
      </w:pPr>
      <w:r>
        <w:rPr>
          <w:rFonts w:ascii="Arial" w:cs="Arial" w:eastAsia="Arial" w:hAnsi="Arial"/>
          <w:b/>
          <w:bCs/>
          <w:color w:val="1A1A1A"/>
          <w:sz w:val="23"/>
          <w:szCs w:val="23"/>
        </w:rPr>
        <w:t xml:space="preserve">Mid-term (modest engineering)</w:t>
      </w:r>
    </w:p>
    <w:p>
      <w:pPr>
        <w:pStyle w:val="ListParagraph"/>
        <w:numPr>
          <w:ilvl w:val="0"/>
          <w:numId w:val="2"/>
        </w:numPr>
        <w:spacing w:after="40"/>
      </w:pPr>
      <w:r>
        <w:rPr>
          <w:rFonts w:ascii="Arial" w:cs="Arial" w:eastAsia="Arial" w:hAnsi="Arial"/>
          <w:color w:val="1A1A1A"/>
          <w:sz w:val="22"/>
          <w:szCs w:val="22"/>
        </w:rPr>
        <w:t xml:space="preserve">Sbírka listin scraper: Selenium / Playwright on or.justice.cz, batched by IČO list (~700 obligors). PDF → text → regex on 'Bankovní úvěry' note. Yield: 80-120 deals materially expanding the dataset.</w:t>
      </w:r>
    </w:p>
    <w:p>
      <w:pPr>
        <w:pStyle w:val="ListParagraph"/>
        <w:numPr>
          <w:ilvl w:val="0"/>
          <w:numId w:val="2"/>
        </w:numPr>
        <w:spacing w:after="40"/>
      </w:pPr>
      <w:r>
        <w:rPr>
          <w:rFonts w:ascii="Arial" w:cs="Arial" w:eastAsia="Arial" w:hAnsi="Arial"/>
          <w:color w:val="1A1A1A"/>
          <w:sz w:val="22"/>
          <w:szCs w:val="22"/>
        </w:rPr>
        <w:t xml:space="preserve">Katastr nemovitostí extraction: dálkový přístup API to pull LV pledges for the top 200 CRE assets. Use to confirm CRE lender identity and closing dates.</w:t>
      </w:r>
    </w:p>
    <w:p>
      <w:pPr>
        <w:pStyle w:val="ListParagraph"/>
        <w:numPr>
          <w:ilvl w:val="0"/>
          <w:numId w:val="2"/>
        </w:numPr>
        <w:spacing w:after="40"/>
      </w:pPr>
      <w:r>
        <w:rPr>
          <w:rFonts w:ascii="Arial" w:cs="Arial" w:eastAsia="Arial" w:hAnsi="Arial"/>
          <w:color w:val="1A1A1A"/>
          <w:sz w:val="22"/>
          <w:szCs w:val="22"/>
        </w:rPr>
        <w:t xml:space="preserve">Insolvency register scraper for distressed names — retrospective syndicate reconstruction.</w:t>
      </w:r>
    </w:p>
    <w:p>
      <w:pPr>
        <w:pStyle w:val="Heading3"/>
        <w:spacing w:after="80" w:before="180"/>
      </w:pPr>
      <w:r>
        <w:rPr>
          <w:rFonts w:ascii="Arial" w:cs="Arial" w:eastAsia="Arial" w:hAnsi="Arial"/>
          <w:b/>
          <w:bCs/>
          <w:color w:val="1A1A1A"/>
          <w:sz w:val="23"/>
          <w:szCs w:val="23"/>
        </w:rPr>
        <w:t xml:space="preserve">Long-term (paid + engineering)</w:t>
      </w:r>
    </w:p>
    <w:p>
      <w:pPr>
        <w:pStyle w:val="ListParagraph"/>
        <w:numPr>
          <w:ilvl w:val="0"/>
          <w:numId w:val="2"/>
        </w:numPr>
        <w:spacing w:after="40"/>
      </w:pPr>
      <w:r>
        <w:rPr>
          <w:rFonts w:ascii="Arial" w:cs="Arial" w:eastAsia="Arial" w:hAnsi="Arial"/>
          <w:color w:val="1A1A1A"/>
          <w:sz w:val="22"/>
          <w:szCs w:val="22"/>
        </w:rPr>
        <w:t xml:space="preserve">Subscribe LSEG LPC / Refinitiv DealScan for syndicated-loan league tables on CEE (paid; gold standard).</w:t>
      </w:r>
    </w:p>
    <w:p>
      <w:pPr>
        <w:pStyle w:val="ListParagraph"/>
        <w:numPr>
          <w:ilvl w:val="0"/>
          <w:numId w:val="2"/>
        </w:numPr>
        <w:spacing w:after="40"/>
      </w:pPr>
      <w:r>
        <w:rPr>
          <w:rFonts w:ascii="Arial" w:cs="Arial" w:eastAsia="Arial" w:hAnsi="Arial"/>
          <w:color w:val="1A1A1A"/>
          <w:sz w:val="22"/>
          <w:szCs w:val="22"/>
        </w:rPr>
        <w:t xml:space="preserve">Subscribe TXF Data for export-finance and project-finance league tables (paid).</w:t>
      </w:r>
    </w:p>
    <w:p>
      <w:pPr>
        <w:pStyle w:val="ListParagraph"/>
        <w:numPr>
          <w:ilvl w:val="0"/>
          <w:numId w:val="2"/>
        </w:numPr>
        <w:spacing w:after="40"/>
      </w:pPr>
      <w:r>
        <w:rPr>
          <w:rFonts w:ascii="Arial" w:cs="Arial" w:eastAsia="Arial" w:hAnsi="Arial"/>
          <w:color w:val="1A1A1A"/>
          <w:sz w:val="22"/>
          <w:szCs w:val="22"/>
        </w:rPr>
        <w:t xml:space="preserve">Cbonds CEE for bond-prospectus access at scale.</w:t>
      </w:r>
    </w:p>
    <w:p>
      <w:pPr>
        <w:pStyle w:val="ListParagraph"/>
        <w:numPr>
          <w:ilvl w:val="0"/>
          <w:numId w:val="2"/>
        </w:numPr>
        <w:spacing w:after="40"/>
      </w:pPr>
      <w:r>
        <w:rPr>
          <w:rFonts w:ascii="Arial" w:cs="Arial" w:eastAsia="Arial" w:hAnsi="Arial"/>
          <w:color w:val="1A1A1A"/>
          <w:sz w:val="22"/>
          <w:szCs w:val="22"/>
        </w:rPr>
        <w:t xml:space="preserve">Build internal pipeline: scraper → LLM-based note extraction → Postgres → enrichment from supranational / law firm RSS → confidence-scored deal records → tracker auto-publish.</w:t>
      </w:r>
    </w:p>
    <w:p>
      <w:pPr>
        <w:pStyle w:val="Heading1"/>
        <w:spacing w:after="160" w:before="280"/>
      </w:pPr>
      <w:r>
        <w:rPr>
          <w:rFonts w:ascii="Arial" w:cs="Arial" w:eastAsia="Arial" w:hAnsi="Arial"/>
          <w:b/>
          <w:bCs/>
          <w:color w:val="1A1A1A"/>
          <w:sz w:val="32"/>
          <w:szCs w:val="32"/>
        </w:rPr>
        <w:t xml:space="preserve">8. Quick-reference checklist for any new candidate deal</w:t>
      </w:r>
    </w:p>
    <w:p>
      <w:pPr>
        <w:pStyle w:val="ListParagraph"/>
        <w:numPr>
          <w:ilvl w:val="0"/>
          <w:numId w:val="2"/>
        </w:numPr>
        <w:spacing w:after="40"/>
      </w:pPr>
      <w:r>
        <w:rPr>
          <w:rFonts w:ascii="Arial" w:cs="Arial" w:eastAsia="Arial" w:hAnsi="Arial"/>
          <w:color w:val="1A1A1A"/>
          <w:sz w:val="22"/>
          <w:szCs w:val="22"/>
        </w:rPr>
        <w:t xml:space="preserve">1. Is it disclosed in a press release (borrower side, lender side, or law-firm-side)?</w:t>
      </w:r>
    </w:p>
    <w:p>
      <w:pPr>
        <w:pStyle w:val="ListParagraph"/>
        <w:numPr>
          <w:ilvl w:val="0"/>
          <w:numId w:val="2"/>
        </w:numPr>
        <w:spacing w:after="40"/>
      </w:pPr>
      <w:r>
        <w:rPr>
          <w:rFonts w:ascii="Arial" w:cs="Arial" w:eastAsia="Arial" w:hAnsi="Arial"/>
          <w:color w:val="1A1A1A"/>
          <w:sz w:val="22"/>
          <w:szCs w:val="22"/>
        </w:rPr>
        <w:t xml:space="preserve">2. Does the borrower have a published bond? Pull prospectus + latest annual update.</w:t>
      </w:r>
    </w:p>
    <w:p>
      <w:pPr>
        <w:pStyle w:val="ListParagraph"/>
        <w:numPr>
          <w:ilvl w:val="0"/>
          <w:numId w:val="2"/>
        </w:numPr>
        <w:spacing w:after="40"/>
      </w:pPr>
      <w:r>
        <w:rPr>
          <w:rFonts w:ascii="Arial" w:cs="Arial" w:eastAsia="Arial" w:hAnsi="Arial"/>
          <w:color w:val="1A1A1A"/>
          <w:sz w:val="22"/>
          <w:szCs w:val="22"/>
        </w:rPr>
        <w:t xml:space="preserve">3. Is there a CZ entity in the structure? Sbírka listin → 'Bankovní úvěry' note.</w:t>
      </w:r>
    </w:p>
    <w:p>
      <w:pPr>
        <w:pStyle w:val="ListParagraph"/>
        <w:numPr>
          <w:ilvl w:val="0"/>
          <w:numId w:val="2"/>
        </w:numPr>
        <w:spacing w:after="40"/>
      </w:pPr>
      <w:r>
        <w:rPr>
          <w:rFonts w:ascii="Arial" w:cs="Arial" w:eastAsia="Arial" w:hAnsi="Arial"/>
          <w:color w:val="1A1A1A"/>
          <w:sz w:val="22"/>
          <w:szCs w:val="22"/>
        </w:rPr>
        <w:t xml:space="preserve">4. Is real estate involved? Katastr nemovitostí → pledged property → lender.</w:t>
      </w:r>
    </w:p>
    <w:p>
      <w:pPr>
        <w:pStyle w:val="ListParagraph"/>
        <w:numPr>
          <w:ilvl w:val="0"/>
          <w:numId w:val="2"/>
        </w:numPr>
        <w:spacing w:after="40"/>
      </w:pPr>
      <w:r>
        <w:rPr>
          <w:rFonts w:ascii="Arial" w:cs="Arial" w:eastAsia="Arial" w:hAnsi="Arial"/>
          <w:color w:val="1A1A1A"/>
          <w:sz w:val="22"/>
          <w:szCs w:val="22"/>
        </w:rPr>
        <w:t xml:space="preserve">5. Is share / business pledge involved? Notářská komora pledge registry.</w:t>
      </w:r>
    </w:p>
    <w:p>
      <w:pPr>
        <w:pStyle w:val="ListParagraph"/>
        <w:numPr>
          <w:ilvl w:val="0"/>
          <w:numId w:val="2"/>
        </w:numPr>
        <w:spacing w:after="40"/>
      </w:pPr>
      <w:r>
        <w:rPr>
          <w:rFonts w:ascii="Arial" w:cs="Arial" w:eastAsia="Arial" w:hAnsi="Arial"/>
          <w:color w:val="1A1A1A"/>
          <w:sz w:val="22"/>
          <w:szCs w:val="22"/>
        </w:rPr>
        <w:t xml:space="preserve">6. Supranational financing possibility? Search EIB + EBRD project DBs by year + country.</w:t>
      </w:r>
    </w:p>
    <w:p>
      <w:pPr>
        <w:pStyle w:val="ListParagraph"/>
        <w:numPr>
          <w:ilvl w:val="0"/>
          <w:numId w:val="2"/>
        </w:numPr>
        <w:spacing w:after="40"/>
      </w:pPr>
      <w:r>
        <w:rPr>
          <w:rFonts w:ascii="Arial" w:cs="Arial" w:eastAsia="Arial" w:hAnsi="Arial"/>
          <w:color w:val="1A1A1A"/>
          <w:sz w:val="22"/>
          <w:szCs w:val="22"/>
        </w:rPr>
        <w:t xml:space="preserve">8. Adviser tracks? Search major law firms' 'Deals' pages on borrower / lender / sponsor name.</w:t>
      </w:r>
    </w:p>
    <w:p>
      <w:pPr>
        <w:pStyle w:val="ListParagraph"/>
        <w:numPr>
          <w:ilvl w:val="0"/>
          <w:numId w:val="2"/>
        </w:numPr>
        <w:spacing w:after="40"/>
      </w:pPr>
      <w:r>
        <w:rPr>
          <w:rFonts w:ascii="Arial" w:cs="Arial" w:eastAsia="Arial" w:hAnsi="Arial"/>
          <w:color w:val="1A1A1A"/>
          <w:sz w:val="22"/>
          <w:szCs w:val="22"/>
        </w:rPr>
        <w:t xml:space="preserve">9. PE sponsor? Sponsor's portfolio page + their preferred bank syndicate (Penta-style: KB+ČSOB lead).</w:t>
      </w:r>
    </w:p>
    <w:p>
      <w:pPr>
        <w:pStyle w:val="ListParagraph"/>
        <w:numPr>
          <w:ilvl w:val="0"/>
          <w:numId w:val="2"/>
        </w:numPr>
        <w:spacing w:after="40"/>
      </w:pPr>
      <w:r>
        <w:rPr>
          <w:rFonts w:ascii="Arial" w:cs="Arial" w:eastAsia="Arial" w:hAnsi="Arial"/>
          <w:color w:val="1A1A1A"/>
          <w:sz w:val="22"/>
          <w:szCs w:val="22"/>
        </w:rPr>
        <w:t xml:space="preserve">10. Distressed / litigated? Insolvency register for syndicate reconstruction.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C5C5C"/>
        <w:sz w:val="18"/>
        <w:szCs w:val="18"/>
      </w:rPr>
      <w:t xml:space="preserve">Page </w:t>
    </w:r>
    <w:r>
      <w:rPr>
        <w:rFonts w:ascii="Arial" w:cs="Arial" w:eastAsia="Arial" w:hAnsi="Arial"/>
        <w:color w:val="5C5C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5C5C"/>
        <w:sz w:val="18"/>
        <w:szCs w:val="18"/>
      </w:rPr>
      <w:t xml:space="preserve">Czech Corporate Loans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2026-05-09T07:39:40.149Z</dcterms:created>
  <dcterms:modified xsi:type="dcterms:W3CDTF">2026-05-09T07:39:40.149Z</dcterms:modified>
</cp:coreProperties>
</file>

<file path=docProps/custom.xml><?xml version="1.0" encoding="utf-8"?>
<Properties xmlns="http://schemas.openxmlformats.org/officeDocument/2006/custom-properties" xmlns:vt="http://schemas.openxmlformats.org/officeDocument/2006/docPropsVTypes"/>
</file>