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Confidentiality and Research Hygiene v0.1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Purpose and limitation</w:t>
      </w:r>
    </w:p>
    <w:p>
      <w:r>
        <w:rPr>
          <w:rFonts w:ascii="Microsoft JhengHei" w:hAnsi="Microsoft JhengHei" w:eastAsia="Microsoft JhengHei"/>
        </w:rPr>
        <w:t>本文件提供 AMAT 與未來企業客戶專案的工作守則，不是正式法律意見。公司正式 NDA、客戶 NDA、資訊安全政策、資料處理協議與客戶特定要求仍須另行確認；若有衝突，以正式要求為準並立即向 Project Lead 升級。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Core rule</w:t>
      </w:r>
    </w:p>
    <w:p>
      <w:r>
        <w:rPr>
          <w:rFonts w:ascii="Microsoft JhengHei" w:hAnsi="Microsoft JhengHei" w:eastAsia="Microsoft JhengHei"/>
        </w:rPr>
        <w:t>只取得、使用、分享與保存完成工作所需的最少資訊。任何工具、裝置、雲端或外部對象在使用前，先確認它是否被授權接收該分類的資料。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Information classification concept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Default handling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Public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已公開法規、政府資料、公司正式公開揭露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可研究與引用；仍需記 source / date / scope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Internal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Optimum 方法、一般工作模板、非客戶特定 training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只供授權 Optimum 人員；不得任意公開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Confidential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identity linked to consumption、sites、strategy、contracts、offers、stakeholders、meeting notes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need-to-know；使用核准 storage / transfer；不得貼入未授權工具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Highly Restricted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credentials、personal data、privileged legal material、unannounced transactions、detailed bids / pricing、security-sensitive data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只依明確授權、最小範圍與額外控制處理；有疑問即停止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Classification 尚未確認時，先採較高保護等級。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Need to know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Access 依 role 與 task，不因同公司或參與專案就自動取得全部資料。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每次分享先確認 recipient、purpose、minimum fields、retention與 onward sharing。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群組、shared link、mailing list 與 external guest 都可能擴大 audience；發送前逐一檢查。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File handling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使用專案核准位置與清楚命名；避免把 real client files 複製到個人下載、桌面或臨時分享位置。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不用真實 client data 作 training demo、工具測試、截圖或 sample。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傳送前移除 hidden sheets、comments、tracked changes、metadata、cached data與錯誤附件。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權限採最小範圍；有到期日的 link 優先；結案依 retention rule archive / delete。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Personal devices and removable media</w:t>
      </w:r>
    </w:p>
    <w:p>
      <w:r>
        <w:rPr>
          <w:rFonts w:ascii="Microsoft JhengHei" w:hAnsi="Microsoft JhengHei" w:eastAsia="Microsoft JhengHei"/>
        </w:rPr>
        <w:t>未獲正式允許，不在個人裝置、私人 email、私人雲端或 removable media 保存 client files。若公司政策允許 BYOD，仍須符合 encryption、screen lock、patch、remote wipe、approved apps與 local download rules。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Cloud storage and external SaaS</w:t>
      </w:r>
    </w:p>
    <w:p>
      <w:r>
        <w:rPr>
          <w:rFonts w:ascii="Microsoft JhengHei" w:hAnsi="Microsoft JhengHei" w:eastAsia="Microsoft JhengHei"/>
        </w:rPr>
        <w:t>上傳前確認服務、tenant、account、data residency、retention、training use、subprocessors、sharing default與 client restriction。工具方便不等於已授權。不能確認時，改用 abstracted / synthetic data 或停止。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AI tool usage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不把 client identity、sites、volume、price、contract language、supplier proposal、personal data或 privileged material輸入未獲批准的 AI 工具。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即使是核准工具，也遵循 minimum necessary；能用 schema、匿名數字或 synthetic sample 解決，就不使用原始檔。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檢查 prompt、upload、conversation history、generated output與 export 是否會保留或擴散 client data。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AI output 不視為 evidence；重要 facts、calculations與 legal / commercial statements必須由人員驗證。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Copy paste screenshots messaging and email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Copy / paste 可能帶入 hidden identifiers、comments或不相關欄位；先移除。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Screenshot 會暴露 window title、tabs、notifications、email addresses與其他客戶資料；只截必要區域並檢查背景。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不用 consumer messaging 傳送 client files，除非正式批准。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Email 前執行 recipient、attachment、classification、subject、link permission與reply-all check。敏感附件優先使用核准 secure transfer。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Researching a confidential problem without leaking identity</w:t>
      </w:r>
    </w:p>
    <w:p>
      <w:r>
        <w:rPr>
          <w:rFonts w:ascii="Microsoft JhengHei" w:hAnsi="Microsoft JhengHei" w:eastAsia="Microsoft JhengHei"/>
        </w:rPr>
        <w:t>把問題抽象成公開機制或一般條件，不提供 client-specific combination。例：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不可接受：公開詢問「AMAT Taiwan 每年需要 X GWh，哪家供應商可在 Y site 供應？」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可接受：研究「台灣企業綠電轉供流程通常涉及哪些角色與資料欄位？」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可接受：用合成 volume / fictional company 測試 calculation method。</w:t>
      </w:r>
    </w:p>
    <w:p>
      <w:r>
        <w:rPr>
          <w:rFonts w:ascii="Microsoft JhengHei" w:hAnsi="Microsoft JhengHei" w:eastAsia="Microsoft JhengHei"/>
        </w:rPr>
        <w:t>如果多個抽象欄位組合後仍可重新識別 client，繼續減少細節或改用內部專家。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Handling real client files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確認 classification、owner、permitted purpose與 storage location。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建立 working copy only when needed；保留原始來源與 checksum / version context。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分離 raw client data、cleaned data、assumptions與 outputs。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任何轉換保留 data dictionary、mapping與 quality log。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分享 output 前執行 confidentiality review，特別檢查 hidden / embedded content。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Anonymisation</w:t>
      </w:r>
    </w:p>
    <w:p>
      <w:r>
        <w:rPr>
          <w:rFonts w:ascii="Microsoft JhengHei" w:hAnsi="Microsoft JhengHei" w:eastAsia="Microsoft JhengHei"/>
        </w:rPr>
        <w:t>使用 stable ID 取代公司、site、person與supplier名稱；generalize dates / volumes only to the extent analysis still works；移除 metadata and free text identifiers。Pseudonymisation 不等於匿名化，mapping key 仍屬敏感資料並分開保存。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Accidental disclosure response</w:t>
      </w:r>
    </w:p>
    <w:p>
      <w:r>
        <w:rPr>
          <w:rFonts w:ascii="Microsoft JhengHei" w:hAnsi="Microsoft JhengHei" w:eastAsia="Microsoft JhengHei"/>
        </w:rPr>
        <w:t xml:space="preserve">採取 </w:t>
      </w:r>
      <w:r>
        <w:rPr>
          <w:rFonts w:ascii="Microsoft JhengHei" w:hAnsi="Microsoft JhengHei" w:eastAsia="Microsoft JhengHei"/>
          <w:b/>
        </w:rPr>
        <w:t>Stop / Report / Contain / Document</w:t>
      </w:r>
      <w:r>
        <w:rPr>
          <w:rFonts w:ascii="Microsoft JhengHei" w:hAnsi="Microsoft JhengHei" w:eastAsia="Microsoft JhengHei"/>
        </w:rPr>
        <w:t>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  <w:b/>
        </w:rPr>
        <w:t>Stop</w:t>
      </w:r>
      <w:r>
        <w:rPr>
          <w:rFonts w:ascii="Microsoft JhengHei" w:hAnsi="Microsoft JhengHei" w:eastAsia="Microsoft JhengHei"/>
        </w:rPr>
        <w:t>：停止發送、分享、同步或進一步處理；不要自行刪除 evidence。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  <w:b/>
        </w:rPr>
        <w:t>Report</w:t>
      </w:r>
      <w:r>
        <w:rPr>
          <w:rFonts w:ascii="Microsoft JhengHei" w:hAnsi="Microsoft JhengHei" w:eastAsia="Microsoft JhengHei"/>
        </w:rPr>
        <w:t>：立即通知 Project Lead 與正式 security / privacy contact；說明 what、when、where、who may have access。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  <w:b/>
        </w:rPr>
        <w:t>Contain</w:t>
      </w:r>
      <w:r>
        <w:rPr>
          <w:rFonts w:ascii="Microsoft JhengHei" w:hAnsi="Microsoft JhengHei" w:eastAsia="Microsoft JhengHei"/>
        </w:rPr>
        <w:t>：依指示撤回 email、關閉 link、移除權限、隔離裝置或要求 recipient 不開啟 / 刪除。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  <w:b/>
        </w:rPr>
        <w:t>Document</w:t>
      </w:r>
      <w:r>
        <w:rPr>
          <w:rFonts w:ascii="Microsoft JhengHei" w:hAnsi="Microsoft JhengHei" w:eastAsia="Microsoft JhengHei"/>
        </w:rPr>
        <w:t>：記錄 timeline、data type、recipients、containment、remaining exposure與 follow-up；不要淡化。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Pre-send checklist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Recipient 與 need-to-know 正確。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Artifact 中的 client / supplier confidential fields 是最少必要。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沒有 hidden sheets、notes、comments、metadata或錯誤版本。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使用核准 channel、storage與 access settings。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AMAT-specific facts 的 status / source 可追溯。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若為 external research / AI / SaaS，資料已充分 abstract / anonymise 且工具已獲批准。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Escalation rule</w:t>
      </w:r>
    </w:p>
    <w:p>
      <w:r>
        <w:rPr>
          <w:rFonts w:ascii="Microsoft JhengHei" w:hAnsi="Microsoft JhengHei" w:eastAsia="Microsoft JhengHei"/>
        </w:rPr>
        <w:t>不確定是否可處理或分享時，先停止並詢問 Project Lead / authorized security contact。時間壓力不是降低 confidentiality control 的理由。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Confidentiality and Research Hygiene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