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Microsoft JhengHei" w:hAnsi="Microsoft JhengHei" w:eastAsia="Microsoft JhengHei"/>
          <w:b w:val="0"/>
          <w:color w:val="000000"/>
          <w:sz w:val="50"/>
        </w:rPr>
        <w:t>Data Request and Requirements Guide v0.1</w:t>
      </w:r>
    </w:p>
    <w:p>
      <w:r>
        <w:rPr>
          <w:rFonts w:ascii="Microsoft JhengHei" w:hAnsi="Microsoft JhengHei" w:eastAsia="Microsoft JhengHei"/>
        </w:rPr>
        <w:t>&gt; PRE-KICKOFF METHOD DRAFT。此清單描述 analysis needs，不代表 AMAT 現有資料或已承諾提供。資料處理須符合 NDA、InfoSec 與 client authorization。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1. Start from the decision</w:t>
      </w:r>
    </w:p>
    <w:p>
      <w:r>
        <w:rPr>
          <w:rFonts w:ascii="Microsoft JhengHei" w:hAnsi="Microsoft JhengHei" w:eastAsia="Microsoft JhengHei"/>
        </w:rPr>
        <w:t>資料不是越多越好。每一項 request 必須連到明確 decision / model use：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Decision / output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Minimum viable input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Expansion trigger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1.4 annual residual gap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site / entity master、annual or monthly consumption、forecast、target boundary、existing eligible procurement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需要 seasonality、site / meter allocation、hourly matching或供應 profile 時再取 interval data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1.5 portfolio scenarios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residual gap、option eligibility、timing、existing tenor / expiry、cost baseline / price components、constraints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需要 finance approval、budget volatility、hourly profile或 technology matching時擴充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1.6 roadmap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decision deadlines、stakeholder / approval lead time、contract expiry、data / implementation dependencies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有 external deadline、site expansion / closure、system change時擴充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2.x market engagement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approved requirement band、sites / delivery points、technology / tenor / flexibility、disclosure authorization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named RFQ 前才提供更細需求，且所有 bidder 接收一致 material information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3.x negotiation / execution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authorized commercial assumptions、legal / procurement process、implementation contacts、meter / certificate setup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only after shortlist / mandate and need-to-know approval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2. Data request catalogue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A. Boundary and master data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Data group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Minimum fields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Why needed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Truth status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Entity / site master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stable site ID、entity、site name / pseudonym、location level needed、status、open / close date、included-in-target flag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prevent missing / duplicate sites and map approvals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TBD WITH CLIENT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Meter / account mapping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stable meter / account ID、site ID、utility / service reference、valid-from / to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reconcile consumption and future implementation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TBD WITH CLIENT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Target / policy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target metric、target years、scope boundary、eligible instruments / evidence、ownership / retirement requirements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determine numerator / denominator and option eligibility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TBD WITH CLIENT; formal policy source required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B. Electricity demand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Data group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Minimum fields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Quality expectation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Downstream use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Historical consumption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site / meter key、period start / end、MWh / kWh、actual / estimate、gross / net flag、source system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unique key; unit known; totals reconcile to owner report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baseline、seasonality、gap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Forecast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site / entity、period、value、unit、scenario、version、forecast date、owner、driver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version controlled; drivers / confidence explained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target-year gap、portfolio volume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Site changes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expansion / closure / efficiency event、date、volume impact range、confidence、owner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no single-point value if material uncertainty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sensitivity、roadmap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C. Existing procurement and certificates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Data group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Minimum fields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Quality expectation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Downstream use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Contract / program summary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instrument ID、counterparty / internal source、site allocation、start / end、committed / expected MWh、tenor、technology、delivery structure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term dates and allocation must not overlap without explanation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existing coverage / expiry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Certificate / claim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instrument ID、certificate type、vintage / generation period、ownership / retirement status、beneficiary、eligible amount、evidence location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certificate amount / period reconciles to contract or registry record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claim / gap treatment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Onsite generation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site、asset ID、technology、capacity、generation actual / forecast、self-use / export、certificate treatment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actual vs forecast separated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baseline / portfolio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D. Commercial and implementation context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Data group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Minimum fields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Handling note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Downstream use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Electricity cost baseline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billing period、site、energy / demand / wheeling / fee / tax components、unit、currency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Client Confidential；只取 scenario decision 所需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1.5 comparison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Existing contract terms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price structure、indexation、volume / flexibility、termination / change、credit、guarantee、settlement、certificate terms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Highly Restricted by default；need-to-know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1.5 / 3.x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Procurement / approval process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approval gates、thresholds、lead time、required functions、vendor onboarding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role names / limits TBD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roadmap / RFQ / signing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Budget / risk parameters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budget cycle、evaluation horizon、discount / escalation assumptions、risk tolerances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client-authorized only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portfolio / negotiation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3. Required metadata per file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Request ID、file owner、business owner、source system。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Classification、permitted purpose、permitted recipients、retention / deletion rule。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Extract date、coverage period、timezone、calendar / fiscal convention。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Grain / primary key、units、currency、actual / estimate / forecast flag。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Transformations / filters、version、known limitations、reconciliation total。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4. Data completeness and quality checklist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Example control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Decision if failed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Completeness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Required sites / periods / fields present?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compare site master and period matrix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request missing; range; exclude; re-scope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Validity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Types、units、dates、codes valid?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controlled dictionary / allowed values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correct mapping or reject row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Uniqueness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Key duplicated?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site-meter-period unique check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explain aggregation / deduplicate with evidence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Consistency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Gross / net、actual / forecast、timezone、unit consistent?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standardize and retain raw field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document transform; sensitivity if material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Reconciliation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Totals tie to owner report / invoice / certificate evidence?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variance amount / % with threshold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investigate; condition G1 readiness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Lineage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Can each number trace to file / row / transform?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source ID + version + mapping log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do not use as decision evidence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Currency / price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Cost components and FX / escalation treatment explicit?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component-level dictionary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no single blended price assumption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Confidentiality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Is every field necessary and authorized?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classification / recipient / tool review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minimize, anonymise or stop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</w:rPr>
        <w:t xml:space="preserve">Quality status 建議使用 </w:t>
      </w:r>
      <w:r>
        <w:rPr>
          <w:rFonts w:ascii="Consolas" w:hAnsi="Consolas" w:eastAsia="Consolas"/>
          <w:sz w:val="19"/>
        </w:rPr>
        <w:t>Pass / Pass with condition / Fail / Not tested</w:t>
      </w:r>
      <w:r>
        <w:rPr>
          <w:rFonts w:ascii="Microsoft JhengHei" w:hAnsi="Microsoft JhengHei" w:eastAsia="Microsoft JhengHei"/>
        </w:rPr>
        <w:t>；threshold 需由 client / model owner確認，不在 pre-work 中發明。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5. Stakeholder interview guide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Sustainability / RE100 owner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哪個 target、boundary、reporting period、eligible evidence 與 claim rule 由哪份正式 policy 定義？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如何處理 acquisition / divestment、新 site、onsite generation、unbundled certificates、contracted but not yet operational supply？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哪些結果要給 Taiwan / regional / global decision body？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Facilities / site energy owner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Source system、meter / account mapping、actual / estimate、gross / net、timezone / billing-cycle 差異為何？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哪些 site 有 expansion / closure / efficiency changes？哪些數值是 approved forecast？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Wheeling / implementation 需要哪些 account / meter / contact 資料，何時才應取得？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Procurement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Existing contracts、supplier / vendor onboarding、RFQ rules、approval thresholds、timeline、required comparability fields？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哪些資料可在 anonymous sounding、named outreach、RFQ、negotiation 分別揭露？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Finance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Cost baseline 應採哪些 components、currency、tax、discount / escalation assumptions與 reporting horizon？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哪種 cost / risk output 可支持 budget / approval？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Legal / InfoSec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NDA、data transfer、retention、external advisor / tool、AI / SaaS、privilege 與 personal data rules？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Commercial review 與 legal advice 如何分工？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6. Data gap decision process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1.  </w:t>
      </w:r>
      <w:r>
        <w:rPr>
          <w:rFonts w:ascii="Microsoft JhengHei" w:hAnsi="Microsoft JhengHei" w:eastAsia="Microsoft JhengHei"/>
        </w:rPr>
        <w:t>Log：記錄 missing / unreliable field、affected rows / period、source owner。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2.  </w:t>
      </w:r>
      <w:r>
        <w:rPr>
          <w:rFonts w:ascii="Microsoft JhengHei" w:hAnsi="Microsoft JhengHei" w:eastAsia="Microsoft JhengHei"/>
        </w:rPr>
        <w:t>Size：估算 impact range，不把「資料缺」直接等同低重要性。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3.  </w:t>
      </w:r>
      <w:r>
        <w:rPr>
          <w:rFonts w:ascii="Microsoft JhengHei" w:hAnsi="Microsoft JhengHei" w:eastAsia="Microsoft JhengHei"/>
        </w:rPr>
        <w:t>Choose treatment：Resolve、Use approved assumption、Use range / sensitivity、Exclude、Re-scope。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4.  </w:t>
      </w:r>
      <w:r>
        <w:rPr>
          <w:rFonts w:ascii="Microsoft JhengHei" w:hAnsi="Microsoft JhengHei" w:eastAsia="Microsoft JhengHei"/>
        </w:rPr>
        <w:t>Approve：material treatment 由 business / decision owner確認；不是 analyst 自行隱含決定。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5.  </w:t>
      </w:r>
      <w:r>
        <w:rPr>
          <w:rFonts w:ascii="Microsoft JhengHei" w:hAnsi="Microsoft JhengHei" w:eastAsia="Microsoft JhengHei"/>
        </w:rPr>
        <w:t>Trace：gap ID 連到 model assumption、output caveat與 decision record。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6.  </w:t>
      </w:r>
      <w:r>
        <w:rPr>
          <w:rFonts w:ascii="Microsoft JhengHei" w:hAnsi="Microsoft JhengHei" w:eastAsia="Microsoft JhengHei"/>
        </w:rPr>
        <w:t>Close / carry：取得 evidence 後關閉，或在 gate 明確標示 condition。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7. G1 data readiness decision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Ready</w:t>
      </w:r>
    </w:p>
    <w:p>
      <w:r>
        <w:rPr>
          <w:rFonts w:ascii="Microsoft JhengHei" w:hAnsi="Microsoft JhengHei" w:eastAsia="Microsoft JhengHei"/>
        </w:rPr>
        <w:t>Minimum fields 可追溯、定義一致、material reconciliation通過、assumptions已批准，可支持目前 decision。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Ready with conditions</w:t>
      </w:r>
    </w:p>
    <w:p>
      <w:r>
        <w:rPr>
          <w:rFonts w:ascii="Microsoft JhengHei" w:hAnsi="Microsoft JhengHei" w:eastAsia="Microsoft JhengHei"/>
        </w:rPr>
        <w:t>仍有 gaps，但 impact 已量化、sensitivity / range 足以決策、owner / due date / condition 已記錄。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Not ready</w:t>
      </w:r>
    </w:p>
    <w:p>
      <w:r>
        <w:rPr>
          <w:rFonts w:ascii="Microsoft JhengHei" w:hAnsi="Microsoft JhengHei" w:eastAsia="Microsoft JhengHei"/>
        </w:rPr>
        <w:t>Boundary / target / primary key / material volume / existing procurement 無法確認，結果可能反轉 recommendation；需要補資料或 re-scope。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8. Requirement collection questions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Why it matters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Needed before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Client希望 gap / portfolio output 支持哪個 approval或 budget cycle？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決定 horizon、grain、format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data request launch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Baseline 是 calendar year、fiscal year或 rolling period？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避免 period mismatch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1.4 mapping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Target boundary 包含哪些 entities / sites / loads？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denominator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G1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Existing procurement 的 eligibility / allocation由誰批准？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numerator / claim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G1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Forecast 的 approved version與 change process？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target-year volume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G2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哪些缺口可以 assumption / range前進，誰批准？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material uncertainty control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G1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是否真的需要 hourly / monthly granularity？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防止無用途的 data burden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before expansion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9. First client-facing output</w:t>
      </w:r>
    </w:p>
    <w:p>
      <w:r>
        <w:rPr>
          <w:rFonts w:ascii="Microsoft JhengHei" w:hAnsi="Microsoft JhengHei" w:eastAsia="Microsoft JhengHei"/>
        </w:rPr>
        <w:t xml:space="preserve">不是把所有 raw data 退回 client，而是一頁 readiness summary：coverage by required category、top material gaps、treatment / owner / due、decision impacts、G1 recommendation。Workbook 的 </w:t>
      </w:r>
      <w:r>
        <w:rPr>
          <w:rFonts w:ascii="Consolas" w:hAnsi="Consolas" w:eastAsia="Consolas"/>
          <w:sz w:val="19"/>
        </w:rPr>
        <w:t>Completeness</w:t>
      </w:r>
      <w:r>
        <w:rPr>
          <w:rFonts w:ascii="Microsoft JhengHei" w:hAnsi="Microsoft JhengHei" w:eastAsia="Microsoft JhengHei"/>
        </w:rPr>
        <w:t xml:space="preserve"> sheet 已提供可重用格式。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32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Request and Requirements Guide v0.1</dc:title>
  <dc:subject>AMAT Pre-delivery Repository v0.1</dc:subject>
  <dc:creator>Optimum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