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rFonts w:ascii="Microsoft JhengHei" w:hAnsi="Microsoft JhengHei" w:eastAsia="Microsoft JhengHei"/>
          <w:b w:val="0"/>
          <w:color w:val="000000"/>
          <w:sz w:val="50"/>
        </w:rPr>
        <w:t>RE100 Gap Analysis Methodology v0.1</w:t>
      </w:r>
    </w:p>
    <w:p>
      <w:r>
        <w:rPr>
          <w:rFonts w:ascii="Microsoft JhengHei" w:hAnsi="Microsoft JhengHei" w:eastAsia="Microsoft JhengHei"/>
        </w:rPr>
        <w:t xml:space="preserve">&gt; </w:t>
      </w:r>
      <w:r>
        <w:rPr>
          <w:rFonts w:ascii="Microsoft JhengHei" w:hAnsi="Microsoft JhengHei" w:eastAsia="Microsoft JhengHei"/>
          <w:b/>
        </w:rPr>
        <w:t>PRE-KICKOFF DRAFT / INTERNAL WORKING METHOD</w:t>
      </w:r>
      <w:r>
        <w:rPr>
          <w:rFonts w:ascii="Microsoft JhengHei" w:hAnsi="Microsoft JhengHei" w:eastAsia="Microsoft JhengHei"/>
        </w:rPr>
        <w:t xml:space="preserve"> &gt; 本文件不包含已驗證 AMAT-specific consumption、target、site 或 procurement facts。</w:t>
      </w:r>
      <w:r>
        <w:rPr>
          <w:rFonts w:ascii="Consolas" w:hAnsi="Consolas" w:eastAsia="Consolas"/>
          <w:sz w:val="19"/>
        </w:rPr>
        <w:t>Gap_Analysis_Model.xlsx</w:t>
      </w:r>
      <w:r>
        <w:rPr>
          <w:rFonts w:ascii="Microsoft JhengHei" w:hAnsi="Microsoft JhengHei" w:eastAsia="Microsoft JhengHei"/>
        </w:rPr>
        <w:t xml:space="preserve"> 中所有數字均為 </w:t>
      </w:r>
      <w:r>
        <w:rPr>
          <w:rFonts w:ascii="Consolas" w:hAnsi="Consolas" w:eastAsia="Consolas"/>
          <w:sz w:val="19"/>
        </w:rPr>
        <w:t>SYNTHETIC / DEMO DATA</w:t>
      </w:r>
      <w:r>
        <w:rPr>
          <w:rFonts w:ascii="Microsoft JhengHei" w:hAnsi="Microsoft JhengHei" w:eastAsia="Microsoft JhengHei"/>
        </w:rPr>
        <w:t>。正式專案須以 AMAT policy owner、data owners 與 source evidence 更新。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1. Management intent</w:t>
      </w:r>
    </w:p>
    <w:p>
      <w:r>
        <w:rPr>
          <w:rFonts w:ascii="Microsoft JhengHei" w:hAnsi="Microsoft JhengHei" w:eastAsia="Microsoft JhengHei"/>
        </w:rPr>
        <w:t>本分析不是為了產生一個看似精確的缺口數字，而是建立一個 AMAT 能核准、往後可持續更新的 renewable electricity requirement baseline。管理者應能從成果回答：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Microsoft JhengHei" w:hAnsi="Microsoft JhengHei" w:eastAsia="Microsoft JhengHei"/>
        </w:rPr>
        <w:t>分母包含哪些 entities / sites / meters / periods？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Microsoft JhengHei" w:hAnsi="Microsoft JhengHei" w:eastAsia="Microsoft JhengHei"/>
        </w:rPr>
        <w:t>target 是哪個 policy version、哪條 curve、由誰核准？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Microsoft JhengHei" w:hAnsi="Microsoft JhengHei" w:eastAsia="Microsoft JhengHei"/>
        </w:rPr>
        <w:t>哪些既有採購量被視為 eligible，依據是什麼？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Microsoft JhengHei" w:hAnsi="Microsoft JhengHei" w:eastAsia="Microsoft JhengHei"/>
        </w:rPr>
        <w:t>residual gap 是單一數字，還是受資料 / delivery 不確定性影響的 range？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Microsoft JhengHei" w:hAnsi="Microsoft JhengHei" w:eastAsia="Microsoft JhengHei"/>
        </w:rPr>
        <w:t>哪些 decisions 能進入 1.5，哪些必須先補 evidence？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2. Calculation boundary before calculation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2.1 Boundary card</w:t>
      </w:r>
    </w:p>
    <w:p>
      <w:r>
        <w:rPr>
          <w:rFonts w:ascii="Microsoft JhengHei" w:hAnsi="Microsoft JhengHei" w:eastAsia="Microsoft JhengHei"/>
        </w:rPr>
        <w:t>正式 run 前先完成並核准一頁 boundary card：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Boundary item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Required decision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v0.1 status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Organizational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legal entities / operations included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Geographic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Taiwan only、specific sites或其他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Load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gross / net、onsite self-use、excluded loads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Time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 year、planning horizon、calendar / fiscal year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Target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percentage curve、target date、policy version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Eligibility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instruments、vintage、ownership、claim rules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Existing procurement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contracted / expected / delivered / eligible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TBD WITH CLIENT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Granularity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annual first pass、monthly / interval if required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HYPOTHESIS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在 boundary 未核准前，model output 只能標為 draft / scenario，不能標為 AMAT baseline。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2.2 Numerator / denominator discipline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Denominator：approved electricity consumption / forecast after explicit inclusion / exclusion rules。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Target renewable requirement：denominator × target percentage。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Numerator / coverage：只計入符合 approved eligibility rule 且可歸屬於相同 boundary / period 的 volume。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Residual gap：</w:t>
      </w:r>
      <w:r>
        <w:rPr>
          <w:rFonts w:ascii="Consolas" w:hAnsi="Consolas" w:eastAsia="Consolas"/>
          <w:sz w:val="19"/>
        </w:rPr>
        <w:t>MAX(target renewable requirement − eligible existing procurement, 0)</w:t>
      </w:r>
      <w:r>
        <w:rPr>
          <w:rFonts w:ascii="Microsoft JhengHei" w:hAnsi="Microsoft JhengHei" w:eastAsia="Microsoft JhengHei"/>
        </w:rPr>
        <w:t>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Over-coverage：另行顯示，不以負 gap 混淆；需確認是否可 carry forward，不能自行假設。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3. Existing procurement treatment</w:t>
      </w:r>
    </w:p>
    <w:p>
      <w:r>
        <w:rPr>
          <w:rFonts w:ascii="Microsoft JhengHei" w:hAnsi="Microsoft JhengHei" w:eastAsia="Microsoft JhengHei"/>
        </w:rPr>
        <w:t>一份 contract 或 certificate record 至少區分：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Decision use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Contracted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legal / commercial commitment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exposure and potential coverage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Expected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forecast delivery after known constraints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planning case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Delivered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metered / settled delivery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performance evidence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Eligible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accepted under approved policy / boundary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gap calculation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Claimed / retired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completed claim or use record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reporting / audit evidence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 xml:space="preserve">v0.1 model使用 </w:t>
      </w:r>
      <w:r>
        <w:rPr>
          <w:rFonts w:ascii="Consolas" w:hAnsi="Consolas" w:eastAsia="Consolas"/>
          <w:sz w:val="19"/>
        </w:rPr>
        <w:t>contracted MWh × delivery factor × eligibility factor</w:t>
      </w:r>
      <w:r>
        <w:rPr>
          <w:rFonts w:ascii="Microsoft JhengHei" w:hAnsi="Microsoft JhengHei" w:eastAsia="Microsoft JhengHei"/>
        </w:rPr>
        <w:t xml:space="preserve"> 形成 planning eligible MWh。這是計算架構，不代表 AMAT policy；兩個 factor 必須有 evidence / owner。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Double-count controls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Stable instrument ID + site / allocation + year。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同一 generation / certificate volume 不得同時出現在 multiple instruments / entities。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若 contract volume 與 certificate record 來自不同資料源，先 reconcile 再相加。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allocation / transfer / claim status不明者列入 conditional，不默認為 eligible。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4. Data-quality logic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Minimum tests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Default disposition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Completeness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included sites / periods是否齊全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quantify missing range；material gap condition G3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Uniqueness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site-meter-period / instrument-year 是否重複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stop affected aggregation until resolved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Reconciliation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analysis total是否 tie 到 owner-approved control total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document variance and approval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Additional controls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cantSplit/>
          <w:tblHeader w:val="true"/>
        </w:trP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Default disposition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Validity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MWh ≥ 0、target 0–100%、dates / units valid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reject or correct invalid values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Lineage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source、version、transform、owner可追溯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do not use untraceable data as approved evidence</w:t>
            </w:r>
          </w:p>
        </w:tc>
      </w:tr>
      <w:tr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Consistency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site / instrument mapping與 boundary一致</w:t>
            </w:r>
          </w:p>
        </w:tc>
        <w:tc>
          <w:tcPr>
            <w:tcW w:type="dxa" w:w="3331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re-map or explicitly exclude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Quality state</w:t>
      </w:r>
    </w:p>
    <w:p>
      <w:pPr>
        <w:pStyle w:val="ListBullet"/>
        <w:spacing w:after="60"/>
      </w:pPr>
      <w:r>
        <w:rPr>
          <w:rFonts w:ascii="Consolas" w:hAnsi="Consolas" w:eastAsia="Consolas"/>
          <w:sz w:val="19"/>
        </w:rPr>
        <w:t>PASS</w:t>
      </w:r>
      <w:r>
        <w:rPr>
          <w:rFonts w:ascii="Microsoft JhengHei" w:hAnsi="Microsoft JhengHei" w:eastAsia="Microsoft JhengHei"/>
        </w:rPr>
        <w:t>：足以支持 intended decision。</w:t>
      </w:r>
    </w:p>
    <w:p>
      <w:pPr>
        <w:pStyle w:val="ListBullet"/>
        <w:spacing w:after="60"/>
      </w:pPr>
      <w:r>
        <w:rPr>
          <w:rFonts w:ascii="Consolas" w:hAnsi="Consolas" w:eastAsia="Consolas"/>
          <w:sz w:val="19"/>
        </w:rPr>
        <w:t>PASS WITH CONDITION</w:t>
      </w:r>
      <w:r>
        <w:rPr>
          <w:rFonts w:ascii="Microsoft JhengHei" w:hAnsi="Microsoft JhengHei" w:eastAsia="Microsoft JhengHei"/>
        </w:rPr>
        <w:t>：可用，但 output 必須帶 range / caveat / owner action。</w:t>
      </w:r>
    </w:p>
    <w:p>
      <w:pPr>
        <w:pStyle w:val="ListBullet"/>
        <w:spacing w:after="60"/>
      </w:pPr>
      <w:r>
        <w:rPr>
          <w:rFonts w:ascii="Consolas" w:hAnsi="Consolas" w:eastAsia="Consolas"/>
          <w:sz w:val="19"/>
        </w:rPr>
        <w:t>FAIL</w:t>
      </w:r>
      <w:r>
        <w:rPr>
          <w:rFonts w:ascii="Microsoft JhengHei" w:hAnsi="Microsoft JhengHei" w:eastAsia="Microsoft JhengHei"/>
        </w:rPr>
        <w:t>：不可用於 intended decision。</w:t>
      </w:r>
    </w:p>
    <w:p>
      <w:pPr>
        <w:pStyle w:val="ListBullet"/>
        <w:spacing w:after="60"/>
      </w:pPr>
      <w:r>
        <w:rPr>
          <w:rFonts w:ascii="Consolas" w:hAnsi="Consolas" w:eastAsia="Consolas"/>
          <w:sz w:val="19"/>
        </w:rPr>
        <w:t>NOT TESTED</w:t>
      </w:r>
      <w:r>
        <w:rPr>
          <w:rFonts w:ascii="Microsoft JhengHei" w:hAnsi="Microsoft JhengHei" w:eastAsia="Microsoft JhengHei"/>
        </w:rPr>
        <w:t>：尚未執行，不等於通過。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5. Core calculations</w:t>
      </w:r>
    </w:p>
    <w:p>
      <w:r>
        <w:rPr>
          <w:rFonts w:ascii="Microsoft JhengHei" w:hAnsi="Microsoft JhengHei" w:eastAsia="Microsoft JhengHei"/>
        </w:rPr>
        <w:t xml:space="preserve">對每年 </w:t>
      </w:r>
      <w:r>
        <w:rPr>
          <w:rFonts w:ascii="Consolas" w:hAnsi="Consolas" w:eastAsia="Consolas"/>
          <w:sz w:val="19"/>
        </w:rPr>
        <w:t>y</w:t>
      </w:r>
      <w:r>
        <w:rPr>
          <w:rFonts w:ascii="Microsoft JhengHei" w:hAnsi="Microsoft JhengHei" w:eastAsia="Microsoft JhengHei"/>
        </w:rPr>
        <w:t>：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1.  </w:t>
      </w:r>
      <w:r>
        <w:rPr>
          <w:rFonts w:ascii="Consolas" w:hAnsi="Consolas" w:eastAsia="Consolas"/>
          <w:sz w:val="19"/>
        </w:rPr>
        <w:t>Gross_Load_y = Σ approved site forecast / actual MWh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2.  </w:t>
      </w:r>
      <w:r>
        <w:rPr>
          <w:rFonts w:ascii="Consolas" w:hAnsi="Consolas" w:eastAsia="Consolas"/>
          <w:sz w:val="19"/>
        </w:rPr>
        <w:t>Target_RE_MWh_y = Gross_Load_y × Target_%_y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3.  </w:t>
      </w:r>
      <w:r>
        <w:rPr>
          <w:rFonts w:ascii="Consolas" w:hAnsi="Consolas" w:eastAsia="Consolas"/>
          <w:sz w:val="19"/>
        </w:rPr>
        <w:t>Eligible_Existing_y = Σ Contracted_MWh_i,y × Delivery_Factor_i,y × Eligibility_Factor_i,y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4.  </w:t>
      </w:r>
      <w:r>
        <w:rPr>
          <w:rFonts w:ascii="Consolas" w:hAnsi="Consolas" w:eastAsia="Consolas"/>
          <w:sz w:val="19"/>
        </w:rPr>
        <w:t>Residual_Gap_y = MAX(Target_RE_MWh_y − Eligible_Existing_y, 0)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5.  </w:t>
      </w:r>
      <w:r>
        <w:rPr>
          <w:rFonts w:ascii="Consolas" w:hAnsi="Consolas" w:eastAsia="Consolas"/>
          <w:sz w:val="19"/>
        </w:rPr>
        <w:t>Coverage_%_y = MIN(Eligible_Existing_y / Target_RE_MWh_y, 100%)</w:t>
      </w:r>
    </w:p>
    <w:p>
      <w:pPr>
        <w:spacing w:after="60"/>
        <w:ind w:left="403" w:hanging="403"/>
      </w:pPr>
      <w:r>
        <w:rPr>
          <w:rFonts w:ascii="Microsoft JhengHei" w:hAnsi="Microsoft JhengHei" w:eastAsia="Microsoft JhengHei"/>
          <w:b w:val="0"/>
        </w:rPr>
        <w:t xml:space="preserve">6.  </w:t>
      </w:r>
      <w:r>
        <w:rPr>
          <w:rFonts w:ascii="Consolas" w:hAnsi="Consolas" w:eastAsia="Consolas"/>
          <w:sz w:val="19"/>
        </w:rPr>
        <w:t>Over_Coverage_y = MAX(Eligible_Existing_y − Target_RE_MWh_y, 0)</w:t>
      </w:r>
    </w:p>
    <w:p>
      <w:r>
        <w:rPr>
          <w:rFonts w:ascii="Microsoft JhengHei" w:hAnsi="Microsoft JhengHei" w:eastAsia="Microsoft JhengHei"/>
        </w:rPr>
        <w:t xml:space="preserve">若 denominator 或 target 未核准，結果標為 </w:t>
      </w:r>
      <w:r>
        <w:rPr>
          <w:rFonts w:ascii="Consolas" w:hAnsi="Consolas" w:eastAsia="Consolas"/>
          <w:sz w:val="19"/>
        </w:rPr>
        <w:t>TBD / DRAFT</w:t>
      </w:r>
      <w:r>
        <w:rPr>
          <w:rFonts w:ascii="Microsoft JhengHei" w:hAnsi="Microsoft JhengHei" w:eastAsia="Microsoft JhengHei"/>
        </w:rPr>
        <w:t>，即使 formula 可運算。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6. Sensitivity design</w:t>
      </w:r>
    </w:p>
    <w:p>
      <w:r>
        <w:rPr>
          <w:rFonts w:ascii="Microsoft JhengHei" w:hAnsi="Microsoft JhengHei" w:eastAsia="Microsoft JhengHei"/>
        </w:rPr>
        <w:t>v0.1 至少測試四個 cases：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cantSplit/>
          <w:tblHeader w:val="true"/>
        </w:trP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Case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Load factor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Existing delivery factor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7365D"/>
          </w:tcPr>
          <w:p>
            <w:pPr>
              <w:spacing w:after="0" w:line="247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Base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100%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100%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approved / current planning inputs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Higher load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105%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100%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demand / forecast upside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Lower delivery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100%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90%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FFFFF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project / certificate under-delivery</w:t>
            </w:r>
          </w:p>
        </w:tc>
      </w:tr>
      <w:tr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Combined stress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105%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90%</w:t>
            </w:r>
          </w:p>
        </w:tc>
        <w:tc>
          <w:tcPr>
            <w:tcW w:type="dxa" w:w="249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after="0" w:line="247" w:lineRule="auto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7"/>
              </w:rPr>
              <w:t>gap range and procurement buffer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</w:rPr>
        <w:t>正式 range 不應只使用固定 5% / 10%；應由 forecast uncertainty、historical variance、contract evidence與 client risk appetite更新。Demo factors不是 AMAT assumption。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7. Management summary design</w:t>
      </w:r>
    </w:p>
    <w:p>
      <w:r>
        <w:rPr>
          <w:rFonts w:ascii="Microsoft JhengHei" w:hAnsi="Microsoft JhengHei" w:eastAsia="Microsoft JhengHei"/>
        </w:rPr>
        <w:t>Management Summary只呈現：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approved / draft boundary與truth status；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first target year、base residual gap、combined-stress gap；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largest coverage expiry / step change；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material data-quality conditions；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三個需要 client decision 的問題；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handoff to 1.5 的 annual gap table / range。</w:t>
      </w:r>
    </w:p>
    <w:p>
      <w:r>
        <w:rPr>
          <w:rFonts w:ascii="Microsoft JhengHei" w:hAnsi="Microsoft JhengHei" w:eastAsia="Microsoft JhengHei"/>
        </w:rPr>
        <w:t>不在 summary放所有資料欄位或假精確的小數。詳細 lineage、source與mapping留在 model / data tracker。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Illustrative decision brief — SYNTHETIC</w:t>
      </w:r>
    </w:p>
    <w:p>
      <w:r>
        <w:rPr>
          <w:rFonts w:ascii="Microsoft JhengHei" w:hAnsi="Microsoft JhengHei" w:eastAsia="Microsoft JhengHei"/>
        </w:rPr>
        <w:t>&gt; Demo model在 2028 年計算出 target requirement 105,000 MWh、planning eligible existing procurement 52,250 MWh，因此 base residual gap為 52,750 MWh；combined stress case較高。這只證明 model 可跑，不代表 AMAT 的用電、target 或採購缺口。</w:t>
      </w:r>
    </w:p>
    <w:p>
      <w:r>
        <w:rPr>
          <w:rFonts w:ascii="Microsoft JhengHei" w:hAnsi="Microsoft JhengHei" w:eastAsia="Microsoft JhengHei"/>
        </w:rPr>
        <w:t>建議的 G3 decision wording：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Approve / approve with conditions / reject calculation boundary。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Approve named target curve and policy source。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Approve existing procurement treatment and factor owners。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Authorize annual gap / range as 1.5 demand input。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Assign unresolved evidence with owner / latest-needed date。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8. Review protocol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Analyst first draft</w:t>
      </w:r>
    </w:p>
    <w:p>
      <w:r>
        <w:rPr>
          <w:rFonts w:ascii="Microsoft JhengHei" w:hAnsi="Microsoft JhengHei" w:eastAsia="Microsoft JhengHei"/>
        </w:rPr>
        <w:t>先提交：boundary card、兩個年份、input lineage、base + one stress case、三個最大的 unknowns。不要等完整 site history才第一次 review。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Project lead review</w:t>
      </w:r>
    </w:p>
    <w:p>
      <w:r>
        <w:rPr>
          <w:rFonts w:ascii="Microsoft JhengHei" w:hAnsi="Microsoft JhengHei" w:eastAsia="Microsoft JhengHei"/>
        </w:rPr>
        <w:t>以 client lens 問：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如果數字錯，哪個 decision 會受影響？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哪個 assumption 被藏在 formula？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output 是否區分 contract / delivery / eligibility / claim？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1.5 是否能直接使用 annual gap / range？</w:t>
      </w:r>
    </w:p>
    <w:p>
      <w:pPr>
        <w:pStyle w:val="Heading3"/>
      </w:pPr>
      <w:r>
        <w:rPr>
          <w:rFonts w:ascii="Microsoft JhengHei" w:hAnsi="Microsoft JhengHei" w:eastAsia="Microsoft JhengHei"/>
          <w:b/>
          <w:color w:val="000000"/>
        </w:rPr>
        <w:t>Client review</w:t>
      </w:r>
    </w:p>
    <w:p>
      <w:r>
        <w:rPr>
          <w:rFonts w:ascii="Microsoft JhengHei" w:hAnsi="Microsoft JhengHei" w:eastAsia="Microsoft JhengHei"/>
        </w:rPr>
        <w:t>由各 owner分別核准 data、policy、commercial treatment；project sponsor / decision body核准 G3。不把沉默視為 approval。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9. Handoff to 1.5</w:t>
      </w:r>
    </w:p>
    <w:p>
      <w:r>
        <w:rPr>
          <w:rFonts w:ascii="Microsoft JhengHei" w:hAnsi="Microsoft JhengHei" w:eastAsia="Microsoft JhengHei"/>
        </w:rPr>
        <w:t>1.5 應收到：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annual base gap、stress gap、target / load curve；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site / technology / timing constraints（若有核准資料）；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existing procurement expiry / uncertainty；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data-quality condition與不能使用的欄位；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approved criteria owner與 date。</w:t>
      </w:r>
    </w:p>
    <w:p>
      <w:r>
        <w:rPr>
          <w:rFonts w:ascii="Microsoft JhengHei" w:hAnsi="Microsoft JhengHei" w:eastAsia="Microsoft JhengHei"/>
        </w:rPr>
        <w:t>1.5 不應重新發明 gap boundary；若改變，必須以 assumption / change log返回1.4並重新核准。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</w:rPr>
        <w:t>10. What this methodology does not conclude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不證明任何 AMAT site / load / target / policy fact。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不判定任何 procurement instrument 一定符合 AMAT 或 RE100 policy。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不提供法律意見、會計意見或 assurance。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</w:rPr>
        <w:t>不以 synthetic sensitivity代替正式 forecast / contract evidence。</w:t>
      </w:r>
    </w:p>
    <w:sectPr w:rsidR="00FC693F" w:rsidRPr="0006063C" w:rsidSect="00034616">
      <w:footerReference w:type="default" r:id="rId9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32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RE100 Gap Analysis Methodology v0.1</dc:title>
  <dc:subject>AMAT Pre-delivery Repository v0.1</dc:subject>
  <dc:creator>Optimum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