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Procurement Portfolio &amp; Scenario Methodology v0.1</w:t>
      </w:r>
    </w:p>
    <w:p>
      <w:r>
        <w:rPr>
          <w:rFonts w:ascii="Microsoft JhengHei" w:hAnsi="Microsoft JhengHei" w:eastAsia="Microsoft JhengHei"/>
        </w:rPr>
        <w:t xml:space="preserve">&gt; PRE-KICKOFF DRAFT。本文與 </w:t>
      </w:r>
      <w:r>
        <w:rPr>
          <w:rFonts w:ascii="Consolas" w:hAnsi="Consolas" w:eastAsia="Consolas"/>
          <w:sz w:val="19"/>
        </w:rPr>
        <w:t>Scenario_Model.xlsx</w:t>
      </w:r>
      <w:r>
        <w:rPr>
          <w:rFonts w:ascii="Microsoft JhengHei" w:hAnsi="Microsoft JhengHei" w:eastAsia="Microsoft JhengHei"/>
        </w:rPr>
        <w:t xml:space="preserve"> 是決策架構，不是 AMAT recommendation。所有 demo volume、price與score均為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Decision objective</w:t>
      </w:r>
    </w:p>
    <w:p>
      <w:r>
        <w:rPr>
          <w:rFonts w:ascii="Microsoft JhengHei" w:hAnsi="Microsoft JhengHei" w:eastAsia="Microsoft JhengHei"/>
        </w:rPr>
        <w:t>Scenario analysis要把「缺多少綠電」轉為「用哪些工具、何時開始、承諾多久、承擔什麼風險」。輸出不是單一最低價，而是可由 AMAT 明確接受 trade-offs 的 portfolio direction。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Entry gate</w:t>
      </w:r>
    </w:p>
    <w:p>
      <w:r>
        <w:rPr>
          <w:rFonts w:ascii="Microsoft JhengHei" w:hAnsi="Microsoft JhengHei" w:eastAsia="Microsoft JhengHei"/>
        </w:rPr>
        <w:t>開始前確認：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1.4 boundary、target curve與 annual gap / range已 approved 或 approved with conditions。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eligible procurement options與claim policy有 owner。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cost metric、currency、tax / settlement treatment、analysis horizon已定義。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 xml:space="preserve">hard constraints與preferences分開；未核准事項標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</w:t>
      </w:r>
    </w:p>
    <w:p>
      <w:r>
        <w:rPr>
          <w:rFonts w:ascii="Microsoft JhengHei" w:hAnsi="Microsoft JhengHei" w:eastAsia="Microsoft JhengHei"/>
        </w:rPr>
        <w:t>若 G3未通過，可做 synthetic / exploratory scenarios，但不能標為 recommended AMAT portfolio。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Option catalogue</w:t>
      </w:r>
    </w:p>
    <w:p>
      <w:r>
        <w:rPr>
          <w:rFonts w:ascii="Microsoft JhengHei" w:hAnsi="Microsoft JhengHei" w:eastAsia="Microsoft JhengHei"/>
        </w:rPr>
        <w:t>每個 option至少記錄：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Available / allocable volume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是否能 cover gap與profile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Start / COD / lead time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是否趕上 target year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Tenor / renewal / exit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commitment與future flexibility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Price / escalation / settlement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total cost與budget volatility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Technology / asset / project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diversification與maturity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Delivery / curtailment / firmness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 eligible MWh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Wheeling / meter / certificate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execution interfaces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Credit / guarantee / counterparty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risk與approval burden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Change / termination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downside protection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Evidence / truth status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是否可用於decision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Public / supplier / official / client evidence須分開。沒有 evidence的 availability / price保留為 </w:t>
      </w:r>
      <w:r>
        <w:rPr>
          <w:rFonts w:ascii="Consolas" w:hAnsi="Consolas" w:eastAsia="Consolas"/>
          <w:sz w:val="19"/>
        </w:rPr>
        <w:t>RESEARCH REQUIRED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Scenario archetypes</w:t>
      </w:r>
    </w:p>
    <w:p>
      <w:r>
        <w:rPr>
          <w:rFonts w:ascii="Microsoft JhengHei" w:hAnsi="Microsoft JhengHei" w:eastAsia="Microsoft JhengHei"/>
        </w:rPr>
        <w:t>v0.1使用三個刻意不同的 archetypes：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Balanced</w:t>
      </w:r>
    </w:p>
    <w:p>
      <w:r>
        <w:rPr>
          <w:rFonts w:ascii="Microsoft JhengHei" w:hAnsi="Microsoft JhengHei" w:eastAsia="Microsoft JhengHei"/>
        </w:rPr>
        <w:t>跨 onsite、short-term certificates、retailer與long-term supply分散，目標是平衡 timing、flexibility與concentration。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Speed / Flexibility</w:t>
      </w:r>
    </w:p>
    <w:p>
      <w:r>
        <w:rPr>
          <w:rFonts w:ascii="Microsoft JhengHei" w:hAnsi="Microsoft JhengHei" w:eastAsia="Microsoft JhengHei"/>
        </w:rPr>
        <w:t>使用較多可快速啟動 / 短期工具，降低 near-term timing risk，但可能提高 renewal、availability、claim policy或price volatility exposure。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Long-term Core</w:t>
      </w:r>
    </w:p>
    <w:p>
      <w:r>
        <w:rPr>
          <w:rFonts w:ascii="Microsoft JhengHei" w:hAnsi="Microsoft JhengHei" w:eastAsia="Microsoft JhengHei"/>
        </w:rPr>
        <w:t>提高長期主力型採購占比，可能改善long-term linkage / cost visibility，但提高 tenor、project / COD、credit與concentration dependencies。</w:t>
      </w:r>
    </w:p>
    <w:p>
      <w:r>
        <w:rPr>
          <w:rFonts w:ascii="Microsoft JhengHei" w:hAnsi="Microsoft JhengHei" w:eastAsia="Microsoft JhengHei"/>
        </w:rPr>
        <w:t>正式分析可新增 client-requested scenario，但不要用多個近似 scenarios製造假選擇。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Comparison logic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Quantitative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Procured MWh = sum(option allocations)。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Coverage = min(procured MWh / approved gap, 100%)。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Residual uncovered = max(approved gap − procured MWh, 0)。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Annual cost = sum(allocation × comparable unit cost)。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Weighted unit cost = annual cost / procured MWh。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Concentration = largest option allocation / total procured MWh。</w:t>
      </w:r>
    </w:p>
    <w:p>
      <w:r>
        <w:rPr>
          <w:rFonts w:ascii="Microsoft JhengHei" w:hAnsi="Microsoft JhengHei" w:eastAsia="Microsoft JhengHei"/>
        </w:rPr>
        <w:t>Comparable cost必須說明包含 / 不包含哪些 network、certificate、service、tax、settlement與risk components。Demo unit cost不是 market quote。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Qualitative score</w:t>
      </w:r>
    </w:p>
    <w:p>
      <w:r>
        <w:rPr>
          <w:rFonts w:ascii="Microsoft JhengHei" w:hAnsi="Microsoft JhengHei" w:eastAsia="Microsoft JhengHei"/>
        </w:rPr>
        <w:t>至少涵蓋 volume / profile、timing、cost、tenor / flexibility、execution、market / availability、concentration、dependency與claim relevance。1–5分前先寫 anchors：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 = 不符合 / 高風險 / evidence不足；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3 = 可行但有 material conditions；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5 = 強符合且 evidence充分。</w:t>
      </w:r>
    </w:p>
    <w:p>
      <w:r>
        <w:rPr>
          <w:rFonts w:ascii="Microsoft JhengHei" w:hAnsi="Microsoft JhengHei" w:eastAsia="Microsoft JhengHei"/>
        </w:rPr>
        <w:t>Hard constraint fail必須單獨標紅；不能以其他高分抵銷。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Sensitivity and risk</w:t>
      </w:r>
    </w:p>
    <w:p>
      <w:r>
        <w:rPr>
          <w:rFonts w:ascii="Microsoft JhengHei" w:hAnsi="Microsoft JhengHei" w:eastAsia="Microsoft JhengHei"/>
        </w:rPr>
        <w:t>至少測試：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gap使用1.4 base / stress range；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option delivery haircut / COD delay；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price / escalation range；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short-term availability / renewal failure；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long-term project / counterparty concentration；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claim / eligibility rule change。</w:t>
      </w:r>
    </w:p>
    <w:p>
      <w:r>
        <w:rPr>
          <w:rFonts w:ascii="Microsoft JhengHei" w:hAnsi="Microsoft JhengHei" w:eastAsia="Microsoft JhengHei"/>
        </w:rPr>
        <w:t>每個 sensitivity要回答「哪個scenario ranking / decision會改變」，而不只是多一張表。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Preliminary judgement protocol</w:t>
      </w:r>
    </w:p>
    <w:p>
      <w:r>
        <w:rPr>
          <w:rFonts w:ascii="Microsoft JhengHei" w:hAnsi="Microsoft JhengHei" w:eastAsia="Microsoft JhengHei"/>
        </w:rPr>
        <w:t>Analyst提交 first draft時同時寫：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my understanding of the decision；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why these scenarios are materially different；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assumptions / evidence requiring confirmation；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preliminary judgement與兩個主要 reasons；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what would change the judgement；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first market test needed in 2.x。</w:t>
      </w:r>
    </w:p>
    <w:p>
      <w:r>
        <w:rPr>
          <w:rFonts w:ascii="Microsoft JhengHei" w:hAnsi="Microsoft JhengHei" w:eastAsia="Microsoft JhengHei"/>
        </w:rPr>
        <w:t>Project lead從 client lens review：是否能核准、是否有hidden constraint、是否把synthetic values當fact、是否能直接形成 roadmap。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Management output</w:t>
      </w:r>
    </w:p>
    <w:p>
      <w:r>
        <w:rPr>
          <w:rFonts w:ascii="Microsoft JhengHei" w:hAnsi="Microsoft JhengHei" w:eastAsia="Microsoft JhengHei"/>
        </w:rPr>
        <w:t>一頁 summary呈現：recommended direction / condition、coverage / cost / concentration comparison、three critical risks、three client decisions、market evidence required與handoff owner。詳細方法、option rows與scores留在 workbook。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Illustrative conclusion — SYNTHETIC</w:t>
      </w:r>
    </w:p>
    <w:p>
      <w:r>
        <w:rPr>
          <w:rFonts w:ascii="Microsoft JhengHei" w:hAnsi="Microsoft JhengHei" w:eastAsia="Microsoft JhengHei"/>
        </w:rPr>
        <w:t>&gt; Demo中 Balanced scenario達到100% annual gap coverage，cost與concentration位於三方案中間。這不代表AMAT應選Balanced；真正結論取決於 approved gap、comparable price、timing / profile、policy、risk tolerance與market evidence。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Handoff to 1.6 and 2.x</w:t>
      </w:r>
    </w:p>
    <w:p>
      <w:r>
        <w:rPr>
          <w:rFonts w:ascii="Microsoft JhengHei" w:hAnsi="Microsoft JhengHei" w:eastAsia="Microsoft JhengHei"/>
        </w:rPr>
        <w:t>1.6接收 selected direction / acceptable range、near / medium / long-term volume、decision gates、owners、dependencies與approval dates。2.x接收 market questions、option evidence gaps、disclosure boundary、supplier fields與evaluation criteria。</w:t>
      </w:r>
    </w:p>
    <w:p>
      <w:r>
        <w:rPr>
          <w:rFonts w:ascii="Microsoft JhengHei" w:hAnsi="Microsoft JhengHei" w:eastAsia="Microsoft JhengHei"/>
        </w:rPr>
        <w:t>若 market evidence推翻 availability / price / COD假設，回到1.5更新 scenario；保留 version / decision rationale，不直接覆蓋。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Does not conclude</w:t>
      </w:r>
    </w:p>
    <w:p>
      <w:r>
        <w:rPr>
          <w:rFonts w:ascii="Microsoft JhengHei" w:hAnsi="Microsoft JhengHei" w:eastAsia="Microsoft JhengHei"/>
        </w:rPr>
        <w:t>本方法不證明 AMAT demand、budget、preference、supplier availability或market price；不提供法律、稅務、會計意見；不以總分取代 client judgement。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Portfolio &amp; Scenario Methodology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