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Market Engagement Protocol v0.1</w:t>
      </w:r>
    </w:p>
    <w:p>
      <w:r>
        <w:rPr>
          <w:rFonts w:ascii="Microsoft JhengHei" w:hAnsi="Microsoft JhengHei" w:eastAsia="Microsoft JhengHei"/>
        </w:rPr>
        <w:t xml:space="preserve">&gt; </w:t>
      </w:r>
      <w:r>
        <w:rPr>
          <w:rFonts w:ascii="Consolas" w:hAnsi="Consolas" w:eastAsia="Consolas"/>
          <w:sz w:val="19"/>
        </w:rPr>
        <w:t>PRE-KICKOFF DRAFT</w:t>
      </w:r>
      <w:r>
        <w:rPr>
          <w:rFonts w:ascii="Microsoft JhengHei" w:hAnsi="Microsoft JhengHei" w:eastAsia="Microsoft JhengHei"/>
        </w:rPr>
        <w:t xml:space="preserve">。實際 client identity、需求、contact list 與 disclosure authority 全為 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。本 protocol 不代表任何採購承諾。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 Objective and boundary</w:t>
      </w:r>
    </w:p>
    <w:p>
      <w:r>
        <w:rPr>
          <w:rFonts w:ascii="Microsoft JhengHei" w:hAnsi="Microsoft JhengHei" w:eastAsia="Microsoft JhengHei"/>
        </w:rPr>
        <w:t>接觸目的只在驗證 market hypotheses：供應類型、availability range、maturity、contracting route、timing、tenor、pricing structure、wheeling / meter、certificate treatment 與 next evidence。初步 sounding 不得被描述成競標、award 或 AMAT commitment。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 Pre-contact brief</w:t>
      </w:r>
    </w:p>
    <w:p>
      <w:r>
        <w:rPr>
          <w:rFonts w:ascii="Microsoft JhengHei" w:hAnsi="Microsoft JhengHei" w:eastAsia="Microsoft JhengHei"/>
        </w:rPr>
        <w:t>每次 contact 前填：decision question、target organisation / role、why selected、approved disclosure level、可說／不可說、五個 common questions、client / Optimum speaker、record owner、stop triggers、follow-up deadline。沒有 written G5 authority 就停在 public desktop research。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 Disclosure script</w:t>
      </w:r>
    </w:p>
    <w:p>
      <w:r>
        <w:rPr>
          <w:rFonts w:ascii="Microsoft JhengHei" w:hAnsi="Microsoft JhengHei" w:eastAsia="Microsoft JhengHei"/>
        </w:rPr>
        <w:t>可接受開場：</w:t>
      </w:r>
    </w:p>
    <w:p>
      <w:r>
        <w:rPr>
          <w:rFonts w:ascii="Microsoft JhengHei" w:hAnsi="Microsoft JhengHei" w:eastAsia="Microsoft JhengHei"/>
        </w:rPr>
        <w:t>&gt; Optimum is conducting a buyer-side market assessment. We are not requesting a binding offer at this stage. We would like to understand general capability and the evidence required for a later structured process. Any information shared will be recorded with its source and status; please identify confidential content.</w:t>
      </w:r>
    </w:p>
    <w:p>
      <w:r>
        <w:rPr>
          <w:rFonts w:ascii="Microsoft JhengHei" w:hAnsi="Microsoft JhengHei" w:eastAsia="Microsoft JhengHei"/>
        </w:rPr>
        <w:t>若 client identity 未授權：</w:t>
      </w:r>
    </w:p>
    <w:p>
      <w:r>
        <w:rPr>
          <w:rFonts w:ascii="Microsoft JhengHei" w:hAnsi="Microsoft JhengHei" w:eastAsia="Microsoft JhengHei"/>
        </w:rPr>
        <w:t>&gt; The buyer identity, exact sites, volume and timing are not disclosed at this stage. Please respond using capability ranges and assumptions. This discussion does not create exclusivity or commitment.</w:t>
      </w:r>
    </w:p>
    <w:p>
      <w:r>
        <w:rPr>
          <w:rFonts w:ascii="Microsoft JhengHei" w:hAnsi="Microsoft JhengHei" w:eastAsia="Microsoft JhengHei"/>
        </w:rPr>
        <w:t>不得暗示「client 已選中你」、「只剩你一家」、「數量已核准」或以另一家 offer 壓價。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 Common supplier questionnaire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contracting entity、role、license / qualification evidence（如適用）；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available route / asset、control relationship 與 double-count prevention；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technology、location band、maturity、COD / start range 與 evidence；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volume / profile range、firmness、seasonality、curtailment / shortfall treatment；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tenor、minimum block、ramp / flex / exit options；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6.  </w:t>
      </w:r>
      <w:r>
        <w:rPr>
          <w:rFonts w:ascii="Microsoft JhengHei" w:hAnsi="Microsoft JhengHei" w:eastAsia="Microsoft JhengHei"/>
        </w:rPr>
        <w:t>price structure / index / escalation / settlement components（初步可用結構，不索取未授權 quote）；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7.  </w:t>
      </w:r>
      <w:r>
        <w:rPr>
          <w:rFonts w:ascii="Microsoft JhengHei" w:hAnsi="Microsoft JhengHei" w:eastAsia="Microsoft JhengHei"/>
        </w:rPr>
        <w:t>wheeling、meter、site / network prerequisites 與 lead time；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8.  </w:t>
      </w:r>
      <w:r>
        <w:rPr>
          <w:rFonts w:ascii="Microsoft JhengHei" w:hAnsi="Microsoft JhengHei" w:eastAsia="Microsoft JhengHei"/>
        </w:rPr>
        <w:t>T-REC issuance / transfer / timing / ownership / replacement；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9.  </w:t>
      </w:r>
      <w:r>
        <w:rPr>
          <w:rFonts w:ascii="Microsoft JhengHei" w:hAnsi="Microsoft JhengHei" w:eastAsia="Microsoft JhengHei"/>
        </w:rPr>
        <w:t>credit、guarantee、CP 與 parent / project-company interface；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10.  </w:t>
      </w:r>
      <w:r>
        <w:rPr>
          <w:rFonts w:ascii="Microsoft JhengHei" w:hAnsi="Microsoft JhengHei" w:eastAsia="Microsoft JhengHei"/>
        </w:rPr>
        <w:t>confidentiality classification、next evidence、validity date、contact owner。</w:t>
      </w:r>
    </w:p>
    <w:p>
      <w:r>
        <w:rPr>
          <w:rFonts w:ascii="Microsoft JhengHei" w:hAnsi="Microsoft JhengHei" w:eastAsia="Microsoft JhengHei"/>
        </w:rPr>
        <w:t xml:space="preserve">所有回答分成 </w:t>
      </w:r>
      <w:r>
        <w:rPr>
          <w:rFonts w:ascii="Consolas" w:hAnsi="Consolas" w:eastAsia="Consolas"/>
          <w:sz w:val="19"/>
        </w:rPr>
        <w:t>written supplier statement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oral statement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official evidence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Optimum inference</w:t>
      </w:r>
      <w:r>
        <w:rPr>
          <w:rFonts w:ascii="Microsoft JhengHei" w:hAnsi="Microsoft JhengHei" w:eastAsia="Microsoft JhengHei"/>
        </w:rPr>
        <w:t>；沒有文件不能升格為 verified。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5. Email and meeting pattern</w:t>
      </w:r>
    </w:p>
    <w:p>
      <w:r>
        <w:rPr>
          <w:rFonts w:ascii="Microsoft JhengHei" w:hAnsi="Microsoft JhengHei" w:eastAsia="Microsoft JhengHei"/>
          <w:b/>
        </w:rPr>
        <w:t>Subject:</w:t>
      </w:r>
      <w:r>
        <w:rPr>
          <w:rFonts w:ascii="Microsoft JhengHei" w:hAnsi="Microsoft JhengHei" w:eastAsia="Microsoft JhengHei"/>
        </w:rPr>
        <w:t xml:space="preserve"> Non-binding Taiwan renewable electricity market sounding — capability discussion</w:t>
      </w:r>
    </w:p>
    <w:p>
      <w:r>
        <w:rPr>
          <w:rFonts w:ascii="Microsoft JhengHei" w:hAnsi="Microsoft JhengHei" w:eastAsia="Microsoft JhengHei"/>
        </w:rPr>
        <w:t>Email body：說明 buyer-side role、non-binding、disclosure boundary、agenda、requested ranges / evidence、confidential marking、30–45 分鐘時間與 single point of contact。附件使用 approved questionnaire；不夾帶 client confidential files。</w:t>
      </w:r>
    </w:p>
    <w:p>
      <w:r>
        <w:rPr>
          <w:rFonts w:ascii="Microsoft JhengHei" w:hAnsi="Microsoft JhengHei" w:eastAsia="Microsoft JhengHei"/>
        </w:rPr>
        <w:t>Meeting agenda：5 分鐘目的／邊界；20 分鐘 common questions；10 分鐘 evidence / gaps；5 分鐘 next steps。會後 24 小時內送 internal record；若需對外確認，只確認 factual record，不送他方比較。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6. Comparable fields and feedback memo</w:t>
      </w:r>
    </w:p>
    <w:p>
      <w:r>
        <w:rPr>
          <w:rFonts w:ascii="Microsoft JhengHei" w:hAnsi="Microsoft JhengHei" w:eastAsia="Microsoft JhengHei"/>
        </w:rPr>
        <w:t>Market feedback memo 應只回答：哪些 hypothesis 被支持／否定；available range 與證據；共同 commercial patterns；material variations；unresolved red flags；對 2.3 / 2.4 / RFQ field 的 implication；建議 expand / stop / clarify。不得把單一 supplier statement 寫成 market fact。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7. Red flags and stop rules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要求未授權的 client identity / exact data 才願意繼續；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要求分享 competitor offer、未公開 pipeline 或 personal information；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施壓要求 exclusivity、commitment 或 bypass client process；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asset ownership / control、license、COD、volume 或 certificate story 前後矛盾；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不願書面確認 material statement 或 confidentiality terms；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Optimum / team member 有未揭露 conflict。</w:t>
      </w:r>
    </w:p>
    <w:p>
      <w:r>
        <w:rPr>
          <w:rFonts w:ascii="Microsoft JhengHei" w:hAnsi="Microsoft JhengHei" w:eastAsia="Microsoft JhengHei"/>
        </w:rPr>
        <w:t>遇到時停止承諾、記錄原話與來源、通知 Project Lead；必要時由 client Legal / Procurement 決定是否續行。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8. Acceptable / unacceptable conduct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Acceptable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Unacceptable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對所有受訪者使用相同 core questions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用關係熟悉度取代 evidence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說明目前只是 non-binding assessment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暗示 award、volume 或 deadline 已核准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將他家條件抽象成 client criterion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揭露另一供應商名稱、價格或 confidential terms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把不確定回答標成 supplier statement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把口頭 claim 改寫成 verified fact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中立說明 gaps 與 follow-up evidence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gossip、人格評斷、利用 client pipeline 當 social currency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9. Review and handoff</w:t>
      </w:r>
    </w:p>
    <w:p>
      <w:r>
        <w:rPr>
          <w:rFonts w:ascii="Microsoft JhengHei" w:hAnsi="Microsoft JhengHei" w:eastAsia="Microsoft JhengHei"/>
        </w:rPr>
        <w:t>每週 review interaction coverage、unanswered fields、red flags、stale validity 與 disclosure incidents。2.3 / 2.4 只讀取 comparable fields；2.5 RFQ 將 repeated ambiguities 轉成 mandatory response field；2.6 DD 追蹤未驗證 evidence，不重問無目的問題。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Engagement Protocol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