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 w:val="0"/>
          <w:color w:val="000000"/>
          <w:sz w:val="50"/>
        </w:rPr>
        <w:t>Short-term Procurement Assessment Memo v0.1</w:t>
      </w:r>
    </w:p>
    <w:p>
      <w:r>
        <w:rPr>
          <w:rFonts w:ascii="Microsoft JhengHei" w:hAnsi="Microsoft JhengHei" w:eastAsia="Microsoft JhengHei"/>
        </w:rPr>
        <w:t xml:space="preserve">&gt; </w:t>
      </w:r>
      <w:r>
        <w:rPr>
          <w:rFonts w:ascii="Consolas" w:hAnsi="Consolas" w:eastAsia="Consolas"/>
          <w:sz w:val="19"/>
        </w:rPr>
        <w:t>PRE-KICKOFF DRAFT</w:t>
      </w:r>
      <w:r>
        <w:rPr>
          <w:rFonts w:ascii="Microsoft JhengHei" w:hAnsi="Microsoft JhengHei" w:eastAsia="Microsoft JhengHei"/>
        </w:rPr>
        <w:t xml:space="preserve">。所有 volume、price、availability 與 option rows 皆為 </w:t>
      </w:r>
      <w:r>
        <w:rPr>
          <w:rFonts w:ascii="Consolas" w:hAnsi="Consolas" w:eastAsia="Consolas"/>
          <w:sz w:val="19"/>
        </w:rPr>
        <w:t>SYNTHETIC / DEMO DATA</w:t>
      </w:r>
      <w:r>
        <w:rPr>
          <w:rFonts w:ascii="Microsoft JhengHei" w:hAnsi="Microsoft JhengHei" w:eastAsia="Microsoft JhengHei"/>
        </w:rPr>
        <w:t xml:space="preserve">；AMAT eligibility / claim policy 為 </w:t>
      </w:r>
      <w:r>
        <w:rPr>
          <w:rFonts w:ascii="Consolas" w:hAnsi="Consolas" w:eastAsia="Consolas"/>
          <w:sz w:val="19"/>
        </w:rPr>
        <w:t>TBD WITH CLIENT</w:t>
      </w:r>
      <w:r>
        <w:rPr>
          <w:rFonts w:ascii="Microsoft JhengHei" w:hAnsi="Microsoft JhengHei" w:eastAsia="Microsoft JhengHei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Executive decision</w:t>
      </w:r>
    </w:p>
    <w:p>
      <w:r>
        <w:rPr>
          <w:rFonts w:ascii="Microsoft JhengHei" w:hAnsi="Microsoft JhengHei" w:eastAsia="Microsoft JhengHei"/>
        </w:rPr>
        <w:t>短期方案只應處理明確 residual timing gap，並保留中長期主力方案的選擇權。決策不是「最便宜是哪個」，而是：在 approved eligibility、delivery confidence 與 certificate control 下，以多大 volume、何種 tenure 取得可接受的 bridge。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Assessment logic</w:t>
      </w:r>
    </w:p>
    <w:p>
      <w:r>
        <w:rPr>
          <w:rFonts w:ascii="Microsoft JhengHei" w:hAnsi="Microsoft JhengHei" w:eastAsia="Microsoft JhengHei"/>
        </w:rPr>
        <w:t>先做 hard screens：claim / eligibility、delivery period、certificate ownership / transfer、no double count、minimum volume / site fit、information / conflict red flags。通過後比較 availability confidence、all-in cost structure、tenor、start timing、volume flex、technology / vintage、settlement、replacement、execution resources 與 market dependency。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Option archetypes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Archetype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Potential role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Strength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Main issue to verify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Short bundled supply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electricity + certificate bridge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可能簡化 interface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真實 availability、wheeling / meter、價格組成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Unbundled certificate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residual claim bridge（若 policy 允許）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speed / granularity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eligibility、vintage、ownership、replacement、double claim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Short portfolio / retailer product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分散多資產 / 較彈性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aggregation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underlying asset evidence、allocation、reconciliation、counterparty dependency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這些是分析 archetype，不代表台灣市場當期一定存在，也不是 AMAT recommendation。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Cost and risk view</w:t>
      </w:r>
    </w:p>
    <w:p>
      <w:r>
        <w:rPr>
          <w:rFonts w:ascii="Microsoft JhengHei" w:hAnsi="Microsoft JhengHei" w:eastAsia="Microsoft JhengHei"/>
        </w:rPr>
        <w:t>模型至少分開：energy / premium、certificate、wheeling / service、fees、tax treatment、settlement / index、one-off implementation、replacement / shortfall exposure。無 quote 時用 range + confidence，不用單點假精準。比較 annual / cumulative cost、NTD/MWh、coverage、uncovered gap、concentration 與 flexibility。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Preliminary judgement</w:t>
      </w:r>
    </w:p>
    <w:p>
      <w:r>
        <w:rPr>
          <w:rFonts w:ascii="Consolas" w:hAnsi="Consolas" w:eastAsia="Consolas"/>
          <w:sz w:val="19"/>
        </w:rPr>
        <w:t>HYPOTHESIS</w:t>
      </w:r>
      <w:r>
        <w:rPr>
          <w:rFonts w:ascii="Microsoft JhengHei" w:hAnsi="Microsoft JhengHei" w:eastAsia="Microsoft JhengHei"/>
        </w:rPr>
        <w:t xml:space="preserve">：先保留一個 small / flexible bridge option，可降低長期 project COD 或 approval slip 的衝擊；但若 eligibility、certificate control 或 supplier evidence 不足，應選 </w:t>
      </w:r>
      <w:r>
        <w:rPr>
          <w:rFonts w:ascii="Consolas" w:hAnsi="Consolas" w:eastAsia="Consolas"/>
          <w:sz w:val="19"/>
        </w:rPr>
        <w:t>reserve / research more</w:t>
      </w:r>
      <w:r>
        <w:rPr>
          <w:rFonts w:ascii="Microsoft JhengHei" w:hAnsi="Microsoft JhengHei" w:eastAsia="Microsoft JhengHei"/>
        </w:rPr>
        <w:t>，不可只因短期可買就 proceed。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Decision brief</w:t>
      </w:r>
    </w:p>
    <w:p>
      <w:r>
        <w:rPr>
          <w:rFonts w:ascii="Microsoft JhengHei" w:hAnsi="Microsoft JhengHei" w:eastAsia="Microsoft JhengHei"/>
        </w:rPr>
        <w:t>會議需決定：bridge need / max volume、eligible archetype、maximum tenor、required evidence、budget metric、go / pilot / reserve / reject、與 2.4 的 replacement / expiry trigger。任何 approved-with-condition 都要有 owner 與 date。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Handoff</w:t>
      </w:r>
    </w:p>
    <w:p>
      <w:r>
        <w:rPr>
          <w:rFonts w:ascii="Microsoft JhengHei" w:hAnsi="Microsoft JhengHei" w:eastAsia="Microsoft JhengHei"/>
        </w:rPr>
        <w:t>Selected option fields直接成為 2.5 mandatory response columns；2.6 hard screen 必須包括 eligibility / certificate / delivery；3.1 記錄 final volume、validity、price structure 與 fallback。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Short-term Procurement Assessment Memo v0.1</dc:title>
  <dc:subject>AMAT Pre-delivery Repository v0.1</dc:subject>
  <dc:creator>Optimum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