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Long-term Procurement Assessment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PRE-KICKOFF DRAFT</w:t>
      </w:r>
      <w:r>
        <w:rPr>
          <w:rFonts w:ascii="Microsoft JhengHei" w:hAnsi="Microsoft JhengHei" w:eastAsia="Microsoft JhengHei"/>
        </w:rPr>
        <w:t xml:space="preserve">。所有 option / project / price / COD 資料皆為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Consolas" w:hAnsi="Consolas" w:eastAsia="Consolas"/>
          <w:sz w:val="19"/>
        </w:rPr>
        <w:t>RESEARCH REQUIRED</w:t>
      </w:r>
      <w:r>
        <w:rPr>
          <w:rFonts w:ascii="Microsoft JhengHei" w:hAnsi="Microsoft JhengHei" w:eastAsia="Microsoft JhengHei"/>
        </w:rPr>
        <w:t>，不代表 AMAT 或市場現況。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Executive decision</w:t>
      </w:r>
    </w:p>
    <w:p>
      <w:r>
        <w:rPr>
          <w:rFonts w:ascii="Microsoft JhengHei" w:hAnsi="Microsoft JhengHei" w:eastAsia="Microsoft JhengHei"/>
        </w:rPr>
        <w:t>長期方案需用 risk-adjusted delivered value，而非 headline price 排序。先核准：可接受 contracting structures、volume / tenor range、COD tolerance、price / index boundaries、credit / security原則與不可接受的 risk allocation，再啟動 RFQ。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Structure map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retailer / bundled route：單一 commercial interface，但需驗證 underlying asset、pass-through、replacement與counterparty dependency；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direct / project-linked PPA / CPPA hypothesis：較強 project linkage，需驗證 contracting / wheeling interface、project company / guarantee、COD與generation allocation；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portfolio / aggregation：可能降低單一資產集中，需驗證 allocation transparency、substitution、certificate與settlement；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phased / layered structure：分批 volume / start / tenor，可能保留選擇權，但治理與比較較複雜。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Project maturity evidence</w:t>
      </w:r>
    </w:p>
    <w:p>
      <w:r>
        <w:rPr>
          <w:rFonts w:ascii="Microsoft JhengHei" w:hAnsi="Microsoft JhengHei" w:eastAsia="Microsoft JhengHei"/>
        </w:rPr>
        <w:t>至少追蹤 site / land control、permits / approvals（按適用性）、interconnection / wheeling readiness、EPC / financing、equipment / schedule、commercial operation evidence、ownership / control、generation study、certificate path。具體法律與許可判斷交由 qualified counsel / technical advisor；Optimum做 commercial / evidence coordination。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Commercial comparison</w:t>
      </w:r>
    </w:p>
    <w:p>
      <w:r>
        <w:rPr>
          <w:rFonts w:ascii="Microsoft JhengHei" w:hAnsi="Microsoft JhengHei" w:eastAsia="Microsoft JhengHei"/>
        </w:rPr>
        <w:t>共同欄位：contract volume、expected profile、take / pay 或 as-generated、COD / delay、tenor、base price、escalation / index、settlement、curtailment、shortfall / replacement、wheeling / loss / service cost、T-REC ownership / timing、credit / guarantee、CP、change、termination與step-in / assignment。用 P50 / downside / delay scenarios 表達，不用一個單點遮蔽不確定性。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Risk allocation questions</w:t>
      </w:r>
    </w:p>
    <w:p>
      <w:r>
        <w:rPr>
          <w:rFonts w:ascii="Microsoft JhengHei" w:hAnsi="Microsoft JhengHei" w:eastAsia="Microsoft JhengHei"/>
        </w:rPr>
        <w:t>誰承擔 project delay、network delay、generation shortfall、curtailment、meter / data error、certificate late / invalid、law / tariff change、credit deterioration與force majeure？每項需有 event、owner、notice、measurement、remedy、cap / security與termination consequence。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：shortlist 應優先保留 project evidence較完整、risk allocation可落地且與 client approval / implementation lead time相容的方案，即使 nominal price不是最低。實際結論需以 bidder data、financial / legal / technical DD驗證。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brief</w:t>
      </w:r>
    </w:p>
    <w:p>
      <w:r>
        <w:rPr>
          <w:rFonts w:ascii="Microsoft JhengHei" w:hAnsi="Microsoft JhengHei" w:eastAsia="Microsoft JhengHei"/>
        </w:rPr>
        <w:t>核准 long-term volume / start / tenor range；hard constraints；price comparison metric；credit / guarantee boundary；COD / underdelivery tolerance；RFQ questions；需 counsel / specialist review 的項目；fallback / layered strategy。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Handoff</w:t>
      </w:r>
    </w:p>
    <w:p>
      <w:r>
        <w:rPr>
          <w:rFonts w:ascii="Microsoft JhengHei" w:hAnsi="Microsoft JhengHei" w:eastAsia="Microsoft JhengHei"/>
        </w:rPr>
        <w:t>2.5 response template 應逐欄取得上述資訊；2.6 scorecard須把 maturity與risk allocation獨立於 price；3.1鎖定 negotiation mandate；3.2把 unresolved allocation轉為 clause issue。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Procurement Assessment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