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Targeted Renewable Electricity RFQ / RFP Package v0.1</w:t>
      </w:r>
    </w:p>
    <w:p>
      <w:r>
        <w:rPr>
          <w:rFonts w:ascii="Microsoft JhengHei" w:hAnsi="Microsoft JhengHei" w:eastAsia="Microsoft JhengHei"/>
        </w:rPr>
        <w:t xml:space="preserve">&gt; </w:t>
      </w:r>
      <w:r>
        <w:rPr>
          <w:rFonts w:ascii="Consolas" w:hAnsi="Consolas" w:eastAsia="Consolas"/>
          <w:sz w:val="19"/>
        </w:rPr>
        <w:t>CLIENT-FACING STRUCTURE DRAFT</w:t>
      </w:r>
      <w:r>
        <w:rPr>
          <w:rFonts w:ascii="Microsoft JhengHei" w:hAnsi="Microsoft JhengHei" w:eastAsia="Microsoft JhengHei"/>
        </w:rPr>
        <w:t xml:space="preserve">。Client name / sites / volume / dates / bidders / legal terms皆為 </w:t>
      </w:r>
      <w:r>
        <w:rPr>
          <w:rFonts w:ascii="Consolas" w:hAnsi="Consolas" w:eastAsia="Consolas"/>
          <w:sz w:val="19"/>
        </w:rPr>
        <w:t>TBD WITH CLIENT</w:t>
      </w:r>
      <w:r>
        <w:rPr>
          <w:rFonts w:ascii="Microsoft JhengHei" w:hAnsi="Microsoft JhengHei" w:eastAsia="Microsoft JhengHei"/>
        </w:rPr>
        <w:t>。本文件不是 offer、award、legal advice 或 AMAT commitment。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1. Purpose and process status</w:t>
      </w:r>
    </w:p>
    <w:p>
      <w:r>
        <w:rPr>
          <w:rFonts w:ascii="Microsoft JhengHei" w:hAnsi="Microsoft JhengHei" w:eastAsia="Microsoft JhengHei"/>
        </w:rPr>
        <w:t xml:space="preserve">The Buyer intends to obtain non-binding / binding proposals </w:t>
      </w:r>
      <w:r>
        <w:rPr>
          <w:rFonts w:ascii="Microsoft JhengHei" w:hAnsi="Microsoft JhengHei" w:eastAsia="Microsoft JhengHei"/>
          <w:b/>
        </w:rPr>
        <w:t>as specified in the final issued package</w:t>
      </w:r>
      <w:r>
        <w:rPr>
          <w:rFonts w:ascii="Microsoft JhengHei" w:hAnsi="Microsoft JhengHei" w:eastAsia="Microsoft JhengHei"/>
        </w:rPr>
        <w:t xml:space="preserve"> for Taiwan renewable electricity procurement. The final process type, authority and reservation of rights must be confirmed by Buyer Procurement and Legal before issue.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2. Bidder instructions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 xml:space="preserve">submit through the approved channel by </w:t>
      </w:r>
      <w:r>
        <w:rPr>
          <w:rFonts w:ascii="Consolas" w:hAnsi="Consolas" w:eastAsia="Consolas"/>
          <w:sz w:val="19"/>
        </w:rPr>
        <w:t>[TBD date/time/time zone]</w:t>
      </w:r>
      <w:r>
        <w:rPr>
          <w:rFonts w:ascii="Microsoft JhengHei" w:hAnsi="Microsoft JhengHei" w:eastAsia="Microsoft JhengHei"/>
        </w:rPr>
        <w:t>;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 xml:space="preserve">use </w:t>
      </w:r>
      <w:r>
        <w:rPr>
          <w:rFonts w:ascii="Consolas" w:hAnsi="Consolas" w:eastAsia="Consolas"/>
          <w:sz w:val="19"/>
        </w:rPr>
        <w:t>Supplier_Response_Template.xlsx</w:t>
      </w:r>
      <w:r>
        <w:rPr>
          <w:rFonts w:ascii="Microsoft JhengHei" w:hAnsi="Microsoft JhengHei" w:eastAsia="Microsoft JhengHei"/>
        </w:rPr>
        <w:t>; do not change IDs, units or formulas;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state all assumptions, exceptions, validity and dependencies;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distinguish contracting entity, project owner, generator, retailer and guarantor;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mark confidential information and identify permitted recipients / use;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 xml:space="preserve">direct questions only to </w:t>
      </w:r>
      <w:r>
        <w:rPr>
          <w:rFonts w:ascii="Consolas" w:hAnsi="Consolas" w:eastAsia="Consolas"/>
          <w:sz w:val="19"/>
        </w:rPr>
        <w:t>[TBD single point of contact]</w:t>
      </w:r>
      <w:r>
        <w:rPr>
          <w:rFonts w:ascii="Microsoft JhengHei" w:hAnsi="Microsoft JhengHei" w:eastAsia="Microsoft JhengHei"/>
        </w:rPr>
        <w:t>; no side-channel lobbying;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Buyer / advisor may clarify, shortlist, negotiate, amend or discontinue subject to final legal language.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3. Requirement summary</w:t>
      </w:r>
    </w:p>
    <w:p>
      <w:r>
        <w:rPr>
          <w:rFonts w:ascii="Microsoft JhengHei" w:hAnsi="Microsoft JhengHei" w:eastAsia="Microsoft JhengHei"/>
        </w:rPr>
        <w:t>Bidder must respond to volume / profile, start / COD, tenor, technology, site / delivery interface, certificate treatment, pricing / index / settlement, flexibility, project maturity, credit / guarantee, conditions precedent, risk allocation and implementation readiness. All Buyer-specific values remain TBD until G6 approval.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4. Mandatory response structure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Microsoft JhengHei" w:hAnsi="Microsoft JhengHei" w:eastAsia="Microsoft JhengHei"/>
        </w:rPr>
        <w:t>organisation / contracting chain and authorized contact;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2.  </w:t>
      </w:r>
      <w:r>
        <w:rPr>
          <w:rFonts w:ascii="Microsoft JhengHei" w:hAnsi="Microsoft JhengHei" w:eastAsia="Microsoft JhengHei"/>
        </w:rPr>
        <w:t>route / asset stable IDs and ownership / control evidence;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3.  </w:t>
      </w:r>
      <w:r>
        <w:rPr>
          <w:rFonts w:ascii="Microsoft JhengHei" w:hAnsi="Microsoft JhengHei" w:eastAsia="Microsoft JhengHei"/>
        </w:rPr>
        <w:t>volume / generation profile / firmness / allocation;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4.  </w:t>
      </w:r>
      <w:r>
        <w:rPr>
          <w:rFonts w:ascii="Microsoft JhengHei" w:hAnsi="Microsoft JhengHei" w:eastAsia="Microsoft JhengHei"/>
        </w:rPr>
        <w:t>COD / start / milestones / delay remedy;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5.  </w:t>
      </w:r>
      <w:r>
        <w:rPr>
          <w:rFonts w:ascii="Microsoft JhengHei" w:hAnsi="Microsoft JhengHei" w:eastAsia="Microsoft JhengHei"/>
        </w:rPr>
        <w:t>tenor / ramp / flex / renewal / exit;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6.  </w:t>
      </w:r>
      <w:r>
        <w:rPr>
          <w:rFonts w:ascii="Microsoft JhengHei" w:hAnsi="Microsoft JhengHei" w:eastAsia="Microsoft JhengHei"/>
        </w:rPr>
        <w:t>pricing components, units, currency, tax / fees, index / escalation, settlement examples;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7.  </w:t>
      </w:r>
      <w:r>
        <w:rPr>
          <w:rFonts w:ascii="Microsoft JhengHei" w:hAnsi="Microsoft JhengHei" w:eastAsia="Microsoft JhengHei"/>
        </w:rPr>
        <w:t>wheeling / meter / loss / site prerequisites and responsibilities;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8.  </w:t>
      </w:r>
      <w:r>
        <w:rPr>
          <w:rFonts w:ascii="Microsoft JhengHei" w:hAnsi="Microsoft JhengHei" w:eastAsia="Microsoft JhengHei"/>
        </w:rPr>
        <w:t>T-REC issuance / transfer / ownership / timing / replacement / no double claim;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9.  </w:t>
      </w:r>
      <w:r>
        <w:rPr>
          <w:rFonts w:ascii="Microsoft JhengHei" w:hAnsi="Microsoft JhengHei" w:eastAsia="Microsoft JhengHei"/>
        </w:rPr>
        <w:t>credit / guarantees / parent support / security;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10.  </w:t>
      </w:r>
      <w:r>
        <w:rPr>
          <w:rFonts w:ascii="Microsoft JhengHei" w:hAnsi="Microsoft JhengHei" w:eastAsia="Microsoft JhengHei"/>
        </w:rPr>
        <w:t>curtailment / shortfall / force majeure / change / default / termination positions;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11.  </w:t>
      </w:r>
      <w:r>
        <w:rPr>
          <w:rFonts w:ascii="Microsoft JhengHei" w:hAnsi="Microsoft JhengHei" w:eastAsia="Microsoft JhengHei"/>
        </w:rPr>
        <w:t>implementation plan, data / reporting and BAU contacts;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12.  </w:t>
      </w:r>
      <w:r>
        <w:rPr>
          <w:rFonts w:ascii="Microsoft JhengHei" w:hAnsi="Microsoft JhengHei" w:eastAsia="Microsoft JhengHei"/>
        </w:rPr>
        <w:t>deviations, validity, evidence index and conflicts.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5. Pricing and comparability rules</w:t>
      </w:r>
    </w:p>
    <w:p>
      <w:r>
        <w:rPr>
          <w:rFonts w:ascii="Microsoft JhengHei" w:hAnsi="Microsoft JhengHei" w:eastAsia="Microsoft JhengHei"/>
        </w:rPr>
        <w:t xml:space="preserve">Quote each component separately and an all-in reconciliation where possible. Use the issued volume / profile / start / base-date assumptions; provide sensitivity for specified changes. A blank means </w:t>
      </w:r>
      <w:r>
        <w:rPr>
          <w:rFonts w:ascii="Consolas" w:hAnsi="Consolas" w:eastAsia="Consolas"/>
          <w:sz w:val="19"/>
        </w:rPr>
        <w:t>NOT PROVIDED</w:t>
      </w:r>
      <w:r>
        <w:rPr>
          <w:rFonts w:ascii="Microsoft JhengHei" w:hAnsi="Microsoft JhengHei" w:eastAsia="Microsoft JhengHei"/>
        </w:rPr>
        <w:t>, not zero. Suppliers must identify pass-through items, exclusions, caps / floors, escalation, loss factor, taxes, fees and credit cost. Optimum will normalize for comparison without disclosing one supplier’s confidential offer to another.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6. Evidence requirements</w:t>
      </w:r>
    </w:p>
    <w:p>
      <w:r>
        <w:rPr>
          <w:rFonts w:ascii="Microsoft JhengHei" w:hAnsi="Microsoft JhengHei" w:eastAsia="Microsoft JhengHei"/>
        </w:rPr>
        <w:t>Each material claim links to a document / source ID and as-of date. Company capability is not asset availability. Bidder states whether evidence is provided now, available in DD, unavailable or not applicable. Buyer may condition evaluation on verification.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7. Q&amp;A and addenda</w:t>
      </w:r>
    </w:p>
    <w:p>
      <w:r>
        <w:rPr>
          <w:rFonts w:ascii="Microsoft JhengHei" w:hAnsi="Microsoft JhengHei" w:eastAsia="Microsoft JhengHei"/>
        </w:rPr>
        <w:t xml:space="preserve">Questions close at </w:t>
      </w:r>
      <w:r>
        <w:rPr>
          <w:rFonts w:ascii="Consolas" w:hAnsi="Consolas" w:eastAsia="Consolas"/>
          <w:sz w:val="19"/>
        </w:rPr>
        <w:t>[TBD]</w:t>
      </w:r>
      <w:r>
        <w:rPr>
          <w:rFonts w:ascii="Microsoft JhengHei" w:hAnsi="Microsoft JhengHei" w:eastAsia="Microsoft JhengHei"/>
        </w:rPr>
        <w:t>; anonymised process-relevant answers may be shared equally. Material assumption changes issue as numbered addenda with acknowledgement. Individual confidential clarifications remain restricted but cannot silently change common evaluation rules.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8. Evaluation overview</w:t>
      </w:r>
    </w:p>
    <w:p>
      <w:r>
        <w:rPr>
          <w:rFonts w:ascii="Microsoft JhengHei" w:hAnsi="Microsoft JhengHei" w:eastAsia="Microsoft JhengHei"/>
        </w:rPr>
        <w:t xml:space="preserve">Stage 1: completeness, eligibility and hard constraints. Stage 2: commercial / volume / timing / flexibility. Stage 3: project / execution / certificate / counterparty DD. Stage 4: shortlist decision and negotiation mandate. Final weights and approvers are </w:t>
      </w:r>
      <w:r>
        <w:rPr>
          <w:rFonts w:ascii="Consolas" w:hAnsi="Consolas" w:eastAsia="Consolas"/>
          <w:sz w:val="19"/>
        </w:rPr>
        <w:t>TBD WITH CLIENT</w:t>
      </w:r>
      <w:r>
        <w:rPr>
          <w:rFonts w:ascii="Microsoft JhengHei" w:hAnsi="Microsoft JhengHei" w:eastAsia="Microsoft JhengHei"/>
        </w:rPr>
        <w:t>; lowest headline price does not guarantee selection.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9. Timetable placeholder</w:t>
      </w:r>
    </w:p>
    <w:p>
      <w:r>
        <w:rPr>
          <w:rFonts w:ascii="Microsoft JhengHei" w:hAnsi="Microsoft JhengHei" w:eastAsia="Microsoft JhengHei"/>
        </w:rPr>
        <w:t>Issue → bidder briefing → question deadline → addendum → response deadline → completeness clarification → evaluation / DD → shortlist → negotiation. Dates and time zone require client approval; late-response treatment must be stated before issue.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10. Legal / confidentiality boundary</w:t>
      </w:r>
    </w:p>
    <w:p>
      <w:r>
        <w:rPr>
          <w:rFonts w:ascii="Microsoft JhengHei" w:hAnsi="Microsoft JhengHei" w:eastAsia="Microsoft JhengHei"/>
        </w:rPr>
        <w:t>Final NDA, solicitation terms, disclaimers, anti-collusion, data protection, governing law and reservation rights require Buyer Legal / Procurement approval. Optimum provides commercial process support and does not replace legal counsel.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Targeted Renewable Electricity RFQ / RFP Package v0.1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