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rPr>
          <w:rFonts w:ascii="Microsoft JhengHei" w:hAnsi="Microsoft JhengHei" w:eastAsia="Microsoft JhengHei"/>
          <w:b w:val="0"/>
          <w:color w:val="000000"/>
          <w:sz w:val="50"/>
        </w:rPr>
        <w:t>Evaluation, Due Diligence &amp; Shortlist Decision Memo v0.1</w:t>
      </w:r>
    </w:p>
    <w:p>
      <w:r>
        <w:rPr>
          <w:rFonts w:ascii="Microsoft JhengHei" w:hAnsi="Microsoft JhengHei" w:eastAsia="Microsoft JhengHei"/>
        </w:rPr>
        <w:t xml:space="preserve">&gt; </w:t>
      </w:r>
      <w:r>
        <w:rPr>
          <w:rFonts w:ascii="Consolas" w:hAnsi="Consolas" w:eastAsia="Consolas"/>
          <w:sz w:val="19"/>
        </w:rPr>
        <w:t>PRE-KICKOFF DRAFT</w:t>
      </w:r>
      <w:r>
        <w:rPr>
          <w:rFonts w:ascii="Microsoft JhengHei" w:hAnsi="Microsoft JhengHei" w:eastAsia="Microsoft JhengHei"/>
        </w:rPr>
        <w:t xml:space="preserve">。任何 bidder、offer、score、price與recommendation為 </w:t>
      </w:r>
      <w:r>
        <w:rPr>
          <w:rFonts w:ascii="Consolas" w:hAnsi="Consolas" w:eastAsia="Consolas"/>
          <w:sz w:val="19"/>
        </w:rPr>
        <w:t>SYNTHETIC / DEMO DATA</w:t>
      </w:r>
      <w:r>
        <w:rPr>
          <w:rFonts w:ascii="Microsoft JhengHei" w:hAnsi="Microsoft JhengHei" w:eastAsia="Microsoft JhengHei"/>
        </w:rPr>
        <w:t>；正式結果需由 client-approved evaluation body決定。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Decision requested</w:t>
      </w:r>
    </w:p>
    <w:p>
      <w:r>
        <w:rPr>
          <w:rFonts w:ascii="Microsoft JhengHei" w:hAnsi="Microsoft JhengHei" w:eastAsia="Microsoft JhengHei"/>
        </w:rPr>
        <w:t>對每個 offer 選：</w:t>
      </w:r>
      <w:r>
        <w:rPr>
          <w:rFonts w:ascii="Consolas" w:hAnsi="Consolas" w:eastAsia="Consolas"/>
          <w:sz w:val="19"/>
        </w:rPr>
        <w:t>SHORTLIST</w:t>
      </w:r>
      <w:r>
        <w:rPr>
          <w:rFonts w:ascii="Microsoft JhengHei" w:hAnsi="Microsoft JhengHei" w:eastAsia="Microsoft JhengHei"/>
        </w:rPr>
        <w:t>、</w:t>
      </w:r>
      <w:r>
        <w:rPr>
          <w:rFonts w:ascii="Consolas" w:hAnsi="Consolas" w:eastAsia="Consolas"/>
          <w:sz w:val="19"/>
        </w:rPr>
        <w:t>SHORTLIST WITH CONDITIONS</w:t>
      </w:r>
      <w:r>
        <w:rPr>
          <w:rFonts w:ascii="Microsoft JhengHei" w:hAnsi="Microsoft JhengHei" w:eastAsia="Microsoft JhengHei"/>
        </w:rPr>
        <w:t>、</w:t>
      </w:r>
      <w:r>
        <w:rPr>
          <w:rFonts w:ascii="Consolas" w:hAnsi="Consolas" w:eastAsia="Consolas"/>
          <w:sz w:val="19"/>
        </w:rPr>
        <w:t>RESERVE</w:t>
      </w:r>
      <w:r>
        <w:rPr>
          <w:rFonts w:ascii="Microsoft JhengHei" w:hAnsi="Microsoft JhengHei" w:eastAsia="Microsoft JhengHei"/>
        </w:rPr>
        <w:t>、</w:t>
      </w:r>
      <w:r>
        <w:rPr>
          <w:rFonts w:ascii="Consolas" w:hAnsi="Consolas" w:eastAsia="Consolas"/>
          <w:sz w:val="19"/>
        </w:rPr>
        <w:t>DO NOT PROCEED</w:t>
      </w:r>
      <w:r>
        <w:rPr>
          <w:rFonts w:ascii="Microsoft JhengHei" w:hAnsi="Microsoft JhengHei" w:eastAsia="Microsoft JhengHei"/>
        </w:rPr>
        <w:t>。同時核准 DD / clarification owners、negotiation boundary與fallback；不要只批准一個排名。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Evaluation sequence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1.  </w:t>
      </w:r>
      <w:r>
        <w:rPr>
          <w:rFonts w:ascii="Microsoft JhengHei" w:hAnsi="Microsoft JhengHei" w:eastAsia="Microsoft JhengHei"/>
        </w:rPr>
        <w:t>submission integrity / timeliness / conflict declaration；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2.  </w:t>
      </w:r>
      <w:r>
        <w:rPr>
          <w:rFonts w:ascii="Microsoft JhengHei" w:hAnsi="Microsoft JhengHei" w:eastAsia="Microsoft JhengHei"/>
        </w:rPr>
        <w:t>mandatory field completeness與hard constraints；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3.  </w:t>
      </w:r>
      <w:r>
        <w:rPr>
          <w:rFonts w:ascii="Microsoft JhengHei" w:hAnsi="Microsoft JhengHei" w:eastAsia="Microsoft JhengHei"/>
        </w:rPr>
        <w:t>normalize volume、profile、start、tenor、currency / unit、price components與validity；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4.  </w:t>
      </w:r>
      <w:r>
        <w:rPr>
          <w:rFonts w:ascii="Microsoft JhengHei" w:hAnsi="Microsoft JhengHei" w:eastAsia="Microsoft JhengHei"/>
        </w:rPr>
        <w:t>evaluators先獨立score並附evidence comment；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5.  </w:t>
      </w:r>
      <w:r>
        <w:rPr>
          <w:rFonts w:ascii="Microsoft JhengHei" w:hAnsi="Microsoft JhengHei" w:eastAsia="Microsoft JhengHei"/>
        </w:rPr>
        <w:t>calibration只調整共同rubric，不用權威壓掉dissent；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6.  </w:t>
      </w:r>
      <w:r>
        <w:rPr>
          <w:rFonts w:ascii="Microsoft JhengHei" w:hAnsi="Microsoft JhengHei" w:eastAsia="Microsoft JhengHei"/>
        </w:rPr>
        <w:t>DD驗證 project / counterparty / certificate / execution / commercial claims；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7.  </w:t>
      </w:r>
      <w:r>
        <w:rPr>
          <w:rFonts w:ascii="Microsoft JhengHei" w:hAnsi="Microsoft JhengHei" w:eastAsia="Microsoft JhengHei"/>
        </w:rPr>
        <w:t>sensitivity與condition mapping；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8.  </w:t>
      </w:r>
      <w:r>
        <w:rPr>
          <w:rFonts w:ascii="Microsoft JhengHei" w:hAnsi="Microsoft JhengHei" w:eastAsia="Microsoft JhengHei"/>
        </w:rPr>
        <w:t>decision body記錄reason、conditions與risk acceptance。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Scorecard design</w:t>
      </w:r>
    </w:p>
    <w:p>
      <w:r>
        <w:rPr>
          <w:rFonts w:ascii="Microsoft JhengHei" w:hAnsi="Microsoft JhengHei" w:eastAsia="Microsoft JhengHei"/>
        </w:rPr>
        <w:t>建議分開：eligibility / hard screen；volume / timing；commercial / normalized cost；flexibility；project maturity；execution / wheeling；certificate / claim；counterparty / credit；contract / risk allocation；evidence confidence。權重與scale需G6/G7核准，且evidence confidence不可藏在總分中。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Due diligence checklist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entity / authority / ownership / conflict；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project control、maturity、COD schedule、financing / construction evidence（適用時）；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generation / volume / profile、allocation與duplicate / overcommitment；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wheeling / interconnection / meter / site dependencies；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T-REC issuance / transfer / ownership / timing / replacement / no double claim；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pricing / settlement model reconciliation、tax / fee / pass-through；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credit、guarantee、security、parent / project-company interface；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delay、shortfall、curtailment、FM、change、default、termination positions；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implementation resources、data / reporting、BAU support；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legal / technical / financial specialist items與formal advice boundary。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Risk assessment</w:t>
      </w:r>
    </w:p>
    <w:p>
      <w:r>
        <w:rPr>
          <w:rFonts w:ascii="Microsoft JhengHei" w:hAnsi="Microsoft JhengHei" w:eastAsia="Microsoft JhengHei"/>
        </w:rPr>
        <w:t>每項risk記 event、likelihood / impact（定義後）、evidence、current allocation、mitigation / condition、residual risk、risk acceptor與decision date。Red flag不等於automatic rejection，但未經授權不可自行接受。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Preliminary judgement</w:t>
      </w:r>
    </w:p>
    <w:p>
      <w:r>
        <w:rPr>
          <w:rFonts w:ascii="Consolas" w:hAnsi="Consolas" w:eastAsia="Consolas"/>
          <w:sz w:val="19"/>
        </w:rPr>
        <w:t>HYPOTHESIS</w:t>
      </w:r>
      <w:r>
        <w:rPr>
          <w:rFonts w:ascii="Microsoft JhengHei" w:hAnsi="Microsoft JhengHei" w:eastAsia="Microsoft JhengHei"/>
        </w:rPr>
        <w:t>：較好的 shortlist 不是單一最高分，而是至少保留一個 primary option與一個可執行 fallback，並把最關鍵DD gap轉成 condition-to-negotiate。實際 shortlist size需client決定。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Decision output</w:t>
      </w:r>
    </w:p>
    <w:p>
      <w:r>
        <w:rPr>
          <w:rFonts w:ascii="Microsoft JhengHei" w:hAnsi="Microsoft JhengHei" w:eastAsia="Microsoft JhengHei"/>
        </w:rPr>
        <w:t>一頁呈現：offer / route、hard-screen、normalized commercial range、score range、top 3 strengths、top 3 risks、open DD、condition、recommendation、next gate。附錄保留rubric、source links、normalization與dissent；不把細節塞入executive deck。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Handoff to 3.1</w:t>
      </w:r>
    </w:p>
    <w:p>
      <w:r>
        <w:rPr>
          <w:rFonts w:ascii="Microsoft JhengHei" w:hAnsi="Microsoft JhengHei" w:eastAsia="Microsoft JhengHei"/>
        </w:rPr>
        <w:t>Shortlist package需包括 final demand / volume / timing assumptions、offer validity、commercial deviations、must-have / tradeable terms、risk acceptance required、fallback、negotiation participants與authority gaps。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666666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32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Evaluation, Due Diligence &amp; Shortlist Decision Memo v0.1</dc:title>
  <dc:subject>AMAT Pre-delivery Repository v0.1</dc:subject>
  <dc:creator>Optimum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