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Microsoft JhengHei" w:hAnsi="Microsoft JhengHei" w:eastAsia="Microsoft JhengHei"/>
          <w:b w:val="0"/>
          <w:color w:val="000000"/>
          <w:sz w:val="50"/>
        </w:rPr>
        <w:t>Commercial Alignment Memo v0.1</w:t>
      </w:r>
    </w:p>
    <w:p>
      <w:r>
        <w:rPr>
          <w:rFonts w:ascii="Microsoft JhengHei" w:hAnsi="Microsoft JhengHei" w:eastAsia="Microsoft JhengHei"/>
        </w:rPr>
        <w:t xml:space="preserve">&gt; </w:t>
      </w:r>
      <w:r>
        <w:rPr>
          <w:rFonts w:ascii="Consolas" w:hAnsi="Consolas" w:eastAsia="Consolas"/>
          <w:sz w:val="19"/>
        </w:rPr>
        <w:t>PRE-NEGOTIATION STRUCTURE DRAFT</w:t>
      </w:r>
      <w:r>
        <w:rPr>
          <w:rFonts w:ascii="Microsoft JhengHei" w:hAnsi="Microsoft JhengHei" w:eastAsia="Microsoft JhengHei"/>
        </w:rPr>
        <w:t xml:space="preserve">。Final volume、timeline、budget、shortlisted suppliers、offers與authority均為 </w:t>
      </w:r>
      <w:r>
        <w:rPr>
          <w:rFonts w:ascii="Consolas" w:hAnsi="Consolas" w:eastAsia="Consolas"/>
          <w:sz w:val="19"/>
        </w:rPr>
        <w:t>TBD WITH CLIENT</w:t>
      </w:r>
      <w:r>
        <w:rPr>
          <w:rFonts w:ascii="Microsoft JhengHei" w:hAnsi="Microsoft JhengHei" w:eastAsia="Microsoft JhengHei"/>
        </w:rPr>
        <w:t>。Demo positions不可對外使用。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Decision requested</w:t>
      </w:r>
    </w:p>
    <w:p>
      <w:r>
        <w:rPr>
          <w:rFonts w:ascii="Microsoft JhengHei" w:hAnsi="Microsoft JhengHei" w:eastAsia="Microsoft JhengHei"/>
        </w:rPr>
        <w:t>G8 核准 negotiation mandate：final requirement range、priority / walk-away issues、trade authority、participants、approval route、supplier sequence與record protocol。若任何 material boundary 未核准，supplier discussion只能clarify，不能承諾。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Final requirement assumptions</w:t>
      </w:r>
    </w:p>
    <w:p>
      <w:r>
        <w:rPr>
          <w:rFonts w:ascii="Microsoft JhengHei" w:hAnsi="Microsoft JhengHei" w:eastAsia="Microsoft JhengHei"/>
        </w:rPr>
        <w:t>對齊並版本化：reporting / site boundary、residual gap、existing procurement、volume / profile、start / COD tolerance、tenor、technology / claim eligibility、certificate timing、wheeling / meter、budget metric、currency / tax、credit / guarantee、implementation lead time。每項記 source / date / status；禁止默認沿用過期 scenario。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Term hierarchy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Position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Meeting rule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Must-have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缺少即不符合approved need / policy / risk boundary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不得交換；若 challenged 則 pause / escalate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Target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支持 value / execution 的偏好結果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可用 package trade 取得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Tradeable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有明確對價與authority才可讓步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記錄 give / get / value / expiry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Unacceptable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超出 risk / budget / policy / authority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不承諾；提出 alternative 或退出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</w:rPr>
        <w:t>分級本身須由client approver核准；Optimum提出commercial judgement，不替client接受風險。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Priority commercial issues</w:t>
      </w:r>
    </w:p>
    <w:p>
      <w:r>
        <w:rPr>
          <w:rFonts w:ascii="Microsoft JhengHei" w:hAnsi="Microsoft JhengHei" w:eastAsia="Microsoft JhengHei"/>
        </w:rPr>
        <w:t>volume / firmness / profile；COD / longstop / delay remedy；tenor / ramp / flex / renewal / exit；price components / index / settlement；wheeling / loss / site cooperation；T-REC ownership / issuance / replacement；curtailment / shortfall；credit / guarantee；CP；change / force majeure；default / termination；implementation / data / BAU。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Negotiation objectives</w:t>
      </w:r>
    </w:p>
    <w:p>
      <w:r>
        <w:rPr>
          <w:rFonts w:ascii="Microsoft JhengHei" w:hAnsi="Microsoft JhengHei" w:eastAsia="Microsoft JhengHei"/>
        </w:rPr>
        <w:t>每項 objective 用五欄表達：desired outcome、business rationale、supplier interest hypothesis、fallback / alternative、authorized trade。不能用「best terms」等模糊語句；要能在會後判斷是否前進。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Alignment meeting agenda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1.  </w:t>
      </w:r>
      <w:r>
        <w:rPr>
          <w:rFonts w:ascii="Microsoft JhengHei" w:hAnsi="Microsoft JhengHei" w:eastAsia="Microsoft JhengHei"/>
        </w:rPr>
        <w:t>confirm decision and facts that changed；2. approve assumptions / validity；3. review top issues and red lines；4. agree package trades；5. assign speaking / note / escalation roles；6. approve next supplier interaction；7. record dissent / conditions。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Preliminary judgement</w:t>
      </w:r>
    </w:p>
    <w:p>
      <w:r>
        <w:rPr>
          <w:rFonts w:ascii="Consolas" w:hAnsi="Consolas" w:eastAsia="Consolas"/>
          <w:sz w:val="19"/>
        </w:rPr>
        <w:t>HYPOTHESIS</w:t>
      </w:r>
      <w:r>
        <w:rPr>
          <w:rFonts w:ascii="Microsoft JhengHei" w:hAnsi="Microsoft JhengHei" w:eastAsia="Microsoft JhengHei"/>
        </w:rPr>
        <w:t>：先鎖定少量高價值 issues與跨term trade packages，可避免逐條討價導致整體 risk allocation惡化；但 actual mandate完全取決於 client approvals與 counsel input。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Handoff</w:t>
      </w:r>
    </w:p>
    <w:p>
      <w:r>
        <w:rPr>
          <w:rFonts w:ascii="Microsoft JhengHei" w:hAnsi="Microsoft JhengHei" w:eastAsia="Microsoft JhengHei"/>
        </w:rPr>
        <w:t>3.2 將top issues映射至 clauses / legal questions；3.3 使用同一 term IDs與authority；3.4只比較經驗證的remaining differences；3.5把agreed terms轉成final documents / CP / implementation responsibilities。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32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Alignment Memo v0.1</dc:title>
  <dc:subject>AMAT Pre-delivery Repository v0.1</dc:subject>
  <dc:creator>Optimum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