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Signing Readiness Checklist v0.1</w:t>
      </w:r>
    </w:p>
    <w:p>
      <w:r>
        <w:rPr>
          <w:rFonts w:ascii="Microsoft JhengHei" w:hAnsi="Microsoft JhengHei" w:eastAsia="Microsoft JhengHei"/>
        </w:rPr>
        <w:t xml:space="preserve">&gt; </w:t>
      </w:r>
      <w:r>
        <w:rPr>
          <w:rFonts w:ascii="Consolas" w:hAnsi="Consolas" w:eastAsia="Consolas"/>
          <w:sz w:val="19"/>
        </w:rPr>
        <w:t>PRE-SIGNING STRUCTURE DRAFT</w:t>
      </w:r>
      <w:r>
        <w:rPr>
          <w:rFonts w:ascii="Microsoft JhengHei" w:hAnsi="Microsoft JhengHei" w:eastAsia="Microsoft JhengHei"/>
        </w:rPr>
        <w:t xml:space="preserve">。實際documents、signers、conditions、dates與implementation要求皆為 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>。Legal sufficiency / signing authority由client Legal確認。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G10 decision</w:t>
      </w:r>
    </w:p>
    <w:p>
      <w:r>
        <w:rPr>
          <w:rFonts w:ascii="Consolas" w:hAnsi="Consolas" w:eastAsia="Consolas"/>
          <w:sz w:val="19"/>
        </w:rPr>
        <w:t>SIGN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SIGN WITH CONTROLLED CONDITIONS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DO NOT SIGN</w:t>
      </w:r>
      <w:r>
        <w:rPr>
          <w:rFonts w:ascii="Microsoft JhengHei" w:hAnsi="Microsoft JhengHei" w:eastAsia="Microsoft JhengHei"/>
        </w:rPr>
        <w:t xml:space="preserve">。另做 </w:t>
      </w:r>
      <w:r>
        <w:rPr>
          <w:rFonts w:ascii="Consolas" w:hAnsi="Consolas" w:eastAsia="Consolas"/>
          <w:sz w:val="19"/>
        </w:rPr>
        <w:t>GO-LIVE READY / NOT READY</w:t>
      </w:r>
      <w:r>
        <w:rPr>
          <w:rFonts w:ascii="Microsoft JhengHei" w:hAnsi="Microsoft JhengHei" w:eastAsia="Microsoft JhengHei"/>
        </w:rPr>
        <w:t>；簽署不自動等於開始交付。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 Document and authority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final agreement / schedules / guarantee / annex / addenda列表完整且版本一致；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accepted commercial terms與G9 decision一致；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no unresolved side letter / email commitment；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counsel完成所需legal review；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signing entities、names、titles、authority evidence、signature method與date確認；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approvals / quorum / funding / budget / accounting actions有證據。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 Conditions precedent / obligations</w:t>
      </w:r>
    </w:p>
    <w:p>
      <w:r>
        <w:rPr>
          <w:rFonts w:ascii="Microsoft JhengHei" w:hAnsi="Microsoft JhengHei" w:eastAsia="Microsoft JhengHei"/>
        </w:rPr>
        <w:t>每項CP記 contract reference、responsible party、due / longstop、required evidence、dependency、status、waiver authority與consequence。區分 pre-signing、post-signing pre-COD、ongoing covenant；未完成不得只寫「to follow」。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 Responsibility matrix</w:t>
      </w:r>
    </w:p>
    <w:p>
      <w:r>
        <w:rPr>
          <w:rFonts w:ascii="Microsoft JhengHei" w:hAnsi="Microsoft JhengHei" w:eastAsia="Microsoft JhengHei"/>
        </w:rPr>
        <w:t>至少覆蓋contract owner、supplier manager、site / facilities、wheeling / utility interface、meter / data、T-REC registry / claim、invoice / settlement、forecast / reconciliation、risk / legal escalation、executive sponsor。每項有 primary / backup / contact / SLA / evidence location。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 Operational readiness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site / meter master與delivery points validated；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wheeling / network application、agreements、milestones與contacts；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supplier onboarding / vendor / PO / payment / tax setup；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data transfer、formats、frequency、access、security、retention與test file；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generation / load / delivery / certificate reconciliation rule；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certificate account / transfer / retirement / replacement流程；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invoice / settlement dry run與dispute route；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incident / escalation / business continuity；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implementation schedule、cutover、fallback與first reporting date。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5. Transition package to 3.6</w:t>
      </w:r>
    </w:p>
    <w:p>
      <w:r>
        <w:rPr>
          <w:rFonts w:ascii="Microsoft JhengHei" w:hAnsi="Microsoft JhengHei" w:eastAsia="Microsoft JhengHei"/>
        </w:rPr>
        <w:t>Signed document index、commercial baseline、milestones、CP / obligations、contacts / escalation、expected delivery profile、certificate schedule、reporting / reconciliation definitions、open exceptions、risk acceptances與first 90-day governance。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Preliminary judgement</w:t>
      </w:r>
    </w:p>
    <w:p>
      <w:r>
        <w:rPr>
          <w:rFonts w:ascii="Consolas" w:hAnsi="Consolas" w:eastAsia="Consolas"/>
          <w:sz w:val="19"/>
        </w:rPr>
        <w:t>HYPOTHESIS</w:t>
      </w:r>
      <w:r>
        <w:rPr>
          <w:rFonts w:ascii="Microsoft JhengHei" w:hAnsi="Microsoft JhengHei" w:eastAsia="Microsoft JhengHei"/>
        </w:rPr>
        <w:t>：只有document / authority、CP、operational interfaces與BAU ownership四類都通過或有explicit authorized condition時才簽；任何critical owner / evidence缺失應維持</w:t>
      </w:r>
      <w:r>
        <w:rPr>
          <w:rFonts w:ascii="Consolas" w:hAnsi="Consolas" w:eastAsia="Consolas"/>
          <w:sz w:val="19"/>
        </w:rPr>
        <w:t>DO NOT SIGN / NOT GO-LIVE READY</w:t>
      </w:r>
      <w:r>
        <w:rPr>
          <w:rFonts w:ascii="Microsoft JhengHei" w:hAnsi="Microsoft JhengHei" w:eastAsia="Microsoft JhengHei"/>
        </w:rPr>
        <w:t>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Signing Readiness Checklist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