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Execution Governance &amp; BAU Transition v0.1</w:t>
      </w:r>
    </w:p>
    <w:p>
      <w:r>
        <w:rPr>
          <w:rFonts w:ascii="Microsoft JhengHei" w:hAnsi="Microsoft JhengHei" w:eastAsia="Microsoft JhengHei"/>
        </w:rPr>
        <w:t xml:space="preserve">&gt; </w:t>
      </w:r>
      <w:r>
        <w:rPr>
          <w:rFonts w:ascii="Consolas" w:hAnsi="Consolas" w:eastAsia="Consolas"/>
          <w:sz w:val="19"/>
        </w:rPr>
        <w:t>PRE-IMPLEMENTATION STRUCTURE DRAFT</w:t>
      </w:r>
      <w:r>
        <w:rPr>
          <w:rFonts w:ascii="Microsoft JhengHei" w:hAnsi="Microsoft JhengHei" w:eastAsia="Microsoft JhengHei"/>
        </w:rPr>
        <w:t xml:space="preserve">。Contract、volumes、dates、tolerances、systems與owners為 </w:t>
      </w:r>
      <w:r>
        <w:rPr>
          <w:rFonts w:ascii="Consolas" w:hAnsi="Consolas" w:eastAsia="Consolas"/>
          <w:sz w:val="19"/>
        </w:rPr>
        <w:t>TBD WITH CLIENT</w:t>
      </w:r>
      <w:r>
        <w:rPr>
          <w:rFonts w:ascii="Microsoft JhengHei" w:hAnsi="Microsoft JhengHei" w:eastAsia="Microsoft JhengHei"/>
        </w:rPr>
        <w:t xml:space="preserve">；tracker seeded rows為 </w:t>
      </w:r>
      <w:r>
        <w:rPr>
          <w:rFonts w:ascii="Consolas" w:hAnsi="Consolas" w:eastAsia="Consolas"/>
          <w:sz w:val="19"/>
        </w:rPr>
        <w:t>SYNTHETIC / DEMO DATA</w:t>
      </w:r>
      <w:r>
        <w:rPr>
          <w:rFonts w:ascii="Microsoft JhengHei" w:hAnsi="Microsoft JhengHei" w:eastAsia="Microsoft JhengHei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1. Governance outcome</w:t>
      </w:r>
    </w:p>
    <w:p>
      <w:r>
        <w:rPr>
          <w:rFonts w:ascii="Microsoft JhengHei" w:hAnsi="Microsoft JhengHei" w:eastAsia="Microsoft JhengHei"/>
        </w:rPr>
        <w:t>每個reporting period回答：expected vs actual delivery；certificate是否issued / transferred / accepted / claimed；invoice / settlement是否reconcile；哪些milestone / CP / obligation late；哪些issue需要contractual notice / escalation；BAU owner是否能獨立運作。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2. Cadence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implementation phase：weekly critical-path / owner review；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first live periods：monthly reconciliation / issue decision；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executive：biweekly或monthly exception summary，依materiality；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supplier governance：operational review + quarterly / agreed performance review；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 xml:space="preserve">cadence / attendance / SLA均 </w:t>
      </w:r>
      <w:r>
        <w:rPr>
          <w:rFonts w:ascii="Consolas" w:hAnsi="Consolas" w:eastAsia="Consolas"/>
          <w:sz w:val="19"/>
        </w:rPr>
        <w:t>TBD WITH CLIENT</w:t>
      </w:r>
      <w:r>
        <w:rPr>
          <w:rFonts w:ascii="Microsoft JhengHei" w:hAnsi="Microsoft JhengHei" w:eastAsia="Microsoft JhengHei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 Reconciliation key and lineage</w:t>
      </w:r>
    </w:p>
    <w:p>
      <w:r>
        <w:rPr>
          <w:rFonts w:ascii="Microsoft JhengHei" w:hAnsi="Microsoft JhengHei" w:eastAsia="Microsoft JhengHei"/>
        </w:rPr>
        <w:t>保留 contract / offer ID、site / meter、delivery period、expected profile version、actual source / date、certificate batch / vintage / status、invoice / settlement ID。原始supplier / utility / registry / client data不覆寫；adjustment有reason、approver與version。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4. Metrics</w:t>
      </w:r>
    </w:p>
    <w:p>
      <w:r>
        <w:rPr>
          <w:rFonts w:ascii="Microsoft JhengHei" w:hAnsi="Microsoft JhengHei" w:eastAsia="Microsoft JhengHei"/>
        </w:rPr>
        <w:t>Milestone on-time、delivered MWh vs expected、coverage / shortfall、certificate MWh / timing / validity、invoice amount vs expected、open issue / aging、CP / obligation completion、data timeliness / quality、supplier SLA、forecast / reconciliation variance。Threshold由contract與client decision定義，不預設。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5. Issue / escalation</w:t>
      </w:r>
    </w:p>
    <w:p>
      <w:r>
        <w:rPr>
          <w:rFonts w:ascii="Microsoft JhengHei" w:hAnsi="Microsoft JhengHei" w:eastAsia="Microsoft JhengHei"/>
        </w:rPr>
        <w:t>Issue需 event、detected date、evidence、contract / obligation reference、impact、notice deadline、temporary containment、owner、supplier action、client decision、financial / claim treatment與closure evidence。涉及法律權利 / notice由counsel確認；Optimum不得代替法律判斷。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6. Periodic client report template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</w:rPr>
        <w:t>executive status / decisions required；2. delivery / coverage；3. certificates / claims；4. financial / invoice reconciliation；5. milestones / obligations；6. top issues / risks / changes；7. supplier actions；8. next period critical path。只報exceptions與decision，不重複整份tracker。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7. Change control</w:t>
      </w:r>
    </w:p>
    <w:p>
      <w:r>
        <w:rPr>
          <w:rFonts w:ascii="Microsoft JhengHei" w:hAnsi="Microsoft JhengHei" w:eastAsia="Microsoft JhengHei"/>
        </w:rPr>
        <w:t>任何volume / profile / date / price / route / certificate / responsibility變更先記change request、contract authority、commercial / legal / operational impact、approver與effective date；不得由email或meeting note默默改baseline。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8. BAU transition criteria</w:t>
      </w:r>
    </w:p>
    <w:p>
      <w:r>
        <w:rPr>
          <w:rFonts w:ascii="Microsoft JhengHei" w:hAnsi="Microsoft JhengHei" w:eastAsia="Microsoft JhengHei"/>
        </w:rPr>
        <w:t>named owner / backup；access / data / SOP / calendar；supplier / utility / registry contacts；reconciliation可獨立完成；open issues / claims移交；first cycles通過；risk / change / notice protocol被接受；document repository與retention確定；G11 acceptance記錄。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Preliminary judgement</w:t>
      </w:r>
    </w:p>
    <w:p>
      <w:r>
        <w:rPr>
          <w:rFonts w:ascii="Consolas" w:hAnsi="Consolas" w:eastAsia="Consolas"/>
          <w:sz w:val="19"/>
        </w:rPr>
        <w:t>HYPOTHESIS</w:t>
      </w:r>
      <w:r>
        <w:rPr>
          <w:rFonts w:ascii="Microsoft JhengHei" w:hAnsi="Microsoft JhengHei" w:eastAsia="Microsoft JhengHei"/>
        </w:rPr>
        <w:t>：至少完成一個synthetic dry run與一至數個live cycle（實際次數TBD）後，才能判斷流程不是靠project team人工補救；若critical issue / certificate / settlement仍不穩，延長project governance而不是形式移交。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Execution Governance &amp; BAU Transition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