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widowControl/>
        <w:spacing w:before="0" w:after="0" w:line="240" w:lineRule="auto"/>
        <w:jc w:val="center"/>
      </w:pPr>
      <w:r>
        <w:rPr>
          <w:rFonts w:ascii="標楷體" w:hAnsi="標楷體" w:eastAsia="標楷體" w:cs="標楷體"/>
          <w:b w:val="0"/>
          <w:sz w:val="36"/>
        </w:rPr>
        <w:t>再生能源售電業申照輔導暨申請服務</w:t>
      </w:r>
    </w:p>
    <w:p>
      <w:pPr>
        <w:keepNext w:val="0"/>
        <w:widowControl/>
        <w:spacing w:before="0" w:after="240" w:line="240" w:lineRule="auto"/>
        <w:jc w:val="center"/>
      </w:pPr>
      <w:r>
        <w:rPr>
          <w:rFonts w:ascii="標楷體" w:hAnsi="標楷體" w:eastAsia="標楷體" w:cs="標楷體"/>
          <w:b w:val="0"/>
          <w:sz w:val="36"/>
        </w:rPr>
        <w:t>報價單</w:t>
      </w:r>
    </w:p>
    <w:p>
      <w:pPr>
        <w:keepNext/>
        <w:widowControl/>
        <w:spacing w:before="160" w:after="100" w:line="240" w:lineRule="auto"/>
      </w:pPr>
      <w:r>
        <w:rPr>
          <w:rFonts w:ascii="標楷體" w:hAnsi="標楷體" w:eastAsia="標楷體" w:cs="標楷體"/>
          <w:b w:val="0"/>
          <w:sz w:val="22"/>
        </w:rPr>
        <w:t>客戶及報價資訊</w:t>
      </w:r>
    </w:p>
    <w:tbl>
      <w:tblPr>
        <w:tblStyle w:val="af2"/>
        <w:tblW w:type="auto" w:w="0"/>
        <w:jc w:val="center"/>
        <w:tblLook w:firstColumn="1" w:firstRow="1" w:lastColumn="0" w:lastRow="0" w:noHBand="0" w:noVBand="1" w:val="04A0"/>
      </w:tblPr>
      <w:tblGrid>
        <w:gridCol w:w="4150"/>
        <w:gridCol w:w="4150"/>
      </w:tblGrid>
      <w:tr>
        <w:trPr>
          <w:cantSplit/>
          <w:cantSplit/>
        </w:trPr>
        <w:tc>
          <w:tcPr>
            <w:tcW w:type="dxa" w:w="2438"/>
            <w:vAlign w:val="center"/>
            <w:tcMar>
              <w:top w:w="80" w:type="dxa"/>
              <w:bottom w:w="80" w:type="dxa"/>
              <w:start w:w="90" w:type="dxa"/>
              <w:end w:w="90" w:type="dxa"/>
            </w:tcMar>
          </w:tcPr>
          <w:p>
            <w:pPr>
              <w:widowControl/>
              <w:spacing w:before="0" w:after="0" w:line="240" w:lineRule="auto"/>
              <w:jc w:val="center"/>
            </w:pPr>
            <w:r>
              <w:rPr>
                <w:rFonts w:ascii="標楷體" w:hAnsi="標楷體" w:eastAsia="標楷體" w:cs="標楷體"/>
              </w:rPr>
            </w:r>
            <w:r>
              <w:rPr>
                <w:rFonts w:ascii="標楷體" w:hAnsi="標楷體" w:eastAsia="標楷體" w:cs="標楷體"/>
                <w:b/>
                <w:sz w:val="20"/>
              </w:rPr>
              <w:t>客戶名稱</w:t>
            </w:r>
          </w:p>
        </w:tc>
        <w:tc>
          <w:tcPr>
            <w:tcW w:type="dxa" w:w="5669"/>
            <w:vAlign w:val="center"/>
            <w:tcMar>
              <w:top w:w="80" w:type="dxa"/>
              <w:bottom w:w="80" w:type="dxa"/>
              <w:start w:w="90" w:type="dxa"/>
              <w:end w:w="90" w:type="dxa"/>
            </w:tcMar>
          </w:tcPr>
          <w:p>
            <w:pPr>
              <w:widowControl/>
              <w:spacing w:before="0" w:after="0" w:line="240" w:lineRule="auto"/>
              <w:jc w:val="left"/>
            </w:pPr>
            <w:r>
              <w:rPr>
                <w:rFonts w:ascii="標楷體" w:hAnsi="標楷體" w:eastAsia="標楷體" w:cs="標楷體"/>
              </w:rPr>
            </w:r>
            <w:r>
              <w:rPr>
                <w:rFonts w:ascii="標楷體" w:hAnsi="標楷體" w:eastAsia="標楷體" w:cs="標楷體"/>
                <w:b w:val="0"/>
                <w:sz w:val="20"/>
              </w:rPr>
              <w:t>【客戶名稱】</w:t>
            </w:r>
          </w:p>
        </w:tc>
      </w:tr>
      <w:tr>
        <w:trPr>
          <w:cantSplit/>
          <w:cantSplit/>
        </w:trPr>
        <w:tc>
          <w:tcPr>
            <w:tcW w:type="dxa" w:w="2438"/>
            <w:vAlign w:val="center"/>
            <w:tcMar>
              <w:top w:w="80" w:type="dxa"/>
              <w:bottom w:w="80" w:type="dxa"/>
              <w:start w:w="90" w:type="dxa"/>
              <w:end w:w="90" w:type="dxa"/>
            </w:tcMar>
          </w:tcPr>
          <w:p>
            <w:pPr>
              <w:widowControl/>
              <w:spacing w:before="0" w:after="0" w:line="240" w:lineRule="auto"/>
              <w:jc w:val="center"/>
            </w:pPr>
            <w:r>
              <w:rPr>
                <w:rFonts w:ascii="標楷體" w:hAnsi="標楷體" w:eastAsia="標楷體" w:cs="標楷體"/>
              </w:rPr>
            </w:r>
            <w:r>
              <w:rPr>
                <w:rFonts w:ascii="標楷體" w:hAnsi="標楷體" w:eastAsia="標楷體" w:cs="標楷體"/>
                <w:b/>
                <w:sz w:val="20"/>
              </w:rPr>
              <w:t>統一編號</w:t>
            </w:r>
          </w:p>
        </w:tc>
        <w:tc>
          <w:tcPr>
            <w:tcW w:type="dxa" w:w="5669"/>
            <w:vAlign w:val="center"/>
            <w:tcMar>
              <w:top w:w="80" w:type="dxa"/>
              <w:bottom w:w="80" w:type="dxa"/>
              <w:start w:w="90" w:type="dxa"/>
              <w:end w:w="90" w:type="dxa"/>
            </w:tcMar>
          </w:tcPr>
          <w:p>
            <w:pPr>
              <w:widowControl/>
              <w:spacing w:before="0" w:after="0" w:line="240" w:lineRule="auto"/>
              <w:jc w:val="left"/>
            </w:pPr>
            <w:r>
              <w:rPr>
                <w:rFonts w:ascii="標楷體" w:hAnsi="標楷體" w:eastAsia="標楷體" w:cs="標楷體"/>
              </w:rPr>
            </w:r>
            <w:r>
              <w:rPr>
                <w:rFonts w:ascii="標楷體" w:hAnsi="標楷體" w:eastAsia="標楷體" w:cs="標楷體"/>
                <w:b w:val="0"/>
                <w:sz w:val="20"/>
              </w:rPr>
              <w:t>【統一編號】</w:t>
            </w:r>
          </w:p>
        </w:tc>
      </w:tr>
      <w:tr>
        <w:trPr>
          <w:cantSplit/>
          <w:cantSplit/>
        </w:trPr>
        <w:tc>
          <w:tcPr>
            <w:tcW w:type="dxa" w:w="2438"/>
            <w:vAlign w:val="center"/>
            <w:tcMar>
              <w:top w:w="80" w:type="dxa"/>
              <w:bottom w:w="80" w:type="dxa"/>
              <w:start w:w="90" w:type="dxa"/>
              <w:end w:w="90" w:type="dxa"/>
            </w:tcMar>
          </w:tcPr>
          <w:p>
            <w:pPr>
              <w:widowControl/>
              <w:spacing w:before="0" w:after="0" w:line="240" w:lineRule="auto"/>
              <w:jc w:val="center"/>
            </w:pPr>
            <w:r>
              <w:rPr>
                <w:rFonts w:ascii="標楷體" w:hAnsi="標楷體" w:eastAsia="標楷體" w:cs="標楷體"/>
              </w:rPr>
            </w:r>
            <w:r>
              <w:rPr>
                <w:rFonts w:ascii="標楷體" w:hAnsi="標楷體" w:eastAsia="標楷體" w:cs="標楷體"/>
                <w:b/>
                <w:sz w:val="20"/>
              </w:rPr>
              <w:t>聯絡窗口</w:t>
            </w:r>
          </w:p>
        </w:tc>
        <w:tc>
          <w:tcPr>
            <w:tcW w:type="dxa" w:w="5669"/>
            <w:vAlign w:val="center"/>
            <w:tcMar>
              <w:top w:w="80" w:type="dxa"/>
              <w:bottom w:w="80" w:type="dxa"/>
              <w:start w:w="90" w:type="dxa"/>
              <w:end w:w="90" w:type="dxa"/>
            </w:tcMar>
          </w:tcPr>
          <w:p>
            <w:pPr>
              <w:widowControl/>
              <w:spacing w:before="0" w:after="0" w:line="240" w:lineRule="auto"/>
              <w:jc w:val="left"/>
            </w:pPr>
            <w:r>
              <w:rPr>
                <w:rFonts w:ascii="標楷體" w:hAnsi="標楷體" w:eastAsia="標楷體" w:cs="標楷體"/>
              </w:rPr>
            </w:r>
            <w:r>
              <w:rPr>
                <w:rFonts w:ascii="標楷體" w:hAnsi="標楷體" w:eastAsia="標楷體" w:cs="標楷體"/>
                <w:b w:val="0"/>
                <w:sz w:val="20"/>
              </w:rPr>
              <w:t>【姓名／職稱／聯絡方式】</w:t>
            </w:r>
          </w:p>
        </w:tc>
      </w:tr>
      <w:tr>
        <w:trPr>
          <w:cantSplit/>
          <w:cantSplit/>
        </w:trPr>
        <w:tc>
          <w:tcPr>
            <w:tcW w:type="dxa" w:w="2438"/>
            <w:vAlign w:val="center"/>
            <w:tcMar>
              <w:top w:w="80" w:type="dxa"/>
              <w:bottom w:w="80" w:type="dxa"/>
              <w:start w:w="90" w:type="dxa"/>
              <w:end w:w="90" w:type="dxa"/>
            </w:tcMar>
          </w:tcPr>
          <w:p>
            <w:pPr>
              <w:widowControl/>
              <w:spacing w:before="0" w:after="0" w:line="240" w:lineRule="auto"/>
              <w:jc w:val="center"/>
            </w:pPr>
            <w:r>
              <w:rPr>
                <w:rFonts w:ascii="標楷體" w:hAnsi="標楷體" w:eastAsia="標楷體" w:cs="標楷體"/>
              </w:rPr>
            </w:r>
            <w:r>
              <w:rPr>
                <w:rFonts w:ascii="標楷體" w:hAnsi="標楷體" w:eastAsia="標楷體" w:cs="標楷體"/>
                <w:b/>
                <w:sz w:val="20"/>
              </w:rPr>
              <w:t>報價日期</w:t>
            </w:r>
          </w:p>
        </w:tc>
        <w:tc>
          <w:tcPr>
            <w:tcW w:type="dxa" w:w="5669"/>
            <w:vAlign w:val="center"/>
            <w:tcMar>
              <w:top w:w="80" w:type="dxa"/>
              <w:bottom w:w="80" w:type="dxa"/>
              <w:start w:w="90" w:type="dxa"/>
              <w:end w:w="90" w:type="dxa"/>
            </w:tcMar>
          </w:tcPr>
          <w:p>
            <w:pPr>
              <w:widowControl/>
              <w:spacing w:before="0" w:after="0" w:line="240" w:lineRule="auto"/>
              <w:jc w:val="left"/>
            </w:pPr>
            <w:r>
              <w:rPr>
                <w:rFonts w:ascii="標楷體" w:hAnsi="標楷體" w:eastAsia="標楷體" w:cs="標楷體"/>
              </w:rPr>
            </w:r>
            <w:r>
              <w:rPr>
                <w:rFonts w:ascii="標楷體" w:hAnsi="標楷體" w:eastAsia="標楷體" w:cs="標楷體"/>
                <w:b w:val="0"/>
                <w:sz w:val="20"/>
              </w:rPr>
              <w:t>【YYYY 年 MM 月 DD 日】</w:t>
            </w:r>
          </w:p>
        </w:tc>
      </w:tr>
      <w:tr>
        <w:trPr>
          <w:cantSplit/>
          <w:cantSplit/>
        </w:trPr>
        <w:tc>
          <w:tcPr>
            <w:tcW w:type="dxa" w:w="2438"/>
            <w:vAlign w:val="center"/>
            <w:tcMar>
              <w:top w:w="80" w:type="dxa"/>
              <w:bottom w:w="80" w:type="dxa"/>
              <w:start w:w="90" w:type="dxa"/>
              <w:end w:w="90" w:type="dxa"/>
            </w:tcMar>
          </w:tcPr>
          <w:p>
            <w:pPr>
              <w:widowControl/>
              <w:spacing w:before="0" w:after="0" w:line="240" w:lineRule="auto"/>
              <w:jc w:val="center"/>
            </w:pPr>
            <w:r>
              <w:rPr>
                <w:rFonts w:ascii="標楷體" w:hAnsi="標楷體" w:eastAsia="標楷體" w:cs="標楷體"/>
              </w:rPr>
            </w:r>
            <w:r>
              <w:rPr>
                <w:rFonts w:ascii="標楷體" w:hAnsi="標楷體" w:eastAsia="標楷體" w:cs="標楷體"/>
                <w:b/>
                <w:sz w:val="20"/>
              </w:rPr>
              <w:t>報價編號</w:t>
            </w:r>
          </w:p>
        </w:tc>
        <w:tc>
          <w:tcPr>
            <w:tcW w:type="dxa" w:w="5669"/>
            <w:vAlign w:val="center"/>
            <w:tcMar>
              <w:top w:w="80" w:type="dxa"/>
              <w:bottom w:w="80" w:type="dxa"/>
              <w:start w:w="90" w:type="dxa"/>
              <w:end w:w="90" w:type="dxa"/>
            </w:tcMar>
          </w:tcPr>
          <w:p>
            <w:pPr>
              <w:widowControl/>
              <w:spacing w:before="0" w:after="0" w:line="240" w:lineRule="auto"/>
              <w:jc w:val="left"/>
            </w:pPr>
            <w:r>
              <w:rPr>
                <w:rFonts w:ascii="標楷體" w:hAnsi="標楷體" w:eastAsia="標楷體" w:cs="標楷體"/>
              </w:rPr>
            </w:r>
            <w:r>
              <w:rPr>
                <w:rFonts w:ascii="標楷體" w:hAnsi="標楷體" w:eastAsia="標楷體" w:cs="標楷體"/>
                <w:b w:val="0"/>
                <w:sz w:val="20"/>
              </w:rPr>
              <w:t>【報價編號】</w:t>
            </w:r>
          </w:p>
        </w:tc>
      </w:tr>
      <w:tr>
        <w:trPr>
          <w:cantSplit/>
          <w:cantSplit/>
        </w:trPr>
        <w:tc>
          <w:tcPr>
            <w:tcW w:type="dxa" w:w="2438"/>
            <w:vAlign w:val="center"/>
            <w:tcMar>
              <w:top w:w="80" w:type="dxa"/>
              <w:bottom w:w="80" w:type="dxa"/>
              <w:start w:w="90" w:type="dxa"/>
              <w:end w:w="90" w:type="dxa"/>
            </w:tcMar>
          </w:tcPr>
          <w:p>
            <w:pPr>
              <w:widowControl/>
              <w:spacing w:before="0" w:after="0" w:line="240" w:lineRule="auto"/>
              <w:jc w:val="center"/>
            </w:pPr>
            <w:r>
              <w:rPr>
                <w:rFonts w:ascii="標楷體" w:hAnsi="標楷體" w:eastAsia="標楷體" w:cs="標楷體"/>
              </w:rPr>
            </w:r>
            <w:r>
              <w:rPr>
                <w:rFonts w:ascii="標楷體" w:hAnsi="標楷體" w:eastAsia="標楷體" w:cs="標楷體"/>
                <w:b/>
                <w:sz w:val="20"/>
              </w:rPr>
              <w:t>報價有效期限</w:t>
            </w:r>
          </w:p>
        </w:tc>
        <w:tc>
          <w:tcPr>
            <w:tcW w:type="dxa" w:w="5669"/>
            <w:vAlign w:val="center"/>
            <w:tcMar>
              <w:top w:w="80" w:type="dxa"/>
              <w:bottom w:w="80" w:type="dxa"/>
              <w:start w:w="90" w:type="dxa"/>
              <w:end w:w="90" w:type="dxa"/>
            </w:tcMar>
          </w:tcPr>
          <w:p>
            <w:pPr>
              <w:widowControl/>
              <w:spacing w:before="0" w:after="0" w:line="240" w:lineRule="auto"/>
              <w:jc w:val="left"/>
            </w:pPr>
            <w:r>
              <w:rPr>
                <w:rFonts w:ascii="標楷體" w:hAnsi="標楷體" w:eastAsia="標楷體" w:cs="標楷體"/>
              </w:rPr>
            </w:r>
            <w:r>
              <w:rPr>
                <w:rFonts w:ascii="標楷體" w:hAnsi="標楷體" w:eastAsia="標楷體" w:cs="標楷體"/>
                <w:b w:val="0"/>
                <w:sz w:val="20"/>
              </w:rPr>
              <w:t>【YYYY 年 MM 月 DD 日】</w:t>
            </w:r>
          </w:p>
        </w:tc>
      </w:tr>
    </w:tbl>
    <w:p>
      <w:pPr>
        <w:keepNext w:val="0"/>
        <w:widowControl/>
        <w:spacing w:before="0" w:after="20" w:line="240" w:lineRule="auto"/>
      </w:pPr>
    </w:p>
    <w:p>
      <w:pPr>
        <w:keepNext/>
        <w:widowControl/>
        <w:spacing w:before="160" w:after="100" w:line="240" w:lineRule="auto"/>
      </w:pPr>
      <w:r>
        <w:rPr>
          <w:rFonts w:ascii="標楷體" w:hAnsi="標楷體" w:eastAsia="標楷體" w:cs="標楷體"/>
          <w:b w:val="0"/>
          <w:sz w:val="22"/>
        </w:rPr>
        <w:t>一、服務目的</w:t>
      </w:r>
    </w:p>
    <w:p>
      <w:pPr>
        <w:keepNext w:val="0"/>
        <w:widowControl/>
        <w:spacing w:before="0" w:after="100" w:line="240" w:lineRule="auto"/>
        <w:jc w:val="both"/>
      </w:pPr>
      <w:r>
        <w:rPr>
          <w:rFonts w:ascii="標楷體" w:hAnsi="標楷體" w:eastAsia="標楷體" w:cs="標楷體"/>
          <w:b w:val="0"/>
          <w:sz w:val="20"/>
        </w:rPr>
        <w:t>優選股份有限公司（以下稱乙方）將協助【客戶名稱】（以下稱甲方）辦理再生能源售電業申請及申請前所需工作，包括透過訪談、資料盤點及營運假設整理，將甲方確認之商業模式轉化為可供主管機關審查之申請架構，並完成核心申請文件撰寫、正式送件、審查意見處理及補件支援。</w:t>
      </w:r>
    </w:p>
    <w:p>
      <w:pPr>
        <w:keepNext/>
        <w:widowControl/>
        <w:spacing w:before="160" w:after="100" w:line="240" w:lineRule="auto"/>
      </w:pPr>
      <w:r>
        <w:rPr>
          <w:rFonts w:ascii="標楷體" w:hAnsi="標楷體" w:eastAsia="標楷體" w:cs="標楷體"/>
          <w:b w:val="0"/>
          <w:sz w:val="22"/>
        </w:rPr>
        <w:t>二、服務內容與工作階段</w:t>
      </w:r>
    </w:p>
    <w:p>
      <w:pPr>
        <w:keepNext/>
        <w:widowControl/>
        <w:spacing w:before="100" w:after="60" w:line="240" w:lineRule="auto"/>
      </w:pPr>
      <w:r>
        <w:rPr>
          <w:rFonts w:ascii="標楷體" w:hAnsi="標楷體" w:eastAsia="標楷體" w:cs="標楷體"/>
          <w:b/>
          <w:sz w:val="20"/>
        </w:rPr>
        <w:t>第 0 階段｜前期事業規劃（選配）</w:t>
      </w:r>
    </w:p>
    <w:p>
      <w:pPr>
        <w:keepNext w:val="0"/>
        <w:widowControl/>
        <w:spacing w:before="0" w:after="60" w:line="240" w:lineRule="auto"/>
        <w:jc w:val="both"/>
      </w:pPr>
      <w:r>
        <w:rPr>
          <w:rFonts w:ascii="標楷體" w:hAnsi="標楷體" w:eastAsia="標楷體" w:cs="標楷體"/>
          <w:b w:val="0"/>
          <w:sz w:val="20"/>
        </w:rPr>
        <w:t>適用於申照方案、申請牌照之法人主體或售電事業模式仍需由管理層作成重大決策之情形。乙方將提出方案與不同觀點、進行比較分析並協助甲方決策。</w:t>
      </w:r>
    </w:p>
    <w:p>
      <w:pPr>
        <w:keepNext w:val="0"/>
        <w:widowControl/>
        <w:spacing w:before="0" w:after="40" w:line="240" w:lineRule="auto"/>
        <w:ind w:left="255" w:hanging="159"/>
      </w:pPr>
      <w:r>
        <w:rPr>
          <w:rFonts w:ascii="標楷體" w:hAnsi="標楷體" w:eastAsia="標楷體" w:cs="標楷體"/>
          <w:b w:val="0"/>
          <w:sz w:val="20"/>
        </w:rPr>
        <w:t>• 比較營運模式，評估預期收益、成本與商業可行性。</w:t>
      </w:r>
    </w:p>
    <w:p>
      <w:pPr>
        <w:keepNext w:val="0"/>
        <w:widowControl/>
        <w:spacing w:before="0" w:after="40" w:line="240" w:lineRule="auto"/>
        <w:ind w:left="255" w:hanging="159"/>
      </w:pPr>
      <w:r>
        <w:rPr>
          <w:rFonts w:ascii="標楷體" w:hAnsi="標楷體" w:eastAsia="標楷體" w:cs="標楷體"/>
          <w:b w:val="0"/>
          <w:sz w:val="20"/>
        </w:rPr>
        <w:t>• 整理候選供電案場或電源條件，分析供電策略。</w:t>
      </w:r>
    </w:p>
    <w:p>
      <w:pPr>
        <w:keepNext w:val="0"/>
        <w:widowControl/>
        <w:spacing w:before="0" w:after="40" w:line="240" w:lineRule="auto"/>
        <w:ind w:left="255" w:hanging="159"/>
      </w:pPr>
      <w:r>
        <w:rPr>
          <w:rFonts w:ascii="標楷體" w:hAnsi="標楷體" w:eastAsia="標楷體" w:cs="標楷體"/>
          <w:b w:val="0"/>
          <w:sz w:val="20"/>
        </w:rPr>
        <w:t>• 釐清預計售電對象、目標客群及售電方向。</w:t>
      </w:r>
    </w:p>
    <w:p>
      <w:pPr>
        <w:keepNext w:val="0"/>
        <w:widowControl/>
        <w:spacing w:before="0" w:after="40" w:line="240" w:lineRule="auto"/>
        <w:ind w:left="255" w:hanging="159"/>
      </w:pPr>
      <w:r>
        <w:rPr>
          <w:rFonts w:ascii="標楷體" w:hAnsi="標楷體" w:eastAsia="標楷體" w:cs="標楷體"/>
          <w:b w:val="0"/>
          <w:sz w:val="20"/>
        </w:rPr>
        <w:t>• 協助規劃初步營運模式、組織角色及主要決策事項。</w:t>
      </w:r>
    </w:p>
    <w:p>
      <w:pPr>
        <w:keepNext/>
        <w:widowControl/>
        <w:spacing w:before="100" w:after="60" w:line="240" w:lineRule="auto"/>
      </w:pPr>
      <w:r>
        <w:rPr>
          <w:rFonts w:ascii="標楷體" w:hAnsi="標楷體" w:eastAsia="標楷體" w:cs="標楷體"/>
          <w:b/>
          <w:sz w:val="20"/>
        </w:rPr>
        <w:t>第 1 階段｜申照建置</w:t>
      </w:r>
    </w:p>
    <w:p>
      <w:pPr>
        <w:keepNext w:val="0"/>
        <w:widowControl/>
        <w:spacing w:before="0" w:after="40" w:line="240" w:lineRule="auto"/>
        <w:ind w:left="255" w:hanging="159"/>
      </w:pPr>
      <w:r>
        <w:rPr>
          <w:rFonts w:ascii="標楷體" w:hAnsi="標楷體" w:eastAsia="標楷體" w:cs="標楷體"/>
          <w:b w:val="0"/>
          <w:sz w:val="20"/>
        </w:rPr>
        <w:t>• 專案啟始、需求訪談及申請資料盤點。</w:t>
      </w:r>
    </w:p>
    <w:p>
      <w:pPr>
        <w:keepNext w:val="0"/>
        <w:widowControl/>
        <w:spacing w:before="0" w:after="40" w:line="240" w:lineRule="auto"/>
        <w:ind w:left="255" w:hanging="159"/>
      </w:pPr>
      <w:r>
        <w:rPr>
          <w:rFonts w:ascii="標楷體" w:hAnsi="標楷體" w:eastAsia="標楷體" w:cs="標楷體"/>
          <w:b w:val="0"/>
          <w:sz w:val="20"/>
        </w:rPr>
        <w:t>• 依甲方提供及確認之既定事業方向，盤點申請主體、營運模式、電源、售電對象、組織角色及資料缺口。</w:t>
      </w:r>
    </w:p>
    <w:p>
      <w:pPr>
        <w:keepNext w:val="0"/>
        <w:widowControl/>
        <w:spacing w:before="0" w:after="40" w:line="240" w:lineRule="auto"/>
        <w:ind w:left="255" w:hanging="159"/>
      </w:pPr>
      <w:r>
        <w:rPr>
          <w:rFonts w:ascii="標楷體" w:hAnsi="標楷體" w:eastAsia="標楷體" w:cs="標楷體"/>
          <w:b w:val="0"/>
          <w:sz w:val="20"/>
        </w:rPr>
        <w:t>• 盤點並整合申照所需之營運與財務資訊，進行一致性檢查。</w:t>
      </w:r>
    </w:p>
    <w:p>
      <w:pPr>
        <w:keepNext w:val="0"/>
        <w:widowControl/>
        <w:spacing w:before="0" w:after="40" w:line="240" w:lineRule="auto"/>
        <w:ind w:left="255" w:hanging="159"/>
      </w:pPr>
      <w:r>
        <w:rPr>
          <w:rFonts w:ascii="標楷體" w:hAnsi="標楷體" w:eastAsia="標楷體" w:cs="標楷體"/>
          <w:b w:val="0"/>
          <w:sz w:val="20"/>
        </w:rPr>
        <w:t>• 完成《售電計畫書》、《營業規章》及其他必要核心申請文件之內容整合與文件撰寫。</w:t>
      </w:r>
    </w:p>
    <w:p>
      <w:pPr>
        <w:keepNext w:val="0"/>
        <w:widowControl/>
        <w:spacing w:before="0" w:after="40" w:line="240" w:lineRule="auto"/>
        <w:ind w:left="255" w:hanging="159"/>
      </w:pPr>
      <w:r>
        <w:rPr>
          <w:rFonts w:ascii="標楷體" w:hAnsi="標楷體" w:eastAsia="標楷體" w:cs="標楷體"/>
          <w:b w:val="0"/>
          <w:sz w:val="20"/>
        </w:rPr>
        <w:t>• 形成可進入正式主管機關申請程序之完整申請架構。</w:t>
      </w:r>
    </w:p>
    <w:p>
      <w:pPr>
        <w:keepNext w:val="0"/>
        <w:widowControl/>
        <w:spacing w:before="0" w:after="80" w:line="240" w:lineRule="auto"/>
        <w:jc w:val="both"/>
      </w:pPr>
      <w:r>
        <w:rPr>
          <w:rFonts w:ascii="標楷體" w:hAnsi="標楷體" w:eastAsia="標楷體" w:cs="標楷體"/>
          <w:b w:val="0"/>
          <w:sz w:val="20"/>
        </w:rPr>
        <w:t>第 1 階段係將甲方已決定之售電事業轉化為正式申請；涉及甲方營運、電源、售電對象及財務之事實、數據、假設與最終決策，仍由甲方提供或確認。</w:t>
      </w:r>
    </w:p>
    <w:p>
      <w:pPr>
        <w:keepNext/>
        <w:widowControl/>
        <w:spacing w:before="100" w:after="60" w:line="240" w:lineRule="auto"/>
      </w:pPr>
      <w:r>
        <w:rPr>
          <w:rFonts w:ascii="標楷體" w:hAnsi="標楷體" w:eastAsia="標楷體" w:cs="標楷體"/>
          <w:b/>
          <w:sz w:val="20"/>
        </w:rPr>
        <w:t>第 2 階段｜正式申請及審查支援</w:t>
      </w:r>
    </w:p>
    <w:p>
      <w:pPr>
        <w:keepNext w:val="0"/>
        <w:widowControl/>
        <w:spacing w:before="0" w:after="40" w:line="240" w:lineRule="auto"/>
        <w:ind w:left="255" w:hanging="159"/>
      </w:pPr>
      <w:r>
        <w:rPr>
          <w:rFonts w:ascii="標楷體" w:hAnsi="標楷體" w:eastAsia="標楷體" w:cs="標楷體"/>
          <w:b w:val="0"/>
          <w:sz w:val="20"/>
        </w:rPr>
        <w:t>• 辦理正式主管機關送件及申請窗口往來。</w:t>
      </w:r>
    </w:p>
    <w:p>
      <w:pPr>
        <w:keepNext w:val="0"/>
        <w:widowControl/>
        <w:spacing w:before="0" w:after="40" w:line="240" w:lineRule="auto"/>
        <w:ind w:left="255" w:hanging="159"/>
      </w:pPr>
      <w:r>
        <w:rPr>
          <w:rFonts w:ascii="標楷體" w:hAnsi="標楷體" w:eastAsia="標楷體" w:cs="標楷體"/>
          <w:b w:val="0"/>
          <w:sz w:val="20"/>
        </w:rPr>
        <w:t>• 整理及解析審查意見，準備回覆內容。</w:t>
      </w:r>
    </w:p>
    <w:p>
      <w:pPr>
        <w:keepNext w:val="0"/>
        <w:widowControl/>
        <w:spacing w:before="0" w:after="40" w:line="240" w:lineRule="auto"/>
        <w:ind w:left="255" w:hanging="159"/>
      </w:pPr>
      <w:r>
        <w:rPr>
          <w:rFonts w:ascii="標楷體" w:hAnsi="標楷體" w:eastAsia="標楷體" w:cs="標楷體"/>
          <w:b w:val="0"/>
          <w:sz w:val="20"/>
        </w:rPr>
        <w:t>• 提供合理範圍內之申請文件修正及補件支援。</w:t>
      </w:r>
    </w:p>
    <w:p>
      <w:pPr>
        <w:keepNext w:val="0"/>
        <w:widowControl/>
        <w:spacing w:before="0" w:after="40" w:line="240" w:lineRule="auto"/>
        <w:ind w:left="255" w:hanging="159"/>
      </w:pPr>
      <w:r>
        <w:rPr>
          <w:rFonts w:ascii="標楷體" w:hAnsi="標楷體" w:eastAsia="標楷體" w:cs="標楷體"/>
          <w:b w:val="0"/>
          <w:sz w:val="20"/>
        </w:rPr>
        <w:t>• 追蹤申請進度並推進程序，至本次約定之主管機關申請程序完成。</w:t>
      </w:r>
    </w:p>
    <w:p>
      <w:pPr>
        <w:keepNext/>
        <w:widowControl/>
        <w:spacing w:before="160" w:after="100" w:line="240" w:lineRule="auto"/>
      </w:pPr>
      <w:r>
        <w:rPr>
          <w:rFonts w:ascii="標楷體" w:hAnsi="標楷體" w:eastAsia="標楷體" w:cs="標楷體"/>
          <w:b w:val="0"/>
          <w:sz w:val="22"/>
        </w:rPr>
        <w:t>三、主要成果</w:t>
      </w:r>
    </w:p>
    <w:p>
      <w:pPr>
        <w:keepNext w:val="0"/>
        <w:widowControl/>
        <w:spacing w:before="0" w:after="60" w:line="240" w:lineRule="auto"/>
        <w:jc w:val="both"/>
      </w:pPr>
      <w:r>
        <w:rPr>
          <w:rFonts w:ascii="標楷體" w:hAnsi="標楷體" w:eastAsia="標楷體" w:cs="標楷體"/>
          <w:b w:val="0"/>
          <w:sz w:val="20"/>
        </w:rPr>
        <w:t>如選用第 0 階段，另提供《前期事業規劃與決策建議》或功能相同之正式成果。標準完整申照專案主要成果如下：</w:t>
      </w:r>
    </w:p>
    <w:p>
      <w:pPr>
        <w:keepNext w:val="0"/>
        <w:widowControl/>
        <w:spacing w:before="0" w:after="40" w:line="240" w:lineRule="auto"/>
        <w:ind w:left="198" w:hanging="198"/>
      </w:pPr>
      <w:r>
        <w:rPr>
          <w:rFonts w:ascii="標楷體" w:hAnsi="標楷體" w:eastAsia="標楷體" w:cs="標楷體"/>
          <w:b w:val="0"/>
          <w:sz w:val="20"/>
        </w:rPr>
        <w:t>1.　《售電計畫書》。</w:t>
      </w:r>
    </w:p>
    <w:p>
      <w:pPr>
        <w:keepNext w:val="0"/>
        <w:widowControl/>
        <w:spacing w:before="0" w:after="40" w:line="240" w:lineRule="auto"/>
        <w:ind w:left="198" w:hanging="198"/>
      </w:pPr>
      <w:r>
        <w:rPr>
          <w:rFonts w:ascii="標楷體" w:hAnsi="標楷體" w:eastAsia="標楷體" w:cs="標楷體"/>
          <w:b w:val="0"/>
          <w:sz w:val="20"/>
        </w:rPr>
        <w:t>2.　《營業規章》。</w:t>
      </w:r>
    </w:p>
    <w:p>
      <w:pPr>
        <w:keepNext w:val="0"/>
        <w:widowControl/>
        <w:spacing w:before="0" w:after="40" w:line="240" w:lineRule="auto"/>
        <w:ind w:left="198" w:hanging="198"/>
      </w:pPr>
      <w:r>
        <w:rPr>
          <w:rFonts w:ascii="標楷體" w:hAnsi="標楷體" w:eastAsia="標楷體" w:cs="標楷體"/>
          <w:b w:val="0"/>
          <w:sz w:val="20"/>
        </w:rPr>
        <w:t>3.　預估財務資料及其與營運規劃之一致性整合。</w:t>
      </w:r>
    </w:p>
    <w:p>
      <w:pPr>
        <w:keepNext w:val="0"/>
        <w:widowControl/>
        <w:spacing w:before="0" w:after="40" w:line="240" w:lineRule="auto"/>
        <w:ind w:left="198" w:hanging="198"/>
      </w:pPr>
      <w:r>
        <w:rPr>
          <w:rFonts w:ascii="標楷體" w:hAnsi="標楷體" w:eastAsia="標楷體" w:cs="標楷體"/>
          <w:b w:val="0"/>
          <w:sz w:val="20"/>
        </w:rPr>
        <w:t>4.　依主管機關現行法令、規定及申請要求所需之其他核心申請資料。</w:t>
      </w:r>
    </w:p>
    <w:p>
      <w:pPr>
        <w:keepNext w:val="0"/>
        <w:widowControl/>
        <w:spacing w:before="0" w:after="40" w:line="240" w:lineRule="auto"/>
        <w:ind w:left="198" w:hanging="198"/>
      </w:pPr>
      <w:r>
        <w:rPr>
          <w:rFonts w:ascii="標楷體" w:hAnsi="標楷體" w:eastAsia="標楷體" w:cs="標楷體"/>
          <w:b w:val="0"/>
          <w:sz w:val="20"/>
        </w:rPr>
        <w:t>5.　正式送件、審查意見處理及補件紀錄。</w:t>
      </w:r>
    </w:p>
    <w:p>
      <w:pPr>
        <w:keepNext/>
        <w:widowControl/>
        <w:spacing w:before="160" w:after="100" w:line="240" w:lineRule="auto"/>
      </w:pPr>
      <w:r>
        <w:rPr>
          <w:rFonts w:ascii="標楷體" w:hAnsi="標楷體" w:eastAsia="標楷體" w:cs="標楷體"/>
          <w:b w:val="0"/>
          <w:sz w:val="22"/>
        </w:rPr>
        <w:t>四、專案費用及付款節點</w:t>
      </w:r>
    </w:p>
    <w:p>
      <w:pPr>
        <w:keepNext/>
        <w:widowControl/>
        <w:spacing w:before="100" w:after="60" w:line="240" w:lineRule="auto"/>
      </w:pPr>
      <w:r>
        <w:rPr>
          <w:rFonts w:ascii="標楷體" w:hAnsi="標楷體" w:eastAsia="標楷體" w:cs="標楷體"/>
          <w:b/>
          <w:sz w:val="20"/>
        </w:rPr>
        <w:t>第 0 階段｜前期事業規劃（選配）</w:t>
      </w:r>
    </w:p>
    <w:p>
      <w:pPr>
        <w:keepNext w:val="0"/>
        <w:widowControl/>
        <w:spacing w:before="0" w:after="100" w:line="240" w:lineRule="auto"/>
      </w:pPr>
      <w:r>
        <w:rPr>
          <w:rFonts w:ascii="標楷體" w:hAnsi="標楷體" w:eastAsia="標楷體" w:cs="標楷體"/>
          <w:b w:val="0"/>
          <w:sz w:val="20"/>
        </w:rPr>
        <w:t>費用為 NT$150,000（未稅），乙方於第 0 階段正式啟動時請款。</w:t>
      </w:r>
    </w:p>
    <w:p>
      <w:pPr>
        <w:keepNext/>
        <w:widowControl/>
        <w:spacing w:before="100" w:after="60" w:line="240" w:lineRule="auto"/>
      </w:pPr>
      <w:r>
        <w:rPr>
          <w:rFonts w:ascii="標楷體" w:hAnsi="標楷體" w:eastAsia="標楷體" w:cs="標楷體"/>
          <w:b/>
          <w:sz w:val="20"/>
        </w:rPr>
        <w:t>標準完整申照專案</w:t>
      </w:r>
    </w:p>
    <w:p>
      <w:pPr>
        <w:keepNext w:val="0"/>
        <w:widowControl/>
        <w:spacing w:before="0" w:after="80" w:line="240" w:lineRule="auto"/>
      </w:pPr>
      <w:r>
        <w:rPr>
          <w:rFonts w:ascii="標楷體" w:hAnsi="標楷體" w:eastAsia="標楷體" w:cs="標楷體"/>
          <w:b w:val="0"/>
          <w:sz w:val="20"/>
        </w:rPr>
        <w:t>第 1 階段及第 2 階段共同構成標準完整申照專案，總價為 NT$450,000（未稅）。</w:t>
      </w:r>
    </w:p>
    <w:tbl>
      <w:tblPr>
        <w:tblStyle w:val="af2"/>
        <w:tblW w:type="auto" w:w="0"/>
        <w:jc w:val="center"/>
        <w:tblLook w:firstColumn="1" w:firstRow="1" w:lastColumn="0" w:lastRow="0" w:noHBand="0" w:noVBand="1" w:val="04A0"/>
      </w:tblPr>
      <w:tblGrid>
        <w:gridCol w:w="2767"/>
        <w:gridCol w:w="2767"/>
        <w:gridCol w:w="2767"/>
      </w:tblGrid>
      <w:tr>
        <w:trPr>
          <w:tblHeader w:val="true"/>
          <w:cantSplit/>
        </w:trPr>
        <w:tc>
          <w:tcPr>
            <w:tcW w:type="dxa" w:w="1701"/>
            <w:vAlign w:val="center"/>
            <w:tcMar>
              <w:top w:w="80" w:type="dxa"/>
              <w:bottom w:w="80" w:type="dxa"/>
              <w:start w:w="90" w:type="dxa"/>
              <w:end w:w="90" w:type="dxa"/>
            </w:tcMar>
          </w:tcPr>
          <w:p>
            <w:pPr>
              <w:widowControl/>
              <w:spacing w:before="0" w:after="0" w:line="240" w:lineRule="auto"/>
              <w:jc w:val="center"/>
            </w:pPr>
            <w:r>
              <w:rPr>
                <w:rFonts w:ascii="標楷體" w:hAnsi="標楷體" w:eastAsia="標楷體" w:cs="標楷體"/>
              </w:rPr>
            </w:r>
            <w:r>
              <w:rPr>
                <w:rFonts w:ascii="標楷體" w:hAnsi="標楷體" w:eastAsia="標楷體" w:cs="標楷體"/>
                <w:b/>
                <w:sz w:val="20"/>
              </w:rPr>
              <w:t>款次</w:t>
            </w:r>
          </w:p>
        </w:tc>
        <w:tc>
          <w:tcPr>
            <w:tcW w:type="dxa" w:w="2098"/>
            <w:vAlign w:val="center"/>
            <w:tcMar>
              <w:top w:w="80" w:type="dxa"/>
              <w:bottom w:w="80" w:type="dxa"/>
              <w:start w:w="90" w:type="dxa"/>
              <w:end w:w="90" w:type="dxa"/>
            </w:tcMar>
          </w:tcPr>
          <w:p>
            <w:pPr>
              <w:widowControl/>
              <w:spacing w:before="0" w:after="0" w:line="240" w:lineRule="auto"/>
              <w:jc w:val="center"/>
            </w:pPr>
            <w:r>
              <w:rPr>
                <w:rFonts w:ascii="標楷體" w:hAnsi="標楷體" w:eastAsia="標楷體" w:cs="標楷體"/>
              </w:rPr>
            </w:r>
            <w:r>
              <w:rPr>
                <w:rFonts w:ascii="標楷體" w:hAnsi="標楷體" w:eastAsia="標楷體" w:cs="標楷體"/>
                <w:b/>
                <w:sz w:val="20"/>
              </w:rPr>
              <w:t>金額（未稅）</w:t>
            </w:r>
          </w:p>
        </w:tc>
        <w:tc>
          <w:tcPr>
            <w:tcW w:type="dxa" w:w="4309"/>
            <w:vAlign w:val="center"/>
            <w:tcMar>
              <w:top w:w="80" w:type="dxa"/>
              <w:bottom w:w="80" w:type="dxa"/>
              <w:start w:w="90" w:type="dxa"/>
              <w:end w:w="90" w:type="dxa"/>
            </w:tcMar>
          </w:tcPr>
          <w:p>
            <w:pPr>
              <w:widowControl/>
              <w:spacing w:before="0" w:after="0" w:line="240" w:lineRule="auto"/>
              <w:jc w:val="center"/>
            </w:pPr>
            <w:r>
              <w:rPr>
                <w:rFonts w:ascii="標楷體" w:hAnsi="標楷體" w:eastAsia="標楷體" w:cs="標楷體"/>
              </w:rPr>
            </w:r>
            <w:r>
              <w:rPr>
                <w:rFonts w:ascii="標楷體" w:hAnsi="標楷體" w:eastAsia="標楷體" w:cs="標楷體"/>
                <w:b/>
                <w:sz w:val="20"/>
              </w:rPr>
              <w:t>請款節點</w:t>
            </w:r>
          </w:p>
        </w:tc>
      </w:tr>
      <w:tr>
        <w:trPr>
          <w:cantSplit/>
          <w:cantSplit/>
        </w:trPr>
        <w:tc>
          <w:tcPr>
            <w:tcW w:type="dxa" w:w="1701"/>
            <w:vAlign w:val="center"/>
            <w:tcMar>
              <w:top w:w="80" w:type="dxa"/>
              <w:bottom w:w="80" w:type="dxa"/>
              <w:start w:w="90" w:type="dxa"/>
              <w:end w:w="90" w:type="dxa"/>
            </w:tcMar>
          </w:tcPr>
          <w:p>
            <w:pPr>
              <w:widowControl/>
              <w:spacing w:before="0" w:after="0" w:line="240" w:lineRule="auto"/>
              <w:jc w:val="center"/>
            </w:pPr>
            <w:r>
              <w:rPr>
                <w:rFonts w:ascii="標楷體" w:hAnsi="標楷體" w:eastAsia="標楷體" w:cs="標楷體"/>
              </w:rPr>
            </w:r>
            <w:r>
              <w:rPr>
                <w:rFonts w:ascii="標楷體" w:hAnsi="標楷體" w:eastAsia="標楷體" w:cs="標楷體"/>
                <w:b w:val="0"/>
                <w:sz w:val="20"/>
              </w:rPr>
              <w:t>第一筆</w:t>
            </w:r>
          </w:p>
        </w:tc>
        <w:tc>
          <w:tcPr>
            <w:tcW w:type="dxa" w:w="2098"/>
            <w:vAlign w:val="center"/>
            <w:tcMar>
              <w:top w:w="80" w:type="dxa"/>
              <w:bottom w:w="80" w:type="dxa"/>
              <w:start w:w="90" w:type="dxa"/>
              <w:end w:w="90" w:type="dxa"/>
            </w:tcMar>
          </w:tcPr>
          <w:p>
            <w:pPr>
              <w:widowControl/>
              <w:spacing w:before="0" w:after="0" w:line="240" w:lineRule="auto"/>
              <w:jc w:val="center"/>
            </w:pPr>
            <w:r>
              <w:rPr>
                <w:rFonts w:ascii="標楷體" w:hAnsi="標楷體" w:eastAsia="標楷體" w:cs="標楷體"/>
              </w:rPr>
            </w:r>
            <w:r>
              <w:rPr>
                <w:rFonts w:ascii="標楷體" w:hAnsi="標楷體" w:eastAsia="標楷體" w:cs="標楷體"/>
                <w:b w:val="0"/>
                <w:sz w:val="20"/>
              </w:rPr>
              <w:t>NT$100,000</w:t>
            </w:r>
          </w:p>
        </w:tc>
        <w:tc>
          <w:tcPr>
            <w:tcW w:type="dxa" w:w="4309"/>
            <w:vAlign w:val="center"/>
            <w:tcMar>
              <w:top w:w="80" w:type="dxa"/>
              <w:bottom w:w="80" w:type="dxa"/>
              <w:start w:w="90" w:type="dxa"/>
              <w:end w:w="90" w:type="dxa"/>
            </w:tcMar>
          </w:tcPr>
          <w:p>
            <w:pPr>
              <w:widowControl/>
              <w:spacing w:before="0" w:after="0" w:line="240" w:lineRule="auto"/>
              <w:jc w:val="left"/>
            </w:pPr>
            <w:r>
              <w:rPr>
                <w:rFonts w:ascii="標楷體" w:hAnsi="標楷體" w:eastAsia="標楷體" w:cs="標楷體"/>
              </w:rPr>
            </w:r>
            <w:r>
              <w:rPr>
                <w:rFonts w:ascii="標楷體" w:hAnsi="標楷體" w:eastAsia="標楷體" w:cs="標楷體"/>
                <w:b w:val="0"/>
                <w:sz w:val="20"/>
              </w:rPr>
              <w:t>標準完整申照專案正式啟動</w:t>
            </w:r>
          </w:p>
        </w:tc>
      </w:tr>
      <w:tr>
        <w:trPr>
          <w:cantSplit/>
          <w:cantSplit/>
        </w:trPr>
        <w:tc>
          <w:tcPr>
            <w:tcW w:type="dxa" w:w="1701"/>
            <w:vAlign w:val="center"/>
            <w:tcMar>
              <w:top w:w="80" w:type="dxa"/>
              <w:bottom w:w="80" w:type="dxa"/>
              <w:start w:w="90" w:type="dxa"/>
              <w:end w:w="90" w:type="dxa"/>
            </w:tcMar>
          </w:tcPr>
          <w:p>
            <w:pPr>
              <w:widowControl/>
              <w:spacing w:before="0" w:after="0" w:line="240" w:lineRule="auto"/>
              <w:jc w:val="center"/>
            </w:pPr>
            <w:r>
              <w:rPr>
                <w:rFonts w:ascii="標楷體" w:hAnsi="標楷體" w:eastAsia="標楷體" w:cs="標楷體"/>
              </w:rPr>
            </w:r>
            <w:r>
              <w:rPr>
                <w:rFonts w:ascii="標楷體" w:hAnsi="標楷體" w:eastAsia="標楷體" w:cs="標楷體"/>
                <w:b w:val="0"/>
                <w:sz w:val="20"/>
              </w:rPr>
              <w:t>第二筆</w:t>
            </w:r>
          </w:p>
        </w:tc>
        <w:tc>
          <w:tcPr>
            <w:tcW w:type="dxa" w:w="2098"/>
            <w:vAlign w:val="center"/>
            <w:tcMar>
              <w:top w:w="80" w:type="dxa"/>
              <w:bottom w:w="80" w:type="dxa"/>
              <w:start w:w="90" w:type="dxa"/>
              <w:end w:w="90" w:type="dxa"/>
            </w:tcMar>
          </w:tcPr>
          <w:p>
            <w:pPr>
              <w:widowControl/>
              <w:spacing w:before="0" w:after="0" w:line="240" w:lineRule="auto"/>
              <w:jc w:val="center"/>
            </w:pPr>
            <w:r>
              <w:rPr>
                <w:rFonts w:ascii="標楷體" w:hAnsi="標楷體" w:eastAsia="標楷體" w:cs="標楷體"/>
              </w:rPr>
            </w:r>
            <w:r>
              <w:rPr>
                <w:rFonts w:ascii="標楷體" w:hAnsi="標楷體" w:eastAsia="標楷體" w:cs="標楷體"/>
                <w:b w:val="0"/>
                <w:sz w:val="20"/>
              </w:rPr>
              <w:t>NT$200,000</w:t>
            </w:r>
          </w:p>
        </w:tc>
        <w:tc>
          <w:tcPr>
            <w:tcW w:type="dxa" w:w="4309"/>
            <w:vAlign w:val="center"/>
            <w:tcMar>
              <w:top w:w="80" w:type="dxa"/>
              <w:bottom w:w="80" w:type="dxa"/>
              <w:start w:w="90" w:type="dxa"/>
              <w:end w:w="90" w:type="dxa"/>
            </w:tcMar>
          </w:tcPr>
          <w:p>
            <w:pPr>
              <w:widowControl/>
              <w:spacing w:before="0" w:after="0" w:line="240" w:lineRule="auto"/>
              <w:jc w:val="left"/>
            </w:pPr>
            <w:r>
              <w:rPr>
                <w:rFonts w:ascii="標楷體" w:hAnsi="標楷體" w:eastAsia="標楷體" w:cs="標楷體"/>
              </w:rPr>
            </w:r>
            <w:r>
              <w:rPr>
                <w:rFonts w:ascii="標楷體" w:hAnsi="標楷體" w:eastAsia="標楷體" w:cs="標楷體"/>
                <w:b w:val="0"/>
                <w:sz w:val="20"/>
              </w:rPr>
              <w:t>第 1 階段完成</w:t>
            </w:r>
          </w:p>
        </w:tc>
      </w:tr>
      <w:tr>
        <w:trPr>
          <w:cantSplit/>
          <w:cantSplit/>
        </w:trPr>
        <w:tc>
          <w:tcPr>
            <w:tcW w:type="dxa" w:w="1701"/>
            <w:vAlign w:val="center"/>
            <w:tcMar>
              <w:top w:w="80" w:type="dxa"/>
              <w:bottom w:w="80" w:type="dxa"/>
              <w:start w:w="90" w:type="dxa"/>
              <w:end w:w="90" w:type="dxa"/>
            </w:tcMar>
          </w:tcPr>
          <w:p>
            <w:pPr>
              <w:widowControl/>
              <w:spacing w:before="0" w:after="0" w:line="240" w:lineRule="auto"/>
              <w:jc w:val="center"/>
            </w:pPr>
            <w:r>
              <w:rPr>
                <w:rFonts w:ascii="標楷體" w:hAnsi="標楷體" w:eastAsia="標楷體" w:cs="標楷體"/>
              </w:rPr>
            </w:r>
            <w:r>
              <w:rPr>
                <w:rFonts w:ascii="標楷體" w:hAnsi="標楷體" w:eastAsia="標楷體" w:cs="標楷體"/>
                <w:b w:val="0"/>
                <w:sz w:val="20"/>
              </w:rPr>
              <w:t>第三筆</w:t>
            </w:r>
          </w:p>
        </w:tc>
        <w:tc>
          <w:tcPr>
            <w:tcW w:type="dxa" w:w="2098"/>
            <w:vAlign w:val="center"/>
            <w:tcMar>
              <w:top w:w="80" w:type="dxa"/>
              <w:bottom w:w="80" w:type="dxa"/>
              <w:start w:w="90" w:type="dxa"/>
              <w:end w:w="90" w:type="dxa"/>
            </w:tcMar>
          </w:tcPr>
          <w:p>
            <w:pPr>
              <w:widowControl/>
              <w:spacing w:before="0" w:after="0" w:line="240" w:lineRule="auto"/>
              <w:jc w:val="center"/>
            </w:pPr>
            <w:r>
              <w:rPr>
                <w:rFonts w:ascii="標楷體" w:hAnsi="標楷體" w:eastAsia="標楷體" w:cs="標楷體"/>
              </w:rPr>
            </w:r>
            <w:r>
              <w:rPr>
                <w:rFonts w:ascii="標楷體" w:hAnsi="標楷體" w:eastAsia="標楷體" w:cs="標楷體"/>
                <w:b w:val="0"/>
                <w:sz w:val="20"/>
              </w:rPr>
              <w:t>NT$150,000</w:t>
            </w:r>
          </w:p>
        </w:tc>
        <w:tc>
          <w:tcPr>
            <w:tcW w:type="dxa" w:w="4309"/>
            <w:vAlign w:val="center"/>
            <w:tcMar>
              <w:top w:w="80" w:type="dxa"/>
              <w:bottom w:w="80" w:type="dxa"/>
              <w:start w:w="90" w:type="dxa"/>
              <w:end w:w="90" w:type="dxa"/>
            </w:tcMar>
          </w:tcPr>
          <w:p>
            <w:pPr>
              <w:widowControl/>
              <w:spacing w:before="0" w:after="0" w:line="240" w:lineRule="auto"/>
              <w:jc w:val="left"/>
            </w:pPr>
            <w:r>
              <w:rPr>
                <w:rFonts w:ascii="標楷體" w:hAnsi="標楷體" w:eastAsia="標楷體" w:cs="標楷體"/>
              </w:rPr>
            </w:r>
            <w:r>
              <w:rPr>
                <w:rFonts w:ascii="標楷體" w:hAnsi="標楷體" w:eastAsia="標楷體" w:cs="標楷體"/>
                <w:b w:val="0"/>
                <w:sz w:val="20"/>
              </w:rPr>
              <w:t>主管機關申請程序完成</w:t>
            </w:r>
          </w:p>
        </w:tc>
      </w:tr>
    </w:tbl>
    <w:p>
      <w:pPr>
        <w:keepNext w:val="0"/>
        <w:widowControl/>
        <w:spacing w:before="60" w:after="40" w:line="240" w:lineRule="auto"/>
        <w:jc w:val="both"/>
      </w:pPr>
      <w:r>
        <w:rPr>
          <w:rFonts w:ascii="標楷體" w:hAnsi="標楷體" w:eastAsia="標楷體" w:cs="標楷體"/>
          <w:b w:val="0"/>
          <w:sz w:val="20"/>
        </w:rPr>
        <w:t>未選用第 0 階段時，第一筆於標準完整申照專案正式啟動時請款；選用第 0 階段時，第一筆於第 0 階段完成並進入第 1 階段時請款。各款於請款節點成立後開立發票及完整請款文件，甲方應於收到完整文件之次日起十個工作日內付款。</w:t>
      </w:r>
    </w:p>
    <w:p>
      <w:pPr>
        <w:keepNext w:val="0"/>
        <w:widowControl/>
        <w:spacing w:before="0" w:after="100" w:line="240" w:lineRule="auto"/>
      </w:pPr>
      <w:r>
        <w:rPr>
          <w:rFonts w:ascii="標楷體" w:hAnsi="標楷體" w:eastAsia="標楷體" w:cs="標楷體"/>
          <w:b w:val="0"/>
          <w:sz w:val="20"/>
        </w:rPr>
        <w:t>未選用第 0 階段者，本案費用合計為 NT$450,000（未稅）；選用第 0 階段者，費用合計為 NT$600,000（未稅）。</w:t>
      </w:r>
    </w:p>
    <w:p>
      <w:pPr>
        <w:keepNext/>
        <w:widowControl/>
        <w:spacing w:before="160" w:after="100" w:line="240" w:lineRule="auto"/>
      </w:pPr>
      <w:r>
        <w:rPr>
          <w:rFonts w:ascii="標楷體" w:hAnsi="標楷體" w:eastAsia="標楷體" w:cs="標楷體"/>
          <w:b w:val="0"/>
          <w:sz w:val="22"/>
        </w:rPr>
        <w:t>五、重要範圍說明</w:t>
      </w:r>
    </w:p>
    <w:p>
      <w:pPr>
        <w:keepNext w:val="0"/>
        <w:widowControl/>
        <w:spacing w:before="0" w:after="40" w:line="240" w:lineRule="auto"/>
        <w:ind w:left="255" w:hanging="159"/>
      </w:pPr>
      <w:r>
        <w:rPr>
          <w:rFonts w:ascii="標楷體" w:hAnsi="標楷體" w:eastAsia="標楷體" w:cs="標楷體"/>
          <w:b w:val="0"/>
          <w:sz w:val="20"/>
        </w:rPr>
        <w:t>• 未選用第 0 階段時，甲方確認已具備足以啟動正式申照專案之基本事業方向；標準完整申照專案不包含重新比較重大事業模式或法人主體、建立全新電源或售電市場策略、重新設計完整商業模式，或替管理層作成前期事業可行性決策。</w:t>
      </w:r>
    </w:p>
    <w:p>
      <w:pPr>
        <w:keepNext w:val="0"/>
        <w:widowControl/>
        <w:spacing w:before="0" w:after="40" w:line="240" w:lineRule="auto"/>
        <w:ind w:left="255" w:hanging="159"/>
      </w:pPr>
      <w:r>
        <w:rPr>
          <w:rFonts w:ascii="標楷體" w:hAnsi="標楷體" w:eastAsia="標楷體" w:cs="標楷體"/>
          <w:b w:val="0"/>
          <w:sz w:val="20"/>
        </w:rPr>
        <w:t>• 甲方應提供並確認公司、組織、人力、成本、會計、稅務、資金、交易及其他僅甲方掌握之資料與假設。乙方負責說明申請資料需求、盤點、收斂、一致性檢查及文件整合，但不替甲方決定營運收益、成本、集團成本或最終財務數值。</w:t>
      </w:r>
    </w:p>
    <w:p>
      <w:pPr>
        <w:keepNext w:val="0"/>
        <w:widowControl/>
        <w:spacing w:before="0" w:after="40" w:line="240" w:lineRule="auto"/>
        <w:ind w:left="255" w:hanging="159"/>
      </w:pPr>
      <w:r>
        <w:rPr>
          <w:rFonts w:ascii="標楷體" w:hAnsi="標楷體" w:eastAsia="標楷體" w:cs="標楷體"/>
          <w:b w:val="0"/>
          <w:sz w:val="20"/>
        </w:rPr>
        <w:t>• 政府規費、第三方專業費用、郵寄、印製、差旅及其他必要支出不包含於本報價，依實際發生情形由甲方負擔。</w:t>
      </w:r>
    </w:p>
    <w:p>
      <w:pPr>
        <w:keepNext/>
        <w:widowControl/>
        <w:spacing w:before="160" w:after="100" w:line="240" w:lineRule="auto"/>
      </w:pPr>
      <w:r>
        <w:rPr>
          <w:rFonts w:ascii="標楷體" w:hAnsi="標楷體" w:eastAsia="標楷體" w:cs="標楷體"/>
          <w:b w:val="0"/>
          <w:sz w:val="22"/>
        </w:rPr>
        <w:t>六、報價用途</w:t>
      </w:r>
    </w:p>
    <w:p>
      <w:pPr>
        <w:keepNext w:val="0"/>
        <w:widowControl/>
        <w:spacing w:before="0" w:after="0" w:line="240" w:lineRule="auto"/>
        <w:jc w:val="both"/>
      </w:pPr>
      <w:r>
        <w:rPr>
          <w:rFonts w:ascii="標楷體" w:hAnsi="標楷體" w:eastAsia="標楷體" w:cs="標楷體"/>
          <w:b w:val="0"/>
          <w:sz w:val="20"/>
        </w:rPr>
        <w:t>本報價供貴公司內部評估及商務討論使用；正式服務內容、雙方權利義務及專案啟動，以雙方後續簽署之正式服務契約及服務工作範圍書為準。</w:t>
      </w:r>
    </w:p>
    <w:sectPr w:rsidR="00587680">
      <w:headerReference w:type="default" r:id="rId9"/>
      <w:footerReference w:type="default" r:id="rId10"/>
      <w:pgSz w:w="11906" w:h="16838"/>
      <w:pgMar w:top="1440" w:right="1800" w:bottom="1440" w:left="180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63C78" w14:textId="77777777" w:rsidR="00D116E1" w:rsidRDefault="00D116E1">
      <w:r>
        <w:separator/>
      </w:r>
    </w:p>
  </w:endnote>
  <w:endnote w:type="continuationSeparator" w:id="0">
    <w:p w14:paraId="6C32F1F9" w14:textId="77777777" w:rsidR="00D116E1" w:rsidRDefault="00D116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embedRegular r:id="rId1" w:subsetted="1" w:fontKey="{421313AE-C09D-472C-A71A-68FD439817ED}"/>
    <w:embedBold r:id="rId2" w:subsetted="1" w:fontKey="{08BA5F98-DC93-4EFF-8F6C-AA48897D1928}"/>
  </w:font>
  <w:font w:name="新細明體">
    <w:altName w:val="PMingLiU"/>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embedRegular r:id="rId3" w:fontKey="{153C8D40-F5D0-4602-A1B7-C71AEE645AC3}"/>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DC256850-883C-4F42-8B00-E0144FE9819B}"/>
    <w:embedItalic r:id="rId5" w:fontKey="{CCE8B9BF-DD22-4258-8CA8-076FF4002DBD}"/>
  </w:font>
  <w:font w:name="Calibri">
    <w:panose1 w:val="020F0502020204030204"/>
    <w:charset w:val="00"/>
    <w:family w:val="swiss"/>
    <w:pitch w:val="variable"/>
    <w:sig w:usb0="E4002EFF" w:usb1="C200247B" w:usb2="00000009" w:usb3="00000000" w:csb0="000001FF" w:csb1="00000000"/>
    <w:embedRegular r:id="rId6" w:fontKey="{500757B4-D5EE-4B3A-9EAB-A237B3CC2851}"/>
  </w:font>
  <w:font w:name="Calibri Light">
    <w:panose1 w:val="020F0302020204030204"/>
    <w:charset w:val="00"/>
    <w:family w:val="swiss"/>
    <w:pitch w:val="variable"/>
    <w:sig w:usb0="E4002EFF" w:usb1="C200247B" w:usb2="00000009" w:usb3="00000000" w:csb0="000001FF" w:csb1="00000000"/>
    <w:embedRegular r:id="rId7" w:fontKey="{102B2B19-4B78-4155-B1DD-1AF8FBC2A8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5B2D1" w14:textId="77777777" w:rsidR="00587680" w:rsidRDefault="005A4EA2">
    <w:pPr>
      <w:pBdr>
        <w:top w:val="nil"/>
        <w:left w:val="nil"/>
        <w:bottom w:val="nil"/>
        <w:right w:val="nil"/>
        <w:between w:val="nil"/>
      </w:pBdr>
      <w:tabs>
        <w:tab w:val="center" w:pos="4153"/>
        <w:tab w:val="right" w:pos="8306"/>
      </w:tabs>
      <w:jc w:val="center"/>
      <w:rPr>
        <w:rFonts w:ascii="標楷體" w:eastAsia="標楷體" w:hAnsi="標楷體" w:cs="標楷體"/>
        <w:color w:val="000000"/>
        <w:sz w:val="20"/>
        <w:szCs w:val="20"/>
      </w:rPr>
    </w:pPr>
    <w:r>
      <w:rPr>
        <w:rFonts w:ascii="標楷體" w:eastAsia="標楷體" w:hAnsi="標楷體" w:cs="標楷體"/>
        <w:color w:val="000000"/>
        <w:sz w:val="20"/>
        <w:szCs w:val="20"/>
      </w:rPr>
      <w:fldChar w:fldCharType="begin"/>
    </w:r>
    <w:r>
      <w:rPr>
        <w:rFonts w:ascii="標楷體" w:eastAsia="標楷體" w:hAnsi="標楷體" w:cs="標楷體"/>
        <w:color w:val="000000"/>
        <w:sz w:val="20"/>
        <w:szCs w:val="20"/>
      </w:rPr>
      <w:instrText>PAGE</w:instrText>
    </w:r>
    <w:r>
      <w:rPr>
        <w:rFonts w:ascii="標楷體" w:eastAsia="標楷體" w:hAnsi="標楷體" w:cs="標楷體"/>
        <w:color w:val="000000"/>
        <w:sz w:val="20"/>
        <w:szCs w:val="20"/>
      </w:rPr>
      <w:fldChar w:fldCharType="separate"/>
    </w:r>
    <w:r w:rsidR="006B4F34">
      <w:rPr>
        <w:rFonts w:ascii="標楷體" w:eastAsia="標楷體" w:hAnsi="標楷體" w:cs="標楷體"/>
        <w:noProof/>
        <w:color w:val="000000"/>
        <w:sz w:val="20"/>
        <w:szCs w:val="20"/>
      </w:rPr>
      <w:t>1</w:t>
    </w:r>
    <w:r>
      <w:rPr>
        <w:rFonts w:ascii="標楷體" w:eastAsia="標楷體" w:hAnsi="標楷體" w:cs="標楷體"/>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181BC" w14:textId="77777777" w:rsidR="00D116E1" w:rsidRDefault="00D116E1">
      <w:r>
        <w:separator/>
      </w:r>
    </w:p>
  </w:footnote>
  <w:footnote w:type="continuationSeparator" w:id="0">
    <w:p w14:paraId="35D8DCA8" w14:textId="77777777" w:rsidR="00D116E1" w:rsidRDefault="00D116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334FE" w14:textId="44056EB4" w:rsidR="00506B48" w:rsidRPr="00506B48" w:rsidRDefault="00506B48" w:rsidP="00506B48">
    <w:pPr>
      <w:pStyle w:val="a4"/>
      <w:tabs>
        <w:tab w:val="clear" w:pos="4153"/>
        <w:tab w:val="center" w:pos="4962"/>
      </w:tabs>
      <w:jc w:val="right"/>
      <w:rPr>
        <w:rFonts w:ascii="標楷體" w:eastAsia="標楷體" w:hAnsi="標楷體"/>
        <w:sz w:val="16"/>
        <w:szCs w:val="16"/>
      </w:rPr>
    </w:pPr>
    <w:r w:rsidRPr="00506B48">
      <w:rPr>
        <w:rFonts w:ascii="標楷體" w:eastAsia="標楷體" w:hAnsi="標楷體"/>
        <w:sz w:val="16"/>
        <w:szCs w:val="16"/>
      </w:rPr>
      <w:t>Optimum Co., Ltd.｜優選股份有限公司</w:t>
    </w:r>
  </w:p>
  <w:p w14:paraId="5DB7B559" w14:textId="6A7EC110" w:rsidR="00506B48" w:rsidRPr="00506B48" w:rsidRDefault="00506B48" w:rsidP="00506B48">
    <w:pPr>
      <w:pStyle w:val="a4"/>
      <w:tabs>
        <w:tab w:val="clear" w:pos="4153"/>
        <w:tab w:val="center" w:pos="4962"/>
      </w:tabs>
      <w:jc w:val="right"/>
      <w:rPr>
        <w:sz w:val="16"/>
        <w:szCs w:val="16"/>
      </w:rPr>
    </w:pPr>
    <w:r w:rsidRPr="00506B48">
      <w:rPr>
        <w:rFonts w:ascii="標楷體" w:eastAsia="標楷體" w:hAnsi="標楷體" w:hint="eastAsia"/>
        <w:sz w:val="16"/>
        <w:szCs w:val="16"/>
      </w:rPr>
      <w:t>機密文件請勿外流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65E4"/>
    <w:multiLevelType w:val="multilevel"/>
    <w:tmpl w:val="4C20E64C"/>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B101695"/>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1AC1C84"/>
    <w:multiLevelType w:val="multilevel"/>
    <w:tmpl w:val="41FA941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14C57702"/>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4F52F4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1C4E20A0"/>
    <w:multiLevelType w:val="multilevel"/>
    <w:tmpl w:val="9266FC8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23E23F7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B521D10"/>
    <w:multiLevelType w:val="multilevel"/>
    <w:tmpl w:val="65BC748A"/>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3992025"/>
    <w:multiLevelType w:val="multilevel"/>
    <w:tmpl w:val="CB9E054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3584591D"/>
    <w:multiLevelType w:val="multilevel"/>
    <w:tmpl w:val="01B6DEE2"/>
    <w:lvl w:ilvl="0">
      <w:start w:val="1"/>
      <w:numFmt w:val="decimal"/>
      <w:pStyle w:val="1"/>
      <w:lvlText w:val="%1."/>
      <w:lvlJc w:val="left"/>
      <w:pPr>
        <w:ind w:left="425" w:hanging="425"/>
      </w:pPr>
    </w:lvl>
    <w:lvl w:ilvl="1">
      <w:start w:val="1"/>
      <w:numFmt w:val="decimal"/>
      <w:pStyle w:val="2"/>
      <w:lvlText w:val="%1.%2"/>
      <w:lvlJc w:val="left"/>
      <w:pPr>
        <w:ind w:left="992" w:hanging="567"/>
      </w:pPr>
    </w:lvl>
    <w:lvl w:ilvl="2">
      <w:start w:val="1"/>
      <w:numFmt w:val="decimal"/>
      <w:pStyle w:val="3"/>
      <w:lvlText w:val="%1.%2.%3"/>
      <w:lvlJc w:val="left"/>
      <w:pPr>
        <w:ind w:left="1418" w:hanging="566"/>
      </w:pPr>
    </w:lvl>
    <w:lvl w:ilvl="3">
      <w:start w:val="1"/>
      <w:numFmt w:val="decimal"/>
      <w:pStyle w:val="4"/>
      <w:lvlText w:val="%1.%2.%3.%4"/>
      <w:lvlJc w:val="left"/>
      <w:pPr>
        <w:ind w:left="1984" w:hanging="708"/>
      </w:pPr>
    </w:lvl>
    <w:lvl w:ilvl="4">
      <w:start w:val="1"/>
      <w:numFmt w:val="decimal"/>
      <w:pStyle w:val="5"/>
      <w:lvlText w:val="%1.%2.%3.%4.%5"/>
      <w:lvlJc w:val="left"/>
      <w:pPr>
        <w:ind w:left="2551" w:hanging="850"/>
      </w:pPr>
    </w:lvl>
    <w:lvl w:ilvl="5">
      <w:start w:val="1"/>
      <w:numFmt w:val="decimal"/>
      <w:pStyle w:val="6"/>
      <w:lvlText w:val="%1.%2.%3.%4.%5.%6"/>
      <w:lvlJc w:val="left"/>
      <w:pPr>
        <w:ind w:left="3260" w:hanging="1134"/>
      </w:pPr>
    </w:lvl>
    <w:lvl w:ilvl="6">
      <w:start w:val="1"/>
      <w:numFmt w:val="decimal"/>
      <w:pStyle w:val="7"/>
      <w:lvlText w:val="%1.%2.%3.%4.%5.%6.%7"/>
      <w:lvlJc w:val="left"/>
      <w:pPr>
        <w:ind w:left="3827" w:hanging="1276"/>
      </w:pPr>
    </w:lvl>
    <w:lvl w:ilvl="7">
      <w:start w:val="1"/>
      <w:numFmt w:val="decimal"/>
      <w:pStyle w:val="8"/>
      <w:lvlText w:val="%1.%2.%3.%4.%5.%6.%7.%8"/>
      <w:lvlJc w:val="left"/>
      <w:pPr>
        <w:ind w:left="4394" w:hanging="1418"/>
      </w:pPr>
    </w:lvl>
    <w:lvl w:ilvl="8">
      <w:start w:val="1"/>
      <w:numFmt w:val="decimal"/>
      <w:pStyle w:val="9"/>
      <w:lvlText w:val="%1.%2.%3.%4.%5.%6.%7.%8.%9"/>
      <w:lvlJc w:val="left"/>
      <w:pPr>
        <w:ind w:left="5102" w:hanging="1700"/>
      </w:pPr>
    </w:lvl>
  </w:abstractNum>
  <w:abstractNum w:abstractNumId="10" w15:restartNumberingAfterBreak="0">
    <w:nsid w:val="37200347"/>
    <w:multiLevelType w:val="multilevel"/>
    <w:tmpl w:val="85CC697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9B922B5"/>
    <w:multiLevelType w:val="hybridMultilevel"/>
    <w:tmpl w:val="83A4B29A"/>
    <w:lvl w:ilvl="0" w:tplc="127ED76E">
      <w:start w:val="1"/>
      <w:numFmt w:val="decimal"/>
      <w:lvlText w:val="%1."/>
      <w:lvlJc w:val="left"/>
      <w:pPr>
        <w:ind w:left="480" w:hanging="480"/>
      </w:pPr>
      <w:rPr>
        <w:rFonts w:eastAsia="標楷體" w:hint="eastAsia"/>
        <w:sz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C181E7C"/>
    <w:multiLevelType w:val="multilevel"/>
    <w:tmpl w:val="546C34E0"/>
    <w:lvl w:ilvl="0">
      <w:start w:val="1"/>
      <w:numFmt w:val="decimal"/>
      <w:lvlText w:val="%1. "/>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E5B7B1A"/>
    <w:multiLevelType w:val="multilevel"/>
    <w:tmpl w:val="AF8E8C7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3F92027D"/>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446D58DF"/>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47D742ED"/>
    <w:multiLevelType w:val="multilevel"/>
    <w:tmpl w:val="86BE9A0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4"/>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4B7E648F"/>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54D24441"/>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62AB09C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0">
    <w:nsid w:val="665351E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68B00284"/>
    <w:multiLevelType w:val="multilevel"/>
    <w:tmpl w:val="85CC697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793D60AC"/>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7FB10F44"/>
    <w:multiLevelType w:val="multilevel"/>
    <w:tmpl w:val="B8A2ACC8"/>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4"/>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847064961">
    <w:abstractNumId w:val="9"/>
  </w:num>
  <w:num w:numId="2" w16cid:durableId="152649904">
    <w:abstractNumId w:val="2"/>
  </w:num>
  <w:num w:numId="3" w16cid:durableId="215510289">
    <w:abstractNumId w:val="1"/>
  </w:num>
  <w:num w:numId="4" w16cid:durableId="895357624">
    <w:abstractNumId w:val="21"/>
  </w:num>
  <w:num w:numId="5" w16cid:durableId="1894003957">
    <w:abstractNumId w:val="13"/>
  </w:num>
  <w:num w:numId="6" w16cid:durableId="517355461">
    <w:abstractNumId w:val="5"/>
  </w:num>
  <w:num w:numId="7" w16cid:durableId="1523738728">
    <w:abstractNumId w:val="0"/>
  </w:num>
  <w:num w:numId="8" w16cid:durableId="951207852">
    <w:abstractNumId w:val="7"/>
  </w:num>
  <w:num w:numId="9" w16cid:durableId="728722909">
    <w:abstractNumId w:val="10"/>
  </w:num>
  <w:num w:numId="10" w16cid:durableId="1663508807">
    <w:abstractNumId w:val="8"/>
  </w:num>
  <w:num w:numId="11" w16cid:durableId="1067802874">
    <w:abstractNumId w:val="16"/>
  </w:num>
  <w:num w:numId="12" w16cid:durableId="237057976">
    <w:abstractNumId w:val="23"/>
  </w:num>
  <w:num w:numId="13" w16cid:durableId="1412577855">
    <w:abstractNumId w:val="11"/>
  </w:num>
  <w:num w:numId="14" w16cid:durableId="790980467">
    <w:abstractNumId w:val="15"/>
  </w:num>
  <w:num w:numId="15" w16cid:durableId="565645728">
    <w:abstractNumId w:val="18"/>
  </w:num>
  <w:num w:numId="16" w16cid:durableId="1598828013">
    <w:abstractNumId w:val="3"/>
  </w:num>
  <w:num w:numId="17" w16cid:durableId="434790512">
    <w:abstractNumId w:val="17"/>
  </w:num>
  <w:num w:numId="18" w16cid:durableId="1848597873">
    <w:abstractNumId w:val="4"/>
  </w:num>
  <w:num w:numId="19" w16cid:durableId="1069619657">
    <w:abstractNumId w:val="19"/>
  </w:num>
  <w:num w:numId="20" w16cid:durableId="301622225">
    <w:abstractNumId w:val="6"/>
  </w:num>
  <w:num w:numId="21" w16cid:durableId="1782646348">
    <w:abstractNumId w:val="12"/>
  </w:num>
  <w:num w:numId="22" w16cid:durableId="1067458717">
    <w:abstractNumId w:val="20"/>
  </w:num>
  <w:num w:numId="23" w16cid:durableId="1923297435">
    <w:abstractNumId w:val="22"/>
  </w:num>
  <w:num w:numId="24" w16cid:durableId="5719347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680"/>
    <w:rsid w:val="00007DF8"/>
    <w:rsid w:val="00022443"/>
    <w:rsid w:val="00056B40"/>
    <w:rsid w:val="00062EF1"/>
    <w:rsid w:val="00067D1A"/>
    <w:rsid w:val="00071B27"/>
    <w:rsid w:val="0008444A"/>
    <w:rsid w:val="000B45A3"/>
    <w:rsid w:val="000C39F1"/>
    <w:rsid w:val="00141025"/>
    <w:rsid w:val="00143F39"/>
    <w:rsid w:val="001463F1"/>
    <w:rsid w:val="00167BB8"/>
    <w:rsid w:val="00176B84"/>
    <w:rsid w:val="00194403"/>
    <w:rsid w:val="001B3548"/>
    <w:rsid w:val="001B5D88"/>
    <w:rsid w:val="001C7EEF"/>
    <w:rsid w:val="001D0D99"/>
    <w:rsid w:val="002113BA"/>
    <w:rsid w:val="00212920"/>
    <w:rsid w:val="00286830"/>
    <w:rsid w:val="002A3C83"/>
    <w:rsid w:val="002D1665"/>
    <w:rsid w:val="002D6DE8"/>
    <w:rsid w:val="00301C67"/>
    <w:rsid w:val="00303FA1"/>
    <w:rsid w:val="003040FE"/>
    <w:rsid w:val="0031302D"/>
    <w:rsid w:val="0035568C"/>
    <w:rsid w:val="003679B8"/>
    <w:rsid w:val="0037137C"/>
    <w:rsid w:val="00385522"/>
    <w:rsid w:val="003A4395"/>
    <w:rsid w:val="003A5F08"/>
    <w:rsid w:val="003B57A0"/>
    <w:rsid w:val="003D6251"/>
    <w:rsid w:val="003D6D44"/>
    <w:rsid w:val="003E6144"/>
    <w:rsid w:val="003F48AF"/>
    <w:rsid w:val="003F6897"/>
    <w:rsid w:val="00404DB4"/>
    <w:rsid w:val="0040534F"/>
    <w:rsid w:val="00406789"/>
    <w:rsid w:val="004119D1"/>
    <w:rsid w:val="00413776"/>
    <w:rsid w:val="004204AC"/>
    <w:rsid w:val="00421FEC"/>
    <w:rsid w:val="00443A67"/>
    <w:rsid w:val="004605FB"/>
    <w:rsid w:val="00460C80"/>
    <w:rsid w:val="0046148D"/>
    <w:rsid w:val="00491AB4"/>
    <w:rsid w:val="004A3150"/>
    <w:rsid w:val="004C1A36"/>
    <w:rsid w:val="004C6379"/>
    <w:rsid w:val="004D25D9"/>
    <w:rsid w:val="00506B48"/>
    <w:rsid w:val="00513CFB"/>
    <w:rsid w:val="00515A39"/>
    <w:rsid w:val="00515C43"/>
    <w:rsid w:val="00521B75"/>
    <w:rsid w:val="005224B2"/>
    <w:rsid w:val="00531DDE"/>
    <w:rsid w:val="00557267"/>
    <w:rsid w:val="005717B0"/>
    <w:rsid w:val="00586EC4"/>
    <w:rsid w:val="00587680"/>
    <w:rsid w:val="005A3BAE"/>
    <w:rsid w:val="005A4E56"/>
    <w:rsid w:val="005A4EA2"/>
    <w:rsid w:val="005B6574"/>
    <w:rsid w:val="005B6586"/>
    <w:rsid w:val="005D107F"/>
    <w:rsid w:val="005D2332"/>
    <w:rsid w:val="0060533D"/>
    <w:rsid w:val="00616388"/>
    <w:rsid w:val="00622AB3"/>
    <w:rsid w:val="0062565B"/>
    <w:rsid w:val="00640C42"/>
    <w:rsid w:val="00661BF6"/>
    <w:rsid w:val="00665BD6"/>
    <w:rsid w:val="0067201F"/>
    <w:rsid w:val="006A54CA"/>
    <w:rsid w:val="006A631B"/>
    <w:rsid w:val="006B0AD3"/>
    <w:rsid w:val="006B4F34"/>
    <w:rsid w:val="006B6A43"/>
    <w:rsid w:val="006C0604"/>
    <w:rsid w:val="006C4295"/>
    <w:rsid w:val="006D02E8"/>
    <w:rsid w:val="006D6935"/>
    <w:rsid w:val="00706FDF"/>
    <w:rsid w:val="00717382"/>
    <w:rsid w:val="0073799B"/>
    <w:rsid w:val="00745401"/>
    <w:rsid w:val="00750B6A"/>
    <w:rsid w:val="00770809"/>
    <w:rsid w:val="007853F5"/>
    <w:rsid w:val="00785D3B"/>
    <w:rsid w:val="00793560"/>
    <w:rsid w:val="007B5730"/>
    <w:rsid w:val="007C6FB8"/>
    <w:rsid w:val="007D25A9"/>
    <w:rsid w:val="007D3EE0"/>
    <w:rsid w:val="007D707D"/>
    <w:rsid w:val="00806DEE"/>
    <w:rsid w:val="00812C11"/>
    <w:rsid w:val="008252DE"/>
    <w:rsid w:val="00837370"/>
    <w:rsid w:val="008607BE"/>
    <w:rsid w:val="008610B5"/>
    <w:rsid w:val="00867E10"/>
    <w:rsid w:val="0087088E"/>
    <w:rsid w:val="008A698A"/>
    <w:rsid w:val="008B6BEA"/>
    <w:rsid w:val="008C4696"/>
    <w:rsid w:val="008C632D"/>
    <w:rsid w:val="008C6768"/>
    <w:rsid w:val="008D41CA"/>
    <w:rsid w:val="008F4305"/>
    <w:rsid w:val="00916439"/>
    <w:rsid w:val="0092432D"/>
    <w:rsid w:val="009264E2"/>
    <w:rsid w:val="00930E21"/>
    <w:rsid w:val="00931B98"/>
    <w:rsid w:val="009337F4"/>
    <w:rsid w:val="00936073"/>
    <w:rsid w:val="009472A9"/>
    <w:rsid w:val="009734CE"/>
    <w:rsid w:val="009777C7"/>
    <w:rsid w:val="00977804"/>
    <w:rsid w:val="009A07F2"/>
    <w:rsid w:val="009A46DD"/>
    <w:rsid w:val="009C5CAE"/>
    <w:rsid w:val="009D338B"/>
    <w:rsid w:val="009D43E2"/>
    <w:rsid w:val="00A106DA"/>
    <w:rsid w:val="00A14746"/>
    <w:rsid w:val="00A167AA"/>
    <w:rsid w:val="00A2200A"/>
    <w:rsid w:val="00A43F8B"/>
    <w:rsid w:val="00A55D99"/>
    <w:rsid w:val="00A618F9"/>
    <w:rsid w:val="00A622E4"/>
    <w:rsid w:val="00A656A2"/>
    <w:rsid w:val="00A72746"/>
    <w:rsid w:val="00A82914"/>
    <w:rsid w:val="00A879B2"/>
    <w:rsid w:val="00AA3659"/>
    <w:rsid w:val="00AC0BEE"/>
    <w:rsid w:val="00AC457E"/>
    <w:rsid w:val="00AD5146"/>
    <w:rsid w:val="00AE6263"/>
    <w:rsid w:val="00B02F37"/>
    <w:rsid w:val="00B207B0"/>
    <w:rsid w:val="00B23D21"/>
    <w:rsid w:val="00B27DA7"/>
    <w:rsid w:val="00B31BF6"/>
    <w:rsid w:val="00B658D1"/>
    <w:rsid w:val="00BC2A4D"/>
    <w:rsid w:val="00BC4315"/>
    <w:rsid w:val="00BC47E0"/>
    <w:rsid w:val="00BC7C8C"/>
    <w:rsid w:val="00BD22BC"/>
    <w:rsid w:val="00BE7A36"/>
    <w:rsid w:val="00C247B6"/>
    <w:rsid w:val="00C3516F"/>
    <w:rsid w:val="00C376ED"/>
    <w:rsid w:val="00C85C2A"/>
    <w:rsid w:val="00CB691F"/>
    <w:rsid w:val="00CC3431"/>
    <w:rsid w:val="00CE6A7C"/>
    <w:rsid w:val="00D0692D"/>
    <w:rsid w:val="00D116E1"/>
    <w:rsid w:val="00D11C76"/>
    <w:rsid w:val="00D15D1A"/>
    <w:rsid w:val="00D15F96"/>
    <w:rsid w:val="00D2088D"/>
    <w:rsid w:val="00D2552D"/>
    <w:rsid w:val="00D5177A"/>
    <w:rsid w:val="00D5210B"/>
    <w:rsid w:val="00D71190"/>
    <w:rsid w:val="00D80598"/>
    <w:rsid w:val="00D92AF7"/>
    <w:rsid w:val="00DB0C92"/>
    <w:rsid w:val="00DB2A38"/>
    <w:rsid w:val="00DE0CFF"/>
    <w:rsid w:val="00DF52CC"/>
    <w:rsid w:val="00E125CF"/>
    <w:rsid w:val="00E2374B"/>
    <w:rsid w:val="00E2389B"/>
    <w:rsid w:val="00E256E8"/>
    <w:rsid w:val="00E30821"/>
    <w:rsid w:val="00E44F13"/>
    <w:rsid w:val="00E47073"/>
    <w:rsid w:val="00E92455"/>
    <w:rsid w:val="00EB1096"/>
    <w:rsid w:val="00EB434D"/>
    <w:rsid w:val="00ED0E1B"/>
    <w:rsid w:val="00EE14A6"/>
    <w:rsid w:val="00EF108A"/>
    <w:rsid w:val="00F250AE"/>
    <w:rsid w:val="00F27C54"/>
    <w:rsid w:val="00F47FD3"/>
    <w:rsid w:val="00F5463F"/>
    <w:rsid w:val="00F5531B"/>
    <w:rsid w:val="00F64498"/>
    <w:rsid w:val="00F70697"/>
    <w:rsid w:val="00F71738"/>
    <w:rsid w:val="00F84056"/>
    <w:rsid w:val="00F94BD6"/>
    <w:rsid w:val="00FB4CBA"/>
    <w:rsid w:val="00FD4DA2"/>
    <w:rsid w:val="00FE7A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D80BA"/>
  <w15:docId w15:val="{D3E38056-64D0-45BA-9545-1EAB33E82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新細明體" w:eastAsia="新細明體" w:hAnsi="新細明體" w:cs="新細明體"/>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304C"/>
  </w:style>
  <w:style w:type="paragraph" w:styleId="1">
    <w:name w:val="heading 1"/>
    <w:basedOn w:val="a"/>
    <w:next w:val="a"/>
    <w:link w:val="10"/>
    <w:uiPriority w:val="9"/>
    <w:qFormat/>
    <w:rsid w:val="008D304C"/>
    <w:pPr>
      <w:keepNext/>
      <w:numPr>
        <w:numId w:val="1"/>
      </w:numPr>
      <w:tabs>
        <w:tab w:val="left" w:pos="709"/>
        <w:tab w:val="left" w:pos="1418"/>
        <w:tab w:val="left" w:pos="2126"/>
        <w:tab w:val="left" w:pos="2835"/>
        <w:tab w:val="right" w:pos="9072"/>
      </w:tabs>
      <w:spacing w:after="180" w:line="320" w:lineRule="atLeast"/>
      <w:outlineLvl w:val="0"/>
    </w:pPr>
    <w:rPr>
      <w:rFonts w:ascii="Arial Narrow" w:hAnsi="Arial Narrow"/>
      <w:sz w:val="28"/>
      <w:szCs w:val="20"/>
      <w:lang w:val="en-AU" w:eastAsia="en-US"/>
    </w:rPr>
  </w:style>
  <w:style w:type="paragraph" w:styleId="2">
    <w:name w:val="heading 2"/>
    <w:basedOn w:val="a"/>
    <w:next w:val="a"/>
    <w:link w:val="20"/>
    <w:uiPriority w:val="9"/>
    <w:semiHidden/>
    <w:unhideWhenUsed/>
    <w:qFormat/>
    <w:rsid w:val="008D304C"/>
    <w:pPr>
      <w:keepNext/>
      <w:numPr>
        <w:ilvl w:val="1"/>
        <w:numId w:val="1"/>
      </w:numPr>
      <w:pBdr>
        <w:top w:val="single" w:sz="4" w:space="9" w:color="auto"/>
      </w:pBdr>
      <w:tabs>
        <w:tab w:val="left" w:pos="1418"/>
        <w:tab w:val="left" w:pos="2126"/>
        <w:tab w:val="left" w:pos="2835"/>
        <w:tab w:val="right" w:pos="9072"/>
      </w:tabs>
      <w:spacing w:before="300" w:after="180" w:line="280" w:lineRule="atLeast"/>
      <w:outlineLvl w:val="1"/>
    </w:pPr>
    <w:rPr>
      <w:rFonts w:ascii="Arial" w:hAnsi="Arial" w:cs="Times New Roman"/>
      <w:szCs w:val="20"/>
      <w:lang w:val="en-AU" w:eastAsia="en-US"/>
    </w:rPr>
  </w:style>
  <w:style w:type="paragraph" w:styleId="3">
    <w:name w:val="heading 3"/>
    <w:basedOn w:val="a"/>
    <w:next w:val="a"/>
    <w:link w:val="30"/>
    <w:uiPriority w:val="9"/>
    <w:semiHidden/>
    <w:unhideWhenUsed/>
    <w:qFormat/>
    <w:rsid w:val="008D304C"/>
    <w:pPr>
      <w:numPr>
        <w:ilvl w:val="2"/>
        <w:numId w:val="1"/>
      </w:numPr>
      <w:tabs>
        <w:tab w:val="left" w:pos="1418"/>
        <w:tab w:val="left" w:pos="2126"/>
        <w:tab w:val="left" w:pos="2835"/>
        <w:tab w:val="right" w:pos="9072"/>
      </w:tabs>
      <w:spacing w:after="180" w:line="260" w:lineRule="atLeast"/>
      <w:outlineLvl w:val="2"/>
    </w:pPr>
    <w:rPr>
      <w:rFonts w:ascii="Times New Roman" w:hAnsi="Times New Roman" w:cs="Times New Roman"/>
      <w:bCs/>
      <w:sz w:val="22"/>
      <w:szCs w:val="20"/>
      <w:lang w:val="en-AU" w:eastAsia="en-US"/>
    </w:rPr>
  </w:style>
  <w:style w:type="paragraph" w:styleId="4">
    <w:name w:val="heading 4"/>
    <w:basedOn w:val="a"/>
    <w:next w:val="a"/>
    <w:link w:val="40"/>
    <w:uiPriority w:val="9"/>
    <w:semiHidden/>
    <w:unhideWhenUsed/>
    <w:qFormat/>
    <w:rsid w:val="008D304C"/>
    <w:pPr>
      <w:numPr>
        <w:ilvl w:val="3"/>
        <w:numId w:val="1"/>
      </w:numPr>
      <w:tabs>
        <w:tab w:val="left" w:pos="709"/>
        <w:tab w:val="left" w:pos="2126"/>
        <w:tab w:val="left" w:pos="2835"/>
        <w:tab w:val="right" w:pos="9072"/>
      </w:tabs>
      <w:spacing w:after="180" w:line="260" w:lineRule="atLeast"/>
      <w:outlineLvl w:val="3"/>
    </w:pPr>
    <w:rPr>
      <w:rFonts w:ascii="Times New Roman" w:hAnsi="Times New Roman" w:cs="Times New Roman"/>
      <w:sz w:val="22"/>
      <w:szCs w:val="20"/>
      <w:lang w:val="en-AU" w:eastAsia="en-US"/>
    </w:rPr>
  </w:style>
  <w:style w:type="paragraph" w:styleId="5">
    <w:name w:val="heading 5"/>
    <w:basedOn w:val="a"/>
    <w:next w:val="a"/>
    <w:link w:val="50"/>
    <w:uiPriority w:val="9"/>
    <w:semiHidden/>
    <w:unhideWhenUsed/>
    <w:qFormat/>
    <w:rsid w:val="008D304C"/>
    <w:pPr>
      <w:numPr>
        <w:ilvl w:val="4"/>
        <w:numId w:val="1"/>
      </w:numPr>
      <w:tabs>
        <w:tab w:val="left" w:pos="709"/>
        <w:tab w:val="left" w:pos="1418"/>
        <w:tab w:val="left" w:pos="2835"/>
        <w:tab w:val="right" w:pos="9072"/>
      </w:tabs>
      <w:spacing w:after="180" w:line="260" w:lineRule="atLeast"/>
      <w:outlineLvl w:val="4"/>
    </w:pPr>
    <w:rPr>
      <w:rFonts w:ascii="Times New Roman" w:hAnsi="Times New Roman" w:cs="Times New Roman"/>
      <w:sz w:val="22"/>
      <w:szCs w:val="20"/>
      <w:lang w:val="en-AU" w:eastAsia="en-US"/>
    </w:rPr>
  </w:style>
  <w:style w:type="paragraph" w:styleId="6">
    <w:name w:val="heading 6"/>
    <w:basedOn w:val="a"/>
    <w:next w:val="a"/>
    <w:link w:val="60"/>
    <w:uiPriority w:val="9"/>
    <w:semiHidden/>
    <w:unhideWhenUsed/>
    <w:qFormat/>
    <w:rsid w:val="008D304C"/>
    <w:pPr>
      <w:numPr>
        <w:ilvl w:val="5"/>
        <w:numId w:val="1"/>
      </w:numPr>
      <w:tabs>
        <w:tab w:val="left" w:pos="709"/>
        <w:tab w:val="left" w:pos="1418"/>
        <w:tab w:val="left" w:pos="2126"/>
        <w:tab w:val="right" w:pos="9072"/>
      </w:tabs>
      <w:spacing w:after="180" w:line="260" w:lineRule="atLeast"/>
      <w:outlineLvl w:val="5"/>
    </w:pPr>
    <w:rPr>
      <w:rFonts w:ascii="Times New Roman" w:hAnsi="Times New Roman" w:cs="Times New Roman"/>
      <w:sz w:val="22"/>
      <w:szCs w:val="20"/>
      <w:lang w:val="en-AU" w:eastAsia="en-US"/>
    </w:rPr>
  </w:style>
  <w:style w:type="paragraph" w:styleId="7">
    <w:name w:val="heading 7"/>
    <w:basedOn w:val="a"/>
    <w:next w:val="a"/>
    <w:link w:val="70"/>
    <w:unhideWhenUsed/>
    <w:qFormat/>
    <w:rsid w:val="008D304C"/>
    <w:pPr>
      <w:numPr>
        <w:ilvl w:val="6"/>
        <w:numId w:val="1"/>
      </w:numPr>
      <w:tabs>
        <w:tab w:val="left" w:pos="709"/>
        <w:tab w:val="left" w:pos="1418"/>
        <w:tab w:val="left" w:pos="2126"/>
        <w:tab w:val="left" w:pos="2835"/>
        <w:tab w:val="right" w:pos="9072"/>
      </w:tabs>
      <w:spacing w:after="180" w:line="260" w:lineRule="atLeast"/>
      <w:outlineLvl w:val="6"/>
    </w:pPr>
    <w:rPr>
      <w:rFonts w:ascii="Times New Roman" w:hAnsi="Times New Roman" w:cs="Times New Roman"/>
      <w:sz w:val="22"/>
      <w:szCs w:val="20"/>
      <w:lang w:val="en-AU" w:eastAsia="en-US"/>
    </w:rPr>
  </w:style>
  <w:style w:type="paragraph" w:styleId="8">
    <w:name w:val="heading 8"/>
    <w:basedOn w:val="a"/>
    <w:next w:val="a"/>
    <w:link w:val="80"/>
    <w:unhideWhenUsed/>
    <w:qFormat/>
    <w:rsid w:val="008D304C"/>
    <w:pPr>
      <w:numPr>
        <w:ilvl w:val="7"/>
        <w:numId w:val="1"/>
      </w:numPr>
      <w:tabs>
        <w:tab w:val="left" w:pos="709"/>
        <w:tab w:val="left" w:pos="1418"/>
        <w:tab w:val="left" w:pos="2126"/>
        <w:tab w:val="left" w:pos="2835"/>
        <w:tab w:val="left" w:pos="3544"/>
        <w:tab w:val="right" w:pos="9072"/>
      </w:tabs>
      <w:spacing w:after="180" w:line="260" w:lineRule="atLeast"/>
      <w:outlineLvl w:val="7"/>
    </w:pPr>
    <w:rPr>
      <w:rFonts w:ascii="Times New Roman" w:hAnsi="Times New Roman" w:cs="Times New Roman"/>
      <w:sz w:val="22"/>
      <w:szCs w:val="20"/>
      <w:lang w:val="en-AU" w:eastAsia="en-US"/>
    </w:rPr>
  </w:style>
  <w:style w:type="paragraph" w:styleId="9">
    <w:name w:val="heading 9"/>
    <w:basedOn w:val="a"/>
    <w:next w:val="a"/>
    <w:link w:val="90"/>
    <w:unhideWhenUsed/>
    <w:qFormat/>
    <w:rsid w:val="008D304C"/>
    <w:pPr>
      <w:numPr>
        <w:ilvl w:val="8"/>
        <w:numId w:val="1"/>
      </w:numPr>
      <w:tabs>
        <w:tab w:val="left" w:pos="709"/>
        <w:tab w:val="left" w:pos="1418"/>
        <w:tab w:val="left" w:pos="2126"/>
        <w:tab w:val="left" w:pos="2835"/>
        <w:tab w:val="left" w:pos="3544"/>
        <w:tab w:val="left" w:pos="4253"/>
        <w:tab w:val="right" w:pos="9072"/>
      </w:tabs>
      <w:spacing w:after="180" w:line="260" w:lineRule="atLeast"/>
      <w:outlineLvl w:val="8"/>
    </w:pPr>
    <w:rPr>
      <w:rFonts w:ascii="Times New Roman" w:hAnsi="Times New Roman" w:cs="Times New Roman"/>
      <w:sz w:val="22"/>
      <w:szCs w:val="20"/>
      <w:lang w:val="en-AU"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rsid w:val="008D304C"/>
    <w:pPr>
      <w:keepNext/>
      <w:keepLines/>
      <w:spacing w:before="480" w:after="120"/>
    </w:pPr>
    <w:rPr>
      <w:b/>
      <w:sz w:val="72"/>
      <w:szCs w:val="72"/>
    </w:rPr>
  </w:style>
  <w:style w:type="paragraph" w:styleId="a4">
    <w:name w:val="header"/>
    <w:basedOn w:val="a"/>
    <w:link w:val="a5"/>
    <w:uiPriority w:val="99"/>
    <w:unhideWhenUsed/>
    <w:qFormat/>
    <w:rsid w:val="008D304C"/>
    <w:pPr>
      <w:tabs>
        <w:tab w:val="center" w:pos="4153"/>
        <w:tab w:val="right" w:pos="8306"/>
      </w:tabs>
      <w:snapToGrid w:val="0"/>
    </w:pPr>
    <w:rPr>
      <w:sz w:val="20"/>
      <w:szCs w:val="20"/>
    </w:rPr>
  </w:style>
  <w:style w:type="paragraph" w:styleId="a6">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7">
    <w:name w:val="annotation text"/>
    <w:basedOn w:val="a"/>
    <w:link w:val="a8"/>
    <w:uiPriority w:val="99"/>
    <w:unhideWhenUsed/>
    <w:qFormat/>
    <w:rsid w:val="008D304C"/>
    <w:pPr>
      <w:spacing w:after="4" w:line="255" w:lineRule="auto"/>
      <w:ind w:left="274" w:right="1893" w:hanging="10"/>
    </w:pPr>
    <w:rPr>
      <w:rFonts w:ascii="標楷體" w:eastAsia="標楷體" w:hAnsi="標楷體" w:cs="標楷體"/>
      <w:color w:val="000000"/>
      <w:kern w:val="2"/>
      <w:sz w:val="18"/>
      <w:szCs w:val="22"/>
    </w:rPr>
  </w:style>
  <w:style w:type="paragraph" w:styleId="a9">
    <w:name w:val="Body Text"/>
    <w:basedOn w:val="a"/>
    <w:link w:val="aa"/>
    <w:uiPriority w:val="99"/>
    <w:unhideWhenUsed/>
    <w:qFormat/>
    <w:rsid w:val="008D304C"/>
    <w:pPr>
      <w:spacing w:after="120"/>
    </w:pPr>
  </w:style>
  <w:style w:type="paragraph" w:styleId="ab">
    <w:name w:val="footer"/>
    <w:basedOn w:val="a"/>
    <w:link w:val="ac"/>
    <w:uiPriority w:val="99"/>
    <w:unhideWhenUsed/>
    <w:qFormat/>
    <w:rsid w:val="008D304C"/>
    <w:pPr>
      <w:tabs>
        <w:tab w:val="center" w:pos="4153"/>
        <w:tab w:val="right" w:pos="8306"/>
      </w:tabs>
      <w:snapToGrid w:val="0"/>
    </w:pPr>
    <w:rPr>
      <w:sz w:val="20"/>
      <w:szCs w:val="20"/>
    </w:rPr>
  </w:style>
  <w:style w:type="paragraph" w:styleId="ad">
    <w:name w:val="annotation subject"/>
    <w:basedOn w:val="a7"/>
    <w:next w:val="a7"/>
    <w:link w:val="ae"/>
    <w:uiPriority w:val="99"/>
    <w:unhideWhenUsed/>
    <w:qFormat/>
    <w:rsid w:val="008D304C"/>
    <w:pPr>
      <w:spacing w:after="0" w:line="240" w:lineRule="auto"/>
      <w:ind w:left="0" w:right="0" w:firstLine="0"/>
    </w:pPr>
    <w:rPr>
      <w:rFonts w:ascii="新細明體" w:eastAsia="新細明體" w:hAnsi="新細明體" w:cs="新細明體"/>
      <w:b/>
      <w:bCs/>
      <w:color w:val="auto"/>
      <w:kern w:val="0"/>
      <w:sz w:val="24"/>
      <w:szCs w:val="24"/>
    </w:rPr>
  </w:style>
  <w:style w:type="paragraph" w:styleId="af">
    <w:name w:val="Balloon Text"/>
    <w:basedOn w:val="a"/>
    <w:link w:val="af0"/>
    <w:uiPriority w:val="99"/>
    <w:unhideWhenUsed/>
    <w:qFormat/>
    <w:rsid w:val="008D304C"/>
    <w:pPr>
      <w:widowControl w:val="0"/>
    </w:pPr>
    <w:rPr>
      <w:rFonts w:hAnsiTheme="minorHAnsi" w:cstheme="minorBidi"/>
      <w:kern w:val="2"/>
      <w:sz w:val="18"/>
      <w:szCs w:val="18"/>
    </w:rPr>
  </w:style>
  <w:style w:type="character" w:styleId="af1">
    <w:name w:val="annotation reference"/>
    <w:basedOn w:val="a0"/>
    <w:uiPriority w:val="99"/>
    <w:unhideWhenUsed/>
    <w:qFormat/>
    <w:rsid w:val="008D304C"/>
    <w:rPr>
      <w:sz w:val="18"/>
      <w:szCs w:val="18"/>
    </w:rPr>
  </w:style>
  <w:style w:type="table" w:styleId="af2">
    <w:name w:val="Table Grid"/>
    <w:basedOn w:val="a1"/>
    <w:uiPriority w:val="39"/>
    <w:qFormat/>
    <w:rsid w:val="008D30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 Normal"/>
    <w:qFormat/>
    <w:rsid w:val="008D304C"/>
    <w:tblPr>
      <w:tblCellMar>
        <w:top w:w="0" w:type="dxa"/>
        <w:left w:w="0" w:type="dxa"/>
        <w:bottom w:w="0" w:type="dxa"/>
        <w:right w:w="0" w:type="dxa"/>
      </w:tblCellMar>
    </w:tblPr>
  </w:style>
  <w:style w:type="paragraph" w:customStyle="1" w:styleId="SubHeading">
    <w:name w:val="Sub Heading"/>
    <w:basedOn w:val="a"/>
    <w:next w:val="3"/>
    <w:link w:val="SubHeadingChar"/>
    <w:qFormat/>
    <w:rsid w:val="008D304C"/>
    <w:pPr>
      <w:keepNext/>
      <w:tabs>
        <w:tab w:val="left" w:pos="709"/>
        <w:tab w:val="left" w:pos="1418"/>
        <w:tab w:val="left" w:pos="2126"/>
        <w:tab w:val="left" w:pos="2835"/>
        <w:tab w:val="right" w:pos="9072"/>
      </w:tabs>
      <w:spacing w:after="180" w:line="260" w:lineRule="atLeast"/>
    </w:pPr>
    <w:rPr>
      <w:rFonts w:ascii="Arial" w:hAnsi="Arial" w:cs="Times New Roman"/>
      <w:b/>
      <w:sz w:val="22"/>
      <w:szCs w:val="20"/>
      <w:lang w:val="en-AU" w:eastAsia="en-US"/>
    </w:rPr>
  </w:style>
  <w:style w:type="paragraph" w:customStyle="1" w:styleId="11">
    <w:name w:val="清單段落1"/>
    <w:basedOn w:val="a"/>
    <w:uiPriority w:val="34"/>
    <w:qFormat/>
    <w:rsid w:val="008D304C"/>
    <w:pPr>
      <w:widowControl w:val="0"/>
      <w:ind w:leftChars="200" w:left="480"/>
    </w:pPr>
    <w:rPr>
      <w:rFonts w:asciiTheme="minorHAnsi" w:eastAsiaTheme="minorEastAsia" w:hAnsiTheme="minorHAnsi" w:cstheme="minorBidi"/>
      <w:kern w:val="2"/>
    </w:rPr>
  </w:style>
  <w:style w:type="table" w:customStyle="1" w:styleId="TableGrid">
    <w:name w:val="TableGrid"/>
    <w:qFormat/>
    <w:rsid w:val="008D304C"/>
    <w:rPr>
      <w:szCs w:val="22"/>
    </w:rPr>
    <w:tblPr>
      <w:tblCellMar>
        <w:top w:w="0" w:type="dxa"/>
        <w:left w:w="0" w:type="dxa"/>
        <w:bottom w:w="0" w:type="dxa"/>
        <w:right w:w="0" w:type="dxa"/>
      </w:tblCellMar>
    </w:tblPr>
  </w:style>
  <w:style w:type="character" w:customStyle="1" w:styleId="a8">
    <w:name w:val="註解文字 字元"/>
    <w:basedOn w:val="a0"/>
    <w:link w:val="a7"/>
    <w:uiPriority w:val="99"/>
    <w:qFormat/>
    <w:rsid w:val="008D304C"/>
    <w:rPr>
      <w:rFonts w:ascii="標楷體" w:eastAsia="標楷體" w:hAnsi="標楷體" w:cs="標楷體"/>
      <w:color w:val="000000"/>
      <w:sz w:val="18"/>
      <w:szCs w:val="22"/>
    </w:rPr>
  </w:style>
  <w:style w:type="character" w:customStyle="1" w:styleId="af0">
    <w:name w:val="註解方塊文字 字元"/>
    <w:basedOn w:val="a0"/>
    <w:link w:val="af"/>
    <w:uiPriority w:val="99"/>
    <w:semiHidden/>
    <w:qFormat/>
    <w:rsid w:val="008D304C"/>
    <w:rPr>
      <w:rFonts w:ascii="新細明體" w:eastAsia="新細明體"/>
      <w:sz w:val="18"/>
      <w:szCs w:val="18"/>
    </w:rPr>
  </w:style>
  <w:style w:type="character" w:customStyle="1" w:styleId="12">
    <w:name w:val="預留位置文字1"/>
    <w:basedOn w:val="a0"/>
    <w:uiPriority w:val="99"/>
    <w:semiHidden/>
    <w:qFormat/>
    <w:rsid w:val="008D304C"/>
    <w:rPr>
      <w:color w:val="808080"/>
    </w:rPr>
  </w:style>
  <w:style w:type="character" w:customStyle="1" w:styleId="ae">
    <w:name w:val="註解主旨 字元"/>
    <w:basedOn w:val="a8"/>
    <w:link w:val="ad"/>
    <w:uiPriority w:val="99"/>
    <w:semiHidden/>
    <w:qFormat/>
    <w:rsid w:val="008D304C"/>
    <w:rPr>
      <w:rFonts w:ascii="新細明體" w:eastAsia="新細明體" w:hAnsi="新細明體" w:cs="新細明體"/>
      <w:b/>
      <w:bCs/>
      <w:color w:val="000000"/>
      <w:kern w:val="0"/>
      <w:sz w:val="18"/>
      <w:szCs w:val="22"/>
    </w:rPr>
  </w:style>
  <w:style w:type="character" w:customStyle="1" w:styleId="10">
    <w:name w:val="標題 1 字元"/>
    <w:basedOn w:val="a0"/>
    <w:link w:val="1"/>
    <w:qFormat/>
    <w:rsid w:val="008D304C"/>
    <w:rPr>
      <w:rFonts w:ascii="Arial Narrow" w:eastAsia="新細明體" w:hAnsi="Arial Narrow" w:cs="新細明體"/>
      <w:kern w:val="0"/>
      <w:sz w:val="28"/>
      <w:szCs w:val="20"/>
      <w:lang w:val="en-AU" w:eastAsia="en-US"/>
    </w:rPr>
  </w:style>
  <w:style w:type="character" w:customStyle="1" w:styleId="20">
    <w:name w:val="標題 2 字元"/>
    <w:basedOn w:val="a0"/>
    <w:link w:val="2"/>
    <w:qFormat/>
    <w:rsid w:val="008D304C"/>
    <w:rPr>
      <w:rFonts w:ascii="Arial" w:eastAsia="新細明體" w:hAnsi="Arial" w:cs="Times New Roman"/>
      <w:kern w:val="0"/>
      <w:szCs w:val="20"/>
      <w:lang w:val="en-AU" w:eastAsia="en-US"/>
    </w:rPr>
  </w:style>
  <w:style w:type="character" w:customStyle="1" w:styleId="30">
    <w:name w:val="標題 3 字元"/>
    <w:basedOn w:val="a0"/>
    <w:link w:val="3"/>
    <w:qFormat/>
    <w:rsid w:val="008D304C"/>
    <w:rPr>
      <w:rFonts w:ascii="Times New Roman" w:eastAsia="新細明體" w:hAnsi="Times New Roman" w:cs="Times New Roman"/>
      <w:bCs/>
      <w:kern w:val="0"/>
      <w:sz w:val="22"/>
      <w:szCs w:val="20"/>
      <w:lang w:val="en-AU" w:eastAsia="en-US"/>
    </w:rPr>
  </w:style>
  <w:style w:type="character" w:customStyle="1" w:styleId="40">
    <w:name w:val="標題 4 字元"/>
    <w:basedOn w:val="a0"/>
    <w:link w:val="4"/>
    <w:qFormat/>
    <w:rsid w:val="008D304C"/>
    <w:rPr>
      <w:rFonts w:ascii="Times New Roman" w:eastAsia="新細明體" w:hAnsi="Times New Roman" w:cs="Times New Roman"/>
      <w:kern w:val="0"/>
      <w:sz w:val="22"/>
      <w:szCs w:val="20"/>
      <w:lang w:val="en-AU" w:eastAsia="en-US"/>
    </w:rPr>
  </w:style>
  <w:style w:type="character" w:customStyle="1" w:styleId="50">
    <w:name w:val="標題 5 字元"/>
    <w:basedOn w:val="a0"/>
    <w:link w:val="5"/>
    <w:qFormat/>
    <w:rsid w:val="008D304C"/>
    <w:rPr>
      <w:rFonts w:ascii="Times New Roman" w:eastAsia="新細明體" w:hAnsi="Times New Roman" w:cs="Times New Roman"/>
      <w:kern w:val="0"/>
      <w:sz w:val="22"/>
      <w:szCs w:val="20"/>
      <w:lang w:val="en-AU" w:eastAsia="en-US"/>
    </w:rPr>
  </w:style>
  <w:style w:type="character" w:customStyle="1" w:styleId="60">
    <w:name w:val="標題 6 字元"/>
    <w:basedOn w:val="a0"/>
    <w:link w:val="6"/>
    <w:qFormat/>
    <w:rsid w:val="008D304C"/>
    <w:rPr>
      <w:rFonts w:ascii="Times New Roman" w:eastAsia="新細明體" w:hAnsi="Times New Roman" w:cs="Times New Roman"/>
      <w:kern w:val="0"/>
      <w:sz w:val="22"/>
      <w:szCs w:val="20"/>
      <w:lang w:val="en-AU" w:eastAsia="en-US"/>
    </w:rPr>
  </w:style>
  <w:style w:type="character" w:customStyle="1" w:styleId="70">
    <w:name w:val="標題 7 字元"/>
    <w:basedOn w:val="a0"/>
    <w:link w:val="7"/>
    <w:qFormat/>
    <w:rsid w:val="008D304C"/>
    <w:rPr>
      <w:rFonts w:ascii="Times New Roman" w:eastAsia="新細明體" w:hAnsi="Times New Roman" w:cs="Times New Roman"/>
      <w:kern w:val="0"/>
      <w:sz w:val="22"/>
      <w:szCs w:val="20"/>
      <w:lang w:val="en-AU" w:eastAsia="en-US"/>
    </w:rPr>
  </w:style>
  <w:style w:type="character" w:customStyle="1" w:styleId="80">
    <w:name w:val="標題 8 字元"/>
    <w:basedOn w:val="a0"/>
    <w:link w:val="8"/>
    <w:semiHidden/>
    <w:qFormat/>
    <w:rsid w:val="008D304C"/>
    <w:rPr>
      <w:rFonts w:ascii="Times New Roman" w:eastAsia="新細明體" w:hAnsi="Times New Roman" w:cs="Times New Roman"/>
      <w:kern w:val="0"/>
      <w:sz w:val="22"/>
      <w:szCs w:val="20"/>
      <w:lang w:val="en-AU" w:eastAsia="en-US"/>
    </w:rPr>
  </w:style>
  <w:style w:type="character" w:customStyle="1" w:styleId="90">
    <w:name w:val="標題 9 字元"/>
    <w:basedOn w:val="a0"/>
    <w:link w:val="9"/>
    <w:semiHidden/>
    <w:qFormat/>
    <w:rsid w:val="008D304C"/>
    <w:rPr>
      <w:rFonts w:ascii="Times New Roman" w:eastAsia="新細明體" w:hAnsi="Times New Roman" w:cs="Times New Roman"/>
      <w:kern w:val="0"/>
      <w:sz w:val="22"/>
      <w:szCs w:val="20"/>
      <w:lang w:val="en-AU" w:eastAsia="en-US"/>
    </w:rPr>
  </w:style>
  <w:style w:type="character" w:customStyle="1" w:styleId="SubHeadingChar">
    <w:name w:val="Sub Heading Char"/>
    <w:link w:val="SubHeading"/>
    <w:qFormat/>
    <w:locked/>
    <w:rsid w:val="008D304C"/>
    <w:rPr>
      <w:rFonts w:ascii="Arial" w:eastAsia="新細明體" w:hAnsi="Arial" w:cs="Times New Roman"/>
      <w:b/>
      <w:kern w:val="0"/>
      <w:sz w:val="22"/>
      <w:szCs w:val="20"/>
      <w:lang w:val="en-AU" w:eastAsia="en-US"/>
    </w:rPr>
  </w:style>
  <w:style w:type="character" w:customStyle="1" w:styleId="aa">
    <w:name w:val="本文 字元"/>
    <w:basedOn w:val="a0"/>
    <w:link w:val="a9"/>
    <w:uiPriority w:val="99"/>
    <w:semiHidden/>
    <w:qFormat/>
    <w:rsid w:val="008D304C"/>
    <w:rPr>
      <w:rFonts w:ascii="新細明體" w:eastAsia="新細明體" w:hAnsi="新細明體" w:cs="新細明體"/>
      <w:kern w:val="0"/>
    </w:rPr>
  </w:style>
  <w:style w:type="paragraph" w:customStyle="1" w:styleId="Default">
    <w:name w:val="Default"/>
    <w:qFormat/>
    <w:rsid w:val="008D304C"/>
    <w:pPr>
      <w:widowControl w:val="0"/>
      <w:autoSpaceDE w:val="0"/>
      <w:autoSpaceDN w:val="0"/>
      <w:adjustRightInd w:val="0"/>
    </w:pPr>
    <w:rPr>
      <w:rFonts w:ascii="Times New Roman" w:hAnsi="Times New Roman" w:cs="Times New Roman"/>
      <w:color w:val="000000"/>
    </w:rPr>
  </w:style>
  <w:style w:type="character" w:customStyle="1" w:styleId="a5">
    <w:name w:val="頁首 字元"/>
    <w:basedOn w:val="a0"/>
    <w:link w:val="a4"/>
    <w:uiPriority w:val="99"/>
    <w:qFormat/>
    <w:rsid w:val="008D304C"/>
    <w:rPr>
      <w:rFonts w:ascii="新細明體" w:eastAsia="新細明體" w:hAnsi="新細明體" w:cs="新細明體"/>
      <w:kern w:val="0"/>
      <w:sz w:val="20"/>
      <w:szCs w:val="20"/>
    </w:rPr>
  </w:style>
  <w:style w:type="character" w:customStyle="1" w:styleId="ac">
    <w:name w:val="頁尾 字元"/>
    <w:basedOn w:val="a0"/>
    <w:link w:val="ab"/>
    <w:uiPriority w:val="99"/>
    <w:qFormat/>
    <w:rsid w:val="008D304C"/>
    <w:rPr>
      <w:rFonts w:ascii="新細明體" w:eastAsia="新細明體" w:hAnsi="新細明體" w:cs="新細明體"/>
      <w:kern w:val="0"/>
      <w:sz w:val="20"/>
      <w:szCs w:val="20"/>
    </w:rPr>
  </w:style>
  <w:style w:type="table" w:customStyle="1" w:styleId="110">
    <w:name w:val="11"/>
    <w:basedOn w:val="TableNormal0"/>
    <w:qFormat/>
    <w:rsid w:val="008D304C"/>
    <w:tblPr>
      <w:tblCellMar>
        <w:top w:w="118" w:type="dxa"/>
        <w:left w:w="2" w:type="dxa"/>
      </w:tblCellMar>
    </w:tblPr>
  </w:style>
  <w:style w:type="table" w:customStyle="1" w:styleId="100">
    <w:name w:val="10"/>
    <w:basedOn w:val="TableNormal0"/>
    <w:qFormat/>
    <w:rsid w:val="008D304C"/>
    <w:tblPr>
      <w:tblCellMar>
        <w:left w:w="108" w:type="dxa"/>
        <w:right w:w="108" w:type="dxa"/>
      </w:tblCellMar>
    </w:tblPr>
  </w:style>
  <w:style w:type="table" w:customStyle="1" w:styleId="71">
    <w:name w:val="7"/>
    <w:basedOn w:val="TableNormal0"/>
    <w:qFormat/>
    <w:rsid w:val="008D304C"/>
    <w:tblPr>
      <w:tblCellMar>
        <w:left w:w="108" w:type="dxa"/>
        <w:right w:w="108" w:type="dxa"/>
      </w:tblCellMar>
    </w:tblPr>
  </w:style>
  <w:style w:type="paragraph" w:customStyle="1" w:styleId="13">
    <w:name w:val="修訂1"/>
    <w:hidden/>
    <w:uiPriority w:val="99"/>
    <w:semiHidden/>
    <w:qFormat/>
    <w:rsid w:val="008D304C"/>
  </w:style>
  <w:style w:type="table" w:customStyle="1" w:styleId="Style76">
    <w:name w:val="_Style 76"/>
    <w:basedOn w:val="TableNormal0"/>
    <w:qFormat/>
    <w:rsid w:val="008D304C"/>
    <w:tblPr>
      <w:tblCellMar>
        <w:top w:w="118" w:type="dxa"/>
        <w:left w:w="2" w:type="dxa"/>
      </w:tblCellMar>
    </w:tblPr>
  </w:style>
  <w:style w:type="table" w:customStyle="1" w:styleId="Style77">
    <w:name w:val="_Style 77"/>
    <w:basedOn w:val="TableNormal0"/>
    <w:qFormat/>
    <w:rsid w:val="008D304C"/>
    <w:tblPr>
      <w:tblCellMar>
        <w:left w:w="108" w:type="dxa"/>
        <w:right w:w="108" w:type="dxa"/>
      </w:tblCellMar>
    </w:tblPr>
  </w:style>
  <w:style w:type="table" w:customStyle="1" w:styleId="Style78">
    <w:name w:val="_Style 78"/>
    <w:basedOn w:val="TableNormal0"/>
    <w:qFormat/>
    <w:rsid w:val="008D304C"/>
    <w:tblPr>
      <w:tblCellMar>
        <w:left w:w="108" w:type="dxa"/>
        <w:right w:w="108" w:type="dxa"/>
      </w:tblCellMar>
    </w:tblPr>
  </w:style>
  <w:style w:type="table" w:customStyle="1" w:styleId="Style80">
    <w:name w:val="_Style 80"/>
    <w:qFormat/>
    <w:rsid w:val="008D304C"/>
    <w:tblPr>
      <w:tblCellMar>
        <w:top w:w="0" w:type="dxa"/>
        <w:left w:w="108" w:type="dxa"/>
        <w:bottom w:w="0" w:type="dxa"/>
        <w:right w:w="108" w:type="dxa"/>
      </w:tblCellMar>
    </w:tblPr>
  </w:style>
  <w:style w:type="table" w:customStyle="1" w:styleId="Style81">
    <w:name w:val="_Style 81"/>
    <w:qFormat/>
    <w:rsid w:val="008D304C"/>
    <w:tblPr>
      <w:tblCellMar>
        <w:top w:w="0" w:type="dxa"/>
        <w:left w:w="108" w:type="dxa"/>
        <w:bottom w:w="0" w:type="dxa"/>
        <w:right w:w="108" w:type="dxa"/>
      </w:tblCellMar>
    </w:tblPr>
  </w:style>
  <w:style w:type="table" w:customStyle="1" w:styleId="Style82">
    <w:name w:val="_Style 82"/>
    <w:qFormat/>
    <w:rsid w:val="008D304C"/>
    <w:tblPr>
      <w:tblCellMar>
        <w:top w:w="0" w:type="dxa"/>
        <w:left w:w="108" w:type="dxa"/>
        <w:bottom w:w="0" w:type="dxa"/>
        <w:right w:w="108" w:type="dxa"/>
      </w:tblCellMar>
    </w:tblPr>
  </w:style>
  <w:style w:type="table" w:customStyle="1" w:styleId="Style84">
    <w:name w:val="_Style 84"/>
    <w:qFormat/>
    <w:rsid w:val="008D304C"/>
    <w:tblPr>
      <w:tblCellMar>
        <w:top w:w="0" w:type="dxa"/>
        <w:left w:w="108" w:type="dxa"/>
        <w:bottom w:w="0" w:type="dxa"/>
        <w:right w:w="108" w:type="dxa"/>
      </w:tblCellMar>
    </w:tblPr>
  </w:style>
  <w:style w:type="table" w:customStyle="1" w:styleId="Style85">
    <w:name w:val="_Style 85"/>
    <w:qFormat/>
    <w:rsid w:val="008D304C"/>
    <w:tblPr>
      <w:tblCellMar>
        <w:top w:w="0" w:type="dxa"/>
        <w:left w:w="108" w:type="dxa"/>
        <w:bottom w:w="0" w:type="dxa"/>
        <w:right w:w="108" w:type="dxa"/>
      </w:tblCellMar>
    </w:tblPr>
  </w:style>
  <w:style w:type="table" w:customStyle="1" w:styleId="Style86">
    <w:name w:val="_Style 86"/>
    <w:qFormat/>
    <w:rsid w:val="008D304C"/>
    <w:tblPr>
      <w:tblCellMar>
        <w:top w:w="0" w:type="dxa"/>
        <w:left w:w="108" w:type="dxa"/>
        <w:bottom w:w="0" w:type="dxa"/>
        <w:right w:w="108" w:type="dxa"/>
      </w:tblCellMar>
    </w:tblPr>
  </w:style>
  <w:style w:type="paragraph" w:styleId="af3">
    <w:name w:val="Revision"/>
    <w:hidden/>
    <w:uiPriority w:val="99"/>
    <w:semiHidden/>
    <w:rsid w:val="00015683"/>
  </w:style>
  <w:style w:type="paragraph" w:styleId="af4">
    <w:name w:val="List Paragraph"/>
    <w:basedOn w:val="a"/>
    <w:uiPriority w:val="99"/>
    <w:rsid w:val="003D7FBD"/>
    <w:pPr>
      <w:ind w:leftChars="200" w:left="480"/>
    </w:pPr>
  </w:style>
  <w:style w:type="table" w:customStyle="1" w:styleId="af5">
    <w:basedOn w:val="TableNormal0"/>
    <w:tblPr>
      <w:tblStyleRowBandSize w:val="1"/>
      <w:tblStyleColBandSize w:val="1"/>
      <w:tblCellMar>
        <w:left w:w="108" w:type="dxa"/>
        <w:right w:w="108" w:type="dxa"/>
      </w:tblCellMar>
    </w:tblPr>
  </w:style>
  <w:style w:type="table" w:customStyle="1" w:styleId="af6">
    <w:basedOn w:val="TableNormal0"/>
    <w:tblPr>
      <w:tblStyleRowBandSize w:val="1"/>
      <w:tblStyleColBandSize w:val="1"/>
      <w:tblCellMar>
        <w:left w:w="108" w:type="dxa"/>
        <w:right w:w="108" w:type="dxa"/>
      </w:tblCellMar>
    </w:tblPr>
  </w:style>
  <w:style w:type="table" w:customStyle="1" w:styleId="af7">
    <w:basedOn w:val="TableNormal0"/>
    <w:tblPr>
      <w:tblStyleRowBandSize w:val="1"/>
      <w:tblStyleColBandSize w:val="1"/>
      <w:tblCellMar>
        <w:left w:w="108" w:type="dxa"/>
        <w:right w:w="108" w:type="dxa"/>
      </w:tblCellMar>
    </w:tblPr>
  </w:style>
  <w:style w:type="table" w:customStyle="1" w:styleId="af8">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01394">
      <w:bodyDiv w:val="1"/>
      <w:marLeft w:val="0"/>
      <w:marRight w:val="0"/>
      <w:marTop w:val="0"/>
      <w:marBottom w:val="0"/>
      <w:divBdr>
        <w:top w:val="none" w:sz="0" w:space="0" w:color="auto"/>
        <w:left w:val="none" w:sz="0" w:space="0" w:color="auto"/>
        <w:bottom w:val="none" w:sz="0" w:space="0" w:color="auto"/>
        <w:right w:val="none" w:sz="0" w:space="0" w:color="auto"/>
      </w:divBdr>
    </w:div>
    <w:div w:id="158157736">
      <w:bodyDiv w:val="1"/>
      <w:marLeft w:val="0"/>
      <w:marRight w:val="0"/>
      <w:marTop w:val="0"/>
      <w:marBottom w:val="0"/>
      <w:divBdr>
        <w:top w:val="none" w:sz="0" w:space="0" w:color="auto"/>
        <w:left w:val="none" w:sz="0" w:space="0" w:color="auto"/>
        <w:bottom w:val="none" w:sz="0" w:space="0" w:color="auto"/>
        <w:right w:val="none" w:sz="0" w:space="0" w:color="auto"/>
      </w:divBdr>
    </w:div>
    <w:div w:id="217907374">
      <w:bodyDiv w:val="1"/>
      <w:marLeft w:val="0"/>
      <w:marRight w:val="0"/>
      <w:marTop w:val="0"/>
      <w:marBottom w:val="0"/>
      <w:divBdr>
        <w:top w:val="none" w:sz="0" w:space="0" w:color="auto"/>
        <w:left w:val="none" w:sz="0" w:space="0" w:color="auto"/>
        <w:bottom w:val="none" w:sz="0" w:space="0" w:color="auto"/>
        <w:right w:val="none" w:sz="0" w:space="0" w:color="auto"/>
      </w:divBdr>
    </w:div>
    <w:div w:id="486750963">
      <w:bodyDiv w:val="1"/>
      <w:marLeft w:val="0"/>
      <w:marRight w:val="0"/>
      <w:marTop w:val="0"/>
      <w:marBottom w:val="0"/>
      <w:divBdr>
        <w:top w:val="none" w:sz="0" w:space="0" w:color="auto"/>
        <w:left w:val="none" w:sz="0" w:space="0" w:color="auto"/>
        <w:bottom w:val="none" w:sz="0" w:space="0" w:color="auto"/>
        <w:right w:val="none" w:sz="0" w:space="0" w:color="auto"/>
      </w:divBdr>
    </w:div>
    <w:div w:id="502669620">
      <w:bodyDiv w:val="1"/>
      <w:marLeft w:val="0"/>
      <w:marRight w:val="0"/>
      <w:marTop w:val="0"/>
      <w:marBottom w:val="0"/>
      <w:divBdr>
        <w:top w:val="none" w:sz="0" w:space="0" w:color="auto"/>
        <w:left w:val="none" w:sz="0" w:space="0" w:color="auto"/>
        <w:bottom w:val="none" w:sz="0" w:space="0" w:color="auto"/>
        <w:right w:val="none" w:sz="0" w:space="0" w:color="auto"/>
      </w:divBdr>
    </w:div>
    <w:div w:id="622735929">
      <w:bodyDiv w:val="1"/>
      <w:marLeft w:val="0"/>
      <w:marRight w:val="0"/>
      <w:marTop w:val="0"/>
      <w:marBottom w:val="0"/>
      <w:divBdr>
        <w:top w:val="none" w:sz="0" w:space="0" w:color="auto"/>
        <w:left w:val="none" w:sz="0" w:space="0" w:color="auto"/>
        <w:bottom w:val="none" w:sz="0" w:space="0" w:color="auto"/>
        <w:right w:val="none" w:sz="0" w:space="0" w:color="auto"/>
      </w:divBdr>
    </w:div>
    <w:div w:id="798690308">
      <w:bodyDiv w:val="1"/>
      <w:marLeft w:val="0"/>
      <w:marRight w:val="0"/>
      <w:marTop w:val="0"/>
      <w:marBottom w:val="0"/>
      <w:divBdr>
        <w:top w:val="none" w:sz="0" w:space="0" w:color="auto"/>
        <w:left w:val="none" w:sz="0" w:space="0" w:color="auto"/>
        <w:bottom w:val="none" w:sz="0" w:space="0" w:color="auto"/>
        <w:right w:val="none" w:sz="0" w:space="0" w:color="auto"/>
      </w:divBdr>
    </w:div>
    <w:div w:id="1028801058">
      <w:bodyDiv w:val="1"/>
      <w:marLeft w:val="0"/>
      <w:marRight w:val="0"/>
      <w:marTop w:val="0"/>
      <w:marBottom w:val="0"/>
      <w:divBdr>
        <w:top w:val="none" w:sz="0" w:space="0" w:color="auto"/>
        <w:left w:val="none" w:sz="0" w:space="0" w:color="auto"/>
        <w:bottom w:val="none" w:sz="0" w:space="0" w:color="auto"/>
        <w:right w:val="none" w:sz="0" w:space="0" w:color="auto"/>
      </w:divBdr>
    </w:div>
    <w:div w:id="1562206952">
      <w:bodyDiv w:val="1"/>
      <w:marLeft w:val="0"/>
      <w:marRight w:val="0"/>
      <w:marTop w:val="0"/>
      <w:marBottom w:val="0"/>
      <w:divBdr>
        <w:top w:val="none" w:sz="0" w:space="0" w:color="auto"/>
        <w:left w:val="none" w:sz="0" w:space="0" w:color="auto"/>
        <w:bottom w:val="none" w:sz="0" w:space="0" w:color="auto"/>
        <w:right w:val="none" w:sz="0" w:space="0" w:color="auto"/>
      </w:divBdr>
    </w:div>
    <w:div w:id="1577283886">
      <w:bodyDiv w:val="1"/>
      <w:marLeft w:val="0"/>
      <w:marRight w:val="0"/>
      <w:marTop w:val="0"/>
      <w:marBottom w:val="0"/>
      <w:divBdr>
        <w:top w:val="none" w:sz="0" w:space="0" w:color="auto"/>
        <w:left w:val="none" w:sz="0" w:space="0" w:color="auto"/>
        <w:bottom w:val="none" w:sz="0" w:space="0" w:color="auto"/>
        <w:right w:val="none" w:sz="0" w:space="0" w:color="auto"/>
      </w:divBdr>
    </w:div>
    <w:div w:id="1754474644">
      <w:bodyDiv w:val="1"/>
      <w:marLeft w:val="0"/>
      <w:marRight w:val="0"/>
      <w:marTop w:val="0"/>
      <w:marBottom w:val="0"/>
      <w:divBdr>
        <w:top w:val="none" w:sz="0" w:space="0" w:color="auto"/>
        <w:left w:val="none" w:sz="0" w:space="0" w:color="auto"/>
        <w:bottom w:val="none" w:sz="0" w:space="0" w:color="auto"/>
        <w:right w:val="none" w:sz="0" w:space="0" w:color="auto"/>
      </w:divBdr>
    </w:div>
    <w:div w:id="2117408054">
      <w:bodyDiv w:val="1"/>
      <w:marLeft w:val="0"/>
      <w:marRight w:val="0"/>
      <w:marTop w:val="0"/>
      <w:marBottom w:val="0"/>
      <w:divBdr>
        <w:top w:val="none" w:sz="0" w:space="0" w:color="auto"/>
        <w:left w:val="none" w:sz="0" w:space="0" w:color="auto"/>
        <w:bottom w:val="none" w:sz="0" w:space="0" w:color="auto"/>
        <w:right w:val="none" w:sz="0" w:space="0" w:color="auto"/>
      </w:divBdr>
    </w:div>
    <w:div w:id="21225344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BESEDqUHgcLOLANxdbxKNT9HQg==">CgMxLjAyDmguOWw4Mnk0Zzh5OTU2Mg5oLndvYXQ3eXlzOGFpODIOaC50OHd1dTkyZWtpNnIyDmguYWJ4bXRoZDNobzdzMg5oLmdldGNkZWVoMnIweTIOaC5lNTZ5bTBtaHlzZWMyDmguZTd5aTV6OXhpd3E0MgloLjRkMzRvZzgyDmguNnIwZXV5eGRqajRqOAByITFmTEcxV2FPdXAyUnVwcFphel9xck9makdqNElPVG0tVg==</go:docsCustomData>
</go:gDocsCustomXmlDataStorage>
</file>

<file path=customXml/itemProps1.xml><?xml version="1.0" encoding="utf-8"?>
<ds:datastoreItem xmlns:ds="http://schemas.openxmlformats.org/officeDocument/2006/customXml" ds:itemID="{934D48F2-645D-4CD8-AEA3-86B52E9B013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3</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再生能源售電業申照輔導暨申請服務報價單</dc:title>
  <dc:creator>Microsoft Office User</dc:creator>
  <cp:lastModifiedBy>Zac</cp:lastModifiedBy>
  <cp:revision>12</cp:revision>
  <cp:lastPrinted>2025-02-11T14:35:00Z</cp:lastPrinted>
  <dcterms:created xsi:type="dcterms:W3CDTF">2026-07-28T20:27:00Z</dcterms:created>
  <dcterms:modified xsi:type="dcterms:W3CDTF">2026-07-29T04:49:00Z</dcterms:modified>
  <dc:subject>優選股份有限公司｜再生能源售電業申照輔導暨申請服務</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ac5dc6-06d5-4aa5-8c1a-4cc62eff72ca_Enabled">
    <vt:lpwstr>True</vt:lpwstr>
  </property>
  <property fmtid="{D5CDD505-2E9C-101B-9397-08002B2CF9AE}" pid="3" name="MSIP_Label_1aac5dc6-06d5-4aa5-8c1a-4cc62eff72ca_SiteId">
    <vt:lpwstr>0532e3ca-5510-49ca-a1ec-37a28a1a9c5a</vt:lpwstr>
  </property>
  <property fmtid="{D5CDD505-2E9C-101B-9397-08002B2CF9AE}" pid="4" name="MSIP_Label_1aac5dc6-06d5-4aa5-8c1a-4cc62eff72ca_Owner">
    <vt:lpwstr>roxana.cheng@venaenergy.com</vt:lpwstr>
  </property>
  <property fmtid="{D5CDD505-2E9C-101B-9397-08002B2CF9AE}" pid="5" name="MSIP_Label_1aac5dc6-06d5-4aa5-8c1a-4cc62eff72ca_SetDate">
    <vt:lpwstr>2021-01-13T02:57:20.4285159Z</vt:lpwstr>
  </property>
  <property fmtid="{D5CDD505-2E9C-101B-9397-08002B2CF9AE}" pid="6" name="MSIP_Label_1aac5dc6-06d5-4aa5-8c1a-4cc62eff72ca_Name">
    <vt:lpwstr>Confidential</vt:lpwstr>
  </property>
  <property fmtid="{D5CDD505-2E9C-101B-9397-08002B2CF9AE}" pid="7" name="MSIP_Label_1aac5dc6-06d5-4aa5-8c1a-4cc62eff72ca_Application">
    <vt:lpwstr>Microsoft Azure Information Protection</vt:lpwstr>
  </property>
  <property fmtid="{D5CDD505-2E9C-101B-9397-08002B2CF9AE}" pid="8" name="MSIP_Label_1aac5dc6-06d5-4aa5-8c1a-4cc62eff72ca_ActionId">
    <vt:lpwstr>ab4dde57-31ca-4518-bc43-3552312c2da5</vt:lpwstr>
  </property>
  <property fmtid="{D5CDD505-2E9C-101B-9397-08002B2CF9AE}" pid="9" name="MSIP_Label_1aac5dc6-06d5-4aa5-8c1a-4cc62eff72ca_Extended_MSFT_Method">
    <vt:lpwstr>Automatic</vt:lpwstr>
  </property>
  <property fmtid="{D5CDD505-2E9C-101B-9397-08002B2CF9AE}" pid="10" name="MSIP_Label_acc0d476-a8a2-42a3-858f-585f04e963fe_Enabled">
    <vt:lpwstr>True</vt:lpwstr>
  </property>
  <property fmtid="{D5CDD505-2E9C-101B-9397-08002B2CF9AE}" pid="11" name="MSIP_Label_acc0d476-a8a2-42a3-858f-585f04e963fe_SiteId">
    <vt:lpwstr>0532e3ca-5510-49ca-a1ec-37a28a1a9c5a</vt:lpwstr>
  </property>
  <property fmtid="{D5CDD505-2E9C-101B-9397-08002B2CF9AE}" pid="12" name="MSIP_Label_acc0d476-a8a2-42a3-858f-585f04e963fe_Owner">
    <vt:lpwstr>roxana.cheng@venaenergy.com</vt:lpwstr>
  </property>
  <property fmtid="{D5CDD505-2E9C-101B-9397-08002B2CF9AE}" pid="13" name="MSIP_Label_acc0d476-a8a2-42a3-858f-585f04e963fe_SetDate">
    <vt:lpwstr>2021-01-13T02:57:20.4285159Z</vt:lpwstr>
  </property>
  <property fmtid="{D5CDD505-2E9C-101B-9397-08002B2CF9AE}" pid="14" name="MSIP_Label_acc0d476-a8a2-42a3-858f-585f04e963fe_Name">
    <vt:lpwstr>Internal or Authorised</vt:lpwstr>
  </property>
  <property fmtid="{D5CDD505-2E9C-101B-9397-08002B2CF9AE}" pid="15" name="MSIP_Label_acc0d476-a8a2-42a3-858f-585f04e963fe_Application">
    <vt:lpwstr>Microsoft Azure Information Protection</vt:lpwstr>
  </property>
  <property fmtid="{D5CDD505-2E9C-101B-9397-08002B2CF9AE}" pid="16" name="MSIP_Label_acc0d476-a8a2-42a3-858f-585f04e963fe_ActionId">
    <vt:lpwstr>ab4dde57-31ca-4518-bc43-3552312c2da5</vt:lpwstr>
  </property>
  <property fmtid="{D5CDD505-2E9C-101B-9397-08002B2CF9AE}" pid="17" name="MSIP_Label_acc0d476-a8a2-42a3-858f-585f04e963fe_Parent">
    <vt:lpwstr>1aac5dc6-06d5-4aa5-8c1a-4cc62eff72ca</vt:lpwstr>
  </property>
  <property fmtid="{D5CDD505-2E9C-101B-9397-08002B2CF9AE}" pid="18" name="MSIP_Label_acc0d476-a8a2-42a3-858f-585f04e963fe_Extended_MSFT_Method">
    <vt:lpwstr>Automatic</vt:lpwstr>
  </property>
  <property fmtid="{D5CDD505-2E9C-101B-9397-08002B2CF9AE}" pid="19" name="Sensitivity">
    <vt:lpwstr>Confidential Internal or Authorised</vt:lpwstr>
  </property>
  <property fmtid="{D5CDD505-2E9C-101B-9397-08002B2CF9AE}" pid="20" name="KSOProductBuildVer">
    <vt:lpwstr>1028-10.8.0.6003</vt:lpwstr>
  </property>
</Properties>
</file>