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keepLines/>
        <w:widowControl/>
        <w:pBdr>
          <w:top w:val="none" w:sz="0" w:space="0" w:color="000000"/>
          <w:left w:val="none" w:sz="0" w:space="0" w:color="000000"/>
          <w:bottom w:val="none" w:sz="0" w:space="0" w:color="000000"/>
          <w:right w:val="none" w:sz="0" w:space="0" w:color="000000"/>
          <w:between w:val="none" w:sz="0" w:space="0" w:color="000000"/>
        </w:pBdr>
        <w:spacing w:after="0"/>
        <w:ind w:left="142"/>
        <w:jc w:val="center"/>
        <w:rPr>
          <w:rFonts w:ascii="標楷體" w:eastAsia="標楷體" w:hAnsi="標楷體" w:cs="標楷體"/>
          <w:sz w:val="36"/>
          <w:szCs w:val="36"/>
        </w:rPr>
      </w:pPr>
      <w:r>
        <w:rPr>
          <w:rFonts w:ascii="標楷體" w:hAnsi="標楷體" w:eastAsia="標楷體"/>
          <w:b w:val="0"/>
          <w:sz w:val="36"/>
        </w:rPr>
        <w:t>售電業申照輔導暨申請服務</w:t>
      </w:r>
    </w:p>
    <w:p>
      <w:pPr>
        <w:keepNext/>
        <w:keepLines/>
        <w:widowControl/>
        <w:pBdr>
          <w:top w:val="none" w:sz="0" w:space="0" w:color="000000"/>
          <w:left w:val="none" w:sz="0" w:space="0" w:color="000000"/>
          <w:bottom w:val="none" w:sz="0" w:space="0" w:color="000000"/>
          <w:right w:val="none" w:sz="0" w:space="0" w:color="000000"/>
          <w:between w:val="none" w:sz="0" w:space="0" w:color="000000"/>
        </w:pBdr>
        <w:spacing w:after="0"/>
        <w:ind w:left="142"/>
        <w:jc w:val="center"/>
        <w:rPr>
          <w:rFonts w:ascii="標楷體" w:eastAsia="標楷體" w:hAnsi="標楷體" w:cs="標楷體"/>
          <w:sz w:val="36"/>
          <w:szCs w:val="36"/>
        </w:rPr>
      </w:pPr>
      <w:r>
        <w:rPr>
          <w:rFonts w:ascii="標楷體" w:hAnsi="標楷體" w:eastAsia="標楷體"/>
          <w:b w:val="0"/>
          <w:sz w:val="36"/>
        </w:rPr>
        <w:t>服務工作範圍書</w:t>
      </w:r>
    </w:p>
    <w:p>
      <w:pPr>
        <w:keepNext/>
        <w:keepLines/>
        <w:widowControl/>
        <w:pBdr>
          <w:top w:val="none" w:sz="0" w:space="0" w:color="000000"/>
          <w:left w:val="none" w:sz="0" w:space="0" w:color="000000"/>
          <w:bottom w:val="none" w:sz="0" w:space="0" w:color="000000"/>
          <w:right w:val="none" w:sz="0" w:space="0" w:color="000000"/>
          <w:between w:val="none" w:sz="0" w:space="0" w:color="000000"/>
        </w:pBdr>
        <w:spacing w:before="480" w:after="240"/>
        <w:ind w:left="357"/>
        <w:jc w:val="center"/>
        <w:rPr>
          <w:rFonts w:ascii="標楷體" w:eastAsia="標楷體" w:hAnsi="標楷體" w:cs="標楷體"/>
          <w:b/>
          <w:sz w:val="20"/>
          <w:szCs w:val="20"/>
        </w:rPr>
      </w:pPr>
      <w:r>
        <w:rPr>
          <w:rFonts w:ascii="標楷體" w:hAnsi="標楷體" w:eastAsia="標楷體"/>
          <w:b/>
          <w:sz w:val="20"/>
        </w:rPr>
        <w:t>前言</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left="0" w:right="0" w:firstLine="0"/>
        <w:jc w:val="both"/>
        <w:rPr>
          <w:rFonts w:ascii="標楷體" w:eastAsia="標楷體" w:hAnsi="標楷體" w:cs="標楷體"/>
          <w:sz w:val="20"/>
          <w:szCs w:val="20"/>
        </w:rPr>
      </w:pPr>
      <w:r>
        <w:rPr>
          <w:rFonts w:ascii="標楷體" w:hAnsi="標楷體" w:eastAsia="標楷體"/>
          <w:b w:val="0"/>
          <w:sz w:val="20"/>
        </w:rPr>
        <w:t xml:space="preserve">　　本服務工作範圍書（SOW）為「售電業申照輔導暨申請服務契約」（以下稱「本契約」）之附件，與本契約具有同等效力。本服務工作範圍書未定義之名詞，依本契約之定義。</w:t>
      </w:r>
    </w:p>
    <w:p>
      <w:pPr>
        <w:keepNext/>
        <w:keepLines/>
        <w:widowControl/>
        <w:pBdr>
          <w:top w:val="none" w:sz="0" w:space="0" w:color="000000"/>
          <w:left w:val="none" w:sz="0" w:space="0" w:color="000000"/>
          <w:bottom w:val="none" w:sz="0" w:space="0" w:color="000000"/>
          <w:right w:val="none" w:sz="0" w:space="0" w:color="000000"/>
          <w:between w:val="none" w:sz="0" w:space="0" w:color="000000"/>
        </w:pBdr>
        <w:tabs>
          <w:tab w:val="left" w:pos="709"/>
          <w:tab w:val="left" w:pos="1418"/>
          <w:tab w:val="left" w:pos="2126"/>
          <w:tab w:val="left" w:pos="2835"/>
          <w:tab w:val="right" w:pos="9072"/>
        </w:tabs>
        <w:spacing w:before="240" w:after="240"/>
        <w:ind w:left="-907"/>
        <w:rPr>
          <w:rFonts w:ascii="標楷體" w:eastAsia="標楷體" w:hAnsi="標楷體" w:cs="標楷體"/>
        </w:rPr>
      </w:pPr>
      <w:r>
        <w:rPr>
          <w:rFonts w:ascii="標楷體" w:hAnsi="標楷體" w:eastAsia="標楷體"/>
          <w:b w:val="0"/>
          <w:sz w:val="24"/>
        </w:rPr>
        <w:t>一、文件性質與本案選用服務</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1.　本服務工作範圍書為本案服務範圍之唯一詳細依據，用以界定本案選用之服務模組、各階段工作、交付成果、完成標準、雙方工作與資料分工、會議與執行方式、不包含事項及變更管理。</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2.　本案選用服務模組如下：</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935" w:hanging="397"/>
        <w:jc w:val="both"/>
        <w:rPr>
          <w:rFonts w:ascii="標楷體" w:eastAsia="標楷體" w:hAnsi="標楷體" w:cs="標楷體"/>
          <w:sz w:val="20"/>
          <w:szCs w:val="20"/>
        </w:rPr>
      </w:pPr>
      <w:r>
        <w:rPr>
          <w:rFonts w:ascii="標楷體" w:hAnsi="標楷體" w:eastAsia="標楷體"/>
          <w:b w:val="0"/>
          <w:sz w:val="20"/>
        </w:rPr>
        <w:t>☐ 第 0 階段｜前期事業規劃（選配）</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935" w:hanging="397"/>
        <w:jc w:val="both"/>
        <w:rPr>
          <w:rFonts w:ascii="標楷體" w:eastAsia="標楷體" w:hAnsi="標楷體" w:cs="標楷體"/>
          <w:sz w:val="20"/>
          <w:szCs w:val="20"/>
        </w:rPr>
      </w:pPr>
      <w:r>
        <w:rPr>
          <w:rFonts w:ascii="標楷體" w:hAnsi="標楷體" w:eastAsia="標楷體"/>
          <w:b w:val="0"/>
          <w:sz w:val="20"/>
        </w:rPr>
        <w:t>☒ 第 1 階段＋第 2 階段｜標準完整申照專案</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3.　第 0 階段為標準完整申照專案之前置選配，並非標準完整申照專案之替代方案。標準完整申照專案固定包含第 1 階段及第 2 階段。</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4.　第 0 階段是否選用，以本服務工作範圍書之勾選結果為準；未勾選者，視為甲方未選用第 0 階段。</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5.　甲方未選用第 0 階段時，即確認其已具備足以啟動第 1 階段之基本事業方向。第 1 階段不包含重新比較重大事業模式、就申請牌照之法人主體進行重大策略比較、建立全新電源策略或售電市場策略、重新設計完整商業模式，或代替甲方管理層進行前期事業可行性決策。乙方於第 1 階段仍得提問、檢視明顯矛盾、盤點、收斂、整合及檢查一致性，前述工作不因此視為已包含第 0 階段。</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6.　本服務工作範圍書未列入之工作，不因與售電業申照、能源交易或甲方營運相關而自動成為乙方義務。</w:t>
      </w:r>
    </w:p>
    <w:p>
      <w:pPr>
        <w:keepNext/>
        <w:keepLines/>
        <w:widowControl/>
        <w:pBdr>
          <w:top w:val="none" w:sz="0" w:space="0" w:color="000000"/>
          <w:left w:val="none" w:sz="0" w:space="0" w:color="000000"/>
          <w:bottom w:val="none" w:sz="0" w:space="0" w:color="000000"/>
          <w:right w:val="none" w:sz="0" w:space="0" w:color="000000"/>
          <w:between w:val="none" w:sz="0" w:space="0" w:color="000000"/>
        </w:pBdr>
        <w:tabs>
          <w:tab w:val="left" w:pos="709"/>
          <w:tab w:val="left" w:pos="1418"/>
          <w:tab w:val="left" w:pos="2126"/>
          <w:tab w:val="left" w:pos="2835"/>
          <w:tab w:val="right" w:pos="9072"/>
        </w:tabs>
        <w:spacing w:before="240" w:after="240"/>
        <w:ind w:left="-907"/>
        <w:rPr>
          <w:rFonts w:ascii="標楷體" w:eastAsia="標楷體" w:hAnsi="標楷體" w:cs="標楷體"/>
        </w:rPr>
      </w:pPr>
      <w:r>
        <w:rPr>
          <w:rFonts w:ascii="標楷體" w:hAnsi="標楷體" w:eastAsia="標楷體"/>
          <w:b w:val="0"/>
          <w:sz w:val="24"/>
        </w:rPr>
        <w:t>二、專案目標</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1.　以甲方準備實際經營之售電事業為基礎，釐清、盤點並收斂申請所需之營運事實、資料及假設。</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2.　將甲方已決定之事業方向及已確認之商業模式，轉化為依主管機關現行法令、規定及申請要求可供審查之申請架構。</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3.　完成核心申請文件、預估財務內容及其他申請資料之撰寫、整合與一致性檢查。</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4.　辦理正式送件，協助處理審查意見、文件修正及補件，並以合理專業注意義務及合理效率推進本次申請程序。</w:t>
      </w:r>
    </w:p>
    <w:p>
      <w:pPr>
        <w:keepNext/>
        <w:keepLines/>
        <w:widowControl/>
        <w:pBdr>
          <w:top w:val="none" w:sz="0" w:space="0" w:color="000000"/>
          <w:left w:val="none" w:sz="0" w:space="0" w:color="000000"/>
          <w:bottom w:val="none" w:sz="0" w:space="0" w:color="000000"/>
          <w:right w:val="none" w:sz="0" w:space="0" w:color="000000"/>
          <w:between w:val="none" w:sz="0" w:space="0" w:color="000000"/>
        </w:pBdr>
        <w:tabs>
          <w:tab w:val="left" w:pos="709"/>
          <w:tab w:val="left" w:pos="1418"/>
          <w:tab w:val="left" w:pos="2126"/>
          <w:tab w:val="left" w:pos="2835"/>
          <w:tab w:val="right" w:pos="9072"/>
        </w:tabs>
        <w:spacing w:before="240" w:after="240"/>
        <w:ind w:left="-907"/>
        <w:rPr>
          <w:rFonts w:ascii="標楷體" w:eastAsia="標楷體" w:hAnsi="標楷體" w:cs="標楷體"/>
        </w:rPr>
      </w:pPr>
      <w:r>
        <w:rPr>
          <w:rFonts w:ascii="標楷體" w:hAnsi="標楷體" w:eastAsia="標楷體"/>
          <w:b w:val="0"/>
          <w:sz w:val="24"/>
        </w:rPr>
        <w:t>三、第 0 階段｜前期事業規劃</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left="0" w:right="0" w:firstLine="0"/>
        <w:jc w:val="both"/>
        <w:rPr>
          <w:rFonts w:ascii="標楷體" w:eastAsia="標楷體" w:hAnsi="標楷體" w:cs="標楷體"/>
          <w:sz w:val="20"/>
          <w:szCs w:val="20"/>
        </w:rPr>
      </w:pPr>
      <w:r>
        <w:rPr>
          <w:rFonts w:ascii="標楷體" w:hAnsi="標楷體" w:eastAsia="標楷體"/>
          <w:b w:val="0"/>
          <w:sz w:val="20"/>
        </w:rPr>
        <w:t xml:space="preserve">　　本階段僅於甲方勾選第 0 階段時適用，適合申照方案、申請牌照之法人主體或售電事業模式仍需由甲方管理層作成重大決策之情形。本階段之目的，是協助甲方決定要建立何種售電事業；乙方之角色為提供諮詢、比較分析、提出不同觀點及協助決策。</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left="0" w:right="0" w:firstLine="0"/>
        <w:jc w:val="both"/>
        <w:rPr>
          <w:rFonts w:ascii="標楷體" w:eastAsia="標楷體" w:hAnsi="標楷體" w:cs="標楷體"/>
          <w:sz w:val="20"/>
          <w:szCs w:val="20"/>
        </w:rPr>
      </w:pPr>
      <w:r>
        <w:rPr>
          <w:rFonts w:ascii="標楷體" w:hAnsi="標楷體" w:eastAsia="標楷體"/>
          <w:b w:val="0"/>
          <w:sz w:val="20"/>
        </w:rPr>
        <w:t>本階段工作包括：</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1.　比較不同營運模式，協助評估預期收益、成本及商業可行性，並整理各方案之主要差異及影響。</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2.　就申請牌照之法人主體及相關事業安排，整理可行選項及應由甲方管理層決定之事項；涉及法律、會計或稅務之專業判斷，由甲方另行委任適格專業人士。</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3.　整理候選電源、供電條件及供電策略，協助比較其與甲方預定營運模式之適配性。</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4.　釐清預計售電對象、目標客群、售電方向及主要市場假設。</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5.　依預計營運模式，協助規劃初步營運方式、組織角色及主要決策事項。</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6.　整合分析、選項、比較及建議，形成足供甲方作成後續事業及申照決策之正式成果。</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left="0" w:right="0" w:firstLine="0"/>
        <w:jc w:val="both"/>
        <w:rPr>
          <w:rFonts w:ascii="標楷體" w:eastAsia="標楷體" w:hAnsi="標楷體" w:cs="標楷體"/>
          <w:sz w:val="20"/>
          <w:szCs w:val="20"/>
        </w:rPr>
      </w:pPr>
      <w:r>
        <w:rPr>
          <w:rFonts w:ascii="標楷體" w:hAnsi="標楷體" w:eastAsia="標楷體"/>
          <w:b w:val="0"/>
          <w:sz w:val="20"/>
        </w:rPr>
        <w:t xml:space="preserve">　　本階段交付成果及完成標準依第六節辦理；會議安排依第九節辦理。</w:t>
      </w:r>
    </w:p>
    <w:p>
      <w:pPr>
        <w:keepNext/>
        <w:keepLines/>
        <w:widowControl/>
        <w:pBdr>
          <w:top w:val="none" w:sz="0" w:space="0" w:color="000000"/>
          <w:left w:val="none" w:sz="0" w:space="0" w:color="000000"/>
          <w:bottom w:val="none" w:sz="0" w:space="0" w:color="000000"/>
          <w:right w:val="none" w:sz="0" w:space="0" w:color="000000"/>
          <w:between w:val="none" w:sz="0" w:space="0" w:color="000000"/>
        </w:pBdr>
        <w:tabs>
          <w:tab w:val="left" w:pos="709"/>
          <w:tab w:val="left" w:pos="1418"/>
          <w:tab w:val="left" w:pos="2126"/>
          <w:tab w:val="left" w:pos="2835"/>
          <w:tab w:val="right" w:pos="9072"/>
        </w:tabs>
        <w:spacing w:before="240" w:after="240"/>
        <w:ind w:left="-907"/>
        <w:rPr>
          <w:rFonts w:ascii="標楷體" w:eastAsia="標楷體" w:hAnsi="標楷體" w:cs="標楷體"/>
        </w:rPr>
      </w:pPr>
      <w:r>
        <w:rPr>
          <w:rFonts w:ascii="標楷體" w:hAnsi="標楷體" w:eastAsia="標楷體"/>
          <w:b w:val="0"/>
          <w:sz w:val="24"/>
        </w:rPr>
        <w:t>四、第 1 階段｜申請資料準備</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left="0" w:right="0" w:firstLine="0"/>
        <w:jc w:val="both"/>
        <w:rPr>
          <w:rFonts w:ascii="標楷體" w:eastAsia="標楷體" w:hAnsi="標楷體" w:cs="標楷體"/>
          <w:sz w:val="20"/>
          <w:szCs w:val="20"/>
        </w:rPr>
      </w:pPr>
      <w:r>
        <w:rPr>
          <w:rFonts w:ascii="標楷體" w:hAnsi="標楷體" w:eastAsia="標楷體"/>
          <w:b w:val="0"/>
          <w:sz w:val="20"/>
        </w:rPr>
        <w:t xml:space="preserve">　　本階段適用於甲方已確定申請售電業、具備基本事業方向，且能提供並確認主要營運事實及假設之情形。本階段之功能，是將甲方已決定之售電事業轉化為可正式送件之完整申請架構。乙方負責訪談、盤點、收斂、整合、撰寫及一致性檢查；涉及甲方營運、電源、售電對象、組織、人力及財務之事實、數據、假設與最終決策，仍由甲方提供或確認。</w:t>
      </w:r>
    </w:p>
    <w:p>
      <w:pPr>
        <w:keepNext/>
        <w:keepLines/>
        <w:widowControl/>
        <w:pBdr>
          <w:top w:val="none" w:sz="0" w:space="0" w:color="000000"/>
          <w:left w:val="none" w:sz="0" w:space="0" w:color="000000"/>
          <w:bottom w:val="none" w:sz="0" w:space="0" w:color="000000"/>
          <w:right w:val="none" w:sz="0" w:space="0" w:color="000000"/>
          <w:between w:val="none" w:sz="0" w:space="0" w:color="000000"/>
        </w:pBdr>
        <w:spacing w:afterLines="50" w:after="120" w:before="120"/>
        <w:ind w:left="0" w:firstLine="0"/>
        <w:jc w:val="both"/>
        <w:rPr>
          <w:rFonts w:ascii="標楷體" w:eastAsia="標楷體" w:hAnsi="標楷體" w:cs="標楷體"/>
          <w:sz w:val="20"/>
          <w:szCs w:val="20"/>
        </w:rPr>
      </w:pPr>
      <w:r>
        <w:rPr>
          <w:rFonts w:ascii="標楷體" w:hAnsi="標楷體" w:eastAsia="標楷體"/>
          <w:b/>
          <w:sz w:val="20"/>
        </w:rPr>
        <w:t>（一）專案啟始與資料盤點</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1.　確認主要聯絡窗口、內部資料窗口、執行方式及資料提供安排。</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2.　進行需求訪談，盤點申請主體、甲方已確認之事業方向、營運模式、既有準備及預定營運安排。</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3.　盤點公司、組織、人力、電源、售電對象、交易安排、系統及財務會計等申請所需資料。</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4.　建立資料需求及缺口清單，追蹤甲方應提供、補充或確認之事項。</w:t>
      </w:r>
    </w:p>
    <w:p>
      <w:pPr>
        <w:keepNext/>
        <w:keepLines/>
        <w:widowControl/>
        <w:pBdr>
          <w:top w:val="none" w:sz="0" w:space="0" w:color="000000"/>
          <w:left w:val="none" w:sz="0" w:space="0" w:color="000000"/>
          <w:bottom w:val="none" w:sz="0" w:space="0" w:color="000000"/>
          <w:right w:val="none" w:sz="0" w:space="0" w:color="000000"/>
          <w:between w:val="none" w:sz="0" w:space="0" w:color="000000"/>
        </w:pBdr>
        <w:spacing w:afterLines="50" w:after="120" w:before="120"/>
        <w:ind w:left="0" w:firstLine="0"/>
        <w:jc w:val="both"/>
        <w:rPr>
          <w:rFonts w:ascii="標楷體" w:eastAsia="標楷體" w:hAnsi="標楷體" w:cs="標楷體"/>
          <w:sz w:val="20"/>
          <w:szCs w:val="20"/>
        </w:rPr>
      </w:pPr>
      <w:r>
        <w:rPr>
          <w:rFonts w:ascii="標楷體" w:hAnsi="標楷體" w:eastAsia="標楷體"/>
          <w:b/>
          <w:sz w:val="20"/>
        </w:rPr>
        <w:t>（二）營運資訊及申請架構整理</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1.　盤點並整理甲方提供及確認之商業模式、營運事實、營運估算與相關試算；乙方不在本階段代替甲方重新作成重大商業決策，亦不自行產生甲方之營運收入、成本或其他公司內部數值。</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2.　盤點並整理甲方提供之預計或實際供電電廠、電源規劃、購電容量、購電量及其他電源事實，進行一致性檢查並轉化為申請內容。</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3.　盤點並整理甲方提供之預計或實際售電對象、用戶規劃、售電量、銷售與收費安排及其他售電事實，進行一致性檢查並轉化為申請內容。</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4.　盤點並整理甲方提供或確認之組織、人力、作業流程、系統、風險及預計營運規則。</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5.　將前述資訊整合為《售電事業營運藍圖》或功能相同之營運規劃成果。</w:t>
      </w:r>
    </w:p>
    <w:p>
      <w:pPr>
        <w:keepNext/>
        <w:keepLines/>
        <w:widowControl/>
        <w:pBdr>
          <w:top w:val="none" w:sz="0" w:space="0" w:color="000000"/>
          <w:left w:val="none" w:sz="0" w:space="0" w:color="000000"/>
          <w:bottom w:val="none" w:sz="0" w:space="0" w:color="000000"/>
          <w:right w:val="none" w:sz="0" w:space="0" w:color="000000"/>
          <w:between w:val="none" w:sz="0" w:space="0" w:color="000000"/>
        </w:pBdr>
        <w:spacing w:afterLines="50" w:after="120" w:before="120"/>
        <w:ind w:left="0" w:firstLine="0"/>
        <w:jc w:val="both"/>
        <w:rPr>
          <w:rFonts w:ascii="標楷體" w:eastAsia="標楷體" w:hAnsi="標楷體" w:cs="標楷體"/>
          <w:sz w:val="20"/>
          <w:szCs w:val="20"/>
        </w:rPr>
      </w:pPr>
      <w:r>
        <w:rPr>
          <w:rFonts w:ascii="標楷體" w:hAnsi="標楷體" w:eastAsia="標楷體"/>
          <w:b/>
          <w:sz w:val="20"/>
        </w:rPr>
        <w:t>（三）核心申請文件撰寫與整合</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1.　依甲方確認之營運規劃，撰寫及整合《售電計畫書》。</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2.　依甲方預定之實際營運方式，撰寫及整合《營業規章》。</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3.　依主管機關現行法令、規定及申請要求，整理其他必要之核心申請文件或資料架構。</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4.　依第八節之分工，整理及整合預估財務內容。</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5.　檢查各申請文件中之申請主體、事業定位、電源、售電對象、組織、人力、財務及營運規則是否一致。</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6.　整理尚待甲方確認或補正之事項，並在甲方完成必要確認後，形成可進入正式主管機關申請程序之完整申請架構。</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left="0" w:right="0" w:firstLine="0"/>
        <w:jc w:val="both"/>
        <w:rPr>
          <w:rFonts w:ascii="標楷體" w:eastAsia="標楷體" w:hAnsi="標楷體" w:cs="標楷體"/>
          <w:sz w:val="20"/>
          <w:szCs w:val="20"/>
        </w:rPr>
      </w:pPr>
      <w:r>
        <w:rPr>
          <w:rFonts w:ascii="標楷體" w:hAnsi="標楷體" w:eastAsia="標楷體"/>
          <w:b w:val="0"/>
          <w:sz w:val="20"/>
        </w:rPr>
        <w:t xml:space="preserve">　　本階段交付成果及完成標準依第六節辦理；會議安排依第九節辦理。</w:t>
      </w:r>
    </w:p>
    <w:p>
      <w:pPr>
        <w:keepNext/>
        <w:keepLines/>
        <w:widowControl/>
        <w:pBdr>
          <w:top w:val="none" w:sz="0" w:space="0" w:color="000000"/>
          <w:left w:val="none" w:sz="0" w:space="0" w:color="000000"/>
          <w:bottom w:val="none" w:sz="0" w:space="0" w:color="000000"/>
          <w:right w:val="none" w:sz="0" w:space="0" w:color="000000"/>
          <w:between w:val="none" w:sz="0" w:space="0" w:color="000000"/>
        </w:pBdr>
        <w:tabs>
          <w:tab w:val="left" w:pos="709"/>
          <w:tab w:val="left" w:pos="1418"/>
          <w:tab w:val="left" w:pos="2126"/>
          <w:tab w:val="left" w:pos="2835"/>
          <w:tab w:val="right" w:pos="9072"/>
        </w:tabs>
        <w:spacing w:before="240" w:after="240"/>
        <w:ind w:left="-907"/>
        <w:rPr>
          <w:rFonts w:ascii="標楷體" w:eastAsia="標楷體" w:hAnsi="標楷體" w:cs="標楷體"/>
        </w:rPr>
      </w:pPr>
      <w:r>
        <w:rPr>
          <w:rFonts w:ascii="標楷體" w:hAnsi="標楷體" w:eastAsia="標楷體"/>
          <w:b w:val="0"/>
          <w:sz w:val="24"/>
        </w:rPr>
        <w:t>五、第 2 階段｜正式申請及審查支援</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left="0" w:right="0" w:firstLine="0"/>
        <w:jc w:val="both"/>
        <w:rPr>
          <w:rFonts w:ascii="標楷體" w:eastAsia="標楷體" w:hAnsi="標楷體" w:cs="標楷體"/>
          <w:sz w:val="20"/>
          <w:szCs w:val="20"/>
        </w:rPr>
      </w:pPr>
      <w:r>
        <w:rPr>
          <w:rFonts w:ascii="標楷體" w:hAnsi="標楷體" w:eastAsia="標楷體"/>
          <w:b w:val="0"/>
          <w:sz w:val="20"/>
        </w:rPr>
        <w:t xml:space="preserve">　　第 1 階段完成後，乙方依甲方確認之申請內容進入第 2 階段，辦理下列工作：</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1.　依主管機關現行申請方式整理正式送件資料，並辦理或協助辦理送件。</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2.　與申請窗口進行必要之程序聯繫及申請進度追蹤。</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3.　整理及解析主管機關審查意見，並向甲方說明應由甲方決定、提供或確認之事項。</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4.　依甲方提供及確認之資料與決策準備回覆內容，於原申請主體、已確認商業模式及原申請架構內，進行合理範圍之文件修正及補件支援。</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5.　配合本次申請之合理需要，再次修正申請文件及補充說明。</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6.　以合理專業注意義務及合理效率推進本次申請程序，至收到主管機關之申辦完成通知函，或其他足以終結本次申請程序之正式通知或處置。</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left="0" w:right="0" w:firstLine="0"/>
        <w:jc w:val="both"/>
        <w:rPr>
          <w:rFonts w:ascii="標楷體" w:eastAsia="標楷體" w:hAnsi="標楷體" w:cs="標楷體"/>
          <w:sz w:val="20"/>
          <w:szCs w:val="20"/>
        </w:rPr>
      </w:pPr>
      <w:r>
        <w:rPr>
          <w:rFonts w:ascii="標楷體" w:hAnsi="標楷體" w:eastAsia="標楷體"/>
          <w:b w:val="0"/>
          <w:sz w:val="20"/>
        </w:rPr>
        <w:t xml:space="preserve">　　依法令或主管機關要求須由甲方、甲方代表人、甲方內部人員或第三方專業人士親自辦理、簽章、用印、認證或提出之事項，由相關主體完成；乙方提供合理之文件及程序協助。</w:t>
      </w:r>
    </w:p>
    <w:p>
      <w:pPr>
        <w:keepNext/>
        <w:keepLines/>
        <w:widowControl/>
        <w:pBdr>
          <w:top w:val="none" w:sz="0" w:space="0" w:color="000000"/>
          <w:left w:val="none" w:sz="0" w:space="0" w:color="000000"/>
          <w:bottom w:val="none" w:sz="0" w:space="0" w:color="000000"/>
          <w:right w:val="none" w:sz="0" w:space="0" w:color="000000"/>
          <w:between w:val="none" w:sz="0" w:space="0" w:color="000000"/>
        </w:pBdr>
        <w:tabs>
          <w:tab w:val="left" w:pos="709"/>
          <w:tab w:val="left" w:pos="1418"/>
          <w:tab w:val="left" w:pos="2126"/>
          <w:tab w:val="left" w:pos="2835"/>
          <w:tab w:val="right" w:pos="9072"/>
        </w:tabs>
        <w:spacing w:before="240" w:after="240"/>
        <w:ind w:left="-907"/>
        <w:rPr>
          <w:rFonts w:ascii="標楷體" w:eastAsia="標楷體" w:hAnsi="標楷體" w:cs="標楷體"/>
        </w:rPr>
      </w:pPr>
      <w:r>
        <w:rPr>
          <w:rFonts w:ascii="標楷體" w:hAnsi="標楷體" w:eastAsia="標楷體"/>
          <w:b w:val="0"/>
          <w:sz w:val="24"/>
        </w:rPr>
        <w:t>六、交付成果及完成標準</w:t>
      </w:r>
    </w:p>
    <w:p>
      <w:pPr>
        <w:keepNext/>
        <w:keepLines/>
        <w:widowControl/>
        <w:pBdr>
          <w:top w:val="none" w:sz="0" w:space="0" w:color="000000"/>
          <w:left w:val="none" w:sz="0" w:space="0" w:color="000000"/>
          <w:bottom w:val="none" w:sz="0" w:space="0" w:color="000000"/>
          <w:right w:val="none" w:sz="0" w:space="0" w:color="000000"/>
          <w:between w:val="none" w:sz="0" w:space="0" w:color="000000"/>
        </w:pBdr>
        <w:spacing w:afterLines="50" w:after="120" w:before="120"/>
        <w:ind w:left="0" w:firstLine="0"/>
        <w:jc w:val="both"/>
        <w:rPr>
          <w:rFonts w:ascii="標楷體" w:eastAsia="標楷體" w:hAnsi="標楷體" w:cs="標楷體"/>
          <w:sz w:val="20"/>
          <w:szCs w:val="20"/>
        </w:rPr>
      </w:pPr>
      <w:r>
        <w:rPr>
          <w:rFonts w:ascii="標楷體" w:hAnsi="標楷體" w:eastAsia="標楷體"/>
          <w:b/>
          <w:sz w:val="20"/>
        </w:rPr>
        <w:t>（一）第 0 階段</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1.　交付成果包括：</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935" w:hanging="482"/>
        <w:jc w:val="both"/>
        <w:rPr>
          <w:rFonts w:ascii="標楷體" w:eastAsia="標楷體" w:hAnsi="標楷體" w:cs="標楷體"/>
          <w:sz w:val="20"/>
          <w:szCs w:val="20"/>
        </w:rPr>
      </w:pPr>
      <w:r>
        <w:rPr>
          <w:rFonts w:ascii="標楷體" w:hAnsi="標楷體" w:eastAsia="標楷體"/>
          <w:b w:val="0"/>
          <w:sz w:val="20"/>
        </w:rPr>
        <w:t>1.1　《前期事業規劃與決策建議》或功能相同之正式成果。</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935" w:hanging="482"/>
        <w:jc w:val="both"/>
        <w:rPr>
          <w:rFonts w:ascii="標楷體" w:eastAsia="標楷體" w:hAnsi="標楷體" w:cs="標楷體"/>
          <w:sz w:val="20"/>
          <w:szCs w:val="20"/>
        </w:rPr>
      </w:pPr>
      <w:r>
        <w:rPr>
          <w:rFonts w:ascii="標楷體" w:hAnsi="標楷體" w:eastAsia="標楷體"/>
          <w:b w:val="0"/>
          <w:sz w:val="20"/>
        </w:rPr>
        <w:t>1.2　重要方案或選項之比較分析。</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935" w:hanging="482"/>
        <w:jc w:val="both"/>
        <w:rPr>
          <w:rFonts w:ascii="標楷體" w:eastAsia="標楷體" w:hAnsi="標楷體" w:cs="標楷體"/>
          <w:sz w:val="20"/>
          <w:szCs w:val="20"/>
        </w:rPr>
      </w:pPr>
      <w:r>
        <w:rPr>
          <w:rFonts w:ascii="標楷體" w:hAnsi="標楷體" w:eastAsia="標楷體"/>
          <w:b w:val="0"/>
          <w:sz w:val="20"/>
        </w:rPr>
        <w:t>1.3　主要待決事項及建議。</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935" w:hanging="482"/>
        <w:jc w:val="both"/>
        <w:rPr>
          <w:rFonts w:ascii="標楷體" w:eastAsia="標楷體" w:hAnsi="標楷體" w:cs="標楷體"/>
          <w:sz w:val="20"/>
          <w:szCs w:val="20"/>
        </w:rPr>
      </w:pPr>
      <w:r>
        <w:rPr>
          <w:rFonts w:ascii="標楷體" w:hAnsi="標楷體" w:eastAsia="標楷體"/>
          <w:b w:val="0"/>
          <w:sz w:val="20"/>
        </w:rPr>
        <w:t>1.4　匯報會議之成果說明。</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2.　第 0 階段完成，係指乙方已交付前款成果，並完成匯報會議。</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3.　第 0 階段旨在提供足供甲方作成後續事業及申照決策之分析、選項、比較與建議。甲方是否決定申請、決定不申請、採用特定方案或作成特定商業決策，均非本階段完成之必要條件。</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4.　甲方應於收到本階段交付成果之日起十個工作日內完成確認，或提出具體且合理之修正意見；逾期未提出者，視為本階段交付成果已完成確認。甲方不得以尚未作成特定決策為由延後完成認定。</w:t>
      </w:r>
    </w:p>
    <w:p>
      <w:pPr>
        <w:keepNext/>
        <w:keepLines/>
        <w:widowControl/>
        <w:pBdr>
          <w:top w:val="none" w:sz="0" w:space="0" w:color="000000"/>
          <w:left w:val="none" w:sz="0" w:space="0" w:color="000000"/>
          <w:bottom w:val="none" w:sz="0" w:space="0" w:color="000000"/>
          <w:right w:val="none" w:sz="0" w:space="0" w:color="000000"/>
          <w:between w:val="none" w:sz="0" w:space="0" w:color="000000"/>
        </w:pBdr>
        <w:spacing w:afterLines="50" w:after="120" w:before="120"/>
        <w:ind w:left="0" w:firstLine="0"/>
        <w:jc w:val="both"/>
        <w:rPr>
          <w:rFonts w:ascii="標楷體" w:eastAsia="標楷體" w:hAnsi="標楷體" w:cs="標楷體"/>
          <w:sz w:val="20"/>
          <w:szCs w:val="20"/>
        </w:rPr>
      </w:pPr>
      <w:r>
        <w:rPr>
          <w:rFonts w:ascii="標楷體" w:hAnsi="標楷體" w:eastAsia="標楷體"/>
          <w:b/>
          <w:sz w:val="20"/>
        </w:rPr>
        <w:t>（二）第 1 階段</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1.　交付成果包括：</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935" w:hanging="482"/>
        <w:jc w:val="both"/>
        <w:rPr>
          <w:rFonts w:ascii="標楷體" w:eastAsia="標楷體" w:hAnsi="標楷體" w:cs="標楷體"/>
          <w:sz w:val="20"/>
          <w:szCs w:val="20"/>
        </w:rPr>
      </w:pPr>
      <w:r>
        <w:rPr>
          <w:rFonts w:ascii="標楷體" w:hAnsi="標楷體" w:eastAsia="標楷體"/>
          <w:b w:val="0"/>
          <w:sz w:val="20"/>
        </w:rPr>
        <w:t>1.1　資料需求及缺口清單。</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935" w:hanging="482"/>
        <w:jc w:val="both"/>
        <w:rPr>
          <w:rFonts w:ascii="標楷體" w:eastAsia="標楷體" w:hAnsi="標楷體" w:cs="標楷體"/>
          <w:sz w:val="20"/>
          <w:szCs w:val="20"/>
        </w:rPr>
      </w:pPr>
      <w:r>
        <w:rPr>
          <w:rFonts w:ascii="標楷體" w:hAnsi="標楷體" w:eastAsia="標楷體"/>
          <w:b w:val="0"/>
          <w:sz w:val="20"/>
        </w:rPr>
        <w:t>1.2　訪談及重要營運事實、資料與假設之整理。</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935" w:hanging="482"/>
        <w:jc w:val="both"/>
        <w:rPr>
          <w:rFonts w:ascii="標楷體" w:eastAsia="標楷體" w:hAnsi="標楷體" w:cs="標楷體"/>
          <w:sz w:val="20"/>
          <w:szCs w:val="20"/>
        </w:rPr>
      </w:pPr>
      <w:r>
        <w:rPr>
          <w:rFonts w:ascii="標楷體" w:hAnsi="標楷體" w:eastAsia="標楷體"/>
          <w:b w:val="0"/>
          <w:sz w:val="20"/>
        </w:rPr>
        <w:t>1.3　《售電事業營運藍圖》或功能相同之營運規劃成果。</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935" w:hanging="482"/>
        <w:jc w:val="both"/>
        <w:rPr>
          <w:rFonts w:ascii="標楷體" w:eastAsia="標楷體" w:hAnsi="標楷體" w:cs="標楷體"/>
          <w:sz w:val="20"/>
          <w:szCs w:val="20"/>
        </w:rPr>
      </w:pPr>
      <w:r>
        <w:rPr>
          <w:rFonts w:ascii="標楷體" w:hAnsi="標楷體" w:eastAsia="標楷體"/>
          <w:b w:val="0"/>
          <w:sz w:val="20"/>
        </w:rPr>
        <w:t>1.4　《售電計畫書》完整申請稿。</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935" w:hanging="482"/>
        <w:jc w:val="both"/>
        <w:rPr>
          <w:rFonts w:ascii="標楷體" w:eastAsia="標楷體" w:hAnsi="標楷體" w:cs="標楷體"/>
          <w:sz w:val="20"/>
          <w:szCs w:val="20"/>
        </w:rPr>
      </w:pPr>
      <w:r>
        <w:rPr>
          <w:rFonts w:ascii="標楷體" w:hAnsi="標楷體" w:eastAsia="標楷體"/>
          <w:b w:val="0"/>
          <w:sz w:val="20"/>
        </w:rPr>
        <w:t>1.5　《營業規章》完整申請稿。</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935" w:hanging="482"/>
        <w:jc w:val="both"/>
        <w:rPr>
          <w:rFonts w:ascii="標楷體" w:eastAsia="標楷體" w:hAnsi="標楷體" w:cs="標楷體"/>
          <w:sz w:val="20"/>
          <w:szCs w:val="20"/>
        </w:rPr>
      </w:pPr>
      <w:r>
        <w:rPr>
          <w:rFonts w:ascii="標楷體" w:hAnsi="標楷體" w:eastAsia="標楷體"/>
          <w:b w:val="0"/>
          <w:sz w:val="20"/>
        </w:rPr>
        <w:t>1.6　依甲方提供及確認之資料所整理之預估財務內容。</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935" w:hanging="482"/>
        <w:jc w:val="both"/>
        <w:rPr>
          <w:rFonts w:ascii="標楷體" w:eastAsia="標楷體" w:hAnsi="標楷體" w:cs="標楷體"/>
          <w:sz w:val="20"/>
          <w:szCs w:val="20"/>
        </w:rPr>
      </w:pPr>
      <w:r>
        <w:rPr>
          <w:rFonts w:ascii="標楷體" w:hAnsi="標楷體" w:eastAsia="標楷體"/>
          <w:b w:val="0"/>
          <w:sz w:val="20"/>
        </w:rPr>
        <w:t>1.7　依主管機關現行法令、規定及申請要求所需之其他核心申請文件或資料架構。</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935" w:hanging="482"/>
        <w:jc w:val="both"/>
        <w:rPr>
          <w:rFonts w:ascii="標楷體" w:eastAsia="標楷體" w:hAnsi="標楷體" w:cs="標楷體"/>
          <w:sz w:val="20"/>
          <w:szCs w:val="20"/>
        </w:rPr>
      </w:pPr>
      <w:r>
        <w:rPr>
          <w:rFonts w:ascii="標楷體" w:hAnsi="標楷體" w:eastAsia="標楷體"/>
          <w:b w:val="0"/>
          <w:sz w:val="20"/>
        </w:rPr>
        <w:t>1.8　文件間一致性檢查結果及待甲方確認事項。</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2.　第 1 階段完成，係指乙方已依本服務工作範圍書完成約定工作，形成可進入正式主管機關申請程序之完整申請架構，並交付甲方確認。</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3.　甲方應於收到本階段交付成果之日起十個工作日內完成確認，或提出具體且合理之修正意見；逾期未提出者，視為本階段交付成果已完成確認。</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4.　主管機關是否受理、接受或核准，不屬第 1 階段完成之要件。</w:t>
      </w:r>
    </w:p>
    <w:p>
      <w:pPr>
        <w:keepNext/>
        <w:keepLines/>
        <w:widowControl/>
        <w:pBdr>
          <w:top w:val="none" w:sz="0" w:space="0" w:color="000000"/>
          <w:left w:val="none" w:sz="0" w:space="0" w:color="000000"/>
          <w:bottom w:val="none" w:sz="0" w:space="0" w:color="000000"/>
          <w:right w:val="none" w:sz="0" w:space="0" w:color="000000"/>
          <w:between w:val="none" w:sz="0" w:space="0" w:color="000000"/>
        </w:pBdr>
        <w:spacing w:afterLines="50" w:after="120" w:before="120"/>
        <w:ind w:left="0" w:firstLine="0"/>
        <w:jc w:val="both"/>
        <w:rPr>
          <w:rFonts w:ascii="標楷體" w:eastAsia="標楷體" w:hAnsi="標楷體" w:cs="標楷體"/>
          <w:sz w:val="20"/>
          <w:szCs w:val="20"/>
        </w:rPr>
      </w:pPr>
      <w:r>
        <w:rPr>
          <w:rFonts w:ascii="標楷體" w:hAnsi="標楷體" w:eastAsia="標楷體"/>
          <w:b/>
          <w:sz w:val="20"/>
        </w:rPr>
        <w:t>（三）第 2 階段</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1.　交付成果包括：</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935" w:hanging="482"/>
        <w:jc w:val="both"/>
        <w:rPr>
          <w:rFonts w:ascii="標楷體" w:eastAsia="標楷體" w:hAnsi="標楷體" w:cs="標楷體"/>
          <w:sz w:val="20"/>
          <w:szCs w:val="20"/>
        </w:rPr>
      </w:pPr>
      <w:r>
        <w:rPr>
          <w:rFonts w:ascii="標楷體" w:hAnsi="標楷體" w:eastAsia="標楷體"/>
          <w:b w:val="0"/>
          <w:sz w:val="20"/>
        </w:rPr>
        <w:t>1.1　正式送件版本及送件資料清單。</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935" w:hanging="482"/>
        <w:jc w:val="both"/>
        <w:rPr>
          <w:rFonts w:ascii="標楷體" w:eastAsia="標楷體" w:hAnsi="標楷體" w:cs="標楷體"/>
          <w:sz w:val="20"/>
          <w:szCs w:val="20"/>
        </w:rPr>
      </w:pPr>
      <w:r>
        <w:rPr>
          <w:rFonts w:ascii="標楷體" w:hAnsi="標楷體" w:eastAsia="標楷體"/>
          <w:b w:val="0"/>
          <w:sz w:val="20"/>
        </w:rPr>
        <w:t>1.2　主管機關審查意見之整理、解析及回覆建議。</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935" w:hanging="482"/>
        <w:jc w:val="both"/>
        <w:rPr>
          <w:rFonts w:ascii="標楷體" w:eastAsia="標楷體" w:hAnsi="標楷體" w:cs="標楷體"/>
          <w:sz w:val="20"/>
          <w:szCs w:val="20"/>
        </w:rPr>
      </w:pPr>
      <w:r>
        <w:rPr>
          <w:rFonts w:ascii="標楷體" w:hAnsi="標楷體" w:eastAsia="標楷體"/>
          <w:b w:val="0"/>
          <w:sz w:val="20"/>
        </w:rPr>
        <w:t>1.3　依約完成之修正版、補件文件及必要說明。</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935" w:hanging="482"/>
        <w:jc w:val="both"/>
        <w:rPr>
          <w:rFonts w:ascii="標楷體" w:eastAsia="標楷體" w:hAnsi="標楷體" w:cs="標楷體"/>
          <w:sz w:val="20"/>
          <w:szCs w:val="20"/>
        </w:rPr>
      </w:pPr>
      <w:r>
        <w:rPr>
          <w:rFonts w:ascii="標楷體" w:hAnsi="標楷體" w:eastAsia="標楷體"/>
          <w:b w:val="0"/>
          <w:sz w:val="20"/>
        </w:rPr>
        <w:t>1.4　重要申請進度及程序結果紀錄。</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2.　主管機關申請程序完成，係指乙方已完成本服務工作範圍書約定之送件、審查意見處理及補件支援，並已收到主管機關之申辦完成通知函，或其他足以終結本次申請程序之正式通知或處置。</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3.　如本次申請因甲方主動中止、本契約提前終止，或因可歸責於乙方之重大違約而終結，其法律效果、付款及結算依本契約辦理，不逕視為第三筆正常付款節點成立。</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left="0" w:right="0" w:firstLine="0"/>
        <w:jc w:val="both"/>
        <w:rPr>
          <w:rFonts w:ascii="標楷體" w:eastAsia="標楷體" w:hAnsi="標楷體" w:cs="標楷體"/>
          <w:sz w:val="20"/>
          <w:szCs w:val="20"/>
        </w:rPr>
      </w:pPr>
      <w:r>
        <w:rPr>
          <w:rFonts w:ascii="標楷體" w:hAnsi="標楷體" w:eastAsia="標楷體"/>
          <w:b w:val="0"/>
          <w:sz w:val="20"/>
        </w:rPr>
        <w:t xml:space="preserve">　　交付成果得依申請要求、文件性質及雙方工作安排，以電子檔、可編輯文件、主管機關申請系統資料、電子郵件或其他合理方式提供。</w:t>
      </w:r>
    </w:p>
    <w:p>
      <w:pPr>
        <w:keepNext/>
        <w:keepLines/>
        <w:widowControl/>
        <w:pBdr>
          <w:top w:val="none" w:sz="0" w:space="0" w:color="000000"/>
          <w:left w:val="none" w:sz="0" w:space="0" w:color="000000"/>
          <w:bottom w:val="none" w:sz="0" w:space="0" w:color="000000"/>
          <w:right w:val="none" w:sz="0" w:space="0" w:color="000000"/>
          <w:between w:val="none" w:sz="0" w:space="0" w:color="000000"/>
        </w:pBdr>
        <w:tabs>
          <w:tab w:val="left" w:pos="709"/>
          <w:tab w:val="left" w:pos="1418"/>
          <w:tab w:val="left" w:pos="2126"/>
          <w:tab w:val="left" w:pos="2835"/>
          <w:tab w:val="right" w:pos="9072"/>
        </w:tabs>
        <w:spacing w:before="240" w:after="240"/>
        <w:ind w:left="-907"/>
        <w:rPr>
          <w:rFonts w:ascii="標楷體" w:eastAsia="標楷體" w:hAnsi="標楷體" w:cs="標楷體"/>
        </w:rPr>
      </w:pPr>
      <w:r>
        <w:rPr>
          <w:rFonts w:ascii="標楷體" w:hAnsi="標楷體" w:eastAsia="標楷體"/>
          <w:b w:val="0"/>
          <w:sz w:val="24"/>
        </w:rPr>
        <w:t>七、甲乙雙方資料與工作分工</w:t>
      </w:r>
    </w:p>
    <w:p>
      <w:pPr>
        <w:keepNext/>
        <w:keepLines/>
        <w:widowControl/>
        <w:pBdr>
          <w:top w:val="none" w:sz="0" w:space="0" w:color="000000"/>
          <w:left w:val="none" w:sz="0" w:space="0" w:color="000000"/>
          <w:bottom w:val="none" w:sz="0" w:space="0" w:color="000000"/>
          <w:right w:val="none" w:sz="0" w:space="0" w:color="000000"/>
          <w:between w:val="none" w:sz="0" w:space="0" w:color="000000"/>
        </w:pBdr>
        <w:spacing w:afterLines="50" w:after="120" w:before="120"/>
        <w:ind w:left="0" w:firstLine="0"/>
        <w:jc w:val="both"/>
        <w:rPr>
          <w:rFonts w:ascii="標楷體" w:eastAsia="標楷體" w:hAnsi="標楷體" w:cs="標楷體"/>
          <w:sz w:val="20"/>
          <w:szCs w:val="20"/>
        </w:rPr>
      </w:pPr>
      <w:r>
        <w:rPr>
          <w:rFonts w:ascii="標楷體" w:hAnsi="標楷體" w:eastAsia="標楷體"/>
          <w:b/>
          <w:sz w:val="20"/>
        </w:rPr>
        <w:t>（一）甲方負責事項</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1.　指定具適當權限之主要聯絡窗口，負責資料提供、決策傳達、內容確認及內部協調。</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2.　於乙方提出之合理期限內，提供完整、正確、合法、最新且盡量符合未來真實營運之文件、資訊、數據及商業假設。</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3.　提供並確認商業模式、營運事實、電源、售電對象、組織、人力、成本、財務數據、財務假設、會計與稅務資訊及最終申請內容。</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4.　取得第三方資料、機密資訊或受保密義務拘束資訊供乙方使用或向主管機關提出所需之同意與授權。</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5.　依需要完成確認、補正、簽章、用印、付款、委任、授權及其他必要決策。</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6.　將主管機關或其他相關主體直接通知甲方之重要資訊及時提供乙方。</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7.　對甲方提供或確認之資料、數據、假設、指示、決策及簽署文件之真實性、完整性、正確性、合法性及最終採用負責。</w:t>
      </w:r>
    </w:p>
    <w:p>
      <w:pPr>
        <w:keepNext/>
        <w:keepLines/>
        <w:widowControl/>
        <w:pBdr>
          <w:top w:val="none" w:sz="0" w:space="0" w:color="000000"/>
          <w:left w:val="none" w:sz="0" w:space="0" w:color="000000"/>
          <w:bottom w:val="none" w:sz="0" w:space="0" w:color="000000"/>
          <w:right w:val="none" w:sz="0" w:space="0" w:color="000000"/>
          <w:between w:val="none" w:sz="0" w:space="0" w:color="000000"/>
        </w:pBdr>
        <w:spacing w:afterLines="50" w:after="120" w:before="120"/>
        <w:ind w:left="0" w:firstLine="0"/>
        <w:jc w:val="both"/>
        <w:rPr>
          <w:rFonts w:ascii="標楷體" w:eastAsia="標楷體" w:hAnsi="標楷體" w:cs="標楷體"/>
          <w:sz w:val="20"/>
          <w:szCs w:val="20"/>
        </w:rPr>
      </w:pPr>
      <w:r>
        <w:rPr>
          <w:rFonts w:ascii="標楷體" w:hAnsi="標楷體" w:eastAsia="標楷體"/>
          <w:b/>
          <w:sz w:val="20"/>
        </w:rPr>
        <w:t>（二）乙方負責事項</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1.　依本服務工作範圍書，以合理專業注意義務及合理效率提供服務。</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2.　依甲方提供及確認之資料，進行訪談、盤點、收斂、整合、撰寫及文件間一致性檢查。</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3.　發現資料或文件有明顯缺漏、錯誤、矛盾、不符合申請架構或與已確認營運規劃不一致時，通知甲方補正、說明或確認。</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4.　對甲方或第三方提供之資料與草稿進行合理審閱，並保有要求補正及判斷是否適宜送件之專業權限。</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5.　在甲方未完成必要確認、補正、簽章或決策前，得暫緩相關工作或送件；所生時程及法律效果依本契約辦理。</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left="0" w:right="0" w:firstLine="0"/>
        <w:jc w:val="both"/>
        <w:rPr>
          <w:rFonts w:ascii="標楷體" w:eastAsia="標楷體" w:hAnsi="標楷體" w:cs="標楷體"/>
          <w:sz w:val="20"/>
          <w:szCs w:val="20"/>
        </w:rPr>
      </w:pPr>
      <w:r>
        <w:rPr>
          <w:rFonts w:ascii="標楷體" w:hAnsi="標楷體" w:eastAsia="標楷體"/>
          <w:b w:val="0"/>
          <w:sz w:val="20"/>
        </w:rPr>
        <w:t xml:space="preserve">　　乙方之審閱、一致性檢查及送件把關，不免除甲方對其資料、決策及申請內容之最終責任，亦不構成法律、會計、稅務、工程或其他依法應由特定資格人士提供之專業意見。</w:t>
      </w:r>
    </w:p>
    <w:p>
      <w:pPr>
        <w:keepNext/>
        <w:keepLines/>
        <w:widowControl/>
        <w:pBdr>
          <w:top w:val="none" w:sz="0" w:space="0" w:color="000000"/>
          <w:left w:val="none" w:sz="0" w:space="0" w:color="000000"/>
          <w:bottom w:val="none" w:sz="0" w:space="0" w:color="000000"/>
          <w:right w:val="none" w:sz="0" w:space="0" w:color="000000"/>
          <w:between w:val="none" w:sz="0" w:space="0" w:color="000000"/>
        </w:pBdr>
        <w:tabs>
          <w:tab w:val="left" w:pos="709"/>
          <w:tab w:val="left" w:pos="1418"/>
          <w:tab w:val="left" w:pos="2126"/>
          <w:tab w:val="left" w:pos="2835"/>
          <w:tab w:val="right" w:pos="9072"/>
        </w:tabs>
        <w:spacing w:before="240" w:after="240"/>
        <w:ind w:left="-907"/>
        <w:rPr>
          <w:rFonts w:ascii="標楷體" w:eastAsia="標楷體" w:hAnsi="標楷體" w:cs="標楷體"/>
        </w:rPr>
      </w:pPr>
      <w:r>
        <w:rPr>
          <w:rFonts w:ascii="標楷體" w:hAnsi="標楷體" w:eastAsia="標楷體"/>
          <w:b w:val="0"/>
          <w:sz w:val="24"/>
        </w:rPr>
        <w:t>八、財務資料分工</w:t>
      </w:r>
    </w:p>
    <w:p>
      <w:pPr>
        <w:keepNext/>
        <w:keepLines/>
        <w:widowControl/>
        <w:pBdr>
          <w:top w:val="none" w:sz="0" w:space="0" w:color="000000"/>
          <w:left w:val="none" w:sz="0" w:space="0" w:color="000000"/>
          <w:bottom w:val="none" w:sz="0" w:space="0" w:color="000000"/>
          <w:right w:val="none" w:sz="0" w:space="0" w:color="000000"/>
          <w:between w:val="none" w:sz="0" w:space="0" w:color="000000"/>
        </w:pBdr>
        <w:spacing w:afterLines="50" w:after="120" w:before="120"/>
        <w:ind w:left="0" w:firstLine="0"/>
        <w:jc w:val="both"/>
        <w:rPr>
          <w:rFonts w:ascii="標楷體" w:eastAsia="標楷體" w:hAnsi="標楷體" w:cs="標楷體"/>
          <w:sz w:val="20"/>
          <w:szCs w:val="20"/>
        </w:rPr>
      </w:pPr>
      <w:r>
        <w:rPr>
          <w:rFonts w:ascii="標楷體" w:hAnsi="標楷體" w:eastAsia="標楷體"/>
          <w:b/>
          <w:sz w:val="20"/>
        </w:rPr>
        <w:t>（一）乙方負責事項</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1.　提供售電業營運經驗，說明常見收入、購電成本、營運費用、人力及其他主要財務項目。</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2.　說明申請資料所需之格式、資訊及主管機關通常期待理解之內容。</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3.　盤點、收斂及檢視甲方提供或確認之能源交易與財務基礎數據及假設。</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4.　依申請需要及甲方提供或確認之資料，協助整理、編製及整合預估損益、資產負債、現金流、財務分析及敏感性分析等內容。</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5.　檢查預估財務內容與《售電計畫書》及營運規劃之一致性。</w:t>
      </w:r>
    </w:p>
    <w:p>
      <w:pPr>
        <w:keepNext/>
        <w:keepLines/>
        <w:widowControl/>
        <w:pBdr>
          <w:top w:val="none" w:sz="0" w:space="0" w:color="000000"/>
          <w:left w:val="none" w:sz="0" w:space="0" w:color="000000"/>
          <w:bottom w:val="none" w:sz="0" w:space="0" w:color="000000"/>
          <w:right w:val="none" w:sz="0" w:space="0" w:color="000000"/>
          <w:between w:val="none" w:sz="0" w:space="0" w:color="000000"/>
        </w:pBdr>
        <w:spacing w:afterLines="50" w:after="120" w:before="120"/>
        <w:ind w:left="0" w:firstLine="0"/>
        <w:jc w:val="both"/>
        <w:rPr>
          <w:rFonts w:ascii="標楷體" w:eastAsia="標楷體" w:hAnsi="標楷體" w:cs="標楷體"/>
          <w:sz w:val="20"/>
          <w:szCs w:val="20"/>
        </w:rPr>
      </w:pPr>
      <w:r>
        <w:rPr>
          <w:rFonts w:ascii="標楷體" w:hAnsi="標楷體" w:eastAsia="標楷體"/>
          <w:b/>
          <w:sz w:val="20"/>
        </w:rPr>
        <w:t>（二）甲方負責事項</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1.　提供並確認公司或集團人員成本、內部管理成本、系統成本、既有資產、融資成本、會計處理、稅務、內部費用分攤及其他僅甲方掌握之財務會計資訊。</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2.　提供並確認預定交易條件、電源與售電量、收入、成本及其他商業或財務假設。</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3.　對其提供或選擇採用之資料、數據、假設與最終數值之真實性、完整性、正確性及最終採用負責。</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4.　涉及會計、稅務、簽證、審計或其他法定專業判斷時，自行委任適格專業人士。</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left="0" w:right="0" w:firstLine="0"/>
        <w:jc w:val="both"/>
        <w:rPr>
          <w:rFonts w:ascii="標楷體" w:eastAsia="標楷體" w:hAnsi="標楷體" w:cs="標楷體"/>
          <w:sz w:val="20"/>
          <w:szCs w:val="20"/>
        </w:rPr>
      </w:pPr>
      <w:r>
        <w:rPr>
          <w:rFonts w:ascii="標楷體" w:hAnsi="標楷體" w:eastAsia="標楷體"/>
          <w:b w:val="0"/>
          <w:sz w:val="20"/>
        </w:rPr>
        <w:t xml:space="preserve">　　乙方不代替甲方自行決定營運收入、成本、集團成本、會計處理或最終財務數值，亦不擔任甲方之會計師、財務簽證人、審計人或財務結果保證人。</w:t>
      </w:r>
    </w:p>
    <w:p>
      <w:pPr>
        <w:keepNext/>
        <w:keepLines/>
        <w:widowControl/>
        <w:pBdr>
          <w:top w:val="none" w:sz="0" w:space="0" w:color="000000"/>
          <w:left w:val="none" w:sz="0" w:space="0" w:color="000000"/>
          <w:bottom w:val="none" w:sz="0" w:space="0" w:color="000000"/>
          <w:right w:val="none" w:sz="0" w:space="0" w:color="000000"/>
          <w:between w:val="none" w:sz="0" w:space="0" w:color="000000"/>
        </w:pBdr>
        <w:tabs>
          <w:tab w:val="left" w:pos="709"/>
          <w:tab w:val="left" w:pos="1418"/>
          <w:tab w:val="left" w:pos="2126"/>
          <w:tab w:val="left" w:pos="2835"/>
          <w:tab w:val="right" w:pos="9072"/>
        </w:tabs>
        <w:spacing w:before="240" w:after="240"/>
        <w:ind w:left="-907"/>
        <w:rPr>
          <w:rFonts w:ascii="標楷體" w:eastAsia="標楷體" w:hAnsi="標楷體" w:cs="標楷體"/>
        </w:rPr>
      </w:pPr>
      <w:r>
        <w:rPr>
          <w:rFonts w:ascii="標楷體" w:hAnsi="標楷體" w:eastAsia="標楷體"/>
          <w:b w:val="0"/>
          <w:sz w:val="24"/>
        </w:rPr>
        <w:t>九、會議與執行方式</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1.　第 0 階段及第 1 階段原則均包含專案啟始會議、工作會議及匯報會議三類正式會議節點。</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2.　專案啟始會議用於說明專案、確認關鍵窗口與利害關係人、確認資料需求及執行方式；第 0 階段另確認待作成之重大事業決策與限制，第 1 階段另確認申請主體及財務、法務、營運等資料窗口。</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3.　工作會議依案件需要，與財務、法務、營運、能源、業務或其他相關人員進行資料盤點、規則說明、討論及確認。工作會議得依專案實際需要及利害關係人分工安排一場或數場，實際場次由乙方依完成該階段工作之合理需要安排，不構成不限次會議。</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4.　第 0 階段之匯報會議用於說明《前期事業規劃與決策建議》、主要選項及待決事項；第 1 階段之匯報會議用於說明完整申請架構、核心申請文件及尚待甲方確認之事項。</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5.　甲方之決策、重大變更或其他非屬原工作範圍之需求而要求增加之會議或重作，不包含於上述標準服務。</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6.　本服務原則以遠端方式執行，包括視訊會議、電話、電子郵件、線上文件協作及其他合理電子方式。</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7.　因甲方要求或案件實際需要，須由乙方前往指定地點提供現場服務時，必要之大眾運輸、計程車、停車、住宿及其他合理差旅支出，由甲方依實際發生負擔或實報實銷；本服務不另收取固定出席費、現場服務費或現場工時費。現場會議如係因甲方決策、重大變更或原工作範圍外需求所生，仍依第十一節辦理。</w:t>
      </w:r>
    </w:p>
    <w:p>
      <w:pPr>
        <w:keepNext/>
        <w:keepLines/>
        <w:widowControl/>
        <w:pBdr>
          <w:top w:val="none" w:sz="0" w:space="0" w:color="000000"/>
          <w:left w:val="none" w:sz="0" w:space="0" w:color="000000"/>
          <w:bottom w:val="none" w:sz="0" w:space="0" w:color="000000"/>
          <w:right w:val="none" w:sz="0" w:space="0" w:color="000000"/>
          <w:between w:val="none" w:sz="0" w:space="0" w:color="000000"/>
        </w:pBdr>
        <w:tabs>
          <w:tab w:val="left" w:pos="709"/>
          <w:tab w:val="left" w:pos="1418"/>
          <w:tab w:val="left" w:pos="2126"/>
          <w:tab w:val="left" w:pos="2835"/>
          <w:tab w:val="right" w:pos="9072"/>
        </w:tabs>
        <w:spacing w:before="240" w:after="240"/>
        <w:ind w:left="-907"/>
        <w:rPr>
          <w:rFonts w:ascii="標楷體" w:eastAsia="標楷體" w:hAnsi="標楷體" w:cs="標楷體"/>
        </w:rPr>
      </w:pPr>
      <w:r>
        <w:rPr>
          <w:rFonts w:ascii="標楷體" w:hAnsi="標楷體" w:eastAsia="標楷體"/>
          <w:b w:val="0"/>
          <w:sz w:val="24"/>
        </w:rPr>
        <w:t>十、服務範圍限制及不包含事項</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left="0" w:right="0" w:firstLine="0"/>
        <w:jc w:val="both"/>
        <w:rPr>
          <w:rFonts w:ascii="標楷體" w:eastAsia="標楷體" w:hAnsi="標楷體" w:cs="標楷體"/>
          <w:sz w:val="20"/>
          <w:szCs w:val="20"/>
        </w:rPr>
      </w:pPr>
      <w:r>
        <w:rPr>
          <w:rFonts w:ascii="標楷體" w:hAnsi="標楷體" w:eastAsia="標楷體"/>
          <w:b w:val="0"/>
          <w:sz w:val="20"/>
        </w:rPr>
        <w:t>本服務不包含：</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1.　代替甲方就商業模式、交易條件、電價、投資、融資、會計、稅務、組織或其他經營事項作成最終決定。</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2.　律師、會計師、審計、簽證、工程、技師或其他依法應由特定資格人士提供之服務。</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3.　甲方公司設立或變更登記本身、資金募集、融資文件、股東協議或內部治理文件；雙方另有書面約定者，不在此限。</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4.　超出本次申照所需之客製研究、盡職調查、第三方查核、系統建置、資料庫建置或軟體開發。</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5.　因甲方變更已確認之申請主體、商業模式、電源策略、售電對象、重大交易假設或財務基礎，而需大幅重作之工作。</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6.　政府規費、第三方專業費用、認證或簽證費、郵寄、快遞、印製、翻譯及其他必要支出；現場服務差旅依第九節辦理。</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7.　取得售電業執照後之實際營運、電能轉供作業及其他營運支援。</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left="0" w:right="0" w:firstLine="0"/>
        <w:jc w:val="both"/>
        <w:rPr>
          <w:rFonts w:ascii="標楷體" w:eastAsia="標楷體" w:hAnsi="標楷體" w:cs="標楷體"/>
          <w:sz w:val="20"/>
          <w:szCs w:val="20"/>
        </w:rPr>
      </w:pPr>
      <w:r>
        <w:rPr>
          <w:rFonts w:ascii="標楷體" w:hAnsi="標楷體" w:eastAsia="標楷體"/>
          <w:b w:val="0"/>
          <w:sz w:val="20"/>
        </w:rPr>
        <w:t xml:space="preserve">　　前項未包含事項如有需求，由雙方另行書面議定。</w:t>
      </w:r>
    </w:p>
    <w:p>
      <w:pPr>
        <w:keepNext/>
        <w:keepLines/>
        <w:widowControl/>
        <w:pBdr>
          <w:top w:val="none" w:sz="0" w:space="0" w:color="000000"/>
          <w:left w:val="none" w:sz="0" w:space="0" w:color="000000"/>
          <w:bottom w:val="none" w:sz="0" w:space="0" w:color="000000"/>
          <w:right w:val="none" w:sz="0" w:space="0" w:color="000000"/>
          <w:between w:val="none" w:sz="0" w:space="0" w:color="000000"/>
        </w:pBdr>
        <w:tabs>
          <w:tab w:val="left" w:pos="709"/>
          <w:tab w:val="left" w:pos="1418"/>
          <w:tab w:val="left" w:pos="2126"/>
          <w:tab w:val="left" w:pos="2835"/>
          <w:tab w:val="right" w:pos="9072"/>
        </w:tabs>
        <w:spacing w:before="240" w:after="240"/>
        <w:ind w:left="-907"/>
        <w:rPr>
          <w:rFonts w:ascii="標楷體" w:eastAsia="標楷體" w:hAnsi="標楷體" w:cs="標楷體"/>
        </w:rPr>
      </w:pPr>
      <w:r>
        <w:rPr>
          <w:rFonts w:ascii="標楷體" w:hAnsi="標楷體" w:eastAsia="標楷體"/>
          <w:b w:val="0"/>
          <w:sz w:val="24"/>
        </w:rPr>
        <w:t>十一、變更管理及法規變動</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1.　甲方提出原工作範圍外需求、要求乙方重作原非乙方負責之內容，或變更已確認之申請主體、商業模式、電源策略、售電對象、重大交易假設、財務基礎或其他重要資料而造成重大重作時，乙方得說明對工作、時程及費用之影響，並提出調整方案。</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2.　雙方應於乙方執行新增工作前，以書面確認新增工作範圍、交付成果、時程及費用。未完成書面確認前，乙方無義務開始新增工作。</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3.　一般文字修訂、同一申請架構內之合理一致性調整，以及主管機關就本次申請提出之一般表單、格式或補充要求，由乙方於原工作範圍內合理處理。</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4.　如法令、政策或主管機關要求變動，造成申請架構重大改變、已確認文件大幅重作、新增重大工作，或使甲方原商業模式根本無法繼續，乙方得暫停受影響工作並重新評估工作範圍與時程。雙方得另行書面約定追加服務，或依本契約辦理暫停、終止及結算。</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5.　乙方不負在原固定服務費內無限制承擔重大法規或主管機關要求變更所生工作之義務。</w:t>
      </w:r>
    </w:p>
    <w:p>
      <w:pPr>
        <w:keepNext/>
        <w:keepLines/>
        <w:widowControl/>
        <w:pBdr>
          <w:top w:val="none" w:sz="0" w:space="0" w:color="000000"/>
          <w:left w:val="none" w:sz="0" w:space="0" w:color="000000"/>
          <w:bottom w:val="none" w:sz="0" w:space="0" w:color="000000"/>
          <w:right w:val="none" w:sz="0" w:space="0" w:color="000000"/>
          <w:between w:val="none" w:sz="0" w:space="0" w:color="000000"/>
        </w:pBdr>
        <w:tabs>
          <w:tab w:val="left" w:pos="709"/>
          <w:tab w:val="left" w:pos="1418"/>
          <w:tab w:val="left" w:pos="2126"/>
          <w:tab w:val="left" w:pos="2835"/>
          <w:tab w:val="right" w:pos="9072"/>
        </w:tabs>
        <w:spacing w:before="240" w:after="240"/>
        <w:ind w:left="-907"/>
        <w:rPr>
          <w:rFonts w:ascii="標楷體" w:eastAsia="標楷體" w:hAnsi="標楷體" w:cs="標楷體"/>
        </w:rPr>
      </w:pPr>
      <w:r>
        <w:rPr>
          <w:rFonts w:ascii="標楷體" w:hAnsi="標楷體" w:eastAsia="標楷體"/>
          <w:b w:val="0"/>
          <w:sz w:val="24"/>
        </w:rPr>
        <w:t>十二、非結果保證</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left="0" w:right="0" w:firstLine="0"/>
        <w:jc w:val="both"/>
        <w:rPr>
          <w:rFonts w:ascii="標楷體" w:eastAsia="標楷體" w:hAnsi="標楷體" w:cs="標楷體"/>
          <w:sz w:val="20"/>
          <w:szCs w:val="20"/>
        </w:rPr>
      </w:pPr>
      <w:r>
        <w:rPr>
          <w:rFonts w:ascii="標楷體" w:hAnsi="標楷體" w:eastAsia="標楷體"/>
          <w:b w:val="0"/>
          <w:sz w:val="20"/>
        </w:rPr>
        <w:t xml:space="preserve">　　本服務之非結果保證、責任限制及相關法律效果，依本契約約定辦理。</w:t>
      </w:r>
    </w:p>
    <w:sectPr w:rsidR="00587680">
      <w:headerReference w:type="default" r:id="rId9"/>
      <w:footerReference w:type="default" r:id="rId10"/>
      <w:pgSz w:w="11900" w:h="16840"/>
      <w:pgMar w:top="1440" w:right="1800" w:bottom="1440" w:left="1800"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A42BE" w14:textId="77777777" w:rsidR="00C05F0B" w:rsidRDefault="00C05F0B">
      <w:r>
        <w:separator/>
      </w:r>
    </w:p>
  </w:endnote>
  <w:endnote w:type="continuationSeparator" w:id="0">
    <w:p w14:paraId="6A2D2DC1" w14:textId="77777777" w:rsidR="00C05F0B" w:rsidRDefault="00C05F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embedRegular r:id="rId1" w:subsetted="1" w:fontKey="{D04AB4CE-6818-41BB-BC15-35A61C87E7C1}"/>
    <w:embedBold r:id="rId2" w:subsetted="1" w:fontKey="{EFEFDA3F-BA09-4FD0-AF8E-A1CBAAFC3F66}"/>
  </w:font>
  <w:font w:name="新細明體">
    <w:altName w:val="PMingLiU"/>
    <w:panose1 w:val="02020500000000000000"/>
    <w:charset w:val="88"/>
    <w:family w:val="roman"/>
    <w:pitch w:val="variable"/>
    <w:sig w:usb0="A00002FF" w:usb1="28CFFCFA" w:usb2="00000016" w:usb3="00000000" w:csb0="00100001" w:csb1="00000000"/>
  </w:font>
  <w:font w:name="Arial Narrow">
    <w:panose1 w:val="020B0606020202030204"/>
    <w:charset w:val="00"/>
    <w:family w:val="swiss"/>
    <w:pitch w:val="variable"/>
    <w:sig w:usb0="00000287" w:usb1="00000800" w:usb2="00000000" w:usb3="00000000" w:csb0="0000009F" w:csb1="00000000"/>
    <w:embedRegular r:id="rId3" w:fontKey="{50183FAD-02BB-4C32-A9AC-C9AFE0E31D74}"/>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19A10156-930D-450F-9FD1-29B4ED45E130}"/>
    <w:embedItalic r:id="rId5" w:fontKey="{35DD9225-3F0F-4222-810D-518702D555C9}"/>
  </w:font>
  <w:font w:name="Calibri">
    <w:panose1 w:val="020F0502020204030204"/>
    <w:charset w:val="00"/>
    <w:family w:val="swiss"/>
    <w:pitch w:val="variable"/>
    <w:sig w:usb0="E4002EFF" w:usb1="C200247B" w:usb2="00000009" w:usb3="00000000" w:csb0="000001FF" w:csb1="00000000"/>
    <w:embedRegular r:id="rId6" w:fontKey="{84F45BD5-7652-4A04-87DF-32FE72E47880}"/>
  </w:font>
  <w:font w:name="Calibri Light">
    <w:panose1 w:val="020F0302020204030204"/>
    <w:charset w:val="00"/>
    <w:family w:val="swiss"/>
    <w:pitch w:val="variable"/>
    <w:sig w:usb0="E4002EFF" w:usb1="C200247B" w:usb2="00000009" w:usb3="00000000" w:csb0="000001FF" w:csb1="00000000"/>
    <w:embedRegular r:id="rId7" w:fontKey="{5FAB57C5-E6FC-4F98-AC68-1DD1684BB88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5B2D1" w14:textId="77777777" w:rsidR="00587680" w:rsidRDefault="005A4EA2">
    <w:pPr>
      <w:pBdr>
        <w:top w:val="nil"/>
        <w:left w:val="nil"/>
        <w:bottom w:val="nil"/>
        <w:right w:val="nil"/>
        <w:between w:val="nil"/>
      </w:pBdr>
      <w:tabs>
        <w:tab w:val="center" w:pos="4153"/>
        <w:tab w:val="right" w:pos="8306"/>
      </w:tabs>
      <w:jc w:val="center"/>
      <w:rPr>
        <w:rFonts w:ascii="標楷體" w:eastAsia="標楷體" w:hAnsi="標楷體" w:cs="標楷體"/>
        <w:color w:val="000000"/>
        <w:sz w:val="20"/>
        <w:szCs w:val="20"/>
      </w:rPr>
    </w:pPr>
    <w:r>
      <w:rPr>
        <w:rFonts w:ascii="標楷體" w:eastAsia="標楷體" w:hAnsi="標楷體" w:cs="標楷體"/>
        <w:color w:val="000000"/>
        <w:sz w:val="20"/>
        <w:szCs w:val="20"/>
      </w:rPr>
      <w:fldChar w:fldCharType="begin"/>
    </w:r>
    <w:r>
      <w:rPr>
        <w:rFonts w:ascii="標楷體" w:eastAsia="標楷體" w:hAnsi="標楷體" w:cs="標楷體"/>
        <w:color w:val="000000"/>
        <w:sz w:val="20"/>
        <w:szCs w:val="20"/>
      </w:rPr>
      <w:instrText>PAGE</w:instrText>
    </w:r>
    <w:r>
      <w:rPr>
        <w:rFonts w:ascii="標楷體" w:eastAsia="標楷體" w:hAnsi="標楷體" w:cs="標楷體"/>
        <w:color w:val="000000"/>
        <w:sz w:val="20"/>
        <w:szCs w:val="20"/>
      </w:rPr>
      <w:fldChar w:fldCharType="separate"/>
    </w:r>
    <w:r w:rsidR="006B4F34">
      <w:rPr>
        <w:rFonts w:ascii="標楷體" w:eastAsia="標楷體" w:hAnsi="標楷體" w:cs="標楷體"/>
        <w:noProof/>
        <w:color w:val="000000"/>
        <w:sz w:val="20"/>
        <w:szCs w:val="20"/>
      </w:rPr>
      <w:t>1</w:t>
    </w:r>
    <w:r>
      <w:rPr>
        <w:rFonts w:ascii="標楷體" w:eastAsia="標楷體" w:hAnsi="標楷體" w:cs="標楷體"/>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23EF3" w14:textId="77777777" w:rsidR="00C05F0B" w:rsidRDefault="00C05F0B">
      <w:r>
        <w:separator/>
      </w:r>
    </w:p>
  </w:footnote>
  <w:footnote w:type="continuationSeparator" w:id="0">
    <w:p w14:paraId="4AE65CA4" w14:textId="77777777" w:rsidR="00C05F0B" w:rsidRDefault="00C05F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334FE" w14:textId="44056EB4" w:rsidR="00506B48" w:rsidRPr="00506B48" w:rsidRDefault="00506B48" w:rsidP="00506B48">
    <w:pPr>
      <w:pStyle w:val="a4"/>
      <w:tabs>
        <w:tab w:val="clear" w:pos="4153"/>
        <w:tab w:val="center" w:pos="4962"/>
      </w:tabs>
      <w:jc w:val="right"/>
      <w:rPr>
        <w:rFonts w:ascii="標楷體" w:eastAsia="標楷體" w:hAnsi="標楷體"/>
        <w:sz w:val="16"/>
        <w:szCs w:val="16"/>
      </w:rPr>
    </w:pPr>
    <w:r w:rsidRPr="00506B48">
      <w:rPr>
        <w:rFonts w:ascii="標楷體" w:eastAsia="標楷體" w:hAnsi="標楷體"/>
        <w:sz w:val="16"/>
        <w:szCs w:val="16"/>
      </w:rPr>
      <w:t>Optimum Co., Ltd.｜優選股份有限公司</w:t>
    </w:r>
  </w:p>
  <w:p w14:paraId="5DB7B559" w14:textId="6A7EC110" w:rsidR="00506B48" w:rsidRPr="00506B48" w:rsidRDefault="00506B48" w:rsidP="00506B48">
    <w:pPr>
      <w:pStyle w:val="a4"/>
      <w:tabs>
        <w:tab w:val="clear" w:pos="4153"/>
        <w:tab w:val="center" w:pos="4962"/>
      </w:tabs>
      <w:jc w:val="right"/>
      <w:rPr>
        <w:sz w:val="16"/>
        <w:szCs w:val="16"/>
      </w:rPr>
    </w:pPr>
    <w:r w:rsidRPr="00506B48">
      <w:rPr>
        <w:rFonts w:ascii="標楷體" w:eastAsia="標楷體" w:hAnsi="標楷體" w:hint="eastAsia"/>
        <w:sz w:val="16"/>
        <w:szCs w:val="16"/>
      </w:rPr>
      <w:t>機密文件請勿外流</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C65E4"/>
    <w:multiLevelType w:val="multilevel"/>
    <w:tmpl w:val="4C20E64C"/>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0B101695"/>
    <w:multiLevelType w:val="multilevel"/>
    <w:tmpl w:val="282C673E"/>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6"/>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11AC1C84"/>
    <w:multiLevelType w:val="multilevel"/>
    <w:tmpl w:val="41FA9410"/>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6"/>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14C57702"/>
    <w:multiLevelType w:val="multilevel"/>
    <w:tmpl w:val="282C673E"/>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6"/>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14F52F4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1C4E20A0"/>
    <w:multiLevelType w:val="multilevel"/>
    <w:tmpl w:val="9266FC8E"/>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6"/>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 w15:restartNumberingAfterBreak="0">
    <w:nsid w:val="23E23F7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2B521D10"/>
    <w:multiLevelType w:val="multilevel"/>
    <w:tmpl w:val="65BC748A"/>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33992025"/>
    <w:multiLevelType w:val="multilevel"/>
    <w:tmpl w:val="CB9E0540"/>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9" w15:restartNumberingAfterBreak="0">
    <w:nsid w:val="3584591D"/>
    <w:multiLevelType w:val="multilevel"/>
    <w:tmpl w:val="01B6DEE2"/>
    <w:lvl w:ilvl="0">
      <w:start w:val="1"/>
      <w:numFmt w:val="decimal"/>
      <w:pStyle w:val="1"/>
      <w:lvlText w:val="%1."/>
      <w:lvlJc w:val="left"/>
      <w:pPr>
        <w:ind w:left="425" w:hanging="425"/>
      </w:pPr>
    </w:lvl>
    <w:lvl w:ilvl="1">
      <w:start w:val="1"/>
      <w:numFmt w:val="decimal"/>
      <w:pStyle w:val="2"/>
      <w:lvlText w:val="%1.%2"/>
      <w:lvlJc w:val="left"/>
      <w:pPr>
        <w:ind w:left="992" w:hanging="567"/>
      </w:pPr>
    </w:lvl>
    <w:lvl w:ilvl="2">
      <w:start w:val="1"/>
      <w:numFmt w:val="decimal"/>
      <w:pStyle w:val="3"/>
      <w:lvlText w:val="%1.%2.%3"/>
      <w:lvlJc w:val="left"/>
      <w:pPr>
        <w:ind w:left="1418" w:hanging="566"/>
      </w:pPr>
    </w:lvl>
    <w:lvl w:ilvl="3">
      <w:start w:val="1"/>
      <w:numFmt w:val="decimal"/>
      <w:pStyle w:val="4"/>
      <w:lvlText w:val="%1.%2.%3.%4"/>
      <w:lvlJc w:val="left"/>
      <w:pPr>
        <w:ind w:left="1984" w:hanging="708"/>
      </w:pPr>
    </w:lvl>
    <w:lvl w:ilvl="4">
      <w:start w:val="1"/>
      <w:numFmt w:val="decimal"/>
      <w:pStyle w:val="5"/>
      <w:lvlText w:val="%1.%2.%3.%4.%5"/>
      <w:lvlJc w:val="left"/>
      <w:pPr>
        <w:ind w:left="2551" w:hanging="850"/>
      </w:pPr>
    </w:lvl>
    <w:lvl w:ilvl="5">
      <w:start w:val="1"/>
      <w:numFmt w:val="decimal"/>
      <w:pStyle w:val="6"/>
      <w:lvlText w:val="%1.%2.%3.%4.%5.%6"/>
      <w:lvlJc w:val="left"/>
      <w:pPr>
        <w:ind w:left="3260" w:hanging="1134"/>
      </w:pPr>
    </w:lvl>
    <w:lvl w:ilvl="6">
      <w:start w:val="1"/>
      <w:numFmt w:val="decimal"/>
      <w:pStyle w:val="7"/>
      <w:lvlText w:val="%1.%2.%3.%4.%5.%6.%7"/>
      <w:lvlJc w:val="left"/>
      <w:pPr>
        <w:ind w:left="3827" w:hanging="1276"/>
      </w:pPr>
    </w:lvl>
    <w:lvl w:ilvl="7">
      <w:start w:val="1"/>
      <w:numFmt w:val="decimal"/>
      <w:pStyle w:val="8"/>
      <w:lvlText w:val="%1.%2.%3.%4.%5.%6.%7.%8"/>
      <w:lvlJc w:val="left"/>
      <w:pPr>
        <w:ind w:left="4394" w:hanging="1418"/>
      </w:pPr>
    </w:lvl>
    <w:lvl w:ilvl="8">
      <w:start w:val="1"/>
      <w:numFmt w:val="decimal"/>
      <w:pStyle w:val="9"/>
      <w:lvlText w:val="%1.%2.%3.%4.%5.%6.%7.%8.%9"/>
      <w:lvlJc w:val="left"/>
      <w:pPr>
        <w:ind w:left="5102" w:hanging="1700"/>
      </w:pPr>
    </w:lvl>
  </w:abstractNum>
  <w:abstractNum w:abstractNumId="10" w15:restartNumberingAfterBreak="0">
    <w:nsid w:val="37200347"/>
    <w:multiLevelType w:val="multilevel"/>
    <w:tmpl w:val="85CC6976"/>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6"/>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39B922B5"/>
    <w:multiLevelType w:val="hybridMultilevel"/>
    <w:tmpl w:val="83A4B29A"/>
    <w:lvl w:ilvl="0" w:tplc="127ED76E">
      <w:start w:val="1"/>
      <w:numFmt w:val="decimal"/>
      <w:lvlText w:val="%1."/>
      <w:lvlJc w:val="left"/>
      <w:pPr>
        <w:ind w:left="480" w:hanging="480"/>
      </w:pPr>
      <w:rPr>
        <w:rFonts w:eastAsia="標楷體" w:hint="eastAsia"/>
        <w:sz w:val="2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3C181E7C"/>
    <w:multiLevelType w:val="multilevel"/>
    <w:tmpl w:val="546C34E0"/>
    <w:lvl w:ilvl="0">
      <w:start w:val="1"/>
      <w:numFmt w:val="decimal"/>
      <w:lvlText w:val="%1. "/>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3E5B7B1A"/>
    <w:multiLevelType w:val="multilevel"/>
    <w:tmpl w:val="AF8E8C76"/>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6"/>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4" w15:restartNumberingAfterBreak="0">
    <w:nsid w:val="446D58DF"/>
    <w:multiLevelType w:val="multilevel"/>
    <w:tmpl w:val="282C673E"/>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6"/>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5" w15:restartNumberingAfterBreak="0">
    <w:nsid w:val="47D742ED"/>
    <w:multiLevelType w:val="multilevel"/>
    <w:tmpl w:val="86BE9A0E"/>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4"/>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6" w15:restartNumberingAfterBreak="0">
    <w:nsid w:val="4B7E648F"/>
    <w:multiLevelType w:val="multilevel"/>
    <w:tmpl w:val="282C673E"/>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6"/>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7" w15:restartNumberingAfterBreak="0">
    <w:nsid w:val="54D24441"/>
    <w:multiLevelType w:val="multilevel"/>
    <w:tmpl w:val="282C673E"/>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6"/>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8" w15:restartNumberingAfterBreak="0">
    <w:nsid w:val="62AB09CE"/>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9" w15:restartNumberingAfterBreak="0">
    <w:nsid w:val="665351ED"/>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0" w15:restartNumberingAfterBreak="0">
    <w:nsid w:val="68B00284"/>
    <w:multiLevelType w:val="multilevel"/>
    <w:tmpl w:val="85CC6976"/>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6"/>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1" w15:restartNumberingAfterBreak="0">
    <w:nsid w:val="793D60AC"/>
    <w:multiLevelType w:val="multilevel"/>
    <w:tmpl w:val="282C673E"/>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6"/>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2" w15:restartNumberingAfterBreak="0">
    <w:nsid w:val="7FB10F44"/>
    <w:multiLevelType w:val="multilevel"/>
    <w:tmpl w:val="B8A2ACC8"/>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4"/>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847064961">
    <w:abstractNumId w:val="9"/>
  </w:num>
  <w:num w:numId="2" w16cid:durableId="152649904">
    <w:abstractNumId w:val="2"/>
  </w:num>
  <w:num w:numId="3" w16cid:durableId="215510289">
    <w:abstractNumId w:val="1"/>
  </w:num>
  <w:num w:numId="4" w16cid:durableId="895357624">
    <w:abstractNumId w:val="20"/>
  </w:num>
  <w:num w:numId="5" w16cid:durableId="1894003957">
    <w:abstractNumId w:val="13"/>
  </w:num>
  <w:num w:numId="6" w16cid:durableId="517355461">
    <w:abstractNumId w:val="5"/>
  </w:num>
  <w:num w:numId="7" w16cid:durableId="1523738728">
    <w:abstractNumId w:val="0"/>
  </w:num>
  <w:num w:numId="8" w16cid:durableId="951207852">
    <w:abstractNumId w:val="7"/>
  </w:num>
  <w:num w:numId="9" w16cid:durableId="728722909">
    <w:abstractNumId w:val="10"/>
  </w:num>
  <w:num w:numId="10" w16cid:durableId="1663508807">
    <w:abstractNumId w:val="8"/>
  </w:num>
  <w:num w:numId="11" w16cid:durableId="1067802874">
    <w:abstractNumId w:val="15"/>
  </w:num>
  <w:num w:numId="12" w16cid:durableId="237057976">
    <w:abstractNumId w:val="22"/>
  </w:num>
  <w:num w:numId="13" w16cid:durableId="1412577855">
    <w:abstractNumId w:val="11"/>
  </w:num>
  <w:num w:numId="14" w16cid:durableId="790980467">
    <w:abstractNumId w:val="14"/>
  </w:num>
  <w:num w:numId="15" w16cid:durableId="565645728">
    <w:abstractNumId w:val="17"/>
  </w:num>
  <w:num w:numId="16" w16cid:durableId="1598828013">
    <w:abstractNumId w:val="3"/>
  </w:num>
  <w:num w:numId="17" w16cid:durableId="434790512">
    <w:abstractNumId w:val="16"/>
  </w:num>
  <w:num w:numId="18" w16cid:durableId="1848597873">
    <w:abstractNumId w:val="4"/>
  </w:num>
  <w:num w:numId="19" w16cid:durableId="1069619657">
    <w:abstractNumId w:val="18"/>
  </w:num>
  <w:num w:numId="20" w16cid:durableId="301622225">
    <w:abstractNumId w:val="6"/>
  </w:num>
  <w:num w:numId="21" w16cid:durableId="1782646348">
    <w:abstractNumId w:val="12"/>
  </w:num>
  <w:num w:numId="22" w16cid:durableId="1067458717">
    <w:abstractNumId w:val="19"/>
  </w:num>
  <w:num w:numId="23" w16cid:durableId="192329743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680"/>
    <w:rsid w:val="00007DF8"/>
    <w:rsid w:val="00022443"/>
    <w:rsid w:val="00056B40"/>
    <w:rsid w:val="00062EF1"/>
    <w:rsid w:val="00067D1A"/>
    <w:rsid w:val="00071B27"/>
    <w:rsid w:val="0008444A"/>
    <w:rsid w:val="000B45A3"/>
    <w:rsid w:val="000C39F1"/>
    <w:rsid w:val="00141025"/>
    <w:rsid w:val="00143F39"/>
    <w:rsid w:val="001463F1"/>
    <w:rsid w:val="00194403"/>
    <w:rsid w:val="001B5D88"/>
    <w:rsid w:val="001C7EEF"/>
    <w:rsid w:val="001D0D99"/>
    <w:rsid w:val="002113BA"/>
    <w:rsid w:val="00212920"/>
    <w:rsid w:val="00286830"/>
    <w:rsid w:val="002A3C83"/>
    <w:rsid w:val="002D1665"/>
    <w:rsid w:val="002D6DE8"/>
    <w:rsid w:val="00301C67"/>
    <w:rsid w:val="00303FA1"/>
    <w:rsid w:val="003040FE"/>
    <w:rsid w:val="0035568C"/>
    <w:rsid w:val="003679B8"/>
    <w:rsid w:val="0037137C"/>
    <w:rsid w:val="00385522"/>
    <w:rsid w:val="003A4395"/>
    <w:rsid w:val="003A5F08"/>
    <w:rsid w:val="003B57A0"/>
    <w:rsid w:val="003D6251"/>
    <w:rsid w:val="003D6D44"/>
    <w:rsid w:val="003E6144"/>
    <w:rsid w:val="003F48AF"/>
    <w:rsid w:val="003F6897"/>
    <w:rsid w:val="00404DB4"/>
    <w:rsid w:val="0040534F"/>
    <w:rsid w:val="00406789"/>
    <w:rsid w:val="004119D1"/>
    <w:rsid w:val="00413776"/>
    <w:rsid w:val="004204AC"/>
    <w:rsid w:val="00421FEC"/>
    <w:rsid w:val="00443A67"/>
    <w:rsid w:val="004539D5"/>
    <w:rsid w:val="004605FB"/>
    <w:rsid w:val="00460C80"/>
    <w:rsid w:val="0046148D"/>
    <w:rsid w:val="00491AB4"/>
    <w:rsid w:val="004A3150"/>
    <w:rsid w:val="004C1A36"/>
    <w:rsid w:val="004C6379"/>
    <w:rsid w:val="004D25D9"/>
    <w:rsid w:val="00506B48"/>
    <w:rsid w:val="00513CFB"/>
    <w:rsid w:val="00515A39"/>
    <w:rsid w:val="00515C43"/>
    <w:rsid w:val="00521B75"/>
    <w:rsid w:val="005224B2"/>
    <w:rsid w:val="00531DDE"/>
    <w:rsid w:val="00557267"/>
    <w:rsid w:val="005717B0"/>
    <w:rsid w:val="00586EC4"/>
    <w:rsid w:val="00587680"/>
    <w:rsid w:val="005A3BAE"/>
    <w:rsid w:val="005A4E56"/>
    <w:rsid w:val="005A4EA2"/>
    <w:rsid w:val="005B6574"/>
    <w:rsid w:val="005B6586"/>
    <w:rsid w:val="005D107F"/>
    <w:rsid w:val="005D2332"/>
    <w:rsid w:val="0060533D"/>
    <w:rsid w:val="00616388"/>
    <w:rsid w:val="00622AB3"/>
    <w:rsid w:val="0062565B"/>
    <w:rsid w:val="00640C42"/>
    <w:rsid w:val="00661BF6"/>
    <w:rsid w:val="00665BD6"/>
    <w:rsid w:val="0067201F"/>
    <w:rsid w:val="006A54CA"/>
    <w:rsid w:val="006A631B"/>
    <w:rsid w:val="006B0AD3"/>
    <w:rsid w:val="006B4F34"/>
    <w:rsid w:val="006B6A43"/>
    <w:rsid w:val="006C0604"/>
    <w:rsid w:val="006C4295"/>
    <w:rsid w:val="006D02E8"/>
    <w:rsid w:val="00706FDF"/>
    <w:rsid w:val="00717382"/>
    <w:rsid w:val="0073799B"/>
    <w:rsid w:val="00745401"/>
    <w:rsid w:val="00750B6A"/>
    <w:rsid w:val="00770809"/>
    <w:rsid w:val="007853F5"/>
    <w:rsid w:val="00785D3B"/>
    <w:rsid w:val="00793560"/>
    <w:rsid w:val="007C6FB8"/>
    <w:rsid w:val="007D25A9"/>
    <w:rsid w:val="007D3EE0"/>
    <w:rsid w:val="007D707D"/>
    <w:rsid w:val="00806DEE"/>
    <w:rsid w:val="00812C11"/>
    <w:rsid w:val="008252DE"/>
    <w:rsid w:val="00837370"/>
    <w:rsid w:val="008610B5"/>
    <w:rsid w:val="00867E10"/>
    <w:rsid w:val="0087088E"/>
    <w:rsid w:val="008B6BEA"/>
    <w:rsid w:val="008C4696"/>
    <w:rsid w:val="008C632D"/>
    <w:rsid w:val="008D41CA"/>
    <w:rsid w:val="008F4305"/>
    <w:rsid w:val="00916439"/>
    <w:rsid w:val="0092432D"/>
    <w:rsid w:val="009264E2"/>
    <w:rsid w:val="00930E21"/>
    <w:rsid w:val="00931B98"/>
    <w:rsid w:val="009337F4"/>
    <w:rsid w:val="00936073"/>
    <w:rsid w:val="009472A9"/>
    <w:rsid w:val="009777C7"/>
    <w:rsid w:val="00977804"/>
    <w:rsid w:val="00996C7E"/>
    <w:rsid w:val="009A07F2"/>
    <w:rsid w:val="009A46DD"/>
    <w:rsid w:val="009C5CAE"/>
    <w:rsid w:val="009D338B"/>
    <w:rsid w:val="009D43E2"/>
    <w:rsid w:val="00A106DA"/>
    <w:rsid w:val="00A14746"/>
    <w:rsid w:val="00A167AA"/>
    <w:rsid w:val="00A2200A"/>
    <w:rsid w:val="00A43F8B"/>
    <w:rsid w:val="00A55D99"/>
    <w:rsid w:val="00A618F9"/>
    <w:rsid w:val="00A622E4"/>
    <w:rsid w:val="00A656A2"/>
    <w:rsid w:val="00A72746"/>
    <w:rsid w:val="00A82914"/>
    <w:rsid w:val="00A879B2"/>
    <w:rsid w:val="00AA3659"/>
    <w:rsid w:val="00AC0BEE"/>
    <w:rsid w:val="00AD5146"/>
    <w:rsid w:val="00AE6263"/>
    <w:rsid w:val="00B02F37"/>
    <w:rsid w:val="00B207B0"/>
    <w:rsid w:val="00B23D21"/>
    <w:rsid w:val="00B27DA7"/>
    <w:rsid w:val="00B31BF6"/>
    <w:rsid w:val="00B658D1"/>
    <w:rsid w:val="00BC2A4D"/>
    <w:rsid w:val="00BC4315"/>
    <w:rsid w:val="00BC47E0"/>
    <w:rsid w:val="00BC7C8C"/>
    <w:rsid w:val="00BD22BC"/>
    <w:rsid w:val="00BE7A36"/>
    <w:rsid w:val="00C05F0B"/>
    <w:rsid w:val="00C247B6"/>
    <w:rsid w:val="00C3516F"/>
    <w:rsid w:val="00C376ED"/>
    <w:rsid w:val="00C85C2A"/>
    <w:rsid w:val="00CB691F"/>
    <w:rsid w:val="00CC3431"/>
    <w:rsid w:val="00CE6A7C"/>
    <w:rsid w:val="00D065D2"/>
    <w:rsid w:val="00D0692D"/>
    <w:rsid w:val="00D11C76"/>
    <w:rsid w:val="00D15D1A"/>
    <w:rsid w:val="00D15F96"/>
    <w:rsid w:val="00D2088D"/>
    <w:rsid w:val="00D215A7"/>
    <w:rsid w:val="00D2552D"/>
    <w:rsid w:val="00D5177A"/>
    <w:rsid w:val="00D5210B"/>
    <w:rsid w:val="00D71190"/>
    <w:rsid w:val="00D80598"/>
    <w:rsid w:val="00DB0C92"/>
    <w:rsid w:val="00DE0CFF"/>
    <w:rsid w:val="00DF52CC"/>
    <w:rsid w:val="00E125CF"/>
    <w:rsid w:val="00E2389B"/>
    <w:rsid w:val="00E44F13"/>
    <w:rsid w:val="00E47073"/>
    <w:rsid w:val="00E92455"/>
    <w:rsid w:val="00EB1096"/>
    <w:rsid w:val="00EB434D"/>
    <w:rsid w:val="00EE14A6"/>
    <w:rsid w:val="00F250AE"/>
    <w:rsid w:val="00F27C54"/>
    <w:rsid w:val="00F46FDF"/>
    <w:rsid w:val="00F47FD3"/>
    <w:rsid w:val="00F5463F"/>
    <w:rsid w:val="00F5531B"/>
    <w:rsid w:val="00F64498"/>
    <w:rsid w:val="00F70697"/>
    <w:rsid w:val="00F71738"/>
    <w:rsid w:val="00F84056"/>
    <w:rsid w:val="00F94BD6"/>
    <w:rsid w:val="00FB4CBA"/>
    <w:rsid w:val="00FD4DA2"/>
    <w:rsid w:val="00FE7A0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0D80BA"/>
  <w15:docId w15:val="{D3E38056-64D0-45BA-9545-1EAB33E829F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新細明體" w:eastAsia="新細明體" w:hAnsi="新細明體" w:cs="新細明體"/>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D304C"/>
  </w:style>
  <w:style w:type="paragraph" w:styleId="1">
    <w:name w:val="heading 1"/>
    <w:basedOn w:val="a"/>
    <w:next w:val="a"/>
    <w:link w:val="10"/>
    <w:uiPriority w:val="9"/>
    <w:qFormat/>
    <w:rsid w:val="008D304C"/>
    <w:pPr>
      <w:keepNext/>
      <w:numPr>
        <w:numId w:val="1"/>
      </w:numPr>
      <w:tabs>
        <w:tab w:val="left" w:pos="709"/>
        <w:tab w:val="left" w:pos="1418"/>
        <w:tab w:val="left" w:pos="2126"/>
        <w:tab w:val="left" w:pos="2835"/>
        <w:tab w:val="right" w:pos="9072"/>
      </w:tabs>
      <w:spacing w:after="180" w:line="320" w:lineRule="atLeast"/>
      <w:outlineLvl w:val="0"/>
    </w:pPr>
    <w:rPr>
      <w:rFonts w:ascii="Arial Narrow" w:hAnsi="Arial Narrow"/>
      <w:sz w:val="28"/>
      <w:szCs w:val="20"/>
      <w:lang w:val="en-AU" w:eastAsia="en-US"/>
    </w:rPr>
  </w:style>
  <w:style w:type="paragraph" w:styleId="2">
    <w:name w:val="heading 2"/>
    <w:basedOn w:val="a"/>
    <w:next w:val="a"/>
    <w:link w:val="20"/>
    <w:uiPriority w:val="9"/>
    <w:semiHidden/>
    <w:unhideWhenUsed/>
    <w:qFormat/>
    <w:rsid w:val="008D304C"/>
    <w:pPr>
      <w:keepNext/>
      <w:numPr>
        <w:ilvl w:val="1"/>
        <w:numId w:val="1"/>
      </w:numPr>
      <w:pBdr>
        <w:top w:val="single" w:sz="4" w:space="9" w:color="auto"/>
      </w:pBdr>
      <w:tabs>
        <w:tab w:val="left" w:pos="1418"/>
        <w:tab w:val="left" w:pos="2126"/>
        <w:tab w:val="left" w:pos="2835"/>
        <w:tab w:val="right" w:pos="9072"/>
      </w:tabs>
      <w:spacing w:before="300" w:after="180" w:line="280" w:lineRule="atLeast"/>
      <w:outlineLvl w:val="1"/>
    </w:pPr>
    <w:rPr>
      <w:rFonts w:ascii="Arial" w:hAnsi="Arial" w:cs="Times New Roman"/>
      <w:szCs w:val="20"/>
      <w:lang w:val="en-AU" w:eastAsia="en-US"/>
    </w:rPr>
  </w:style>
  <w:style w:type="paragraph" w:styleId="3">
    <w:name w:val="heading 3"/>
    <w:basedOn w:val="a"/>
    <w:next w:val="a"/>
    <w:link w:val="30"/>
    <w:uiPriority w:val="9"/>
    <w:semiHidden/>
    <w:unhideWhenUsed/>
    <w:qFormat/>
    <w:rsid w:val="008D304C"/>
    <w:pPr>
      <w:numPr>
        <w:ilvl w:val="2"/>
        <w:numId w:val="1"/>
      </w:numPr>
      <w:tabs>
        <w:tab w:val="left" w:pos="1418"/>
        <w:tab w:val="left" w:pos="2126"/>
        <w:tab w:val="left" w:pos="2835"/>
        <w:tab w:val="right" w:pos="9072"/>
      </w:tabs>
      <w:spacing w:after="180" w:line="260" w:lineRule="atLeast"/>
      <w:outlineLvl w:val="2"/>
    </w:pPr>
    <w:rPr>
      <w:rFonts w:ascii="Times New Roman" w:hAnsi="Times New Roman" w:cs="Times New Roman"/>
      <w:bCs/>
      <w:sz w:val="22"/>
      <w:szCs w:val="20"/>
      <w:lang w:val="en-AU" w:eastAsia="en-US"/>
    </w:rPr>
  </w:style>
  <w:style w:type="paragraph" w:styleId="4">
    <w:name w:val="heading 4"/>
    <w:basedOn w:val="a"/>
    <w:next w:val="a"/>
    <w:link w:val="40"/>
    <w:uiPriority w:val="9"/>
    <w:semiHidden/>
    <w:unhideWhenUsed/>
    <w:qFormat/>
    <w:rsid w:val="008D304C"/>
    <w:pPr>
      <w:numPr>
        <w:ilvl w:val="3"/>
        <w:numId w:val="1"/>
      </w:numPr>
      <w:tabs>
        <w:tab w:val="left" w:pos="709"/>
        <w:tab w:val="left" w:pos="2126"/>
        <w:tab w:val="left" w:pos="2835"/>
        <w:tab w:val="right" w:pos="9072"/>
      </w:tabs>
      <w:spacing w:after="180" w:line="260" w:lineRule="atLeast"/>
      <w:outlineLvl w:val="3"/>
    </w:pPr>
    <w:rPr>
      <w:rFonts w:ascii="Times New Roman" w:hAnsi="Times New Roman" w:cs="Times New Roman"/>
      <w:sz w:val="22"/>
      <w:szCs w:val="20"/>
      <w:lang w:val="en-AU" w:eastAsia="en-US"/>
    </w:rPr>
  </w:style>
  <w:style w:type="paragraph" w:styleId="5">
    <w:name w:val="heading 5"/>
    <w:basedOn w:val="a"/>
    <w:next w:val="a"/>
    <w:link w:val="50"/>
    <w:uiPriority w:val="9"/>
    <w:semiHidden/>
    <w:unhideWhenUsed/>
    <w:qFormat/>
    <w:rsid w:val="008D304C"/>
    <w:pPr>
      <w:numPr>
        <w:ilvl w:val="4"/>
        <w:numId w:val="1"/>
      </w:numPr>
      <w:tabs>
        <w:tab w:val="left" w:pos="709"/>
        <w:tab w:val="left" w:pos="1418"/>
        <w:tab w:val="left" w:pos="2835"/>
        <w:tab w:val="right" w:pos="9072"/>
      </w:tabs>
      <w:spacing w:after="180" w:line="260" w:lineRule="atLeast"/>
      <w:outlineLvl w:val="4"/>
    </w:pPr>
    <w:rPr>
      <w:rFonts w:ascii="Times New Roman" w:hAnsi="Times New Roman" w:cs="Times New Roman"/>
      <w:sz w:val="22"/>
      <w:szCs w:val="20"/>
      <w:lang w:val="en-AU" w:eastAsia="en-US"/>
    </w:rPr>
  </w:style>
  <w:style w:type="paragraph" w:styleId="6">
    <w:name w:val="heading 6"/>
    <w:basedOn w:val="a"/>
    <w:next w:val="a"/>
    <w:link w:val="60"/>
    <w:uiPriority w:val="9"/>
    <w:semiHidden/>
    <w:unhideWhenUsed/>
    <w:qFormat/>
    <w:rsid w:val="008D304C"/>
    <w:pPr>
      <w:numPr>
        <w:ilvl w:val="5"/>
        <w:numId w:val="1"/>
      </w:numPr>
      <w:tabs>
        <w:tab w:val="left" w:pos="709"/>
        <w:tab w:val="left" w:pos="1418"/>
        <w:tab w:val="left" w:pos="2126"/>
        <w:tab w:val="right" w:pos="9072"/>
      </w:tabs>
      <w:spacing w:after="180" w:line="260" w:lineRule="atLeast"/>
      <w:outlineLvl w:val="5"/>
    </w:pPr>
    <w:rPr>
      <w:rFonts w:ascii="Times New Roman" w:hAnsi="Times New Roman" w:cs="Times New Roman"/>
      <w:sz w:val="22"/>
      <w:szCs w:val="20"/>
      <w:lang w:val="en-AU" w:eastAsia="en-US"/>
    </w:rPr>
  </w:style>
  <w:style w:type="paragraph" w:styleId="7">
    <w:name w:val="heading 7"/>
    <w:basedOn w:val="a"/>
    <w:next w:val="a"/>
    <w:link w:val="70"/>
    <w:unhideWhenUsed/>
    <w:qFormat/>
    <w:rsid w:val="008D304C"/>
    <w:pPr>
      <w:numPr>
        <w:ilvl w:val="6"/>
        <w:numId w:val="1"/>
      </w:numPr>
      <w:tabs>
        <w:tab w:val="left" w:pos="709"/>
        <w:tab w:val="left" w:pos="1418"/>
        <w:tab w:val="left" w:pos="2126"/>
        <w:tab w:val="left" w:pos="2835"/>
        <w:tab w:val="right" w:pos="9072"/>
      </w:tabs>
      <w:spacing w:after="180" w:line="260" w:lineRule="atLeast"/>
      <w:outlineLvl w:val="6"/>
    </w:pPr>
    <w:rPr>
      <w:rFonts w:ascii="Times New Roman" w:hAnsi="Times New Roman" w:cs="Times New Roman"/>
      <w:sz w:val="22"/>
      <w:szCs w:val="20"/>
      <w:lang w:val="en-AU" w:eastAsia="en-US"/>
    </w:rPr>
  </w:style>
  <w:style w:type="paragraph" w:styleId="8">
    <w:name w:val="heading 8"/>
    <w:basedOn w:val="a"/>
    <w:next w:val="a"/>
    <w:link w:val="80"/>
    <w:unhideWhenUsed/>
    <w:qFormat/>
    <w:rsid w:val="008D304C"/>
    <w:pPr>
      <w:numPr>
        <w:ilvl w:val="7"/>
        <w:numId w:val="1"/>
      </w:numPr>
      <w:tabs>
        <w:tab w:val="left" w:pos="709"/>
        <w:tab w:val="left" w:pos="1418"/>
        <w:tab w:val="left" w:pos="2126"/>
        <w:tab w:val="left" w:pos="2835"/>
        <w:tab w:val="left" w:pos="3544"/>
        <w:tab w:val="right" w:pos="9072"/>
      </w:tabs>
      <w:spacing w:after="180" w:line="260" w:lineRule="atLeast"/>
      <w:outlineLvl w:val="7"/>
    </w:pPr>
    <w:rPr>
      <w:rFonts w:ascii="Times New Roman" w:hAnsi="Times New Roman" w:cs="Times New Roman"/>
      <w:sz w:val="22"/>
      <w:szCs w:val="20"/>
      <w:lang w:val="en-AU" w:eastAsia="en-US"/>
    </w:rPr>
  </w:style>
  <w:style w:type="paragraph" w:styleId="9">
    <w:name w:val="heading 9"/>
    <w:basedOn w:val="a"/>
    <w:next w:val="a"/>
    <w:link w:val="90"/>
    <w:unhideWhenUsed/>
    <w:qFormat/>
    <w:rsid w:val="008D304C"/>
    <w:pPr>
      <w:numPr>
        <w:ilvl w:val="8"/>
        <w:numId w:val="1"/>
      </w:numPr>
      <w:tabs>
        <w:tab w:val="left" w:pos="709"/>
        <w:tab w:val="left" w:pos="1418"/>
        <w:tab w:val="left" w:pos="2126"/>
        <w:tab w:val="left" w:pos="2835"/>
        <w:tab w:val="left" w:pos="3544"/>
        <w:tab w:val="left" w:pos="4253"/>
        <w:tab w:val="right" w:pos="9072"/>
      </w:tabs>
      <w:spacing w:after="180" w:line="260" w:lineRule="atLeast"/>
      <w:outlineLvl w:val="8"/>
    </w:pPr>
    <w:rPr>
      <w:rFonts w:ascii="Times New Roman" w:hAnsi="Times New Roman" w:cs="Times New Roman"/>
      <w:sz w:val="22"/>
      <w:szCs w:val="20"/>
      <w:lang w:val="en-AU" w:eastAsia="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rsid w:val="008D304C"/>
    <w:pPr>
      <w:keepNext/>
      <w:keepLines/>
      <w:spacing w:before="480" w:after="120"/>
    </w:pPr>
    <w:rPr>
      <w:b/>
      <w:sz w:val="72"/>
      <w:szCs w:val="72"/>
    </w:rPr>
  </w:style>
  <w:style w:type="paragraph" w:styleId="a4">
    <w:name w:val="header"/>
    <w:basedOn w:val="a"/>
    <w:link w:val="a5"/>
    <w:uiPriority w:val="99"/>
    <w:unhideWhenUsed/>
    <w:qFormat/>
    <w:rsid w:val="008D304C"/>
    <w:pPr>
      <w:tabs>
        <w:tab w:val="center" w:pos="4153"/>
        <w:tab w:val="right" w:pos="8306"/>
      </w:tabs>
      <w:snapToGrid w:val="0"/>
    </w:pPr>
    <w:rPr>
      <w:sz w:val="20"/>
      <w:szCs w:val="20"/>
    </w:rPr>
  </w:style>
  <w:style w:type="paragraph" w:styleId="a6">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7">
    <w:name w:val="annotation text"/>
    <w:basedOn w:val="a"/>
    <w:link w:val="a8"/>
    <w:uiPriority w:val="99"/>
    <w:unhideWhenUsed/>
    <w:qFormat/>
    <w:rsid w:val="008D304C"/>
    <w:pPr>
      <w:spacing w:after="4" w:line="255" w:lineRule="auto"/>
      <w:ind w:left="274" w:right="1893" w:hanging="10"/>
    </w:pPr>
    <w:rPr>
      <w:rFonts w:ascii="標楷體" w:eastAsia="標楷體" w:hAnsi="標楷體" w:cs="標楷體"/>
      <w:color w:val="000000"/>
      <w:kern w:val="2"/>
      <w:sz w:val="18"/>
      <w:szCs w:val="22"/>
    </w:rPr>
  </w:style>
  <w:style w:type="paragraph" w:styleId="a9">
    <w:name w:val="Body Text"/>
    <w:basedOn w:val="a"/>
    <w:link w:val="aa"/>
    <w:uiPriority w:val="99"/>
    <w:unhideWhenUsed/>
    <w:qFormat/>
    <w:rsid w:val="008D304C"/>
    <w:pPr>
      <w:spacing w:after="120"/>
    </w:pPr>
  </w:style>
  <w:style w:type="paragraph" w:styleId="ab">
    <w:name w:val="footer"/>
    <w:basedOn w:val="a"/>
    <w:link w:val="ac"/>
    <w:uiPriority w:val="99"/>
    <w:unhideWhenUsed/>
    <w:qFormat/>
    <w:rsid w:val="008D304C"/>
    <w:pPr>
      <w:tabs>
        <w:tab w:val="center" w:pos="4153"/>
        <w:tab w:val="right" w:pos="8306"/>
      </w:tabs>
      <w:snapToGrid w:val="0"/>
    </w:pPr>
    <w:rPr>
      <w:sz w:val="20"/>
      <w:szCs w:val="20"/>
    </w:rPr>
  </w:style>
  <w:style w:type="paragraph" w:styleId="ad">
    <w:name w:val="annotation subject"/>
    <w:basedOn w:val="a7"/>
    <w:next w:val="a7"/>
    <w:link w:val="ae"/>
    <w:uiPriority w:val="99"/>
    <w:unhideWhenUsed/>
    <w:qFormat/>
    <w:rsid w:val="008D304C"/>
    <w:pPr>
      <w:spacing w:after="0" w:line="240" w:lineRule="auto"/>
      <w:ind w:left="0" w:right="0" w:firstLine="0"/>
    </w:pPr>
    <w:rPr>
      <w:rFonts w:ascii="新細明體" w:eastAsia="新細明體" w:hAnsi="新細明體" w:cs="新細明體"/>
      <w:b/>
      <w:bCs/>
      <w:color w:val="auto"/>
      <w:kern w:val="0"/>
      <w:sz w:val="24"/>
      <w:szCs w:val="24"/>
    </w:rPr>
  </w:style>
  <w:style w:type="paragraph" w:styleId="af">
    <w:name w:val="Balloon Text"/>
    <w:basedOn w:val="a"/>
    <w:link w:val="af0"/>
    <w:uiPriority w:val="99"/>
    <w:unhideWhenUsed/>
    <w:qFormat/>
    <w:rsid w:val="008D304C"/>
    <w:pPr>
      <w:widowControl w:val="0"/>
    </w:pPr>
    <w:rPr>
      <w:rFonts w:hAnsiTheme="minorHAnsi" w:cstheme="minorBidi"/>
      <w:kern w:val="2"/>
      <w:sz w:val="18"/>
      <w:szCs w:val="18"/>
    </w:rPr>
  </w:style>
  <w:style w:type="character" w:styleId="af1">
    <w:name w:val="annotation reference"/>
    <w:basedOn w:val="a0"/>
    <w:uiPriority w:val="99"/>
    <w:unhideWhenUsed/>
    <w:qFormat/>
    <w:rsid w:val="008D304C"/>
    <w:rPr>
      <w:sz w:val="18"/>
      <w:szCs w:val="18"/>
    </w:rPr>
  </w:style>
  <w:style w:type="table" w:styleId="af2">
    <w:name w:val="Table Grid"/>
    <w:basedOn w:val="a1"/>
    <w:uiPriority w:val="39"/>
    <w:qFormat/>
    <w:rsid w:val="008D30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0">
    <w:name w:val="Table Normal"/>
    <w:qFormat/>
    <w:rsid w:val="008D304C"/>
    <w:tblPr>
      <w:tblCellMar>
        <w:top w:w="0" w:type="dxa"/>
        <w:left w:w="0" w:type="dxa"/>
        <w:bottom w:w="0" w:type="dxa"/>
        <w:right w:w="0" w:type="dxa"/>
      </w:tblCellMar>
    </w:tblPr>
  </w:style>
  <w:style w:type="paragraph" w:customStyle="1" w:styleId="SubHeading">
    <w:name w:val="Sub Heading"/>
    <w:basedOn w:val="a"/>
    <w:next w:val="3"/>
    <w:link w:val="SubHeadingChar"/>
    <w:qFormat/>
    <w:rsid w:val="008D304C"/>
    <w:pPr>
      <w:keepNext/>
      <w:tabs>
        <w:tab w:val="left" w:pos="709"/>
        <w:tab w:val="left" w:pos="1418"/>
        <w:tab w:val="left" w:pos="2126"/>
        <w:tab w:val="left" w:pos="2835"/>
        <w:tab w:val="right" w:pos="9072"/>
      </w:tabs>
      <w:spacing w:after="180" w:line="260" w:lineRule="atLeast"/>
    </w:pPr>
    <w:rPr>
      <w:rFonts w:ascii="Arial" w:hAnsi="Arial" w:cs="Times New Roman"/>
      <w:b/>
      <w:sz w:val="22"/>
      <w:szCs w:val="20"/>
      <w:lang w:val="en-AU" w:eastAsia="en-US"/>
    </w:rPr>
  </w:style>
  <w:style w:type="paragraph" w:customStyle="1" w:styleId="11">
    <w:name w:val="清單段落1"/>
    <w:basedOn w:val="a"/>
    <w:uiPriority w:val="34"/>
    <w:qFormat/>
    <w:rsid w:val="008D304C"/>
    <w:pPr>
      <w:widowControl w:val="0"/>
      <w:ind w:leftChars="200" w:left="480"/>
    </w:pPr>
    <w:rPr>
      <w:rFonts w:asciiTheme="minorHAnsi" w:eastAsiaTheme="minorEastAsia" w:hAnsiTheme="minorHAnsi" w:cstheme="minorBidi"/>
      <w:kern w:val="2"/>
    </w:rPr>
  </w:style>
  <w:style w:type="table" w:customStyle="1" w:styleId="TableGrid">
    <w:name w:val="TableGrid"/>
    <w:qFormat/>
    <w:rsid w:val="008D304C"/>
    <w:rPr>
      <w:szCs w:val="22"/>
    </w:rPr>
    <w:tblPr>
      <w:tblCellMar>
        <w:top w:w="0" w:type="dxa"/>
        <w:left w:w="0" w:type="dxa"/>
        <w:bottom w:w="0" w:type="dxa"/>
        <w:right w:w="0" w:type="dxa"/>
      </w:tblCellMar>
    </w:tblPr>
  </w:style>
  <w:style w:type="character" w:customStyle="1" w:styleId="a8">
    <w:name w:val="註解文字 字元"/>
    <w:basedOn w:val="a0"/>
    <w:link w:val="a7"/>
    <w:uiPriority w:val="99"/>
    <w:qFormat/>
    <w:rsid w:val="008D304C"/>
    <w:rPr>
      <w:rFonts w:ascii="標楷體" w:eastAsia="標楷體" w:hAnsi="標楷體" w:cs="標楷體"/>
      <w:color w:val="000000"/>
      <w:sz w:val="18"/>
      <w:szCs w:val="22"/>
    </w:rPr>
  </w:style>
  <w:style w:type="character" w:customStyle="1" w:styleId="af0">
    <w:name w:val="註解方塊文字 字元"/>
    <w:basedOn w:val="a0"/>
    <w:link w:val="af"/>
    <w:uiPriority w:val="99"/>
    <w:semiHidden/>
    <w:qFormat/>
    <w:rsid w:val="008D304C"/>
    <w:rPr>
      <w:rFonts w:ascii="新細明體" w:eastAsia="新細明體"/>
      <w:sz w:val="18"/>
      <w:szCs w:val="18"/>
    </w:rPr>
  </w:style>
  <w:style w:type="character" w:customStyle="1" w:styleId="12">
    <w:name w:val="預留位置文字1"/>
    <w:basedOn w:val="a0"/>
    <w:uiPriority w:val="99"/>
    <w:semiHidden/>
    <w:qFormat/>
    <w:rsid w:val="008D304C"/>
    <w:rPr>
      <w:color w:val="808080"/>
    </w:rPr>
  </w:style>
  <w:style w:type="character" w:customStyle="1" w:styleId="ae">
    <w:name w:val="註解主旨 字元"/>
    <w:basedOn w:val="a8"/>
    <w:link w:val="ad"/>
    <w:uiPriority w:val="99"/>
    <w:semiHidden/>
    <w:qFormat/>
    <w:rsid w:val="008D304C"/>
    <w:rPr>
      <w:rFonts w:ascii="新細明體" w:eastAsia="新細明體" w:hAnsi="新細明體" w:cs="新細明體"/>
      <w:b/>
      <w:bCs/>
      <w:color w:val="000000"/>
      <w:kern w:val="0"/>
      <w:sz w:val="18"/>
      <w:szCs w:val="22"/>
    </w:rPr>
  </w:style>
  <w:style w:type="character" w:customStyle="1" w:styleId="10">
    <w:name w:val="標題 1 字元"/>
    <w:basedOn w:val="a0"/>
    <w:link w:val="1"/>
    <w:qFormat/>
    <w:rsid w:val="008D304C"/>
    <w:rPr>
      <w:rFonts w:ascii="Arial Narrow" w:eastAsia="新細明體" w:hAnsi="Arial Narrow" w:cs="新細明體"/>
      <w:kern w:val="0"/>
      <w:sz w:val="28"/>
      <w:szCs w:val="20"/>
      <w:lang w:val="en-AU" w:eastAsia="en-US"/>
    </w:rPr>
  </w:style>
  <w:style w:type="character" w:customStyle="1" w:styleId="20">
    <w:name w:val="標題 2 字元"/>
    <w:basedOn w:val="a0"/>
    <w:link w:val="2"/>
    <w:qFormat/>
    <w:rsid w:val="008D304C"/>
    <w:rPr>
      <w:rFonts w:ascii="Arial" w:eastAsia="新細明體" w:hAnsi="Arial" w:cs="Times New Roman"/>
      <w:kern w:val="0"/>
      <w:szCs w:val="20"/>
      <w:lang w:val="en-AU" w:eastAsia="en-US"/>
    </w:rPr>
  </w:style>
  <w:style w:type="character" w:customStyle="1" w:styleId="30">
    <w:name w:val="標題 3 字元"/>
    <w:basedOn w:val="a0"/>
    <w:link w:val="3"/>
    <w:qFormat/>
    <w:rsid w:val="008D304C"/>
    <w:rPr>
      <w:rFonts w:ascii="Times New Roman" w:eastAsia="新細明體" w:hAnsi="Times New Roman" w:cs="Times New Roman"/>
      <w:bCs/>
      <w:kern w:val="0"/>
      <w:sz w:val="22"/>
      <w:szCs w:val="20"/>
      <w:lang w:val="en-AU" w:eastAsia="en-US"/>
    </w:rPr>
  </w:style>
  <w:style w:type="character" w:customStyle="1" w:styleId="40">
    <w:name w:val="標題 4 字元"/>
    <w:basedOn w:val="a0"/>
    <w:link w:val="4"/>
    <w:qFormat/>
    <w:rsid w:val="008D304C"/>
    <w:rPr>
      <w:rFonts w:ascii="Times New Roman" w:eastAsia="新細明體" w:hAnsi="Times New Roman" w:cs="Times New Roman"/>
      <w:kern w:val="0"/>
      <w:sz w:val="22"/>
      <w:szCs w:val="20"/>
      <w:lang w:val="en-AU" w:eastAsia="en-US"/>
    </w:rPr>
  </w:style>
  <w:style w:type="character" w:customStyle="1" w:styleId="50">
    <w:name w:val="標題 5 字元"/>
    <w:basedOn w:val="a0"/>
    <w:link w:val="5"/>
    <w:qFormat/>
    <w:rsid w:val="008D304C"/>
    <w:rPr>
      <w:rFonts w:ascii="Times New Roman" w:eastAsia="新細明體" w:hAnsi="Times New Roman" w:cs="Times New Roman"/>
      <w:kern w:val="0"/>
      <w:sz w:val="22"/>
      <w:szCs w:val="20"/>
      <w:lang w:val="en-AU" w:eastAsia="en-US"/>
    </w:rPr>
  </w:style>
  <w:style w:type="character" w:customStyle="1" w:styleId="60">
    <w:name w:val="標題 6 字元"/>
    <w:basedOn w:val="a0"/>
    <w:link w:val="6"/>
    <w:qFormat/>
    <w:rsid w:val="008D304C"/>
    <w:rPr>
      <w:rFonts w:ascii="Times New Roman" w:eastAsia="新細明體" w:hAnsi="Times New Roman" w:cs="Times New Roman"/>
      <w:kern w:val="0"/>
      <w:sz w:val="22"/>
      <w:szCs w:val="20"/>
      <w:lang w:val="en-AU" w:eastAsia="en-US"/>
    </w:rPr>
  </w:style>
  <w:style w:type="character" w:customStyle="1" w:styleId="70">
    <w:name w:val="標題 7 字元"/>
    <w:basedOn w:val="a0"/>
    <w:link w:val="7"/>
    <w:qFormat/>
    <w:rsid w:val="008D304C"/>
    <w:rPr>
      <w:rFonts w:ascii="Times New Roman" w:eastAsia="新細明體" w:hAnsi="Times New Roman" w:cs="Times New Roman"/>
      <w:kern w:val="0"/>
      <w:sz w:val="22"/>
      <w:szCs w:val="20"/>
      <w:lang w:val="en-AU" w:eastAsia="en-US"/>
    </w:rPr>
  </w:style>
  <w:style w:type="character" w:customStyle="1" w:styleId="80">
    <w:name w:val="標題 8 字元"/>
    <w:basedOn w:val="a0"/>
    <w:link w:val="8"/>
    <w:semiHidden/>
    <w:qFormat/>
    <w:rsid w:val="008D304C"/>
    <w:rPr>
      <w:rFonts w:ascii="Times New Roman" w:eastAsia="新細明體" w:hAnsi="Times New Roman" w:cs="Times New Roman"/>
      <w:kern w:val="0"/>
      <w:sz w:val="22"/>
      <w:szCs w:val="20"/>
      <w:lang w:val="en-AU" w:eastAsia="en-US"/>
    </w:rPr>
  </w:style>
  <w:style w:type="character" w:customStyle="1" w:styleId="90">
    <w:name w:val="標題 9 字元"/>
    <w:basedOn w:val="a0"/>
    <w:link w:val="9"/>
    <w:semiHidden/>
    <w:qFormat/>
    <w:rsid w:val="008D304C"/>
    <w:rPr>
      <w:rFonts w:ascii="Times New Roman" w:eastAsia="新細明體" w:hAnsi="Times New Roman" w:cs="Times New Roman"/>
      <w:kern w:val="0"/>
      <w:sz w:val="22"/>
      <w:szCs w:val="20"/>
      <w:lang w:val="en-AU" w:eastAsia="en-US"/>
    </w:rPr>
  </w:style>
  <w:style w:type="character" w:customStyle="1" w:styleId="SubHeadingChar">
    <w:name w:val="Sub Heading Char"/>
    <w:link w:val="SubHeading"/>
    <w:qFormat/>
    <w:locked/>
    <w:rsid w:val="008D304C"/>
    <w:rPr>
      <w:rFonts w:ascii="Arial" w:eastAsia="新細明體" w:hAnsi="Arial" w:cs="Times New Roman"/>
      <w:b/>
      <w:kern w:val="0"/>
      <w:sz w:val="22"/>
      <w:szCs w:val="20"/>
      <w:lang w:val="en-AU" w:eastAsia="en-US"/>
    </w:rPr>
  </w:style>
  <w:style w:type="character" w:customStyle="1" w:styleId="aa">
    <w:name w:val="本文 字元"/>
    <w:basedOn w:val="a0"/>
    <w:link w:val="a9"/>
    <w:uiPriority w:val="99"/>
    <w:semiHidden/>
    <w:qFormat/>
    <w:rsid w:val="008D304C"/>
    <w:rPr>
      <w:rFonts w:ascii="新細明體" w:eastAsia="新細明體" w:hAnsi="新細明體" w:cs="新細明體"/>
      <w:kern w:val="0"/>
    </w:rPr>
  </w:style>
  <w:style w:type="paragraph" w:customStyle="1" w:styleId="Default">
    <w:name w:val="Default"/>
    <w:qFormat/>
    <w:rsid w:val="008D304C"/>
    <w:pPr>
      <w:widowControl w:val="0"/>
      <w:autoSpaceDE w:val="0"/>
      <w:autoSpaceDN w:val="0"/>
      <w:adjustRightInd w:val="0"/>
    </w:pPr>
    <w:rPr>
      <w:rFonts w:ascii="Times New Roman" w:hAnsi="Times New Roman" w:cs="Times New Roman"/>
      <w:color w:val="000000"/>
    </w:rPr>
  </w:style>
  <w:style w:type="character" w:customStyle="1" w:styleId="a5">
    <w:name w:val="頁首 字元"/>
    <w:basedOn w:val="a0"/>
    <w:link w:val="a4"/>
    <w:uiPriority w:val="99"/>
    <w:qFormat/>
    <w:rsid w:val="008D304C"/>
    <w:rPr>
      <w:rFonts w:ascii="新細明體" w:eastAsia="新細明體" w:hAnsi="新細明體" w:cs="新細明體"/>
      <w:kern w:val="0"/>
      <w:sz w:val="20"/>
      <w:szCs w:val="20"/>
    </w:rPr>
  </w:style>
  <w:style w:type="character" w:customStyle="1" w:styleId="ac">
    <w:name w:val="頁尾 字元"/>
    <w:basedOn w:val="a0"/>
    <w:link w:val="ab"/>
    <w:uiPriority w:val="99"/>
    <w:qFormat/>
    <w:rsid w:val="008D304C"/>
    <w:rPr>
      <w:rFonts w:ascii="新細明體" w:eastAsia="新細明體" w:hAnsi="新細明體" w:cs="新細明體"/>
      <w:kern w:val="0"/>
      <w:sz w:val="20"/>
      <w:szCs w:val="20"/>
    </w:rPr>
  </w:style>
  <w:style w:type="table" w:customStyle="1" w:styleId="110">
    <w:name w:val="11"/>
    <w:basedOn w:val="TableNormal0"/>
    <w:qFormat/>
    <w:rsid w:val="008D304C"/>
    <w:tblPr>
      <w:tblCellMar>
        <w:top w:w="118" w:type="dxa"/>
        <w:left w:w="2" w:type="dxa"/>
      </w:tblCellMar>
    </w:tblPr>
  </w:style>
  <w:style w:type="table" w:customStyle="1" w:styleId="100">
    <w:name w:val="10"/>
    <w:basedOn w:val="TableNormal0"/>
    <w:qFormat/>
    <w:rsid w:val="008D304C"/>
    <w:tblPr>
      <w:tblCellMar>
        <w:left w:w="108" w:type="dxa"/>
        <w:right w:w="108" w:type="dxa"/>
      </w:tblCellMar>
    </w:tblPr>
  </w:style>
  <w:style w:type="table" w:customStyle="1" w:styleId="71">
    <w:name w:val="7"/>
    <w:basedOn w:val="TableNormal0"/>
    <w:qFormat/>
    <w:rsid w:val="008D304C"/>
    <w:tblPr>
      <w:tblCellMar>
        <w:left w:w="108" w:type="dxa"/>
        <w:right w:w="108" w:type="dxa"/>
      </w:tblCellMar>
    </w:tblPr>
  </w:style>
  <w:style w:type="paragraph" w:customStyle="1" w:styleId="13">
    <w:name w:val="修訂1"/>
    <w:hidden/>
    <w:uiPriority w:val="99"/>
    <w:semiHidden/>
    <w:qFormat/>
    <w:rsid w:val="008D304C"/>
  </w:style>
  <w:style w:type="table" w:customStyle="1" w:styleId="Style76">
    <w:name w:val="_Style 76"/>
    <w:basedOn w:val="TableNormal0"/>
    <w:qFormat/>
    <w:rsid w:val="008D304C"/>
    <w:tblPr>
      <w:tblCellMar>
        <w:top w:w="118" w:type="dxa"/>
        <w:left w:w="2" w:type="dxa"/>
      </w:tblCellMar>
    </w:tblPr>
  </w:style>
  <w:style w:type="table" w:customStyle="1" w:styleId="Style77">
    <w:name w:val="_Style 77"/>
    <w:basedOn w:val="TableNormal0"/>
    <w:qFormat/>
    <w:rsid w:val="008D304C"/>
    <w:tblPr>
      <w:tblCellMar>
        <w:left w:w="108" w:type="dxa"/>
        <w:right w:w="108" w:type="dxa"/>
      </w:tblCellMar>
    </w:tblPr>
  </w:style>
  <w:style w:type="table" w:customStyle="1" w:styleId="Style78">
    <w:name w:val="_Style 78"/>
    <w:basedOn w:val="TableNormal0"/>
    <w:qFormat/>
    <w:rsid w:val="008D304C"/>
    <w:tblPr>
      <w:tblCellMar>
        <w:left w:w="108" w:type="dxa"/>
        <w:right w:w="108" w:type="dxa"/>
      </w:tblCellMar>
    </w:tblPr>
  </w:style>
  <w:style w:type="table" w:customStyle="1" w:styleId="Style80">
    <w:name w:val="_Style 80"/>
    <w:qFormat/>
    <w:rsid w:val="008D304C"/>
    <w:tblPr>
      <w:tblCellMar>
        <w:top w:w="0" w:type="dxa"/>
        <w:left w:w="108" w:type="dxa"/>
        <w:bottom w:w="0" w:type="dxa"/>
        <w:right w:w="108" w:type="dxa"/>
      </w:tblCellMar>
    </w:tblPr>
  </w:style>
  <w:style w:type="table" w:customStyle="1" w:styleId="Style81">
    <w:name w:val="_Style 81"/>
    <w:qFormat/>
    <w:rsid w:val="008D304C"/>
    <w:tblPr>
      <w:tblCellMar>
        <w:top w:w="0" w:type="dxa"/>
        <w:left w:w="108" w:type="dxa"/>
        <w:bottom w:w="0" w:type="dxa"/>
        <w:right w:w="108" w:type="dxa"/>
      </w:tblCellMar>
    </w:tblPr>
  </w:style>
  <w:style w:type="table" w:customStyle="1" w:styleId="Style82">
    <w:name w:val="_Style 82"/>
    <w:qFormat/>
    <w:rsid w:val="008D304C"/>
    <w:tblPr>
      <w:tblCellMar>
        <w:top w:w="0" w:type="dxa"/>
        <w:left w:w="108" w:type="dxa"/>
        <w:bottom w:w="0" w:type="dxa"/>
        <w:right w:w="108" w:type="dxa"/>
      </w:tblCellMar>
    </w:tblPr>
  </w:style>
  <w:style w:type="table" w:customStyle="1" w:styleId="Style84">
    <w:name w:val="_Style 84"/>
    <w:qFormat/>
    <w:rsid w:val="008D304C"/>
    <w:tblPr>
      <w:tblCellMar>
        <w:top w:w="0" w:type="dxa"/>
        <w:left w:w="108" w:type="dxa"/>
        <w:bottom w:w="0" w:type="dxa"/>
        <w:right w:w="108" w:type="dxa"/>
      </w:tblCellMar>
    </w:tblPr>
  </w:style>
  <w:style w:type="table" w:customStyle="1" w:styleId="Style85">
    <w:name w:val="_Style 85"/>
    <w:qFormat/>
    <w:rsid w:val="008D304C"/>
    <w:tblPr>
      <w:tblCellMar>
        <w:top w:w="0" w:type="dxa"/>
        <w:left w:w="108" w:type="dxa"/>
        <w:bottom w:w="0" w:type="dxa"/>
        <w:right w:w="108" w:type="dxa"/>
      </w:tblCellMar>
    </w:tblPr>
  </w:style>
  <w:style w:type="table" w:customStyle="1" w:styleId="Style86">
    <w:name w:val="_Style 86"/>
    <w:qFormat/>
    <w:rsid w:val="008D304C"/>
    <w:tblPr>
      <w:tblCellMar>
        <w:top w:w="0" w:type="dxa"/>
        <w:left w:w="108" w:type="dxa"/>
        <w:bottom w:w="0" w:type="dxa"/>
        <w:right w:w="108" w:type="dxa"/>
      </w:tblCellMar>
    </w:tblPr>
  </w:style>
  <w:style w:type="paragraph" w:styleId="af3">
    <w:name w:val="Revision"/>
    <w:hidden/>
    <w:uiPriority w:val="99"/>
    <w:semiHidden/>
    <w:rsid w:val="00015683"/>
  </w:style>
  <w:style w:type="paragraph" w:styleId="af4">
    <w:name w:val="List Paragraph"/>
    <w:basedOn w:val="a"/>
    <w:uiPriority w:val="99"/>
    <w:rsid w:val="003D7FBD"/>
    <w:pPr>
      <w:ind w:leftChars="200" w:left="480"/>
    </w:pPr>
  </w:style>
  <w:style w:type="table" w:customStyle="1" w:styleId="af5">
    <w:basedOn w:val="TableNormal0"/>
    <w:tblPr>
      <w:tblStyleRowBandSize w:val="1"/>
      <w:tblStyleColBandSize w:val="1"/>
      <w:tblCellMar>
        <w:left w:w="108" w:type="dxa"/>
        <w:right w:w="108" w:type="dxa"/>
      </w:tblCellMar>
    </w:tblPr>
  </w:style>
  <w:style w:type="table" w:customStyle="1" w:styleId="af6">
    <w:basedOn w:val="TableNormal0"/>
    <w:tblPr>
      <w:tblStyleRowBandSize w:val="1"/>
      <w:tblStyleColBandSize w:val="1"/>
      <w:tblCellMar>
        <w:left w:w="108" w:type="dxa"/>
        <w:right w:w="108" w:type="dxa"/>
      </w:tblCellMar>
    </w:tblPr>
  </w:style>
  <w:style w:type="table" w:customStyle="1" w:styleId="af7">
    <w:basedOn w:val="TableNormal0"/>
    <w:tblPr>
      <w:tblStyleRowBandSize w:val="1"/>
      <w:tblStyleColBandSize w:val="1"/>
      <w:tblCellMar>
        <w:left w:w="108" w:type="dxa"/>
        <w:right w:w="108" w:type="dxa"/>
      </w:tblCellMar>
    </w:tblPr>
  </w:style>
  <w:style w:type="table" w:customStyle="1" w:styleId="af8">
    <w:basedOn w:val="TableNormal0"/>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201394">
      <w:bodyDiv w:val="1"/>
      <w:marLeft w:val="0"/>
      <w:marRight w:val="0"/>
      <w:marTop w:val="0"/>
      <w:marBottom w:val="0"/>
      <w:divBdr>
        <w:top w:val="none" w:sz="0" w:space="0" w:color="auto"/>
        <w:left w:val="none" w:sz="0" w:space="0" w:color="auto"/>
        <w:bottom w:val="none" w:sz="0" w:space="0" w:color="auto"/>
        <w:right w:val="none" w:sz="0" w:space="0" w:color="auto"/>
      </w:divBdr>
    </w:div>
    <w:div w:id="158157736">
      <w:bodyDiv w:val="1"/>
      <w:marLeft w:val="0"/>
      <w:marRight w:val="0"/>
      <w:marTop w:val="0"/>
      <w:marBottom w:val="0"/>
      <w:divBdr>
        <w:top w:val="none" w:sz="0" w:space="0" w:color="auto"/>
        <w:left w:val="none" w:sz="0" w:space="0" w:color="auto"/>
        <w:bottom w:val="none" w:sz="0" w:space="0" w:color="auto"/>
        <w:right w:val="none" w:sz="0" w:space="0" w:color="auto"/>
      </w:divBdr>
    </w:div>
    <w:div w:id="217907374">
      <w:bodyDiv w:val="1"/>
      <w:marLeft w:val="0"/>
      <w:marRight w:val="0"/>
      <w:marTop w:val="0"/>
      <w:marBottom w:val="0"/>
      <w:divBdr>
        <w:top w:val="none" w:sz="0" w:space="0" w:color="auto"/>
        <w:left w:val="none" w:sz="0" w:space="0" w:color="auto"/>
        <w:bottom w:val="none" w:sz="0" w:space="0" w:color="auto"/>
        <w:right w:val="none" w:sz="0" w:space="0" w:color="auto"/>
      </w:divBdr>
    </w:div>
    <w:div w:id="486750963">
      <w:bodyDiv w:val="1"/>
      <w:marLeft w:val="0"/>
      <w:marRight w:val="0"/>
      <w:marTop w:val="0"/>
      <w:marBottom w:val="0"/>
      <w:divBdr>
        <w:top w:val="none" w:sz="0" w:space="0" w:color="auto"/>
        <w:left w:val="none" w:sz="0" w:space="0" w:color="auto"/>
        <w:bottom w:val="none" w:sz="0" w:space="0" w:color="auto"/>
        <w:right w:val="none" w:sz="0" w:space="0" w:color="auto"/>
      </w:divBdr>
    </w:div>
    <w:div w:id="502669620">
      <w:bodyDiv w:val="1"/>
      <w:marLeft w:val="0"/>
      <w:marRight w:val="0"/>
      <w:marTop w:val="0"/>
      <w:marBottom w:val="0"/>
      <w:divBdr>
        <w:top w:val="none" w:sz="0" w:space="0" w:color="auto"/>
        <w:left w:val="none" w:sz="0" w:space="0" w:color="auto"/>
        <w:bottom w:val="none" w:sz="0" w:space="0" w:color="auto"/>
        <w:right w:val="none" w:sz="0" w:space="0" w:color="auto"/>
      </w:divBdr>
    </w:div>
    <w:div w:id="622735929">
      <w:bodyDiv w:val="1"/>
      <w:marLeft w:val="0"/>
      <w:marRight w:val="0"/>
      <w:marTop w:val="0"/>
      <w:marBottom w:val="0"/>
      <w:divBdr>
        <w:top w:val="none" w:sz="0" w:space="0" w:color="auto"/>
        <w:left w:val="none" w:sz="0" w:space="0" w:color="auto"/>
        <w:bottom w:val="none" w:sz="0" w:space="0" w:color="auto"/>
        <w:right w:val="none" w:sz="0" w:space="0" w:color="auto"/>
      </w:divBdr>
    </w:div>
    <w:div w:id="798690308">
      <w:bodyDiv w:val="1"/>
      <w:marLeft w:val="0"/>
      <w:marRight w:val="0"/>
      <w:marTop w:val="0"/>
      <w:marBottom w:val="0"/>
      <w:divBdr>
        <w:top w:val="none" w:sz="0" w:space="0" w:color="auto"/>
        <w:left w:val="none" w:sz="0" w:space="0" w:color="auto"/>
        <w:bottom w:val="none" w:sz="0" w:space="0" w:color="auto"/>
        <w:right w:val="none" w:sz="0" w:space="0" w:color="auto"/>
      </w:divBdr>
    </w:div>
    <w:div w:id="1028801058">
      <w:bodyDiv w:val="1"/>
      <w:marLeft w:val="0"/>
      <w:marRight w:val="0"/>
      <w:marTop w:val="0"/>
      <w:marBottom w:val="0"/>
      <w:divBdr>
        <w:top w:val="none" w:sz="0" w:space="0" w:color="auto"/>
        <w:left w:val="none" w:sz="0" w:space="0" w:color="auto"/>
        <w:bottom w:val="none" w:sz="0" w:space="0" w:color="auto"/>
        <w:right w:val="none" w:sz="0" w:space="0" w:color="auto"/>
      </w:divBdr>
    </w:div>
    <w:div w:id="1562206952">
      <w:bodyDiv w:val="1"/>
      <w:marLeft w:val="0"/>
      <w:marRight w:val="0"/>
      <w:marTop w:val="0"/>
      <w:marBottom w:val="0"/>
      <w:divBdr>
        <w:top w:val="none" w:sz="0" w:space="0" w:color="auto"/>
        <w:left w:val="none" w:sz="0" w:space="0" w:color="auto"/>
        <w:bottom w:val="none" w:sz="0" w:space="0" w:color="auto"/>
        <w:right w:val="none" w:sz="0" w:space="0" w:color="auto"/>
      </w:divBdr>
    </w:div>
    <w:div w:id="1577283886">
      <w:bodyDiv w:val="1"/>
      <w:marLeft w:val="0"/>
      <w:marRight w:val="0"/>
      <w:marTop w:val="0"/>
      <w:marBottom w:val="0"/>
      <w:divBdr>
        <w:top w:val="none" w:sz="0" w:space="0" w:color="auto"/>
        <w:left w:val="none" w:sz="0" w:space="0" w:color="auto"/>
        <w:bottom w:val="none" w:sz="0" w:space="0" w:color="auto"/>
        <w:right w:val="none" w:sz="0" w:space="0" w:color="auto"/>
      </w:divBdr>
    </w:div>
    <w:div w:id="1754474644">
      <w:bodyDiv w:val="1"/>
      <w:marLeft w:val="0"/>
      <w:marRight w:val="0"/>
      <w:marTop w:val="0"/>
      <w:marBottom w:val="0"/>
      <w:divBdr>
        <w:top w:val="none" w:sz="0" w:space="0" w:color="auto"/>
        <w:left w:val="none" w:sz="0" w:space="0" w:color="auto"/>
        <w:bottom w:val="none" w:sz="0" w:space="0" w:color="auto"/>
        <w:right w:val="none" w:sz="0" w:space="0" w:color="auto"/>
      </w:divBdr>
    </w:div>
    <w:div w:id="2117408054">
      <w:bodyDiv w:val="1"/>
      <w:marLeft w:val="0"/>
      <w:marRight w:val="0"/>
      <w:marTop w:val="0"/>
      <w:marBottom w:val="0"/>
      <w:divBdr>
        <w:top w:val="none" w:sz="0" w:space="0" w:color="auto"/>
        <w:left w:val="none" w:sz="0" w:space="0" w:color="auto"/>
        <w:bottom w:val="none" w:sz="0" w:space="0" w:color="auto"/>
        <w:right w:val="none" w:sz="0" w:space="0" w:color="auto"/>
      </w:divBdr>
    </w:div>
    <w:div w:id="21225344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BESEDqUHgcLOLANxdbxKNT9HQg==">CgMxLjAyDmguOWw4Mnk0Zzh5OTU2Mg5oLndvYXQ3eXlzOGFpODIOaC50OHd1dTkyZWtpNnIyDmguYWJ4bXRoZDNobzdzMg5oLmdldGNkZWVoMnIweTIOaC5lNTZ5bTBtaHlzZWMyDmguZTd5aTV6OXhpd3E0MgloLjRkMzRvZzgyDmguNnIwZXV5eGRqajRqOAByITFmTEcxV2FPdXAyUnVwcFphel9xck9makdqNElPVG0tVg==</go:docsCustomData>
</go:gDocsCustomXmlDataStorage>
</file>

<file path=customXml/itemProps1.xml><?xml version="1.0" encoding="utf-8"?>
<ds:datastoreItem xmlns:ds="http://schemas.openxmlformats.org/officeDocument/2006/customXml" ds:itemID="{934D48F2-645D-4CD8-AEA3-86B52E9B013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3</Pages>
  <Words>417</Words>
  <Characters>2380</Characters>
  <Application>Microsoft Office Word</Application>
  <DocSecurity>0</DocSecurity>
  <Lines>19</Lines>
  <Paragraphs>5</Paragraphs>
  <ScaleCrop>false</ScaleCrop>
  <Company/>
  <LinksUpToDate>false</LinksUpToDate>
  <CharactersWithSpaces>2792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售電業申照輔導暨申請服務－服務工作範圍書</dc:title>
  <dc:creator>優選股份有限公司</dc:creator>
  <cp:lastModifiedBy>優選股份有限公司</cp:lastModifiedBy>
  <cp:revision>13</cp:revision>
  <cp:lastPrinted>2025-02-11T14:35:00Z</cp:lastPrinted>
  <dcterms:created xsi:type="dcterms:W3CDTF">2026-07-28T18:44:00Z</dcterms:created>
  <dcterms:modified xsi:type="dcterms:W3CDTF">2026-07-29T04:45:00Z</dcterms:modified>
  <dc:subject>售電業申照輔導暨申請服務</dc:subject>
  <dc:description/>
  <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aac5dc6-06d5-4aa5-8c1a-4cc62eff72ca_Enabled">
    <vt:lpwstr>True</vt:lpwstr>
  </property>
  <property fmtid="{D5CDD505-2E9C-101B-9397-08002B2CF9AE}" pid="3" name="MSIP_Label_1aac5dc6-06d5-4aa5-8c1a-4cc62eff72ca_SiteId">
    <vt:lpwstr>0532e3ca-5510-49ca-a1ec-37a28a1a9c5a</vt:lpwstr>
  </property>
  <property fmtid="{D5CDD505-2E9C-101B-9397-08002B2CF9AE}" pid="4" name="MSIP_Label_1aac5dc6-06d5-4aa5-8c1a-4cc62eff72ca_Owner">
    <vt:lpwstr>roxana.cheng@venaenergy.com</vt:lpwstr>
  </property>
  <property fmtid="{D5CDD505-2E9C-101B-9397-08002B2CF9AE}" pid="5" name="MSIP_Label_1aac5dc6-06d5-4aa5-8c1a-4cc62eff72ca_SetDate">
    <vt:lpwstr>2021-01-13T02:57:20.4285159Z</vt:lpwstr>
  </property>
  <property fmtid="{D5CDD505-2E9C-101B-9397-08002B2CF9AE}" pid="6" name="MSIP_Label_1aac5dc6-06d5-4aa5-8c1a-4cc62eff72ca_Name">
    <vt:lpwstr>Confidential</vt:lpwstr>
  </property>
  <property fmtid="{D5CDD505-2E9C-101B-9397-08002B2CF9AE}" pid="7" name="MSIP_Label_1aac5dc6-06d5-4aa5-8c1a-4cc62eff72ca_Application">
    <vt:lpwstr>Microsoft Azure Information Protection</vt:lpwstr>
  </property>
  <property fmtid="{D5CDD505-2E9C-101B-9397-08002B2CF9AE}" pid="8" name="MSIP_Label_1aac5dc6-06d5-4aa5-8c1a-4cc62eff72ca_ActionId">
    <vt:lpwstr>ab4dde57-31ca-4518-bc43-3552312c2da5</vt:lpwstr>
  </property>
  <property fmtid="{D5CDD505-2E9C-101B-9397-08002B2CF9AE}" pid="9" name="MSIP_Label_1aac5dc6-06d5-4aa5-8c1a-4cc62eff72ca_Extended_MSFT_Method">
    <vt:lpwstr>Automatic</vt:lpwstr>
  </property>
  <property fmtid="{D5CDD505-2E9C-101B-9397-08002B2CF9AE}" pid="10" name="MSIP_Label_acc0d476-a8a2-42a3-858f-585f04e963fe_Enabled">
    <vt:lpwstr>True</vt:lpwstr>
  </property>
  <property fmtid="{D5CDD505-2E9C-101B-9397-08002B2CF9AE}" pid="11" name="MSIP_Label_acc0d476-a8a2-42a3-858f-585f04e963fe_SiteId">
    <vt:lpwstr>0532e3ca-5510-49ca-a1ec-37a28a1a9c5a</vt:lpwstr>
  </property>
  <property fmtid="{D5CDD505-2E9C-101B-9397-08002B2CF9AE}" pid="12" name="MSIP_Label_acc0d476-a8a2-42a3-858f-585f04e963fe_Owner">
    <vt:lpwstr>roxana.cheng@venaenergy.com</vt:lpwstr>
  </property>
  <property fmtid="{D5CDD505-2E9C-101B-9397-08002B2CF9AE}" pid="13" name="MSIP_Label_acc0d476-a8a2-42a3-858f-585f04e963fe_SetDate">
    <vt:lpwstr>2021-01-13T02:57:20.4285159Z</vt:lpwstr>
  </property>
  <property fmtid="{D5CDD505-2E9C-101B-9397-08002B2CF9AE}" pid="14" name="MSIP_Label_acc0d476-a8a2-42a3-858f-585f04e963fe_Name">
    <vt:lpwstr>Internal or Authorised</vt:lpwstr>
  </property>
  <property fmtid="{D5CDD505-2E9C-101B-9397-08002B2CF9AE}" pid="15" name="MSIP_Label_acc0d476-a8a2-42a3-858f-585f04e963fe_Application">
    <vt:lpwstr>Microsoft Azure Information Protection</vt:lpwstr>
  </property>
  <property fmtid="{D5CDD505-2E9C-101B-9397-08002B2CF9AE}" pid="16" name="MSIP_Label_acc0d476-a8a2-42a3-858f-585f04e963fe_ActionId">
    <vt:lpwstr>ab4dde57-31ca-4518-bc43-3552312c2da5</vt:lpwstr>
  </property>
  <property fmtid="{D5CDD505-2E9C-101B-9397-08002B2CF9AE}" pid="17" name="MSIP_Label_acc0d476-a8a2-42a3-858f-585f04e963fe_Parent">
    <vt:lpwstr>1aac5dc6-06d5-4aa5-8c1a-4cc62eff72ca</vt:lpwstr>
  </property>
  <property fmtid="{D5CDD505-2E9C-101B-9397-08002B2CF9AE}" pid="18" name="MSIP_Label_acc0d476-a8a2-42a3-858f-585f04e963fe_Extended_MSFT_Method">
    <vt:lpwstr>Automatic</vt:lpwstr>
  </property>
  <property fmtid="{D5CDD505-2E9C-101B-9397-08002B2CF9AE}" pid="19" name="Sensitivity">
    <vt:lpwstr>Confidential Internal or Authorised</vt:lpwstr>
  </property>
  <property fmtid="{D5CDD505-2E9C-101B-9397-08002B2CF9AE}" pid="20" name="KSOProductBuildVer">
    <vt:lpwstr>1028-10.8.0.6003</vt:lpwstr>
  </property>
</Properties>
</file>