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Isaac Adjei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Electronic Engineering &amp; Computer Science Student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contact@isaacadjei.me  |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07404959677  |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Birmingham, UK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3B82F6"/>
          <w:sz w:val="18"/>
          <w:szCs w:val="18"/>
        </w:rPr>
        <w:t xml:space="preserve">https://www.isaacadjei.me  |  </w:t>
      </w:r>
      <w:r>
        <w:rPr>
          <w:rFonts w:ascii="Calibri" w:cs="Calibri" w:eastAsia="Calibri" w:hAnsi="Calibri"/>
          <w:color w:val="3B82F6"/>
          <w:sz w:val="18"/>
          <w:szCs w:val="18"/>
        </w:rPr>
        <w:t xml:space="preserve">https://linkedin.com/in/isaacadjei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PROFILE</w:t>
      </w:r>
    </w:p>
    <w:p>
      <w:pPr>
        <w:spacing w:after="12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Electronic Engineering and Computer Science student at Aston University (Predicted First Class) with strong mathematical foundations and programming expertise in C++ and Python. Experience with high-performance computing, algorithm design and quantitative analysis. Seeking quantitative developer and trading internships.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EDUCATION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Aston University, Birmingham</w:t>
      </w:r>
    </w:p>
    <w:p>
      <w:pPr>
        <w:spacing w:after="4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BEng (Hons), Electronic Engineering and Computer Science  |  Oct 2024 - Jul 2028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Predicted: First Class</w:t>
      </w:r>
    </w:p>
    <w:p>
      <w:pPr>
        <w:spacing w:after="60"/>
      </w:pPr>
      <w:r>
        <w:rPr>
          <w:rFonts w:ascii="Calibri" w:cs="Calibri" w:eastAsia="Calibri" w:hAnsi="Calibri"/>
          <w:color w:val="3B82F6"/>
          <w:sz w:val="18"/>
          <w:szCs w:val="18"/>
        </w:rPr>
        <w:t xml:space="preserve">Top 40 Finalist - Black Heritage Undergraduate of the Year Award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Relevant Modules: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Internet Applications and Databases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Foundations of AI and Data Science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Introductory Programming for Digital Science (Python)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Digital Circuit Design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Object-Oriented Programming (C++)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C++, Python, Rust, CUDA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Math: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Linear Algebra, Calculus, Probability, Statistics, Stochastic Calculus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Tools: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NumPy, Pandas, QuantLib, Backtrader, Zipline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Performance: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Low-latency optimisation, Memory management, Cache optimisation, SIMD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Finance: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Derivatives pricing, Risk management, Algorithmic trading concepts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PROJECTS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Quantitative Trading Simulator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2025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Python, Pandas, NumPy, Backtrader, Yahoo Finance API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Backtesting engine for momentum and mean-reversion strategies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Implemented risk management with stop-losses and position sizing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Portfolio analytics with Sharpe ratio, drawdown and volatility calculations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Event-driven architecture processing tick data with microsecond precision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TargetJobs / Sky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Top 40 Finalist - Black Heritage Undergraduate of the Year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Recognised among thousands of applicants for academic excellence and leadership potential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Assessment centre experience including case studies and technical interviews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Cancer Research UK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2022-2024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Shop Volunteer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Customer service and retail operations in charity shop environment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Cash handling, stock management and visual merchandising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2026-05-26T01:05:15.154Z</dcterms:created>
  <dcterms:modified xsi:type="dcterms:W3CDTF">2026-05-26T01:05:15.154Z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