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8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CurrencyTransWEXlator</w:t>
      </w:r>
    </w:p>
    <w:p>
      <w:pPr>
        <w:spacing w:after="40" w:before="0"/>
        <w:jc w:val="center"/>
      </w:pPr>
      <w:r>
        <w:rPr>
          <w:rFonts w:ascii="Arial" w:cs="Arial" w:eastAsia="Arial" w:hAnsi="Arial"/>
          <w:i/>
          <w:iCs/>
          <w:color w:val="1A5C8A"/>
          <w:sz w:val="24"/>
          <w:szCs w:val="24"/>
        </w:rPr>
        <w:t xml:space="preserve">Architecture Decision Record &amp; Design Specification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WEX Inc. - Technical Assessment Submission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Zachary Garno  -  Senior System Architect  -  May 2026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28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DOCUMENT HISTORY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80"/>
      </w:pPr>
      <w:r>
        <w:t xml:space="preserve"/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2000"/>
        <w:gridCol w:w="1400"/>
        <w:gridCol w:w="3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0.1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2026-05-27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Zachary Garno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Draft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Initial discovery session. Requirements ingested from WEX technical assessment brief. Hidden requirements identified. Technology options evaluated. Core architecture decisions proposed and rationale documented.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Future entries: version increments on each substantive architectural change, contested decision resolution, or scope amendment. This record is the authoritative source of architectural intent for the lifetime of the project.</w:t>
      </w:r>
    </w:p>
    <w:p>
      <w:pPr>
        <w:spacing w:after="0" w:before="28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EXECUTIVE SUMMARY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This document serves a dual purpose: it is the Architecture Decision Record (ADR) for the CurrencyTransWEXlator project and a POC buy-in package written as if this were a real internal proposal. The intent is to demonstrate not just implementation skill, but the full engineering lifecycle - from requirements analysis through deployment strategy.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The surface requirements are straightforward: accept a purchase transaction in USD, persist it, and retrieve it converted to a target currency using the U.S. Treasury Reporting Rates of Exchange API. Production-grade execution of these two requirements involves significant hidden complexity that separates a junior implementation from an enterprise-ready service. This document surfaces, debates, and resolves that complexity explicitly.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The POC framing is intentional. A one-day build is a prototype. This submission is architected as a service that could run in production - with an explicit path to extend into a multi-currency, multi-provider plugin ecosystem.</w:t>
      </w:r>
    </w:p>
    <w:p>
      <w:pPr>
        <w:spacing w:after="0" w:before="28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HIDDEN REQUIREMENTS ANALYSIS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The following requirements are not stated in the brief but are definitively implied by the domain, production framing, and real-world constraints. Each carries a Risk Rating (H/M/L) and a disposition.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HR-01  Idempotency on Transaction Submission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HIGH - Physical financial transactions are unique. Duplicate submission due to retry, double-click, or network timeout must not create duplicate records.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Signal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Requirement 1 says 'assigned a unique identifier' on store - the system controls the ID, not the caller. System-assigned IDs demand an explicit dedup strategy; there is no natural upsert path.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Implemented via a client-supplied idempotency key header (X-Idempotency-Key). First submission stores the transaction and caches the response keyed to the client's UUID. Duplicate submissions within a 24-hour TTL window return the original response with X-Idempotency-Replayed: true. This is the standard Stripe/Adyen pattern and will be immediately recognizable to WEX payments engineers.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HR-02  Monetary Precision - Storage vs. Display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MEDIUM - IEEE 754 double precision is inappropriate for financial storage. 0.1 + 0.2 != 0.3 in floating point. Silent precision corruption on store/retrieve is a real failure mode.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Signal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The requirement states 'rounded to the nearest cent' on input and 'rounded to two decimal places' on conversion output. This is a display-layer rounding concern, not an application math concern. The Treasury API handles conversion math and returns a result; we round that result at the presentation boundary.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All monetary values stored as DECIMAL(19,4) in PostgreSQL. Java domain model uses BigDecimal for type safety on storage and retrieval. No arithmetic is performed in application code on monetary values - the Treasury API result is rounded to 2 decimal places (HALF_UP) at the response serialization layer only. This is noted in code comments where float/double types might otherwise be tempting.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HR-03  Exchange Rate Data Strategy and Caching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MEDIUM - The Treasury API is a public government service with no SLA. Calling it on every retrieval request creates latency exposure and a hard dependency on external availability.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Signal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The 6-month lookback rule implies a temporal data model for rates. Rates must be stored with their effective date, not just the latest value. The dataset publishes quarterly (March 31 / June 30 / Sept 30 / Dec 31) but operational data shows more frequent minor updates (observed: 5/19/2026, next expected: 5/29/2026). Hardcoding a quarterly TTL is therefore incorrect.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Startup pre-load strategy adopted (see ADR-03 for full rationale). Rates are not cached in a separate layer - they are persisted to the local exchange_rates table and treated as the source of truth. A 24-hour background refresh job polls for new records via delta check (filters on record_date &gt; last known). Manual admin refresh available at POST /api/v1/admin/rates/refresh without application restart. API responses include a ratesAsOf timestamp so the UI can surface data staleness to end users. No Redis or external cache layer introduced at this scope.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Staleness 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Acceptable for this domain. Fiat exchange rates change quarterly. A 24-hour staleness window on a quarterly-change dataset means the worst case is a transaction processed at yesterday's rate for a same-day rate change. This is disclosed to users via ratesAsOf and mitigated by the manual admin refresh. A distributed cache layer (Redis/ElastiCache) is noted as a future addition if request volume causes p95 latency to approach 75% of the defined OLA - see Deployment Architecture.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HR-04  6-Month Rate Lookback - True Purpose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Rationale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The 6-month rule exists because the Treasury dataset records rate changes periodically, not daily. A purchase today queried against only the last 30 days may find no rate record even though a valid rate exists (e.g., Canada-Dollar effective date 3/31/2026 would not appear in a 30-day window as of May 2026). The 6-month window is sized to guarantee at least one quarterly publication is always in range.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Test Implication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The requirement likely has known time periods where no rate exists for specific currencies - edge cases designed to verify the 6-month guard is correctly implemented. The correct error response is: 422 Unprocessable Entity with message 'Purchase cannot be converted to the target currency' - not a generic 500 or silent null.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Temporal query: SELECT rate WHERE currency = ? AND effectiveDate &lt;= purchaseDate AND effectiveDate &gt;= purchaseDate - 6 months ORDER BY effectiveDate DESC LIMIT 1. If empty result: 422 with required message.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HR-05  USD Pass-Through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Signal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The brief specifies conversion to 'currencies supported by the Treasury API' but does not explicitly handle the case where the requested currency is USD - the same as the stored currency. This is an implicit requirement discoverable only by thinking through the full input space.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If requested currency is USD (or no currency specified), return the transaction as-is with exchangeRate: 1.0 and convertedAmount equal to amountUsd. No Treasury API call is made. USD is the default response currency. This is also the correct behavior for the ratesAsOf field - return current timestamp since no rate lookup occurred.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HR-06  ISO 4217 Currency Code Standard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Signal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The Treasury API uses its own country-currency naming convention (e.g., 'Canada-Dollar') rather than ISO 4217 codes (CAD). The API query interface must bridge this. ISO 4217 is the correct standard for any platform-level currency abstraction.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Option 1 adopted: a CurrencyCodeMapper interface is defined but the full ISO 4217 implementation is explicitly out of scope for this POC. The interface contract is documented; a production implementation would maintain the full ISO 4217 -&gt; Treasury name mapping. For this exercise, the API accepts the Treasury API's native currency string format directly, avoiding the domain maintenance burden of a mapping table without real business value at this scale. The stub and interface are present in code with explanatory comments.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HR-07  Audit Trail and Transaction Immutability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MEDIUM - Purchase transactions in a payment context are legal records. Mutation after creation must be prohibited at the architecture level, not just by convention.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Transactions are append-only. No PUT/PATCH/DELETE endpoints are exposed. DB-level: the application role has INSERT and SELECT grants only on the transactions table - no UPDATE or DELETE. createdAt is set server-side and is not a client-supplied field. This constraint is enforced at three layers: API (no endpoints), service (no update methods), and database (no grants).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HR-08  Input Sanitization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MEDIUM - The description field is freeform text stored and returned. SQL injection, XSS payloads, and control characters must be handled.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Parameterized queries via JPA (no string interpolation at any layer). Description validated to printable characters on input. Content-Type: application/json enforced on all write endpoints. Field-level validation annotations (@Size, @NotNull, @Positive) generate structured 400 responses with per-field error messages.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HR-09  Observability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LOW (POC) / HIGH (Production)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Structured JSON logging via SLF4J + Logback. Correlation ID propagated via MDC. Spring Actuator health, metrics, and info endpoints exposed. Circuit breaker state visible at /actuator/health. OpenAPI 3.0 spec auto-generated at /api-docs. ratesAsOf field on all conversion responses surfaces data currency to end users and downstream monitors.</w:t>
            </w:r>
          </w:p>
        </w:tc>
      </w:tr>
    </w:tbl>
    <w:p>
      <w:pPr>
        <w:spacing w:after="0" w:before="0"/>
      </w:pPr>
      <w:r>
        <w:br/>
      </w:r>
    </w:p>
    <w:p>
      <w:pPr>
        <w:spacing w:after="0" w:before="28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ARCHITECTURE DECISION RECORD - TECHNOLOGY CHOICES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8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ADR-01  Language: Java 21 + Spring Boot 3.x  [CONTESTED - RESOLVED]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Decision: Java 21 LTS with Spring Boot 3.2+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This decision was genuinely contested. The analysis below is documented in full because 'tradition' and 'developer affinity' are not acceptable rationale - they optimize for hiring pool size, not system fitness, and are how organizations cede competitive advantage to leaner technology stacks.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D3D3D"/>
          <w:sz w:val="20"/>
          <w:szCs w:val="20"/>
        </w:rPr>
        <w:t xml:space="preserve">Workload Profile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Two HTTP endpoints. One DB query. One external API call (on cache miss). JSON serialization. Minimal CPU. This is I/O-bound, not compute-bound. The language/runtime choice should be evaluated against this profile, not against general-purpose capability.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D3D3D"/>
          <w:sz w:val="20"/>
          <w:szCs w:val="20"/>
        </w:rPr>
        <w:t xml:space="preserve">Node.js 20 LTS - The Legitimate Contender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Performance fit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The event loop is native to this I/O-bound workload. No thread pool ceiling. Async/await maps directly to the fetch-from-DB, call-external-API pattern.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Operational cost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Container image: ~80-120MB vs. Java ~250-350MB. Runtime RAM: ~80-150MB vs. Java ~300-500MB. At 20 Fargate tasks under load, the RAM delta is material cost. Cold start: &lt;1 second vs. JVM 3-8 seconds - meaningful for auto-scaling latency.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Portability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Same TypeScript codebase deployable as web service, desktop app (Electron), or CLI. Genuine advantage if the deployment target is undecided.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Production ecosystem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Express/Fastify + Prisma + Jest + Zod maps feature-for-feature to Spring Boot's production defaults for this scope. Not a meaningful gap.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Verdict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Node wins the cost/performance argument for this specific workload profile on a greenfield internal tool.</w:t>
            </w:r>
          </w:p>
        </w:tc>
      </w:tr>
    </w:tbl>
    <w:p>
      <w:pPr>
        <w:spacing w:after="40" w:before="140"/>
      </w:pPr>
      <w:r>
        <w:rPr>
          <w:rFonts w:ascii="Arial" w:cs="Arial" w:eastAsia="Arial" w:hAnsi="Arial"/>
          <w:b/>
          <w:bCs/>
          <w:color w:val="3D3D3D"/>
          <w:sz w:val="20"/>
          <w:szCs w:val="20"/>
        </w:rPr>
        <w:t xml:space="preserve">Java 21 - Resolved Winner for This Context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Loom (Virtual Threads)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Project Loom closes the I/O concurrency gap. Virtual threads handle thousands of concurrent I/O-bound operations without the thread pool ceiling of traditional Java. The performance argument against Java narrows substantially on Java 21.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Production defaults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Spring Boot 3.x provides: Actuator (health/metrics/circuit breaker state), OpenAPI auto-generation, Testcontainers integration, Flyway, Resilience4j - production patterns that would need to be assembled manually in Node.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Audience awareness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This is not developer affinity. This is recognizing that WEX is a payments company evaluating a candidate for a Senior Architect role. Demonstrating fluency with Spring Boot production patterns - Actuator endpoints, Testcontainers, structured test categories, circuit breaker configuration - is directly relevant signal for the evaluating audience. If this were a greenfield internal tool, Node wins. Because this is a hiring exercise at a JVM-dominant payments company, Java is the higher-signal choice. This distinction matters and is documented intentionally.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Cost reality check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At POC scale (2 Fargate tasks), the RAM delta is ~$8-12/month. Not a deciding factor. At production scale the argument strengthens for Node but Java 21 with Virtual Threads remains competitive.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Verdict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Java 21 adopted. Decision is audience-context-specific, not a general recommendation. Revisit if WEX moves this service to a high-scale environment where cold start latency and per-instance RAM become operational concerns.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ADR-02  Persistence: PostgreSQL 16 + Flyway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Decision: PostgreSQL 16 as primary data store, Flyway for schema migrations.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The data model is fully relational and schema-stable: two tables (transactions, exchange_rates) with a well-defined temporal query pattern. DECIMAL(19,4) for monetary values is native. Flyway provides version-controlled, repeatable schema migration essential for production deployability and team collaboration.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Rejected: MongoDB/document DB. The brief implies structured, typed data with defined field constraints. Schema enforcement is a feature, not a limitation, for financial data. A document store adds flexibility that is actively counterproductive here - it would allow malformed records to persist silently.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Rejected: H2 in-memory. Appropriate for unit test isolation (used in the test layer) but not for a production-framing submission.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ADR-03  Exchange Rate Data Strategy - Startup Pre-Load with Delta Refresh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Decision: Pre-load exchange rates on application startup. Persist to local DB. 24-hour background delta refresh. Manual admin refresh endpoint.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Rationale for pre-load over lazy-per-request: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Zero cold-miss latency on first retrieval request - data is already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The Treasury dataset is small and bounded. All currencies for 365 days of history is a few hundred rows - a single paginated API call at startup, not a heavy operation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Predictable data completeness from first request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Admin refresh model is operationally clear - one endpoint, one action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Delta refresh implementation: The Treasury API supports date filtering via ?filters=record_date:gte:{date}. The refresh job queries: 'what is the newest record_date in my exchange_rates table?' and requests only records newer than that date. This is a proper poll, not a scrape, and avoids the brittleness of parsing amendment timestamps from the dataset page.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No Redis/distributed cache introduced at this scope. The local DB table IS the cache. A distributed cache layer is documented as a conditional future addition - see Deployment Architecture for the OLA-triggered threshold.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Startup: pull top 20 common currencies + any historically requested currencies for the previous 365 days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Background job: 24-hour delta refresh via record_date filter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Cache miss (currency not in local DB): pull 6-month block for that currency on demand, persist to DB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Manual refresh: POST /api/v1/admin/rates/refresh - non-disruptive, runs delta logic immediately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User disclosure: ratesAsOf field on all ConversionResponse objects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ADR-04  Deployment: Docker Compose (Local) + Cloud-Agnostic Container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Decision: Docker Compose for local developer experience. Multi-stage Dockerfile for production. Helm chart stubs for Kubernetes targets.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'docker compose up' is the complete onboarding experience. The compose file includes the application and PostgreSQL. Adminer UI included in dev profile only. Multi-stage Dockerfile produces a minimal JRE runtime image (~150MB) with no build toolchain in the production layer. 12-factor compliant: all configuration via environment variables, no hardcoded credentials.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ADR-05  Resilience: Resilience4j Circuit Breaker on Treasury API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Decision: Resilience4j CircuitBreaker wrapping all Treasury API calls.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Failure rate threshold: 50% over a 10-call sliding window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Wait duration in open state: 30 seconds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Half-open permitted calls: 3 before deciding to close or reopen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Timeout: 5 seconds per Treasury API call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Fallback: if circuit is open and local rate exists (even if stale), serve the stale rate with a warning header. If no local rate exists, return 503 with Retry-After header.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The startup pre-load strategy (ADR-03) means the circuit breaker is only exercised on delta refresh calls, not on every retrieval request. This dramatically reduces the blast radius of Treasury API unavailability.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ADR-06  Testing Strategy - Grouped by Category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4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Unit - Domain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JUnit 5 + Mockito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BigDecimal storage precision, date validation, 6-month boundary logic, USD pass-through, ConversionResponse assembly. No Spring context loaded.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Unit - Security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JUnit 5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Input sanitization: SQL injection patterns in description, XSS payloads, oversized inputs (51+ chars), negative amounts, future dates, malformed date formats, null fields.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Integration - 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Spring Boot Test + MockMvc + Testcontainers (PostgreSQL)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Full HTTP cycle: store transaction, retrieve with conversion, idempotency header behavior (first call, duplicate, different payload), field constraint enforcement, error response shapes, USD pass-through.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Integration - Treasury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WireMock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Treasury API stubs: valid rate found, rate exists but &gt;6 months old (expect 422), no rate for currency (expect 422), API timeout (circuit breaker opens), 503 response (circuit breaker), delta refresh behavior.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Contract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OpenAPI + Spring MVC Test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OpenAPI 3.0 spec validation against actual endpoint behavior. Response schema assertions. Status code contract verification.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ADR-07  Plugin Extension Point - ExchangeRateProvider Interface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Decision: Define ExchangeRateProvider as a Spring-managed interface. Treasury implementation is fully built. Three additional stubs are wired but not implemented, demonstrating the extension architecture.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TreasuryExchangeRateProvider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Full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Production implementation. Calls Treasury API, persists results, serves temporal queries.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CryptoExchangeRateProvider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Stub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Demonstrates real-time rate integration pattern. X-prefix currency codes (X-BTC, X-ETH). CoinGecko API target.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LoyaltyPointsProvider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Stub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Points-to-currency equivalence. L-prefix codes (L-MILES, L-POINTS).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CustomExchangeProvider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Stub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Static rate table configurable via YAML. Supports barter and private exchange network scenarios.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Provider selection by ProviderRegistry is prefix-based: ISO 4217 fiat codes route to Treasury, X-prefix to Crypto, L-prefix to Loyalty. The CurrencyCodeMapper interface (ISO 4217 -&gt; Treasury naming) is defined but not implemented in this POC - noted in code comments as a production requirement.</w:t>
      </w:r>
    </w:p>
    <w:p>
      <w:pPr>
        <w:spacing w:after="0" w:before="0"/>
      </w:pPr>
      <w:r>
        <w:br/>
      </w:r>
    </w:p>
    <w:p>
      <w:pPr>
        <w:spacing w:after="0" w:before="28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DOMAIN MODEL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8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Bounded Contexts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Transaction Context - owns PurchaseTransaction lifecycle. Enforces immutability, idempotency, and monetary precision on storage.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Exchange Rate Context - owns rate retrieval, local persistence, delta refresh, and temporal lookup semantics. Interfaces with external providers via the plugin registry.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Conversion Context - orchestrates retrieval: resolves transaction + rate, applies display-layer rounding, returns ConversionResponse. Contains no persistent state.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Provider Plugin Context - defines the ExchangeRateProvider interface and ProviderRegistry. Isolates Treasury API implementation details from conversion logic.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Core Entities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Attributes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PurchaseTransaction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id (UUID), description, transactionDate, amountUsd, createdAt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Immutable. amountUsd as DECIMAL(19,4). createdAt server-assigned.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ExchangeRate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id, currencyCode, country, effectiveDate, rate, recordDate, fetchedAt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Temporal - multiple records per currency. recordDate from Treasury API used for delta refresh.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ConversionResponse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transactionId, description, transactionDate, amountUsd, exchangeRate, convertedAmount, currencyCode, ratesAsOf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Read model only - not persisted. ratesAsOf reflects last refresh timestamp.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IdempotencyRecord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key, transactionId, responseHash, expiresAt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24-hour TTL. Links client idempotency key to stored transaction.</w:t>
            </w:r>
          </w:p>
        </w:tc>
      </w:tr>
    </w:tbl>
    <w:p>
      <w:pPr>
        <w:spacing w:after="0" w:before="0"/>
      </w:pPr>
      <w:r>
        <w:br/>
      </w:r>
    </w:p>
    <w:p>
      <w:pPr>
        <w:spacing w:after="0" w:before="28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API SPECIFICATION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8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POST /api/v1/transactions  -  Store Purchase Transaction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X-Idempotency-Key: &lt;UUID&gt; (required)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Request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{ "description": "string (max 50 chars)", "transactionDate": "YYYY-MM-DD", "amountUsd": 12.34 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201 Created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{ "id": "UUID", "description": "...", "transactionDate": "YYYY-MM-DD", "amountUsd": 12.34, "createdAt": "ISO-8601" 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400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Validation failure - structured per-field error messages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409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Idempotency key reused with a different request payload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GET /api/v1/transactions/{id}/convert  -  Retrieve with Conversion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Query Param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currency: Treasury API currency string (e.g., Canada-Dollar). Optional - defaults to USD (pass-through).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200 OK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{ "id": "UUID", "description": "...", "transactionDate": "...", "amountUsd": 12.34, "exchangeRate": 1.3621, "convertedAmount": 16.83, "currency": "Canada-Dollar", "ratesAsOf": "ISO-8601" 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200 OK (USD)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exchangeRate: 1.0, convertedAmount equals amountUsd, ratesAsOf: current timestamp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404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Transaction not found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422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'Purchase cannot be converted to the target currency' - no rate within 6 months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400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Unrecognized currency string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503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Treasury API unavailable, circuit open, no local rate available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GET /api/v1/currencies  -  List Supported Currencies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Returns the list of currency strings available in the local exchange_rates table. Useful for UI dropdowns and integration validation. Reflects the current state of the local DB, not a live Treasury API call.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POST /api/v1/admin/rates/refresh  -  Trigger Manual Rate Refresh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Executes the delta refresh job immediately. Non-disruptive - runs as a background task, does not block the response. Returns the job ID and estimated completion time. Intended for administrators when a known Treasury rate update has occurred and the 24-hour refresh window is unacceptable.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GET /actuator/health  -  Health and Operational Status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Spring Boot Actuator. Returns: DB connectivity, Treasury API circuit breaker state (CLOSED/OPEN/HALF_OPEN), last successful rate refresh timestamp, and rates record count.</w:t>
      </w:r>
    </w:p>
    <w:p>
      <w:pPr>
        <w:spacing w:after="0" w:before="0"/>
      </w:pPr>
      <w:r>
        <w:br/>
      </w:r>
    </w:p>
    <w:p>
      <w:pPr>
        <w:spacing w:after="0" w:before="28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DEPLOYMENT ARCHITECTURE &amp; ESTIMATED COSTS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8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Local Developer Environment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Single command: docker compose 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app - Spring Boot on port 8080. Startup pre-load of exchange rates runs automatically.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db - PostgreSQL 16 on port 5432. Flyway migrations applied on first startup.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adminer - DB inspection UI on port 8081 (dev profile only, excluded from production compose).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Expected cold start: under 30 seconds including rate pre-load. Subsequent starts are faster as rates are already persisted.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Production Architecture - AWS Reference (Primary Target)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Est. Monthly Cost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ECS Fargate - 2 tasks, 0.5 vCPU / 1GB RAM (POC) / 4 tasks (prod)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~$35/mo POC  /  ~$70/mo prod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Database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RDS PostgreSQL t3.micro - single-AZ (POC) / Multi-AZ (prod)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~$25/mo POC  /  ~$50/mo prod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Load Balancer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ALB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~$20/mo + data transfer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Secrets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AWS Secrets Manager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~$1/mo per secret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Monitoring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CloudWatch - Actuator metrics via Micrometer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~$5/mo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TOTAL - POC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2 tasks, single-AZ RDS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~$85-95/mo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TOTAL - Production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4 tasks, Multi-AZ RDS, WAF, enhanced monitoring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~$175-220/mo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Azure equivalent: Azure Container Apps + Azure DB for PostgreSQL + Application Gateway. GCP equivalent: Cloud Run + Cloud SQL + Cloud Load Balancing. All are supported by the cloud-agnostic Dockerfile and environment variable configuration.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OLA Threshold - Distributed Cache Trigger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A distributed cache layer (Redis/ElastiCache) is explicitly out of scope for this POC. It becomes warranted when: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p95 response latency exceeds 75% of the defined Operational Level Agreement, AND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DB query profiling confirms exchange_rates table reads are the contributing bottleneck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At that threshold: introduce ElastiCache Redis (~$15/mo for t3.micro) as a read-through cache for exchange rate lookups. Cache invalidation strategy: key TTL aligned to 24-hour refresh cycle, with explicit key invalidation triggered by the manual admin refresh endpoint. This avoids the stale-cache-on-quarterly-update problem noted in HR-03.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C8A"/>
          <w:sz w:val="20"/>
          <w:szCs w:val="20"/>
        </w:rPr>
        <w:t xml:space="preserve">Resilience: A/B Active-Active with Circuit Breaker Failover</w:t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Two application instances (A and B) run behind the ALB. Health checks via /actuator/health with 15-second detection window. On instance failure, 100% traffic routes to surviving instance. ECS task replacement (instance C) completes within ~60 seconds. RDS Multi-AZ failover is automatic with under 60-second RTO. The startup pre-load on the new instance recovers rate data from the local DB (already populated) without a Treasury API call.</w:t>
      </w:r>
    </w:p>
    <w:p>
      <w:pPr>
        <w:spacing w:after="0" w:before="0"/>
      </w:pPr>
      <w:r>
        <w:br/>
      </w:r>
    </w:p>
    <w:p>
      <w:pPr>
        <w:spacing w:after="0" w:before="28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PROJECT STRUCTURE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80"/>
      </w:pPr>
      <w:r>
        <w:t xml:space="preserve"/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7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src/main/.../transaction/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Transaction bounded context: entity, repository, service, controller, idempotency filter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src/main/.../exchange/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Exchange rate context: entity, repository, service, delta refresh job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src/main/.../exchange/provider/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ExchangeRateProvider interface, ProviderRegistry, Treasury implementation, plugin stubs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src/main/.../conversion/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ConversionService (orchestration), ConversionResponse (read model), display-layer rounding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src/main/.../common/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Idempotency filter, validation utilities, error handling, CurrencyCodeMapper interface stub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src/main/.../admin/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Admin controller: POST /admin/rates/refresh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src/test/.../unit/domain/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BigDecimal storage, date validation, 6-month boundary, USD pass-through, ConversionResponse assembly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src/test/.../unit/security/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Input sanitization, injection patterns, oversized inputs, invalid dates, negative amounts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src/test/.../integration/api/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Full HTTP tests with Testcontainers PostgreSQL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src/test/.../integration/treasury/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WireMock stubs: valid rate, rate &gt;6mo, no rate, timeout, 503, circuit breaker open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src/test/.../contract/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OpenAPI contract validation against live endpoints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db/migration/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Flyway versioned SQL migrations (V1__init, V2__seed_currency_map)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Local dev: app + postgres + adminer (dev profile)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docker-compose.prod.yml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Production override: no adminer, production env vars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Multi-stage: Maven build layer + slim JRE 21 runtime layer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helm/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Kubernetes deployment manifests (stub) for ECS/AKS/GKE targets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docs/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D3D3D"/>
                <w:sz w:val="18"/>
                <w:szCs w:val="18"/>
              </w:rPr>
              <w:t xml:space="preserve">This DHR and DIAGRAMS.md (Mermaid architecture diagrams)</w:t>
            </w:r>
          </w:p>
        </w:tc>
      </w:tr>
    </w:tbl>
    <w:p>
      <w:pPr>
        <w:spacing w:after="0" w:before="28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SCOPE BOUNDARIES - WHAT THIS IS NOT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Authentication / Authorization - No auth layer implemented. Production path: OAuth2/OIDC via Spring Security. Noted as a gap, not an oversight.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ISO 4217 Full Implementation - Interface defined, implementation deferred. See ADR-07 and HR-06.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Distributed Cache - Architecture-ready, not deployed. Triggered by OLA threshold. See ADR-03 and Deployment section.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Performance / Load Testing - Explicitly excluded per brief. JMeter/Gatling scripts are the natural next step for production validation.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Multi-currency Transaction Storage - Transactions stored in USD only per requirements. Multi-currency origination is a plugin concern.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Rate Limiting / API Throttling - Not implemented. Production path: Spring Cloud Gateway or API Gateway (AWS/Azure).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Event Streaming - Transaction events not published. Natural next step: Kafka/SNS for audit trail and downstream integration.</w:t>
      </w:r>
    </w:p>
    <w:p>
      <w:pPr>
        <w:spacing w:after="0" w:before="28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OPEN QUESTIONS FOR WEX REVIEW</w:t>
      </w:r>
    </w:p>
    <w:p>
      <w:pPr>
        <w:pBdr>
          <w:bottom w:val="single" w:color="1558A7" w:sz="6" w:space="1"/>
        </w:pBd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The following are genuine questions I would raise before finalizing implementation: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Effective date semantics: Does WEX interpret 'rate active for the date of the purchase' as the rate with effectiveDate &lt;= purchaseDate (my implementation), or the rate for the fiscal quarter containing the purchase date?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Idempotency TTL: I defaulted to 24 hours. A payment processor context might require 7 days. What is the acceptable deduplication window?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Currency input format: Should the API accept the Treasury API native string ('Canada-Dollar'), a simplified code, or both? The CurrencyCodeMapper interface stub is the extension point for this decision.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Admin refresh authorization: The manual refresh endpoint is unauthenticated in the POC. Should it require an admin role, an API key, or network-level restriction (VPC-only)?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D3D3D"/>
          <w:sz w:val="20"/>
          <w:szCs w:val="20"/>
        </w:rPr>
        <w:t xml:space="preserve">Plugin priority: Is the crypto/loyalty/custom provider extension point a genuine near-term roadmap item, or purely a POC demonstration? This affects interface rigor investment.</w:t>
      </w:r>
    </w:p>
    <w:p>
      <w:pPr>
        <w:spacing w:after="0" w:before="120"/>
      </w:pPr>
      <w:r>
        <w:t xml:space="preserve"/>
      </w:r>
    </w:p>
    <w:p>
      <w:pPr>
        <w:spacing w:after="0" w:before="120"/>
        <w:jc w:val="right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- Zach Garno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➢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2026-05-27T23:06:15.317Z</dcterms:created>
  <dcterms:modified xsi:type="dcterms:W3CDTF">2026-05-27T23:06:15.335Z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