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125.png" ContentType="image/png"/>
  <Override PartName="/word/media/rId29.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gene</w:t>
      </w:r>
      <w:r>
        <w:t xml:space="preserve"> </w:t>
      </w:r>
      <w:r>
        <w:t xml:space="preserve">expression</w:t>
      </w:r>
    </w:p>
    <w:p>
      <w:pPr>
        <w:pStyle w:val="FirstParagraph"/>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zach-hensel/low-noise-manuscript@5fcaa55</w:t>
        </w:r>
      </w:hyperlink>
      <w:r>
        <w:t xml:space="preserve"> </w:t>
      </w:r>
      <w:r>
        <w:t xml:space="preserve">on January 9, 2019.</w:t>
      </w:r>
      <w:r>
        <w:t xml:space="preserve"> </w:t>
      </w:r>
    </w:p>
    <w:p>
      <w:pPr>
        <w:pStyle w:val="Heading2"/>
      </w:pPr>
      <w:bookmarkStart w:id="23" w:name="authors"/>
      <w:r>
        <w:t xml:space="preserve">Authors</w:t>
      </w:r>
      <w:bookmarkEnd w:id="23"/>
    </w:p>
    <w:p>
      <w:pPr>
        <w:numPr>
          <w:numId w:val="1001"/>
          <w:ilvl w:val="0"/>
        </w:numPr>
      </w:pPr>
      <w:r>
        <w:rPr>
          <w:b/>
        </w:rPr>
        <w:t xml:space="preserve">João P. N. Silva</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5">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0000-0002-4348-6229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1">
        <w:r>
          <w:rPr>
            <w:rStyle w:val="Hyperlink"/>
          </w:rPr>
          <w:t xml:space="preserve">zach.hensel@itqb.unl.pt</w:t>
        </w:r>
      </w:hyperlink>
      <w:r>
        <w:t xml:space="preserve"> </w:t>
      </w:r>
    </w:p>
    <w:p>
      <w:pPr>
        <w:pStyle w:val="Heading2"/>
      </w:pPr>
      <w:bookmarkStart w:id="32" w:name="abstract"/>
      <w:r>
        <w:t xml:space="preserve">Abstract</w:t>
      </w:r>
      <w:bookmarkEnd w:id="32"/>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 gene expression mean and noise across the range of induction levels for these plasmids, apply the LacI system to tune expression for single-molecule mRNA detection in two different growth conditions, and show that two plasmids can be co-transformed to independently tune expression of two different genes.</w:t>
      </w:r>
    </w:p>
    <w:p>
      <w:pPr>
        <w:pStyle w:val="Heading2"/>
      </w:pPr>
      <w:bookmarkStart w:id="33" w:name="introduction"/>
      <w:r>
        <w:t xml:space="preserve">Introduction</w:t>
      </w:r>
      <w:bookmarkEnd w:id="33"/>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recent experiments in mRNA detection and other single-molecule experiments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because of a smaller cell volume 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4" w:name="methods"/>
      <w:r>
        <w:t xml:space="preserve">Methods</w:t>
      </w:r>
      <w:bookmarkEnd w:id="34"/>
    </w:p>
    <w:p>
      <w:pPr>
        <w:pStyle w:val="Heading3"/>
      </w:pPr>
      <w:bookmarkStart w:id="35" w:name="strain-construction"/>
      <w:r>
        <w:t xml:space="preserve">Strain construction</w:t>
      </w:r>
      <w:bookmarkEnd w:id="35"/>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 stranded DNA synthesis (IDT, Coralville) and transformed into Top10 E. coli cells (5-1600-020, IBA Life Sciences, Göttingen). Transformants were screened by colony PCR and verified by sequencing.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This was assembled by isothermal assembly with the backbone from pGB2</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by codon optimization and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NGS</w:t>
      </w:r>
      <w:r>
        <w:t xml:space="preserve"> </w:t>
      </w:r>
      <w:r>
        <w:t xml:space="preserve">[</w:t>
      </w:r>
      <w:hyperlink w:anchor="ref-q8xLcfYV">
        <w:r>
          <w:rPr>
            <w:rStyle w:val="Hyperlink"/>
          </w:rPr>
          <w:t xml:space="preserve">19</w:t>
        </w:r>
      </w:hyperlink>
      <w:r>
        <w:t xml:space="preserve">]</w:t>
      </w:r>
      <w:r>
        <w:t xml:space="preserve">.</w:t>
      </w:r>
    </w:p>
    <w:p>
      <w:bookmarkStart w:id="0" w:name="tbl:plasmidList"/>
      <w:r>
        <w:t/>
      </w:r>
    </w:p>
    <w:p>
      <w:pPr>
        <w:pStyle w:val="TableCaption"/>
      </w:pPr>
      <w:r>
        <w:t xml:space="preserve">Table 1: Plasmids used in this study.</w:t>
      </w:r>
      <w:r>
        <w:t xml:space="preserve"> </w:t>
      </w:r>
    </w:p>
    <w:tbl>
      <w:tblPr>
        <w:tblStyle w:val="Table"/>
        <w:tblW w:type="pct" w:w="0.0"/>
        <w:tblLook w:firstRow="1"/>
        <w:tblCaption w:val="Table 1: Plasmids used in this study.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Repressor Expression</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rPr>
                <w:vertAlign w:val="subscript"/>
              </w:rPr>
              <w:t xml:space="preserve">LtetO-1</w:t>
            </w:r>
          </w:p>
        </w:tc>
        <w:tc>
          <w:p>
            <w:pPr>
              <w:pStyle w:val="Compact"/>
              <w:jc w:val="left"/>
            </w:pPr>
            <w:r>
              <w:t xml:space="preserve">bicistronic</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bicistronic</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bl>
    <w:bookmarkEnd w:id="0"/>
    <w:p>
      <w:pPr>
        <w:pStyle w:val="Heading3"/>
      </w:pPr>
      <w:bookmarkStart w:id="36" w:name="characterization-of-gfp-expression-by-flow-cytometry"/>
      <w:r>
        <w:t xml:space="preserve">Characterization of GFP expression by flow cytometry</w:t>
      </w:r>
      <w:bookmarkEnd w:id="36"/>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Next, 10 µL of cells were added to 1 mL of PBS at pH 7.4 and examined by flow cytometry.</w:t>
      </w:r>
    </w:p>
    <w:p>
      <w:pPr>
        <w:pStyle w:val="BodyText"/>
      </w:pPr>
      <w:r>
        <w:t xml:space="preserve">Flow cytometry data was collected on an S3e cell sorter (Bio-Rad, Hercules) using a target flow rate of 2,000 counts/s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20</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7" w:name="microscopy"/>
      <w:r>
        <w:t xml:space="preserve">Microscopy</w:t>
      </w:r>
      <w:bookmarkEnd w:id="37"/>
    </w:p>
    <w:p>
      <w:pPr>
        <w:pStyle w:val="FirstParagraph"/>
      </w:pPr>
      <w:r>
        <w:t xml:space="preserve">For microscopy, cells were grown similarly to the protocol for flow cytometry, except that overnight cultures were diluted 1:100 and imaged after 2—4 hours of growth with induction. For mRNA imaging, cells were grown in M9 media supplemented with 1X MEM Amino Acids (M9A) or M9A additionally supplemented with 1% SOB media. For 2-plasmid imaging, cells were grown in EZ Rich media. Cells were imaged on agarose gel pads (3% BP165-25, Fisher Bio-Reagents) diluted in M9A (for mRNA imaging) or PBS (for 2-plasmid imaging). For mRNA imaging, the microscope sample chamber was maintained at 30 °C. 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and an Evolve 512 EM-CCD camera (Photometrics) using a 16-bit EM gain amplification. Images were prepared using Fiji</w:t>
      </w:r>
      <w:r>
        <w:t xml:space="preserve"> </w:t>
      </w:r>
      <w:r>
        <w:t xml:space="preserve">[</w:t>
      </w:r>
      <w:hyperlink w:anchor="ref-1Xy8hvPg">
        <w:r>
          <w:rPr>
            <w:rStyle w:val="Hyperlink"/>
          </w:rPr>
          <w:t xml:space="preserve">21</w:t>
        </w:r>
      </w:hyperlink>
      <w:r>
        <w:t xml:space="preserve">]</w:t>
      </w:r>
      <w:r>
        <w:t xml:space="preserve">, with linear scaling and maintaining minimum and maximum intensity values for all comparable images.</w:t>
      </w:r>
    </w:p>
    <w:p>
      <w:pPr>
        <w:pStyle w:val="BodyText"/>
      </w:pPr>
      <w:r>
        <w:t xml:space="preserve">To analyze microscopy data for 2-plasmid imaging, 100 cells from each sample were manually segmented using the selection brush tool in Fiji with a width of 10 pixels. This selection was used to extract the mean green and red intensities (proportional to the concentration of GFPmut2 and mScarlet-I molecules in the cell, respectively) in images of the same areas. For each image, the mean background intensity was also measured from a region containing no cells, which was subtracted from each single-cell data point. The average fluorescence level was calculated for each condition, and normalized by the highest average value for each color (20,500 counts/pixel for green and 10,534 counts/pixel for red). The Fiji and Python scripts used to analyze microscopy data are available in</w:t>
      </w:r>
      <w:r>
        <w:t xml:space="preserve"> </w:t>
      </w:r>
      <w:r>
        <w:rPr>
          <w:b/>
        </w:rPr>
        <w:t xml:space="preserve">File S2</w:t>
      </w:r>
      <w:r>
        <w:t xml:space="preserve">.</w:t>
      </w:r>
    </w:p>
    <w:p>
      <w:pPr>
        <w:pStyle w:val="Heading2"/>
      </w:pPr>
      <w:bookmarkStart w:id="38" w:name="results"/>
      <w:r>
        <w:t xml:space="preserve">Results</w:t>
      </w:r>
      <w:bookmarkEnd w:id="38"/>
    </w:p>
    <w:p>
      <w:pPr>
        <w:pStyle w:val="Heading3"/>
      </w:pPr>
      <w:bookmarkStart w:id="39" w:name="moving-bicistronic-autoregulatory-construct-to-a-compatible-plasmid-backbone"/>
      <w:r>
        <w:t xml:space="preserve">Moving bicistronic autoregulatory construct to a compatible plasmid backbone</w:t>
      </w:r>
      <w:bookmarkEnd w:id="39"/>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22</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Qz6zNiXK">
        <w:r>
          <w:rPr>
            <w:rStyle w:val="Hyperlink"/>
          </w:rPr>
          <w:t xml:space="preserve">23</w:t>
        </w:r>
      </w:hyperlink>
      <w:r>
        <w:t xml:space="preserve">,</w:t>
      </w:r>
      <w:hyperlink w:anchor="ref-S7KRThVS">
        <w:r>
          <w:rPr>
            <w:rStyle w:val="Hyperlink"/>
          </w:rPr>
          <w:t xml:space="preserve">24</w:t>
        </w:r>
      </w:hyperlink>
      <w:r>
        <w:t xml:space="preserve">,</w:t>
      </w:r>
      <w:hyperlink w:anchor="ref-GcRoYBF2">
        <w:r>
          <w:rPr>
            <w:rStyle w:val="Hyperlink"/>
          </w:rPr>
          <w:t xml:space="preserve">3</w:t>
        </w:r>
      </w:hyperlink>
      <w:r>
        <w:t xml:space="preserve">]</w:t>
      </w:r>
      <w:r>
        <w:t xml:space="preserve">.</w:t>
      </w:r>
    </w:p>
    <w:p>
      <w:bookmarkStart w:id="0" w:name="fig:pZH509-pJS101"/>
      <w:r>
        <w:t/>
      </w:r>
    </w:p>
    <w:p>
      <w:pPr>
        <w:pStyle w:val="CaptionedFigure"/>
      </w:pPr>
      <w:r>
        <w:drawing>
          <wp:inline>
            <wp:extent cx="3203999" cy="2619142"/>
            <wp:effectExtent b="0" l="0" r="0" t="0"/>
            <wp:docPr descr="Figure 1: Influence of plasmid backbone on induction of TetR expression system. Mean single-cell GFP fluorescence for pZH509 (blue) and pJS101 (orange) plasmids as a function of ATc concentration. Error bars are 1 standard error."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40"/>
                    <a:stretch>
                      <a:fillRect/>
                    </a:stretch>
                  </pic:blipFill>
                  <pic:spPr bwMode="auto">
                    <a:xfrm>
                      <a:off x="0" y="0"/>
                      <a:ext cx="3203999" cy="261914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Influence of plasmid backbone on induction of TetR expression system.</w:t>
      </w:r>
      <w:r>
        <w:t xml:space="preserve"> </w:t>
      </w:r>
      <w:r>
        <w:t xml:space="preserve">Mean single-cell GFP fluorescence for pZH509 (blue) and pJS101 (orange) plasmids as a function of ATc concentration. Error bars are 1 standard error.</w:t>
      </w:r>
    </w:p>
    <w:bookmarkEnd w:id="0"/>
    <w:p>
      <w:pPr>
        <w:pStyle w:val="Heading3"/>
      </w:pPr>
      <w:bookmarkStart w:id="41" w:name="alternative-regulatory-constructs-with-laci-replacing-tetr"/>
      <w:r>
        <w:t xml:space="preserve">Alternative regulatory constructs with LacI replacing TetR</w:t>
      </w:r>
      <w:bookmarkEnd w:id="41"/>
    </w:p>
    <w:p>
      <w:pPr>
        <w:pStyle w:val="FirstParagraph"/>
      </w:pPr>
      <w:r>
        <w:t xml:space="preserve">We hypothesized that replacing P</w:t>
      </w:r>
      <w:r>
        <w:rPr>
          <w:vertAlign w:val="subscript"/>
        </w:rPr>
        <w:t xml:space="preserve">LtetO-1</w:t>
      </w:r>
      <w:r>
        <w:t xml:space="preserve"> </w:t>
      </w:r>
      <w:r>
        <w:t xml:space="preserve">with the 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cpANz6cV">
        <w:r>
          <w:rPr>
            <w:rStyle w:val="Hyperlink"/>
          </w:rPr>
          <w:t xml:space="preserve">25</w:t>
        </w:r>
      </w:hyperlink>
      <w:r>
        <w:t xml:space="preserve">,</w:t>
      </w:r>
      <w:hyperlink w:anchor="ref-UMSODjob">
        <w:r>
          <w:rPr>
            <w:rStyle w:val="Hyperlink"/>
          </w:rPr>
          <w:t xml:space="preserve">26</w:t>
        </w:r>
      </w:hyperlink>
      <w:r>
        <w:t xml:space="preserve">]</w:t>
      </w:r>
      <w:r>
        <w:t xml:space="preserve"> </w:t>
      </w:r>
      <w:r>
        <w:t xml:space="preserve">for a single site, with 2 tandem sites in our constructs). And, TetR binds ATc much more strongly than LacI binds IPTG</w:t>
      </w:r>
      <w:r>
        <w:t xml:space="preserve"> </w:t>
      </w:r>
      <w:r>
        <w:t xml:space="preserve">[</w:t>
      </w:r>
      <w:hyperlink w:anchor="ref-Ls5d7x4o">
        <w:r>
          <w:rPr>
            <w:rStyle w:val="Hyperlink"/>
          </w:rPr>
          <w:t xml:space="preserve">27</w:t>
        </w:r>
      </w:hyperlink>
      <w:r>
        <w:t xml:space="preserve">,</w:t>
      </w:r>
      <w:hyperlink w:anchor="ref-WxFVKQqb">
        <w:r>
          <w:rPr>
            <w:rStyle w:val="Hyperlink"/>
          </w:rPr>
          <w:t xml:space="preserve">28</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achievable induction levels to a small extent.</w:t>
      </w:r>
    </w:p>
    <w:p>
      <w:bookmarkStart w:id="0" w:name="fig:pJS102-mean-noise"/>
      <w:r>
        <w:t/>
      </w:r>
    </w:p>
    <w:p>
      <w:pPr>
        <w:pStyle w:val="CaptionedFigure"/>
      </w:pPr>
      <w:r>
        <w:drawing>
          <wp:inline>
            <wp:extent cx="5943600" cy="2404924"/>
            <wp:effectExtent b="0" l="0" r="0" t="0"/>
            <wp:docPr descr="Figure 2: Characterizing mean expression levels and noise for different gene expression systems. (a) Mean GFP expression for pJS102 with different IPTG concentrations. Zero data point is plotted separately to fit on logarithmic scale. Error bars 1 standard error. (b) GFP expression noise (CV2) as a function of mean for pZH509, pJS101, and pJS102. GFP mean increases monotonically with inducer concentration. Error bars 1 standard error."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2"/>
                    <a:stretch>
                      <a:fillRect/>
                    </a:stretch>
                  </pic:blipFill>
                  <pic:spPr bwMode="auto">
                    <a:xfrm>
                      <a:off x="0" y="0"/>
                      <a:ext cx="5943600" cy="2404924"/>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w:t>
      </w:r>
      <w:r>
        <w:rPr>
          <w:b/>
        </w:rPr>
        <w:t xml:space="preserve">a</w:t>
      </w:r>
      <w:r>
        <w:t xml:space="preserve">) Mean GFP expression for pJS102 with different IPTG concentrations. Zero data point is plotted separately to fit on logarithmic scale. Error bars 1 standard error. (</w:t>
      </w:r>
      <w:r>
        <w:rPr>
          <w:b/>
        </w:rPr>
        <w:t xml:space="preserve">b</w:t>
      </w:r>
      <w:r>
        <w:t xml:space="preserve">) GFP expression noise (CV</w:t>
      </w:r>
      <w:r>
        <w:rPr>
          <w:vertAlign w:val="superscript"/>
        </w:rPr>
        <w:t xml:space="preserve">2</w:t>
      </w:r>
      <w:r>
        <w:t xml:space="preserve">) as a function of mean for pZH509, pJS101, and pJS102. GFP mean increases monotonically with inducer concentration. Error bars 1 standard error.</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29</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 Here, we also note that noise for pJS101, with its lower-copy-number pSC101 replicon, is lower than that for pZH509 or pJS102 at similar expression levels. This suggests that incorporating this construct into the chromosome, where copy number is more tightly regulated, may lead to a further noise reduction.</w:t>
      </w:r>
    </w:p>
    <w:p>
      <w:pPr>
        <w:pStyle w:val="BodyText"/>
      </w:pPr>
      <w:r>
        <w:t xml:space="preserve">We found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 Our noise measurements are also to those found in a measurements of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30</w:t>
        </w:r>
      </w:hyperlink>
      <w:r>
        <w:t xml:space="preserve">]</w:t>
      </w:r>
      <w:r>
        <w:t xml:space="preserve">.</w:t>
      </w:r>
    </w:p>
    <w:p>
      <w:pPr>
        <w:pStyle w:val="Heading3"/>
      </w:pPr>
      <w:bookmarkStart w:id="43" w:name="using-the-new-induction-system-for-detection-of-single-mrna-in-living-e.-coli"/>
      <w:r>
        <w:t xml:space="preserve">Using the new induction system for detection of single mRNA in living</w:t>
      </w:r>
      <w:r>
        <w:t xml:space="preserve"> </w:t>
      </w:r>
      <w:r>
        <w:rPr>
          <w:i/>
        </w:rPr>
        <w:t xml:space="preserve">E. coli</w:t>
      </w:r>
      <w:bookmarkEnd w:id="43"/>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31</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at 100 µM IPTG in partially rich media. We note the absence of pole-localized fluorescent spots that characterize mRNA aggregation</w:t>
      </w:r>
      <w:r>
        <w:t xml:space="preserve"> </w:t>
      </w:r>
      <w:r>
        <w:t xml:space="preserve">[</w:t>
      </w:r>
      <w:hyperlink w:anchor="ref-uQeM79z">
        <w:r>
          <w:rPr>
            <w:rStyle w:val="Hyperlink"/>
          </w:rPr>
          <w:t xml:space="preserve">32</w:t>
        </w:r>
      </w:hyperlink>
      <w:r>
        <w:t xml:space="preserve">]</w:t>
      </w:r>
      <w:r>
        <w:t xml:space="preserve">, and we observed reasonable mRNA lifetimes of a few minutes in timelapse imaging.</w:t>
      </w:r>
    </w:p>
    <w:p>
      <w:pPr>
        <w:pStyle w:val="BodyText"/>
      </w:pPr>
      <w:r>
        <w:t xml:space="preserve">We moved to minimal media hoping to find a growth condition with lower mRNA expression levels,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several different PP7cp-SYFP induction conditions and identify 10—20 µM IPTG as an optimal growth condition.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p>
      <w:bookmarkStart w:id="0" w:name="fig:pZH713-optimization"/>
      <w:r>
        <w:t/>
      </w:r>
    </w:p>
    <w:p>
      <w:pPr>
        <w:pStyle w:val="CaptionedFigure"/>
      </w:pPr>
      <w:r>
        <w:drawing>
          <wp:inline>
            <wp:extent cx="3203999" cy="2580999"/>
            <wp:effectExtent b="0" l="0" r="0" t="0"/>
            <wp:docPr descr="Figure 3: Using IPTG to tune expression of a fluorescent RNA-binding protein for single mRNA detection in different growth conditions. (a) PP7cp-SYFP2 i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4"/>
                    <a:stretch>
                      <a:fillRect/>
                    </a:stretch>
                  </pic:blipFill>
                  <pic:spPr bwMode="auto">
                    <a:xfrm>
                      <a:off x="0" y="0"/>
                      <a:ext cx="3203999" cy="2580999"/>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w:t>
      </w:r>
      <w:r>
        <w:rPr>
          <w:b/>
        </w:rPr>
        <w:t xml:space="preserve">a</w:t>
      </w:r>
      <w:r>
        <w:t xml:space="preserve">) PP7cp-SYFP2 is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w:t>
      </w:r>
    </w:p>
    <w:bookmarkEnd w:id="0"/>
    <w:p>
      <w:pPr>
        <w:pStyle w:val="Heading3"/>
      </w:pPr>
      <w:bookmarkStart w:id="45" w:name="independent-tunable-expression-of-two-genes"/>
      <w:r>
        <w:t xml:space="preserve">Independent, tunable expression of two genes</w:t>
      </w:r>
      <w:bookmarkEnd w:id="45"/>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p>
      <w:bookmarkStart w:id="0" w:name="fig:pJS101-pDG101"/>
      <w:r>
        <w:t/>
      </w:r>
    </w:p>
    <w:p>
      <w:pPr>
        <w:pStyle w:val="CaptionedFigure"/>
      </w:pPr>
      <w:r>
        <w:drawing>
          <wp:inline>
            <wp:extent cx="3203999" cy="4271999"/>
            <wp:effectExtent b="0" l="0" r="0" t="0"/>
            <wp:docPr descr="Figure 4: Independence of induction of TetR and LacI systems. MG1655 cells harboring pJS101 (ATc-inducible expression of GFP) and pDG101 (IPTG-inducible expression of mScarlet-I) were grown with different combinations of IPTG and ATc concentrations. (a) GFP fluorescence shows no influence of IPTG on ATc-induced expression of GFP. (b) No influence of ATc on IPTG-induced expression of mScarlet-I. Scale bar 3 µm. (c) Average single-cell GFP (green) and mScarlet-I (red) fluoresence, normalized by the maximum average fluorescence for each color. Solid lines: 10 nM ATc. Dashed lines: 50 nM ATc."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6"/>
                    <a:stretch>
                      <a:fillRect/>
                    </a:stretch>
                  </pic:blipFill>
                  <pic:spPr bwMode="auto">
                    <a:xfrm>
                      <a:off x="0" y="0"/>
                      <a:ext cx="3203999" cy="4271999"/>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and pDG101 (IPTG-inducible expression of mScarlet-I) were grown with different combinations of IPTG and ATc concentrations. (</w:t>
      </w:r>
      <w:r>
        <w:rPr>
          <w:b/>
        </w:rPr>
        <w:t xml:space="preserve">a</w:t>
      </w:r>
      <w:r>
        <w:t xml:space="preserve">) GFP fluorescence shows no influence of IPTG on ATc-induced expression of GFP. (</w:t>
      </w:r>
      <w:r>
        <w:rPr>
          <w:b/>
        </w:rPr>
        <w:t xml:space="preserve">b</w:t>
      </w:r>
      <w:r>
        <w:t xml:space="preserve">) No influence of ATc on IPTG-induced expression of mScarlet-I. Scale bar 3 µm. (</w:t>
      </w:r>
      <w:r>
        <w:rPr>
          <w:b/>
        </w:rPr>
        <w:t xml:space="preserve">c</w:t>
      </w:r>
      <w:r>
        <w:t xml:space="preserve">) Average single-cell GFP (green) and mScarlet-I (red) fluoresence, normalized by the maximum average fluorescence for each color. Solid lines: 10 nM ATc. Dashed lines: 50 nM ATc.</w:t>
      </w:r>
    </w:p>
    <w:bookmarkEnd w:id="0"/>
    <w:p>
      <w:pPr>
        <w:pStyle w:val="Heading2"/>
      </w:pPr>
      <w:bookmarkStart w:id="47" w:name="discussion"/>
      <w:r>
        <w:t xml:space="preserve">Discussion</w:t>
      </w:r>
      <w:bookmarkEnd w:id="47"/>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33</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34</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w:t>
      </w:r>
    </w:p>
    <w:p>
      <w:pPr>
        <w:pStyle w:val="BodyText"/>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w:t>
      </w:r>
    </w:p>
    <w:p>
      <w:pPr>
        <w:pStyle w:val="Heading2"/>
      </w:pPr>
      <w:bookmarkStart w:id="48" w:name="author-contributions"/>
      <w:r>
        <w:t xml:space="preserve">Author contributions</w:t>
      </w:r>
      <w:bookmarkEnd w:id="48"/>
    </w:p>
    <w:p>
      <w:pPr>
        <w:pStyle w:val="FirstParagraph"/>
      </w:pPr>
      <w:r>
        <w:t xml:space="preserve">JS, DG and ZH designed experiments and performed experiments. JS, SL, DG, and ZH performed molecular cloning. ZH and JS analyzed data and wrote the paper. JS, SL, DG and ZH edited and approved the manuscript. ZH supervised the project.</w:t>
      </w:r>
    </w:p>
    <w:p>
      <w:pPr>
        <w:pStyle w:val="Heading2"/>
      </w:pPr>
      <w:bookmarkStart w:id="49" w:name="acknowledgments"/>
      <w:r>
        <w:t xml:space="preserve">Acknowledgments</w:t>
      </w:r>
      <w:bookmarkEnd w:id="49"/>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35</w:t>
        </w:r>
      </w:hyperlink>
      <w:r>
        <w:t xml:space="preserve">]</w:t>
      </w:r>
      <w:r>
        <w:t xml:space="preserve">.</w:t>
      </w:r>
    </w:p>
    <w:p>
      <w:pPr>
        <w:pStyle w:val="Heading2"/>
      </w:pPr>
      <w:bookmarkStart w:id="50" w:name="references"/>
      <w:r>
        <w:t xml:space="preserve">References</w:t>
      </w:r>
      <w:bookmarkEnd w:id="50"/>
    </w:p>
    <w:bookmarkStart w:id="123" w:name="refs"/>
    <w:bookmarkStart w:id="52" w:name="ref-TlAItren"/>
    <w:p>
      <w:pPr>
        <w:pStyle w:val="FirstParagraph"/>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1">
        <w:r>
          <w:rPr>
            <w:rStyle w:val="Hyperlink"/>
          </w:rPr>
          <w:t xml:space="preserve">https://www.ncbi.nlm.nih.gov/pubmed/29084263</w:t>
        </w:r>
      </w:hyperlink>
    </w:p>
    <w:bookmarkEnd w:id="52"/>
    <w:bookmarkStart w:id="54" w:name="ref-oD6kpSs3"/>
    <w:p>
      <w:pPr>
        <w:pStyle w:val="BodyText"/>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53">
        <w:r>
          <w:rPr>
            <w:rStyle w:val="Hyperlink"/>
          </w:rPr>
          <w:t xml:space="preserve">https://doi.org/10.1126/science.1188308</w:t>
        </w:r>
      </w:hyperlink>
    </w:p>
    <w:bookmarkEnd w:id="54"/>
    <w:bookmarkStart w:id="56" w:name="ref-GcRoYBF2"/>
    <w:p>
      <w:pPr>
        <w:pStyle w:val="BodyText"/>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55">
        <w:r>
          <w:rPr>
            <w:rStyle w:val="Hyperlink"/>
          </w:rPr>
          <w:t xml:space="preserve">https://www.ncbi.nlm.nih.gov/pubmed/16883354</w:t>
        </w:r>
      </w:hyperlink>
    </w:p>
    <w:bookmarkEnd w:id="56"/>
    <w:bookmarkStart w:id="58" w:name="ref-82diXnad"/>
    <w:p>
      <w:pPr>
        <w:pStyle w:val="BodyText"/>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57">
        <w:r>
          <w:rPr>
            <w:rStyle w:val="Hyperlink"/>
          </w:rPr>
          <w:t xml:space="preserve">https://www.ncbi.nlm.nih.gov/pubmed/29131164</w:t>
        </w:r>
      </w:hyperlink>
    </w:p>
    <w:bookmarkEnd w:id="58"/>
    <w:bookmarkStart w:id="60" w:name="ref-dc6GAnhL"/>
    <w:p>
      <w:pPr>
        <w:pStyle w:val="BodyText"/>
      </w:pPr>
      <w:r>
        <w:t xml:space="preserve">5.</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59">
        <w:r>
          <w:rPr>
            <w:rStyle w:val="Hyperlink"/>
          </w:rPr>
          <w:t xml:space="preserve">https://doi.org/10.1038/nmeth.1318</w:t>
        </w:r>
      </w:hyperlink>
    </w:p>
    <w:bookmarkEnd w:id="60"/>
    <w:bookmarkStart w:id="62" w:name="ref-NCWOk1rp"/>
    <w:p>
      <w:pPr>
        <w:pStyle w:val="BodyText"/>
      </w:pPr>
      <w:r>
        <w:t xml:space="preserve">6.</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61">
        <w:r>
          <w:rPr>
            <w:rStyle w:val="Hyperlink"/>
          </w:rPr>
          <w:t xml:space="preserve">https://www.ncbi.nlm.nih.gov/pubmed/9092630</w:t>
        </w:r>
      </w:hyperlink>
    </w:p>
    <w:bookmarkEnd w:id="62"/>
    <w:bookmarkStart w:id="64" w:name="ref-13TJF2gcl"/>
    <w:p>
      <w:pPr>
        <w:pStyle w:val="BodyText"/>
      </w:pPr>
      <w:r>
        <w:t xml:space="preserve">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63">
        <w:r>
          <w:rPr>
            <w:rStyle w:val="Hyperlink"/>
          </w:rPr>
          <w:t xml:space="preserve">https://www.ncbi.nlm.nih.gov/pubmed/8707053</w:t>
        </w:r>
      </w:hyperlink>
    </w:p>
    <w:bookmarkEnd w:id="64"/>
    <w:bookmarkStart w:id="66" w:name="ref-Q1a7tU8"/>
    <w:p>
      <w:pPr>
        <w:pStyle w:val="BodyText"/>
      </w:pPr>
      <w:r>
        <w:t xml:space="preserve">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65">
        <w:r>
          <w:rPr>
            <w:rStyle w:val="Hyperlink"/>
          </w:rPr>
          <w:t xml:space="preserve">https://doi.org/10.1093/nar/12.12.4849</w:t>
        </w:r>
      </w:hyperlink>
    </w:p>
    <w:bookmarkEnd w:id="66"/>
    <w:bookmarkStart w:id="68" w:name="ref-xjKSoV9v"/>
    <w:p>
      <w:pPr>
        <w:pStyle w:val="BodyText"/>
      </w:pPr>
      <w:r>
        <w:t xml:space="preserve">9.</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67">
        <w:r>
          <w:rPr>
            <w:rStyle w:val="Hyperlink"/>
          </w:rPr>
          <w:t xml:space="preserve">https://www.ncbi.nlm.nih.gov/pubmed/8887568</w:t>
        </w:r>
      </w:hyperlink>
    </w:p>
    <w:bookmarkEnd w:id="68"/>
    <w:bookmarkStart w:id="70" w:name="ref-5CRbRLYC"/>
    <w:p>
      <w:pPr>
        <w:pStyle w:val="BodyText"/>
      </w:pPr>
      <w:r>
        <w:t xml:space="preserve">10.</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69">
        <w:r>
          <w:rPr>
            <w:rStyle w:val="Hyperlink"/>
          </w:rPr>
          <w:t xml:space="preserve">https://www.ncbi.nlm.nih.gov/pubmed/6098521</w:t>
        </w:r>
      </w:hyperlink>
    </w:p>
    <w:bookmarkEnd w:id="70"/>
    <w:bookmarkStart w:id="72" w:name="ref-YoMCfbca"/>
    <w:p>
      <w:pPr>
        <w:pStyle w:val="BodyText"/>
      </w:pPr>
      <w:r>
        <w:t xml:space="preserve">11.</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71">
        <w:r>
          <w:rPr>
            <w:rStyle w:val="Hyperlink"/>
          </w:rPr>
          <w:t xml:space="preserve">https://www.ncbi.nlm.nih.gov/pubmed/16591435</w:t>
        </w:r>
      </w:hyperlink>
    </w:p>
    <w:bookmarkEnd w:id="72"/>
    <w:bookmarkStart w:id="74" w:name="ref-A1kNMUKB"/>
    <w:p>
      <w:pPr>
        <w:pStyle w:val="BodyText"/>
      </w:pPr>
      <w:r>
        <w:t xml:space="preserve">12.</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73">
        <w:r>
          <w:rPr>
            <w:rStyle w:val="Hyperlink"/>
          </w:rPr>
          <w:t xml:space="preserve">https://arxiv.org/abs/1506.08596v1</w:t>
        </w:r>
      </w:hyperlink>
    </w:p>
    <w:bookmarkEnd w:id="74"/>
    <w:bookmarkStart w:id="76" w:name="ref-RBKXt78E"/>
    <w:p>
      <w:pPr>
        <w:pStyle w:val="BodyText"/>
      </w:pPr>
      <w:r>
        <w:t xml:space="preserve">13.</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75">
        <w:r>
          <w:rPr>
            <w:rStyle w:val="Hyperlink"/>
          </w:rPr>
          <w:t xml:space="preserve">https://www.ncbi.nlm.nih.gov/pubmed/10829079</w:t>
        </w:r>
      </w:hyperlink>
    </w:p>
    <w:bookmarkEnd w:id="76"/>
    <w:bookmarkStart w:id="78" w:name="ref-pzTydEMA"/>
    <w:p>
      <w:pPr>
        <w:pStyle w:val="BodyText"/>
      </w:pPr>
      <w:r>
        <w:t xml:space="preserve">14.</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77">
        <w:r>
          <w:rPr>
            <w:rStyle w:val="Hyperlink"/>
          </w:rPr>
          <w:t xml:space="preserve">https://www.ncbi.nlm.nih.gov/pubmed/24234441</w:t>
        </w:r>
      </w:hyperlink>
    </w:p>
    <w:bookmarkEnd w:id="78"/>
    <w:bookmarkStart w:id="80" w:name="ref-1GFLV3s4q"/>
    <w:p>
      <w:pPr>
        <w:pStyle w:val="BodyText"/>
      </w:pPr>
      <w:r>
        <w:t xml:space="preserve">15.</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79">
        <w:r>
          <w:rPr>
            <w:rStyle w:val="Hyperlink"/>
          </w:rPr>
          <w:t xml:space="preserve">https://www.ncbi.nlm.nih.gov/pubmed/21512033</w:t>
        </w:r>
      </w:hyperlink>
    </w:p>
    <w:bookmarkEnd w:id="80"/>
    <w:bookmarkStart w:id="82" w:name="ref-XuRR8Zmt"/>
    <w:p>
      <w:pPr>
        <w:pStyle w:val="BodyText"/>
      </w:pPr>
      <w:r>
        <w:t xml:space="preserve">16.</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81">
        <w:r>
          <w:rPr>
            <w:rStyle w:val="Hyperlink"/>
          </w:rPr>
          <w:t xml:space="preserve">https://www.ncbi.nlm.nih.gov/pubmed/16716067</w:t>
        </w:r>
      </w:hyperlink>
    </w:p>
    <w:bookmarkEnd w:id="82"/>
    <w:bookmarkStart w:id="84" w:name="ref-EObeLKJ1"/>
    <w:p>
      <w:pPr>
        <w:pStyle w:val="BodyText"/>
      </w:pPr>
      <w:r>
        <w:t xml:space="preserve">17.</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83">
        <w:r>
          <w:rPr>
            <w:rStyle w:val="Hyperlink"/>
          </w:rPr>
          <w:t xml:space="preserve">https://www.ncbi.nlm.nih.gov/pubmed/22735544</w:t>
        </w:r>
      </w:hyperlink>
    </w:p>
    <w:bookmarkEnd w:id="84"/>
    <w:bookmarkStart w:id="86" w:name="ref-zj8Ydkzo"/>
    <w:p>
      <w:pPr>
        <w:pStyle w:val="BodyText"/>
      </w:pPr>
      <w:r>
        <w:t xml:space="preserve">18.</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85">
        <w:r>
          <w:rPr>
            <w:rStyle w:val="Hyperlink"/>
          </w:rPr>
          <w:t xml:space="preserve">https://www.ncbi.nlm.nih.gov/pubmed/28931898</w:t>
        </w:r>
      </w:hyperlink>
    </w:p>
    <w:bookmarkEnd w:id="86"/>
    <w:bookmarkStart w:id="88" w:name="ref-q8xLcfYV"/>
    <w:p>
      <w:pPr>
        <w:pStyle w:val="BodyText"/>
      </w:pPr>
      <w:r>
        <w:t xml:space="preserve">19.</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87">
        <w:r>
          <w:rPr>
            <w:rStyle w:val="Hyperlink"/>
          </w:rPr>
          <w:t xml:space="preserve">https://www.addgene.org/Zach_Hensel/</w:t>
        </w:r>
      </w:hyperlink>
    </w:p>
    <w:bookmarkEnd w:id="88"/>
    <w:bookmarkStart w:id="90" w:name="ref-J6PWaBUu"/>
    <w:p>
      <w:pPr>
        <w:pStyle w:val="BodyText"/>
      </w:pPr>
      <w:r>
        <w:t xml:space="preserve">20.</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89">
        <w:r>
          <w:rPr>
            <w:rStyle w:val="Hyperlink"/>
          </w:rPr>
          <w:t xml:space="preserve">https://www.ncbi.nlm.nih.gov/pubmed/27110723</w:t>
        </w:r>
      </w:hyperlink>
    </w:p>
    <w:bookmarkEnd w:id="90"/>
    <w:bookmarkStart w:id="92" w:name="ref-1Xy8hvPg"/>
    <w:p>
      <w:pPr>
        <w:pStyle w:val="BodyText"/>
      </w:pPr>
      <w:r>
        <w:t xml:space="preserve">21.</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91">
        <w:r>
          <w:rPr>
            <w:rStyle w:val="Hyperlink"/>
          </w:rPr>
          <w:t xml:space="preserve">https://www.ncbi.nlm.nih.gov/pubmed/22743772</w:t>
        </w:r>
      </w:hyperlink>
    </w:p>
    <w:bookmarkEnd w:id="92"/>
    <w:bookmarkStart w:id="94" w:name="ref-15TQ1MvYV"/>
    <w:p>
      <w:pPr>
        <w:pStyle w:val="BodyText"/>
      </w:pPr>
      <w:r>
        <w:t xml:space="preserve">22.</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93">
        <w:r>
          <w:rPr>
            <w:rStyle w:val="Hyperlink"/>
          </w:rPr>
          <w:t xml:space="preserve">https://www.ncbi.nlm.nih.gov/pubmed/21933410</w:t>
        </w:r>
      </w:hyperlink>
    </w:p>
    <w:bookmarkEnd w:id="94"/>
    <w:bookmarkStart w:id="96" w:name="ref-Qz6zNiXK"/>
    <w:p>
      <w:pPr>
        <w:pStyle w:val="BodyText"/>
      </w:pPr>
      <w:r>
        <w:t xml:space="preserve">23.</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95">
        <w:r>
          <w:rPr>
            <w:rStyle w:val="Hyperlink"/>
          </w:rPr>
          <w:t xml:space="preserve">https://www.ncbi.nlm.nih.gov/pubmed/10850721</w:t>
        </w:r>
      </w:hyperlink>
    </w:p>
    <w:bookmarkEnd w:id="96"/>
    <w:bookmarkStart w:id="98" w:name="ref-S7KRThVS"/>
    <w:p>
      <w:pPr>
        <w:pStyle w:val="BodyText"/>
      </w:pPr>
      <w:r>
        <w:t xml:space="preserve">24.</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97">
        <w:r>
          <w:rPr>
            <w:rStyle w:val="Hyperlink"/>
          </w:rPr>
          <w:t xml:space="preserve">https://www.ncbi.nlm.nih.gov/pubmed/14749823</w:t>
        </w:r>
      </w:hyperlink>
    </w:p>
    <w:bookmarkEnd w:id="98"/>
    <w:bookmarkStart w:id="100" w:name="ref-cpANz6cV"/>
    <w:p>
      <w:pPr>
        <w:pStyle w:val="BodyText"/>
      </w:pPr>
      <w:r>
        <w:t xml:space="preserve">25.</w:t>
      </w:r>
      <w:r>
        <w:t xml:space="preserve"> </w:t>
      </w:r>
      <w:r>
        <w:rPr>
          <w:b/>
        </w:rPr>
        <w:t xml:space="preserve">Two mutations in the tetracycline repressor change the inducer anhydrotetracycline to a corepressor.</w:t>
      </w:r>
      <w:r>
        <w:br w:type="textWrapping"/>
      </w:r>
      <w:r>
        <w:t xml:space="preserve">Annette Kamionka, Joanna Bogdanska-Urbaniak, Oliver Scholz, Wolfgang Hillen</w:t>
      </w:r>
      <w:r>
        <w:br w:type="textWrapping"/>
      </w:r>
      <w:r>
        <w:rPr>
          <w:i/>
        </w:rPr>
        <w:t xml:space="preserve">Nucleic acids research</w:t>
      </w:r>
      <w:r>
        <w:t xml:space="preserve"> </w:t>
      </w:r>
      <w:r>
        <w:t xml:space="preserve">(2004-02-04)</w:t>
      </w:r>
      <w:r>
        <w:t xml:space="preserve"> </w:t>
      </w:r>
      <w:hyperlink r:id="rId99">
        <w:r>
          <w:rPr>
            <w:rStyle w:val="Hyperlink"/>
          </w:rPr>
          <w:t xml:space="preserve">https://www.ncbi.nlm.nih.gov/pubmed/14764926</w:t>
        </w:r>
      </w:hyperlink>
    </w:p>
    <w:bookmarkEnd w:id="100"/>
    <w:bookmarkStart w:id="102" w:name="ref-UMSODjob"/>
    <w:p>
      <w:pPr>
        <w:pStyle w:val="BodyText"/>
      </w:pPr>
      <w:r>
        <w:t xml:space="preserve">26.</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101">
        <w:r>
          <w:rPr>
            <w:rStyle w:val="Hyperlink"/>
          </w:rPr>
          <w:t xml:space="preserve">https://www.ncbi.nlm.nih.gov/pubmed/2182324</w:t>
        </w:r>
      </w:hyperlink>
    </w:p>
    <w:bookmarkEnd w:id="102"/>
    <w:bookmarkStart w:id="104" w:name="ref-Ls5d7x4o"/>
    <w:p>
      <w:pPr>
        <w:pStyle w:val="BodyText"/>
      </w:pPr>
      <w:r>
        <w:t xml:space="preserve">27.</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103">
        <w:r>
          <w:rPr>
            <w:rStyle w:val="Hyperlink"/>
          </w:rPr>
          <w:t xml:space="preserve">https://www.ncbi.nlm.nih.gov/pubmed/10978179</w:t>
        </w:r>
      </w:hyperlink>
    </w:p>
    <w:bookmarkEnd w:id="104"/>
    <w:bookmarkStart w:id="106" w:name="ref-WxFVKQqb"/>
    <w:p>
      <w:pPr>
        <w:pStyle w:val="BodyText"/>
      </w:pPr>
      <w:r>
        <w:t xml:space="preserve">28.</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05">
        <w:r>
          <w:rPr>
            <w:rStyle w:val="Hyperlink"/>
          </w:rPr>
          <w:t xml:space="preserve">https://www.ncbi.nlm.nih.gov/pubmed/16432263</w:t>
        </w:r>
      </w:hyperlink>
    </w:p>
    <w:bookmarkEnd w:id="106"/>
    <w:bookmarkStart w:id="108" w:name="ref-eUtnfAD6"/>
    <w:p>
      <w:pPr>
        <w:pStyle w:val="BodyText"/>
      </w:pPr>
      <w:r>
        <w:t xml:space="preserve">29.</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07">
        <w:r>
          <w:rPr>
            <w:rStyle w:val="Hyperlink"/>
          </w:rPr>
          <w:t xml:space="preserve">https://www.ncbi.nlm.nih.gov/pubmed/16590055</w:t>
        </w:r>
      </w:hyperlink>
    </w:p>
    <w:bookmarkEnd w:id="108"/>
    <w:bookmarkStart w:id="110" w:name="ref-16n3gU60l"/>
    <w:p>
      <w:pPr>
        <w:pStyle w:val="BodyText"/>
      </w:pPr>
      <w:r>
        <w:t xml:space="preserve">30.</w:t>
      </w:r>
      <w:r>
        <w:t xml:space="preserve"> </w:t>
      </w:r>
      <w:r>
        <w:rPr>
          <w:b/>
        </w:rPr>
        <w:t xml:space="preserve">A genome-wide analysis of promoter-mediated phenotypic noise in Escherichia coli.</w:t>
      </w:r>
      <w:r>
        <w:br w:type="textWrapping"/>
      </w:r>
      <w:r>
        <w:t xml:space="preserve">Olin K Silander, Nela Nikolic, Alon Zaslaver, Anat Bren, Ilya Kikoin, Uri Alon, Martin Ackermann</w:t>
      </w:r>
      <w:r>
        <w:br w:type="textWrapping"/>
      </w:r>
      <w:r>
        <w:rPr>
          <w:i/>
        </w:rPr>
        <w:t xml:space="preserve">PLoS genetics</w:t>
      </w:r>
      <w:r>
        <w:t xml:space="preserve"> </w:t>
      </w:r>
      <w:r>
        <w:t xml:space="preserve">(2012-01-19)</w:t>
      </w:r>
      <w:r>
        <w:t xml:space="preserve"> </w:t>
      </w:r>
      <w:hyperlink r:id="rId109">
        <w:r>
          <w:rPr>
            <w:rStyle w:val="Hyperlink"/>
          </w:rPr>
          <w:t xml:space="preserve">https://www.ncbi.nlm.nih.gov/pubmed/22275871</w:t>
        </w:r>
      </w:hyperlink>
    </w:p>
    <w:bookmarkEnd w:id="110"/>
    <w:bookmarkStart w:id="112" w:name="ref-TvXapFFQ"/>
    <w:p>
      <w:pPr>
        <w:pStyle w:val="BodyText"/>
      </w:pPr>
      <w:r>
        <w:t xml:space="preserve">31.</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11">
        <w:r>
          <w:rPr>
            <w:rStyle w:val="Hyperlink"/>
          </w:rPr>
          <w:t xml:space="preserve">https://www.ncbi.nlm.nih.gov/pubmed/16360033</w:t>
        </w:r>
      </w:hyperlink>
    </w:p>
    <w:bookmarkEnd w:id="112"/>
    <w:bookmarkStart w:id="114" w:name="ref-uQeM79z"/>
    <w:p>
      <w:pPr>
        <w:pStyle w:val="BodyText"/>
      </w:pPr>
      <w:r>
        <w:t xml:space="preserve">32.</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13">
        <w:r>
          <w:rPr>
            <w:rStyle w:val="Hyperlink"/>
          </w:rPr>
          <w:t xml:space="preserve">https://www.ncbi.nlm.nih.gov/pubmed/20562858</w:t>
        </w:r>
      </w:hyperlink>
    </w:p>
    <w:bookmarkEnd w:id="114"/>
    <w:bookmarkStart w:id="116" w:name="ref-12aHdKu6v"/>
    <w:p>
      <w:pPr>
        <w:pStyle w:val="BodyText"/>
      </w:pPr>
      <w:r>
        <w:t xml:space="preserve">33.</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15">
        <w:r>
          <w:rPr>
            <w:rStyle w:val="Hyperlink"/>
          </w:rPr>
          <w:t xml:space="preserve">https://www.ncbi.nlm.nih.gov/pubmed/30553725</w:t>
        </w:r>
      </w:hyperlink>
    </w:p>
    <w:bookmarkEnd w:id="116"/>
    <w:bookmarkStart w:id="118" w:name="ref-5dC8qsZ9"/>
    <w:p>
      <w:pPr>
        <w:pStyle w:val="BodyText"/>
      </w:pPr>
      <w:r>
        <w:t xml:space="preserve">34.</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17">
        <w:r>
          <w:rPr>
            <w:rStyle w:val="Hyperlink"/>
          </w:rPr>
          <w:t xml:space="preserve">https://www.ncbi.nlm.nih.gov/pubmed/27525986</w:t>
        </w:r>
      </w:hyperlink>
    </w:p>
    <w:bookmarkEnd w:id="118"/>
    <w:bookmarkStart w:id="120" w:name="ref-1GGGHdsew"/>
    <w:p>
      <w:pPr>
        <w:pStyle w:val="BodyText"/>
      </w:pPr>
      <w:r>
        <w:t xml:space="preserve">35.</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19">
        <w:r>
          <w:rPr>
            <w:rStyle w:val="Hyperlink"/>
          </w:rPr>
          <w:t xml:space="preserve">https://greenelab.github.io/meta-review/</w:t>
        </w:r>
      </w:hyperlink>
    </w:p>
    <w:bookmarkEnd w:id="120"/>
    <w:bookmarkStart w:id="122" w:name="ref-V7sgPYoL"/>
    <w:p>
      <w:pPr>
        <w:pStyle w:val="BodyText"/>
      </w:pPr>
      <w:r>
        <w:t xml:space="preserve">36.</w:t>
      </w:r>
      <w:r>
        <w:t xml:space="preserve"> </w:t>
      </w:r>
      <w:r>
        <w:rPr>
          <w:b/>
        </w:rPr>
        <w:t xml:space="preserve">Supplementary File S2: Plasmids for independently tunable, low- noise gene expression</w:t>
      </w:r>
      <w:r>
        <w:br w:type="textWrapping"/>
      </w:r>
      <w:r>
        <w:t xml:space="preserve">João P. N. Silva, Soraia Vidigal Lopes, Diogo J. Grilo, Zach Hensel</w:t>
      </w:r>
      <w:r>
        <w:br w:type="textWrapping"/>
      </w:r>
      <w:r>
        <w:rPr>
          <w:i/>
        </w:rPr>
        <w:t xml:space="preserve">Zenodo</w:t>
      </w:r>
      <w:r>
        <w:t xml:space="preserve"> </w:t>
      </w:r>
      <w:r>
        <w:t xml:space="preserve">(2019-01-09)</w:t>
      </w:r>
      <w:r>
        <w:t xml:space="preserve"> </w:t>
      </w:r>
      <w:hyperlink r:id="rId121">
        <w:r>
          <w:rPr>
            <w:rStyle w:val="Hyperlink"/>
          </w:rPr>
          <w:t xml:space="preserve">https://doi.org/10.5281/zenodo.2536104</w:t>
        </w:r>
      </w:hyperlink>
    </w:p>
    <w:bookmarkEnd w:id="122"/>
    <w:bookmarkEnd w:id="123"/>
    <w:p>
      <w:pPr>
        <w:pStyle w:val="Heading2"/>
      </w:pPr>
      <w:bookmarkStart w:id="124" w:name="supplementary-material"/>
      <w:r>
        <w:t xml:space="preserve">Supplementary Material</w:t>
      </w:r>
      <w:bookmarkEnd w:id="124"/>
    </w:p>
    <w:p>
      <w:bookmarkStart w:id="0" w:name="fig:gammaFits"/>
      <w:r>
        <w:t/>
      </w:r>
    </w:p>
    <w:p>
      <w:pPr>
        <w:pStyle w:val="CaptionedFigure"/>
      </w:pPr>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25"/>
                    <a:stretch>
                      <a:fillRect/>
                    </a:stretch>
                  </pic:blipFill>
                  <pic:spPr bwMode="auto">
                    <a:xfrm>
                      <a:off x="0" y="0"/>
                      <a:ext cx="3203999" cy="5018982"/>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 </w:t>
      </w:r>
      <w:r>
        <w:t xml:space="preserve">and</w:t>
      </w:r>
      <w:r>
        <w:t xml:space="preserve"> </w:t>
      </w:r>
      <w:hyperlink w:anchor="fig:pJS102-mean-noise">
        <w:r>
          <w:rPr>
            <w:rStyle w:val="Hyperlink"/>
          </w:rPr>
          <w:t xml:space="preserve">2</w:t>
        </w:r>
      </w:hyperlink>
      <w:r>
        <w:t xml:space="preserve">, DNA sequences, and explanatory text files are available as a compressed archive at Zenodo</w:t>
      </w:r>
      <w:r>
        <w:t xml:space="preserve"> </w:t>
      </w:r>
      <w:r>
        <w:t xml:space="preserve">[</w:t>
      </w:r>
      <w:hyperlink w:anchor="ref-V7sgPYoL">
        <w:r>
          <w:rPr>
            <w:rStyle w:val="Hyperlink"/>
          </w:rPr>
          <w:t xml:space="preserve">36</w:t>
        </w:r>
      </w:hyperlink>
      <w:r>
        <w:t xml:space="preserve">]</w:t>
      </w:r>
      <w:r>
        <w:t xml:space="preserve">.</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a6d54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55cb30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125" Target="media/rId125.png" /><Relationship Type="http://schemas.openxmlformats.org/officeDocument/2006/relationships/image" Id="rId29" Target="media/rId29.svg" /><Relationship Type="http://schemas.openxmlformats.org/officeDocument/2006/relationships/image" Id="rId24" Target="media/rId24.svg" /><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121" Target="https://doi.org/10.5281/zenodo.2536104"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5fcaa552c5424712778aaa5b7534837012c0b5cf" TargetMode="External" /><Relationship Type="http://schemas.openxmlformats.org/officeDocument/2006/relationships/hyperlink" Id="rId119"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11"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3"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109" Target="https://www.ncbi.nlm.nih.gov/pubmed/22275871"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7"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5"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5fcaa552c5424712778aaa5b7534837012c0b5cf/" TargetMode="External" /><Relationship Type="http://schemas.openxmlformats.org/officeDocument/2006/relationships/hyperlink" Id="rId31"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121" Target="https://doi.org/10.5281/zenodo.2536104"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5fcaa552c5424712778aaa5b7534837012c0b5cf" TargetMode="External" /><Relationship Type="http://schemas.openxmlformats.org/officeDocument/2006/relationships/hyperlink" Id="rId119"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11"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3"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109" Target="https://www.ncbi.nlm.nih.gov/pubmed/22275871"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7"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5"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5fcaa552c5424712778aaa5b7534837012c0b5cf/" TargetMode="External" /><Relationship Type="http://schemas.openxmlformats.org/officeDocument/2006/relationships/hyperlink" Id="rId31"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gene expression</dc:title>
  <dc:creator/>
  <cp:keywords>gene expression, synthetic biology, transcription</cp:keywords>
  <dcterms:created xsi:type="dcterms:W3CDTF">2019-01-09T11:38:05Z</dcterms:created>
  <dcterms:modified xsi:type="dcterms:W3CDTF">2019-01-09T11:38:05Z</dcterms:modified>
</cp:coreProperties>
</file>