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100.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expression</w:t>
      </w:r>
      <w:r>
        <w:t xml:space="preserve"> </w:t>
      </w:r>
      <w:r>
        <w:t xml:space="preserve">of</w:t>
      </w:r>
      <w:r>
        <w:t xml:space="preserve"> </w:t>
      </w:r>
      <w:r>
        <w:t xml:space="preserve">two</w:t>
      </w:r>
      <w:r>
        <w:t xml:space="preserve"> </w:t>
      </w:r>
      <w:r>
        <w:t xml:space="preserve">genes</w:t>
      </w:r>
    </w:p>
    <w:p>
      <w:pPr>
        <w:pStyle w:val="FirstParagraph"/>
      </w:pPr>
      <w:r>
        <w:rPr>
          <w:i/>
        </w:rPr>
        <w:t xml:space="preserve">A DOI-citable version of this manuscript is available at</w:t>
      </w:r>
      <w:r>
        <w:rPr>
          <w:i/>
        </w:rPr>
        <w:t xml:space="preserve"> </w:t>
      </w:r>
      <w:hyperlink r:id="rId20">
        <w:r>
          <w:rPr>
            <w:rStyle w:val="Hyperlink"/>
            <w:i/>
          </w:rPr>
          <w:t xml:space="preserve">https://doi.org/10.1101/515940</w:t>
        </w:r>
      </w:hyperlink>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zach-hensel/low-noise-manuscript@a5ed250</w:t>
        </w:r>
      </w:hyperlink>
      <w:r>
        <w:t xml:space="preserve"> </w:t>
      </w:r>
      <w:r>
        <w:t xml:space="preserve">on May 7,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in</w:t>
      </w:r>
      <w:r>
        <w:t xml:space="preserve"> </w:t>
      </w:r>
      <w:r>
        <w:rPr>
          <w:i/>
        </w:rPr>
        <w:t xml:space="preserve">Escherichia coli</w:t>
      </w:r>
      <w:r>
        <w:t xml:space="preserve">.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characterized gene expression mean and noise across the range of induction levels for these plasmids, applied the LacI system to tune expression for single-molecule mRNA detection in two different growth conditions, and showed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was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was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were expressed bicistronically, GFP induction and gene expression noise were similar to those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was relatively linearized, and gene expression noise was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experiments in mRNA detection and other single-molecule applications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w:t>
      </w:r>
      <w:r>
        <w:t xml:space="preserve">because of a smaller cell volume for</w:t>
      </w:r>
      <w:r>
        <w:t xml:space="preserve"> </w:t>
      </w:r>
      <w:r>
        <w:rPr>
          <w:i/>
        </w:rPr>
        <w:t xml:space="preserve">E. coli</w:t>
      </w:r>
      <w:r>
        <w:t xml:space="preserve"> </w:t>
      </w:r>
      <w:r>
        <w:t xml:space="preserve">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results"/>
      <w:r>
        <w:t xml:space="preserve">Results</w:t>
      </w:r>
      <w:bookmarkEnd w:id="34"/>
    </w:p>
    <w:p>
      <w:pPr>
        <w:pStyle w:val="Heading3"/>
      </w:pPr>
      <w:bookmarkStart w:id="35" w:name="X7a8db677486bf7d6438114b9d58104df0060ad5"/>
      <w:r>
        <w:t xml:space="preserve">Moving bicistronic autoregulatory construct to a compatible plasmid backbone</w:t>
      </w:r>
      <w:bookmarkEnd w:id="35"/>
    </w:p>
    <w:p>
      <w:pPr>
        <w:pStyle w:val="FirstParagraph"/>
      </w:pPr>
      <w:r>
        <w:t xml:space="preserve">The first step in creating a low-noise system for tuning expression of two genes was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was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5</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6</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7</w:t>
        </w:r>
      </w:hyperlink>
      <w:r>
        <w:t xml:space="preserve">)</w:t>
      </w:r>
      <w:r>
        <w:t xml:space="preserve">. A smaller change was expected in our experiment, since negative autoregulation provided dosage compensation, just as autoregulation can reduce noise in plasmid copy number</w:t>
      </w:r>
      <w:r>
        <w:t xml:space="preserve"> </w:t>
      </w:r>
      <w:r>
        <w:t xml:space="preserve">(</w:t>
      </w:r>
      <w:hyperlink w:anchor="ref-GcRoYBF2">
        <w:r>
          <w:rPr>
            <w:rStyle w:val="Hyperlink"/>
          </w:rPr>
          <w:t xml:space="preserve">3</w:t>
        </w:r>
      </w:hyperlink>
      <w:r>
        <w:t xml:space="preserve">,</w:t>
      </w:r>
      <w:r>
        <w:t xml:space="preserve"> </w:t>
      </w:r>
      <w:hyperlink w:anchor="ref-Qz6zNiXK">
        <w:r>
          <w:rPr>
            <w:rStyle w:val="Hyperlink"/>
          </w:rPr>
          <w:t xml:space="preserve">8</w:t>
        </w:r>
      </w:hyperlink>
      <w:r>
        <w:t xml:space="preserve">,</w:t>
      </w:r>
      <w:r>
        <w:t xml:space="preserve"> </w:t>
      </w:r>
      <w:hyperlink w:anchor="ref-S7KRThVS">
        <w:r>
          <w:rPr>
            <w:rStyle w:val="Hyperlink"/>
          </w:rPr>
          <w:t xml:space="preserve">9</w:t>
        </w:r>
      </w:hyperlink>
      <w:r>
        <w:t xml:space="preserve">)</w:t>
      </w:r>
      <w:r>
        <w:t xml:space="preserve">.</w:t>
      </w:r>
    </w:p>
    <w:bookmarkStart w:id="0" w:name="fig:pZH509-pJS101"/>
    <w:p>
      <w:pPr>
        <w:pStyle w:val="CaptionedFigure"/>
      </w:pPr>
      <w:bookmarkStart w:id="37" w:name="fig:pZH509-pJS101"/>
      <w:r>
        <w:drawing>
          <wp:inline>
            <wp:extent cx="3203999" cy="2738688"/>
            <wp:effectExtent b="0" l="0" r="0" t="0"/>
            <wp:docPr descr="Figure 1: Moving the TetR expression system to a compatible plasmid backbone. Cultures of E. coli MG1655 harboring pZH509 (p15a origin, blue) or pJS101 (pSC101 origin, orange) expressing GFPmut2 with bicistronic autoregulation by TetR were grown at 30 °C in rich media with induction of 1, 5, 25 and 125 nM ATc. Mean single-cell GFP fluorescence was estimated using flow cytometry. Mean GFP levels in 3 independent replicates are indicated with different shapes. Black lines indicate the mean plus or minus 1 standard error of the mean from the 3 replicates."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36"/>
                    <a:stretch>
                      <a:fillRect/>
                    </a:stretch>
                  </pic:blipFill>
                  <pic:spPr bwMode="auto">
                    <a:xfrm>
                      <a:off x="0" y="0"/>
                      <a:ext cx="3203999" cy="2738688"/>
                    </a:xfrm>
                    <a:prstGeom prst="rect">
                      <a:avLst/>
                    </a:prstGeom>
                    <a:noFill/>
                    <a:ln w="9525">
                      <a:noFill/>
                      <a:headEnd/>
                      <a:tailEnd/>
                    </a:ln>
                  </pic:spPr>
                </pic:pic>
              </a:graphicData>
            </a:graphic>
          </wp:inline>
        </w:drawing>
      </w:r>
      <w:bookmarkEnd w:id="37"/>
    </w:p>
    <w:p>
      <w:pPr>
        <w:pStyle w:val="ImageCaption"/>
      </w:pPr>
      <w:r>
        <w:t xml:space="preserve">Figure 1:</w:t>
      </w:r>
      <w:r>
        <w:t xml:space="preserve"> </w:t>
      </w:r>
      <w:r>
        <w:rPr>
          <w:b/>
        </w:rPr>
        <w:t xml:space="preserve">Moving the TetR expression system to a compatible plasmid backbone.</w:t>
      </w:r>
      <w:r>
        <w:t xml:space="preserve"> </w:t>
      </w:r>
      <w:r>
        <w:t xml:space="preserve">Cultures of</w:t>
      </w:r>
      <w:r>
        <w:t xml:space="preserve"> </w:t>
      </w:r>
      <w:r>
        <w:rPr>
          <w:i/>
        </w:rPr>
        <w:t xml:space="preserve">E. coli</w:t>
      </w:r>
      <w:r>
        <w:t xml:space="preserve"> </w:t>
      </w:r>
      <w:r>
        <w:t xml:space="preserve">MG1655 harboring pZH509 (p15a origin, blue) or pJS101 (pSC101 origin, orange) expressing GFPmut2 with bicistronic autoregulation by TetR were grown at 30 °C in rich media with induction of 1, 5, 25 and 125 nM ATc. Mean single-cell GFP fluorescence was estimated using flow cytometry. Mean GFP levels in 3 independent replicates are indicated with different shapes. Black lines indicate the mean plus or minus 1 standard error of the mean from the 3 replicates.</w:t>
      </w:r>
    </w:p>
    <w:bookmarkEnd w:id="0"/>
    <w:p>
      <w:pPr>
        <w:pStyle w:val="Heading3"/>
      </w:pPr>
      <w:bookmarkStart w:id="38" w:name="Xab30b4ef5bc157b938d615a11f446c9593b47be"/>
      <w:r>
        <w:t xml:space="preserve">An alternative regulatory construct with LacI replacing TetR</w:t>
      </w:r>
      <w:bookmarkEnd w:id="38"/>
    </w:p>
    <w:p>
      <w:pPr>
        <w:pStyle w:val="FirstParagraph"/>
      </w:pPr>
      <w:r>
        <w:t xml:space="preserve">We hypothesized that replacing P</w:t>
      </w:r>
      <w:r>
        <w:rPr>
          <w:vertAlign w:val="subscript"/>
        </w:rPr>
        <w:t xml:space="preserve">LtetO-1</w:t>
      </w:r>
      <w:r>
        <w:t xml:space="preserve"> </w:t>
      </w:r>
      <w:r>
        <w:t xml:space="preserve">with the IPTG-inducible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7</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IbIaRemg">
        <w:r>
          <w:rPr>
            <w:rStyle w:val="Hyperlink"/>
          </w:rPr>
          <w:t xml:space="preserve">10</w:t>
        </w:r>
      </w:hyperlink>
      <w:r>
        <w:t xml:space="preserve">,</w:t>
      </w:r>
      <w:r>
        <w:t xml:space="preserve"> </w:t>
      </w:r>
      <w:hyperlink w:anchor="ref-UMSODjob">
        <w:r>
          <w:rPr>
            <w:rStyle w:val="Hyperlink"/>
          </w:rPr>
          <w:t xml:space="preserve">11</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12</w:t>
        </w:r>
      </w:hyperlink>
      <w:r>
        <w:t xml:space="preserve">,</w:t>
      </w:r>
      <w:r>
        <w:t xml:space="preserve"> </w:t>
      </w:r>
      <w:hyperlink w:anchor="ref-WxFVKQqb">
        <w:r>
          <w:rPr>
            <w:rStyle w:val="Hyperlink"/>
          </w:rPr>
          <w:t xml:space="preserve">13</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similar total dynamic range, but with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tunable induction levels to a small extent.</w:t>
      </w:r>
    </w:p>
    <w:bookmarkStart w:id="0" w:name="fig:pJS102-mean-noise"/>
    <w:p>
      <w:pPr>
        <w:pStyle w:val="CaptionedFigure"/>
      </w:pPr>
      <w:bookmarkStart w:id="40" w:name="fig:pJS102-mean-noise"/>
      <w:r>
        <w:drawing>
          <wp:inline>
            <wp:extent cx="5943600" cy="2404924"/>
            <wp:effectExtent b="0" l="0" r="0" t="0"/>
            <wp:docPr descr="Figure 2: Characterizing mean expression levels and noise for different gene expression systems. Cultures of E. coli MG1655 harboring pJS102 (LacI regulation, p15a origin, green), pZH509 (TetR regulation, p15a origin, blue) or pJS101 (TetR regulation, pSC101 origin, orange) were grown at 30 °C in rich media with induction by IPTG (0, 2, 4.5, 10, 22.4, 50, 111.8, 250, 559 and 1250 µM) or ATc (1, 5, 25 and 125 nM). Mean single-cell GFP fluorescence and GFP expression noise was estimated using flow cytometry. Data from 3 independent replicates are indicated with different shapes. Black lines indicate the mean GFP expression and expression noise plus or minus 1 standard error of the mean from the 3 replicates. (a) Mean GFP expression for pJS102 at different IPTG concentrations shows tunable and reproducible induction over an ~50-fold dynamic range. Expression at zero IPTG is plotted separately to fit on logarithmic scale. (b) GFP expression noise as a function of mean for pZH509, pJS101 and pJS102. For all samples, GFP mean increases monotonically with inducer concentration. Note that the full range of induction is not shown here for pZH509 and pJS101 as even 1 nM ATc induces expression. GFP expression noise is low in all conditions for all strains."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39"/>
                    <a:stretch>
                      <a:fillRect/>
                    </a:stretch>
                  </pic:blipFill>
                  <pic:spPr bwMode="auto">
                    <a:xfrm>
                      <a:off x="0" y="0"/>
                      <a:ext cx="5943600" cy="2404924"/>
                    </a:xfrm>
                    <a:prstGeom prst="rect">
                      <a:avLst/>
                    </a:prstGeom>
                    <a:noFill/>
                    <a:ln w="9525">
                      <a:noFill/>
                      <a:headEnd/>
                      <a:tailEnd/>
                    </a:ln>
                  </pic:spPr>
                </pic:pic>
              </a:graphicData>
            </a:graphic>
          </wp:inline>
        </w:drawing>
      </w:r>
      <w:bookmarkEnd w:id="40"/>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Cultures of</w:t>
      </w:r>
      <w:r>
        <w:t xml:space="preserve"> </w:t>
      </w:r>
      <w:r>
        <w:rPr>
          <w:i/>
        </w:rPr>
        <w:t xml:space="preserve">E. coli</w:t>
      </w:r>
      <w:r>
        <w:t xml:space="preserve"> </w:t>
      </w:r>
      <w:r>
        <w:t xml:space="preserve">MG1655 harboring pJS102 (LacI regulation, p15a origin, green), pZH509 (TetR regulation, p15a origin, blue) or pJS101 (TetR regulation, pSC101 origin, orange) were grown at 30 °C in rich media with induction by IPTG (0, 2, 4.5, 10, 22.4, 50, 111.8, 250, 559 and 1250 µM) or ATc (1, 5, 25 and 125 nM). Mean single-cell GFP fluorescence and GFP expression noise was estimated using flow cytometry. Data from 3 independent replicates are indicated with different shapes. Black lines indicate the mean GFP expression and expression noise plus or minus 1 standard error of the mean from the 3 replicates. (</w:t>
      </w:r>
      <w:r>
        <w:rPr>
          <w:b/>
        </w:rPr>
        <w:t xml:space="preserve">a</w:t>
      </w:r>
      <w:r>
        <w:t xml:space="preserve">) Mean GFP expression for pJS102 at different IPTG concentrations shows tunable and reproducible induction over an ~50-fold dynamic range. Expression at zero IPTG is plotted separately to fit on logarithmic scale. (</w:t>
      </w:r>
      <w:r>
        <w:rPr>
          <w:b/>
        </w:rPr>
        <w:t xml:space="preserve">b</w:t>
      </w:r>
      <w:r>
        <w:t xml:space="preserve">) GFP expression noise as a function of mean for pZH509, pJS101 and pJS102. For all samples, GFP mean increases monotonically with inducer concentration. Note that the full range of induction is not shown here for pZH509 and pJS101 as even 1 nM ATc induces expression. GFP expression noise is low in all conditions for all strains.</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14</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was partially due to measurement noise, and, at any rate, was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We found that side scattering was weakly correlated with fluorescence, and thus with cell size, so gating for scattering modestly reduced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observed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overlapped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was somewhat overestimated. Our noise measurements were also consistent with the lower limit of gene expression noise found in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15</w:t>
        </w:r>
      </w:hyperlink>
      <w:r>
        <w:t xml:space="preserve">)</w:t>
      </w:r>
      <w:r>
        <w:t xml:space="preserve">.</w:t>
      </w:r>
    </w:p>
    <w:p>
      <w:pPr>
        <w:pStyle w:val="Heading3"/>
      </w:pPr>
      <w:bookmarkStart w:id="41" w:name="Xdafa6ec8d7f8c86cb502359749e188dbc7248ad"/>
      <w:r>
        <w:t xml:space="preserve">Using the new induction system for detection of single mRNA in living</w:t>
      </w:r>
      <w:r>
        <w:t xml:space="preserve"> </w:t>
      </w:r>
      <w:r>
        <w:rPr>
          <w:i/>
        </w:rPr>
        <w:t xml:space="preserve">E. coli</w:t>
      </w:r>
      <w:bookmarkEnd w:id="41"/>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16</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encode mVenus-Cro and also include 24 tandem repeats of the binding sequence for the PP7 coat protein (PP7cp)</w:t>
      </w:r>
      <w:r>
        <w:t xml:space="preserve"> </w:t>
      </w:r>
      <w:r>
        <w:t xml:space="preserve">(</w:t>
      </w:r>
      <w:hyperlink w:anchor="ref-1GFLV3s4q">
        <w:r>
          <w:rPr>
            <w:rStyle w:val="Hyperlink"/>
          </w:rPr>
          <w:t xml:space="preserve">17</w:t>
        </w:r>
      </w:hyperlink>
      <w:r>
        <w:t xml:space="preserve">)</w:t>
      </w:r>
      <w:r>
        <w:t xml:space="preserve">. These mRNAs 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(fluorescent mRNA spots are sufficiently bright but not obscured by background) at 100 µM IPTG in minimal media supplemented with 1% rich media. We note the absence of pole-localized fluorescent spots that characterize mRNA aggregation</w:t>
      </w:r>
      <w:r>
        <w:t xml:space="preserve"> </w:t>
      </w:r>
      <w:r>
        <w:t xml:space="preserve">(</w:t>
      </w:r>
      <w:hyperlink w:anchor="ref-uQeM79z">
        <w:r>
          <w:rPr>
            <w:rStyle w:val="Hyperlink"/>
          </w:rPr>
          <w:t xml:space="preserve">18</w:t>
        </w:r>
      </w:hyperlink>
      <w:r>
        <w:t xml:space="preserve">)</w:t>
      </w:r>
      <w:r>
        <w:t xml:space="preserve">, and we observed reasonable mRNA lifetimes of a few minutes in time-lapse imaging.</w:t>
      </w:r>
    </w:p>
    <w:p>
      <w:pPr>
        <w:pStyle w:val="BodyText"/>
      </w:pPr>
      <w:r>
        <w:t xml:space="preserve">We moved to minimal media to explore a growth condition with different mRNA expression levels and slower growth rates,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different PP7cp-SYFP2 induction conditions and identify 10–20 µM IPTG as a range in which PP7cp-SYFP2 levels were high enough to label single mRNAs, but not so high as to give a high background of unbound molecules.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bookmarkStart w:id="0" w:name="fig:pZH713-optimization"/>
    <w:p>
      <w:pPr>
        <w:pStyle w:val="CaptionedFigure"/>
      </w:pPr>
      <w:bookmarkStart w:id="43" w:name="fig:pZH713-optimization"/>
      <w:r>
        <w:drawing>
          <wp:inline>
            <wp:extent cx="3203999" cy="2580999"/>
            <wp:effectExtent b="0" l="0" r="0" t="0"/>
            <wp:docPr descr="Figure 3: Using IPTG to tune expression of a fluorescent RNA-binding protein for single mRNA detection in different growth conditions. ZHX99 cells were grown with low expression levels (less than 1 molecule per cell) of mRNAs harboring 24 tandem binding sites for the PP7 coat protein fused to SYFP2. Cells were spotted on agarose gel pads and YFP fluorescence images were acquired. Two example images are shown for each condition. Images were taken shortly after preparing samples, so adjacent cells were not usually closely related in cell lineages. (a) PP7cp-SYFP2 was induced with 100 µM IPTG to detect single mVenus-Cro mRNA molecules in supplemented media and minimal media conditions; in minimal media there was too high a PP7cp-SYFP expression level to see single mRNA spots above background. Scale bar 4 µm. (b) Using the pJS102 expression system, PP7cp-SYFP2 expression levels were varied by induction with 5, 10, 20 and 40 µM IPTG. The range of 10—20 µM IPTG was identified to give bright mRNA spots above the background of unbound PP7cp-SYFP2 molecules. Scale bar 2 µm."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2"/>
                    <a:stretch>
                      <a:fillRect/>
                    </a:stretch>
                  </pic:blipFill>
                  <pic:spPr bwMode="auto">
                    <a:xfrm>
                      <a:off x="0" y="0"/>
                      <a:ext cx="3203999" cy="2580999"/>
                    </a:xfrm>
                    <a:prstGeom prst="rect">
                      <a:avLst/>
                    </a:prstGeom>
                    <a:noFill/>
                    <a:ln w="9525">
                      <a:noFill/>
                      <a:headEnd/>
                      <a:tailEnd/>
                    </a:ln>
                  </pic:spPr>
                </pic:pic>
              </a:graphicData>
            </a:graphic>
          </wp:inline>
        </w:drawing>
      </w:r>
      <w:bookmarkEnd w:id="43"/>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ZHX99 cells were grown with low expression levels (less than 1 molecule per cell) of mRNAs harboring 24 tandem binding sites for the PP7 coat protein fused to SYFP2. Cells were spotted on agarose gel pads and YFP fluorescence images were acquired. Two example images are shown for each condition. Images were taken shortly after preparing samples, so adjacent cells were not usually closely related in cell lineages. (</w:t>
      </w:r>
      <w:r>
        <w:rPr>
          <w:b/>
        </w:rPr>
        <w:t xml:space="preserve">a</w:t>
      </w:r>
      <w:r>
        <w:t xml:space="preserve">) PP7cp-SYFP2 was induced with 100 µM IPTG to detect single mVenus-Cro mRNA molecules in supplemented media and minimal media conditions; in minimal media there was too high a PP7cp-SYFP expression level to see single mRNA spots above background. Scale bar 4 µm. (</w:t>
      </w:r>
      <w:r>
        <w:rPr>
          <w:b/>
        </w:rPr>
        <w:t xml:space="preserve">b</w:t>
      </w:r>
      <w:r>
        <w:t xml:space="preserve">) Using the pJS102 expression system, PP7cp-SYFP2 expression levels were varied by induction with 5, 10, 20 and 40 µM IPTG. The range of 10—20 µM IPTG was identified to give bright mRNA spots above the background of unbound PP7cp-SYFP2 molecules. Scale bar 2 µm.</w:t>
      </w:r>
    </w:p>
    <w:bookmarkEnd w:id="0"/>
    <w:p>
      <w:pPr>
        <w:pStyle w:val="Heading3"/>
      </w:pPr>
      <w:bookmarkStart w:id="44" w:name="Xdc479172434aa92a53c000528b52dbf06b17e63"/>
      <w:r>
        <w:t xml:space="preserve">Independent, tunable expression of two genes</w:t>
      </w:r>
      <w:bookmarkEnd w:id="44"/>
    </w:p>
    <w:p>
      <w:pPr>
        <w:pStyle w:val="FirstParagraph"/>
      </w:pPr>
      <w:r>
        <w:t xml:space="preserve">Lastly, we tested whether ATc-inducible and IPTG-inducible plasmids could be combined to achieve low-noise expression of two genes in the same cell. We replaced GFPmut2 in pJS102 with the fast-maturing RFP mScarlet-I</w:t>
      </w:r>
      <w:r>
        <w:t xml:space="preserve"> </w:t>
      </w:r>
      <w:r>
        <w:t xml:space="preserve">(</w:t>
      </w:r>
      <w:hyperlink w:anchor="ref-zj8Ydkzo">
        <w:r>
          <w:rPr>
            <w:rStyle w:val="Hyperlink"/>
          </w:rPr>
          <w:t xml:space="preserve">19</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w:t>
      </w:r>
      <w:r>
        <w:t xml:space="preserve"> </w:t>
      </w:r>
      <w:r>
        <w:rPr>
          <w:b/>
        </w:rPr>
        <w:t xml:space="preserve">Figure</w:t>
      </w:r>
      <w:r>
        <w:rPr>
          <w:b/>
        </w:rPr>
        <w:t xml:space="preserve"> </w:t>
      </w:r>
      <w:hyperlink w:anchor="fig:pJS101-pDG101">
        <w:r>
          <w:rPr>
            <w:rStyle w:val="Hyperlink"/>
            <w:b/>
          </w:rPr>
          <w:t xml:space="preserve">4</w:t>
        </w:r>
      </w:hyperlink>
      <w:r>
        <w:rPr>
          <w:b/>
        </w:rPr>
        <w:t xml:space="preserve">c</w:t>
      </w:r>
      <w:r>
        <w:t xml:space="preserve"> </w:t>
      </w:r>
      <w:r>
        <w:t xml:space="preserve">and</w:t>
      </w:r>
      <w:r>
        <w:t xml:space="preserve"> </w:t>
      </w:r>
      <w:hyperlink w:anchor="fig:pJS101-pDG101">
        <w:r>
          <w:rPr>
            <w:rStyle w:val="Hyperlink"/>
            <w:b/>
          </w:rPr>
          <w:t xml:space="preserve">4</w:t>
        </w:r>
      </w:hyperlink>
      <w:r>
        <w:rPr>
          <w:b/>
        </w:rPr>
        <w:t xml:space="preserve">d</w:t>
      </w:r>
      <w:r>
        <w:t xml:space="preserve"> </w:t>
      </w:r>
      <w:r>
        <w:t xml:space="preserve">shows that mean expression levels were reproducible in 3 independent replicates, with low noise in each sample across a 5-fold increase in expression levels. There is some day-to-day variation in mean expression levels, but for each replicate induction of GFPmut2 and mScarlet-I is independent.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bookmarkStart w:id="0" w:name="fig:pJS101-pDG101"/>
    <w:p>
      <w:pPr>
        <w:pStyle w:val="CaptionedFigure"/>
      </w:pPr>
      <w:bookmarkStart w:id="46" w:name="fig:pJS101-pDG101"/>
      <w:r>
        <w:drawing>
          <wp:inline>
            <wp:extent cx="3203999" cy="3178571"/>
            <wp:effectExtent b="0" l="0" r="0" t="0"/>
            <wp:docPr descr="Figure 4: Independence of induction of TetR and LacI systems. MG1655 cells harboring pJS101 (ATc-inducible expression of GFP, pSC101 origin) and pDG101 (IPTG-inducible expression of mScarlet-I, p15a origin) were grown with different combinations of IPTG and ATc concentrations. GFP and mScarlet-I fluorescence was observed and quantified by fluorescence microscopy. (a) GFP fluorescence showed no apparent influence of IPTG on ATc-induced expression of GFP for cells grown at 30 °C in EZ-RICH media. (b) For the same cells as in a, no influence of ATc was observed on IPTG-induced expression of mScarlet-I. Scale bar 3 µm. (c,d) Cells were grown at 37 °C in M9A media in 3 independent replicates, and the mean and noise of GFP and mScarlet-I fluorescence intensities (from the average intensities of pixels within cells) were estimated at different IPTG (50, 1250 µM) and ATc (5, 125 nM) concentrations. Translation was inhibited with chloramphenicol for 1 hour prior to preparing microscope samples in order to allow for fluorescent protein maturation. Colored circles indicate the results from independent replicates. For mean expression levels in c, black lines indicate the mean GFP and mScarlet-I expression plus or minus 1 standard error of the mean from the 3 replicates. Noise measurements in d indicate low noise in both channels in all conditions and replicates."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5"/>
                    <a:stretch>
                      <a:fillRect/>
                    </a:stretch>
                  </pic:blipFill>
                  <pic:spPr bwMode="auto">
                    <a:xfrm>
                      <a:off x="0" y="0"/>
                      <a:ext cx="3203999" cy="3178571"/>
                    </a:xfrm>
                    <a:prstGeom prst="rect">
                      <a:avLst/>
                    </a:prstGeom>
                    <a:noFill/>
                    <a:ln w="9525">
                      <a:noFill/>
                      <a:headEnd/>
                      <a:tailEnd/>
                    </a:ln>
                  </pic:spPr>
                </pic:pic>
              </a:graphicData>
            </a:graphic>
          </wp:inline>
        </w:drawing>
      </w:r>
      <w:bookmarkEnd w:id="46"/>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pSC101 origin) and pDG101 (IPTG-inducible expression of mScarlet-I, p15a origin) were grown with different combinations of IPTG and ATc concentrations. GFP and mScarlet-I fluorescence was observed and quantified by fluorescence microscopy. (</w:t>
      </w:r>
      <w:r>
        <w:rPr>
          <w:b/>
        </w:rPr>
        <w:t xml:space="preserve">a</w:t>
      </w:r>
      <w:r>
        <w:t xml:space="preserve">) GFP fluorescence showed no apparent influence of IPTG on ATc-induced expression of GFP for cells grown at 30 °C in EZ-RICH media. (</w:t>
      </w:r>
      <w:r>
        <w:rPr>
          <w:b/>
        </w:rPr>
        <w:t xml:space="preserve">b</w:t>
      </w:r>
      <w:r>
        <w:t xml:space="preserve">) For the same cells as in</w:t>
      </w:r>
      <w:r>
        <w:t xml:space="preserve"> </w:t>
      </w:r>
      <w:r>
        <w:rPr>
          <w:b/>
        </w:rPr>
        <w:t xml:space="preserve">a</w:t>
      </w:r>
      <w:r>
        <w:t xml:space="preserve">, no influence of ATc was observed on IPTG-induced expression of mScarlet-I. Scale bar 3 µm. (</w:t>
      </w:r>
      <w:r>
        <w:rPr>
          <w:b/>
        </w:rPr>
        <w:t xml:space="preserve">c</w:t>
      </w:r>
      <w:r>
        <w:t xml:space="preserve">,</w:t>
      </w:r>
      <w:r>
        <w:rPr>
          <w:b/>
        </w:rPr>
        <w:t xml:space="preserve">d</w:t>
      </w:r>
      <w:r>
        <w:t xml:space="preserve">) Cells were grown at 37 °C in M9A media in 3 independent replicates, and the mean and noise of GFP and mScarlet-I fluorescence intensities (from the average intensities of pixels within cells) were estimated at different IPTG (50, 1250 µM) and ATc (5, 125 nM) concentrations. Translation was inhibited with chloramphenicol for 1 hour prior to preparing microscope samples in order to allow for fluorescent protein maturation. Colored circles indicate the results from independent replicates. For mean expression levels in</w:t>
      </w:r>
      <w:r>
        <w:t xml:space="preserve"> </w:t>
      </w:r>
      <w:r>
        <w:rPr>
          <w:b/>
        </w:rPr>
        <w:t xml:space="preserve">c</w:t>
      </w:r>
      <w:r>
        <w:t xml:space="preserve">, black lines indicate the mean GFP and mScarlet-I expression plus or minus 1 standard error of the mean from the 3 replicates. Noise measurements in</w:t>
      </w:r>
      <w:r>
        <w:t xml:space="preserve"> </w:t>
      </w:r>
      <w:r>
        <w:rPr>
          <w:b/>
        </w:rPr>
        <w:t xml:space="preserve">d</w:t>
      </w:r>
      <w:r>
        <w:t xml:space="preserve"> </w:t>
      </w:r>
      <w:r>
        <w:t xml:space="preserve">indicate low noise in both channels in all conditions and replicates.</w:t>
      </w:r>
    </w:p>
    <w:bookmarkEnd w:id="0"/>
    <w:p>
      <w:pPr>
        <w:pStyle w:val="Heading2"/>
      </w:pPr>
      <w:bookmarkStart w:id="47" w:name="discussion"/>
      <w:r>
        <w:t xml:space="preserve">Discussion</w:t>
      </w:r>
      <w:bookmarkEnd w:id="47"/>
    </w:p>
    <w:p>
      <w:pPr>
        <w:pStyle w:val="Heading3"/>
      </w:pPr>
      <w:bookmarkStart w:id="48" w:name="Xa4e8a20042387d09cf8410227eff32aa7d4ea10"/>
      <w:r>
        <w:t xml:space="preserve">Implementing low-noise expression systems</w:t>
      </w:r>
      <w:bookmarkEnd w:id="48"/>
    </w:p>
    <w:p>
      <w:pPr>
        <w:pStyle w:val="FirstParagraph"/>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such as binding affinities for the repressor to DNA and inducer suggests that it can be easily extended to a third, repressor-based expression system. Further, additional ribosome binding sites can be added to the bicistronic operon to express additional components. Notably, we have found that the ATc- and IPTG-inducible systems both function well in MG1655, a strain in which the</w:t>
      </w:r>
      <w:r>
        <w:t xml:space="preserve"> </w:t>
      </w:r>
      <w:r>
        <w:rPr>
          <w:i/>
        </w:rPr>
        <w:t xml:space="preserve">lac</w:t>
      </w:r>
      <w:r>
        <w:t xml:space="preserve"> </w:t>
      </w:r>
      <w:r>
        <w:t xml:space="preserve">operon was deleted, and the</w:t>
      </w:r>
      <w:r>
        <w:t xml:space="preserve"> </w:t>
      </w:r>
      <w:r>
        <w:rPr>
          <w:i/>
        </w:rPr>
        <w:t xml:space="preserve">E. coli</w:t>
      </w:r>
      <w:r>
        <w:t xml:space="preserve"> </w:t>
      </w:r>
      <w:r>
        <w:t xml:space="preserve">TOP10 strain. This host insensitivity could be specific to repressors that are not encoded by the host strain, such as TetR, or repressors that are expressed at very low levels, such as LacI</w:t>
      </w:r>
      <w:r>
        <w:t xml:space="preserve"> </w:t>
      </w:r>
      <w:r>
        <w:t xml:space="preserve">(</w:t>
      </w:r>
      <w:hyperlink w:anchor="ref-YoMCfbca">
        <w:r>
          <w:rPr>
            <w:rStyle w:val="Hyperlink"/>
          </w:rPr>
          <w:t xml:space="preserve">20</w:t>
        </w:r>
      </w:hyperlink>
      <w:r>
        <w:t xml:space="preserve">)</w:t>
      </w:r>
      <w:r>
        <w:t xml:space="preserve">.</w:t>
      </w:r>
    </w:p>
    <w:p>
      <w:pPr>
        <w:pStyle w:val="Heading3"/>
      </w:pPr>
      <w:bookmarkStart w:id="49" w:name="functionality-in-other-organisms"/>
      <w:r>
        <w:t xml:space="preserve">Functionality in other organisms</w:t>
      </w:r>
      <w:bookmarkEnd w:id="49"/>
    </w:p>
    <w:p>
      <w:pPr>
        <w:pStyle w:val="FirstParagraph"/>
      </w:pPr>
      <w:r>
        <w:t xml:space="preserve">We chose p15a and pSC101 plasmids for these systems because we primarily apply them in</w:t>
      </w:r>
      <w:r>
        <w:t xml:space="preserve"> </w:t>
      </w:r>
      <w:r>
        <w:rPr>
          <w:i/>
        </w:rPr>
        <w:t xml:space="preserve">E. coli</w:t>
      </w:r>
      <w:r>
        <w:t xml:space="preserve">, they transform efficiently, and they have been successfully co-transformed in earlier work</w:t>
      </w:r>
      <w:r>
        <w:t xml:space="preserve"> </w:t>
      </w:r>
      <w:r>
        <w:t xml:space="preserve">(</w:t>
      </w:r>
      <w:hyperlink w:anchor="ref-15TQ1MvYV">
        <w:r>
          <w:rPr>
            <w:rStyle w:val="Hyperlink"/>
          </w:rPr>
          <w:t xml:space="preserve">6</w:t>
        </w:r>
      </w:hyperlink>
      <w:r>
        <w:t xml:space="preserve">)</w:t>
      </w:r>
      <w:r>
        <w:t xml:space="preserve">. However, these are narrow host-range plasmids, and it remains to be seen whether our expression systems will work well in broad host-range plasmids</w:t>
      </w:r>
      <w:r>
        <w:t xml:space="preserve"> </w:t>
      </w:r>
      <w:r>
        <w:t xml:space="preserve">(</w:t>
      </w:r>
      <w:hyperlink w:anchor="ref-N7fJlkrJ">
        <w:r>
          <w:rPr>
            <w:rStyle w:val="Hyperlink"/>
          </w:rPr>
          <w:t xml:space="preserve">21</w:t>
        </w:r>
      </w:hyperlink>
      <w:r>
        <w:t xml:space="preserve">)</w:t>
      </w:r>
      <w:r>
        <w:t xml:space="preserve">, in other organisms, or upon chromosome integration. We expect that the system will be reasonably portable in hosts meeting some basic criteria. First, the P</w:t>
      </w:r>
      <w:r>
        <w:rPr>
          <w:vertAlign w:val="subscript"/>
        </w:rPr>
        <w:t xml:space="preserve">LtetO-1</w:t>
      </w:r>
      <w:r>
        <w:t xml:space="preserve"> </w:t>
      </w:r>
      <w:r>
        <w:t xml:space="preserve">and P</w:t>
      </w:r>
      <w:r>
        <w:rPr>
          <w:vertAlign w:val="subscript"/>
        </w:rPr>
        <w:t xml:space="preserve">LlacO-1</w:t>
      </w:r>
      <w:r>
        <w:t xml:space="preserve"> </w:t>
      </w:r>
      <w:r>
        <w:t xml:space="preserve">promoters are very strong, with sequences close to the</w:t>
      </w:r>
      <w:r>
        <w:t xml:space="preserve"> </w:t>
      </w:r>
      <w:r>
        <w:rPr>
          <w:i/>
        </w:rPr>
        <w:t xml:space="preserve">E. coli</w:t>
      </w:r>
      <w:r>
        <w:t xml:space="preserve"> </w:t>
      </w:r>
      <w:r>
        <w:t xml:space="preserve">σ</w:t>
      </w:r>
      <w:r>
        <w:rPr>
          <w:vertAlign w:val="subscript"/>
        </w:rPr>
        <w:t xml:space="preserve">70</w:t>
      </w:r>
      <w:r>
        <w:t xml:space="preserve"> </w:t>
      </w:r>
      <w:r>
        <w:t xml:space="preserve">consensus; this promoter must match promoter sequences recognized in another system. Second, we have created expression systems using a variety of ribosome binding sites with different translation rates</w:t>
      </w:r>
      <w:r>
        <w:t xml:space="preserve"> </w:t>
      </w:r>
      <w:r>
        <w:t xml:space="preserve">(</w:t>
      </w:r>
      <w:hyperlink w:anchor="ref-TlAItren">
        <w:r>
          <w:rPr>
            <w:rStyle w:val="Hyperlink"/>
          </w:rPr>
          <w:t xml:space="preserve">1</w:t>
        </w:r>
      </w:hyperlink>
      <w:r>
        <w:t xml:space="preserve">)</w:t>
      </w:r>
      <w:r>
        <w:t xml:space="preserve">; translation rates can be predicted from homology to 16S rRNA and other factors independent of the host</w:t>
      </w:r>
      <w:r>
        <w:t xml:space="preserve"> </w:t>
      </w:r>
      <w:r>
        <w:t xml:space="preserve">(</w:t>
      </w:r>
      <w:hyperlink w:anchor="ref-pzTydEMA">
        <w:r>
          <w:rPr>
            <w:rStyle w:val="Hyperlink"/>
          </w:rPr>
          <w:t xml:space="preserve">22</w:t>
        </w:r>
      </w:hyperlink>
      <w:r>
        <w:t xml:space="preserve">)</w:t>
      </w:r>
      <w:r>
        <w:t xml:space="preserve">, and may need to be modified to achieve a desired range of induction. Third, we used the strong, Rho-independent rrnB T1 terminator</w:t>
      </w:r>
      <w:r>
        <w:t xml:space="preserve"> </w:t>
      </w:r>
      <w:r>
        <w:t xml:space="preserve">(</w:t>
      </w:r>
      <w:hyperlink w:anchor="ref-xjKSoV9v">
        <w:r>
          <w:rPr>
            <w:rStyle w:val="Hyperlink"/>
          </w:rPr>
          <w:t xml:space="preserve">23</w:t>
        </w:r>
      </w:hyperlink>
      <w:r>
        <w:t xml:space="preserve">)</w:t>
      </w:r>
      <w:r>
        <w:t xml:space="preserve">, which should work in a broad range of microbial hosts, but may be less effective in some. Lastly, the addition of an insulating transcriptional repressor ahead of the P</w:t>
      </w:r>
      <w:r>
        <w:rPr>
          <w:vertAlign w:val="subscript"/>
        </w:rPr>
        <w:t xml:space="preserve">LtetO-1</w:t>
      </w:r>
      <w:r>
        <w:t xml:space="preserve"> </w:t>
      </w:r>
      <w:r>
        <w:t xml:space="preserve">and P</w:t>
      </w:r>
      <w:r>
        <w:rPr>
          <w:vertAlign w:val="subscript"/>
        </w:rPr>
        <w:t xml:space="preserve">LlacO-1</w:t>
      </w:r>
      <w:r>
        <w:t xml:space="preserve"> </w:t>
      </w:r>
      <w:r>
        <w:t xml:space="preserve">promoters is likely to reduce sensitivity to transcription upstream of these constructs. We also note that noise for pJS101, with its lower-copy-number pSC101 replicon, is lower than that for pZH509 or pJS102 at similar expression levels (</w:t>
      </w:r>
      <w:r>
        <w:rPr>
          <w:b/>
        </w:rPr>
        <w:t xml:space="preserve">Figure</w:t>
      </w:r>
      <w:r>
        <w:rPr>
          <w:b/>
        </w:rPr>
        <w:t xml:space="preserve"> </w:t>
      </w:r>
      <w:hyperlink w:anchor="fig:pJS102-mean-noise">
        <w:r>
          <w:rPr>
            <w:rStyle w:val="Hyperlink"/>
            <w:b/>
          </w:rPr>
          <w:t xml:space="preserve">2</w:t>
        </w:r>
      </w:hyperlink>
      <w:r>
        <w:rPr>
          <w:b/>
        </w:rPr>
        <w:t xml:space="preserve">b</w:t>
      </w:r>
      <w:r>
        <w:t xml:space="preserve">). This suggests that incorporating this construct into the chromosome, where copy number is more tightly regulated, may lead to further noise reduction.</w:t>
      </w:r>
    </w:p>
    <w:p>
      <w:pPr>
        <w:pStyle w:val="Heading3"/>
      </w:pPr>
      <w:bookmarkStart w:id="50" w:name="possible-applications"/>
      <w:r>
        <w:t xml:space="preserve">Possible applications</w:t>
      </w:r>
      <w:bookmarkEnd w:id="50"/>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24</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25</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 We see two major drawbacks to our gene expression system. First, the dynamic range of inducible expression is lower than for systems controlled by constitutively expressed transcriptional repressors</w:t>
      </w:r>
      <w:r>
        <w:t xml:space="preserve"> </w:t>
      </w:r>
      <w:r>
        <w:t xml:space="preserve">(</w:t>
      </w:r>
      <w:hyperlink w:anchor="ref-TlAItren">
        <w:r>
          <w:rPr>
            <w:rStyle w:val="Hyperlink"/>
          </w:rPr>
          <w:t xml:space="preserve">1</w:t>
        </w:r>
      </w:hyperlink>
      <w:r>
        <w:t xml:space="preserve">,</w:t>
      </w:r>
      <w:r>
        <w:t xml:space="preserve"> </w:t>
      </w:r>
      <w:hyperlink w:anchor="ref-NCWOk1rp">
        <w:r>
          <w:rPr>
            <w:rStyle w:val="Hyperlink"/>
          </w:rPr>
          <w:t xml:space="preserve">7</w:t>
        </w:r>
      </w:hyperlink>
      <w:r>
        <w:t xml:space="preserve">)</w:t>
      </w:r>
      <w:r>
        <w:t xml:space="preserve">, because some expression must occur at zero inducer concentration before negative feedback kicks in. While the dynamic range could possibly be expanded by increasing repressor binding strength or having a low level of constitutive repressor expression, we have yet to succeed in this. Second, TetR and LacI are expressed at different levels at different induction conditions. This could have off-target effects (</w:t>
      </w:r>
      <w:r>
        <w:rPr>
          <w:i/>
        </w:rPr>
        <w:t xml:space="preserve">e.g.</w:t>
      </w:r>
      <w:r>
        <w:t xml:space="preserve"> </w:t>
      </w:r>
      <w:r>
        <w:t xml:space="preserve">from non-specific DNA binding); we have occasionally observed slow growth at very high induction levels (over 200 nM ATc for pZH509), but we have not tested whether this is due to high TetR expression or high GFPmut2 expression.</w:t>
      </w:r>
    </w:p>
    <w:p>
      <w:pPr>
        <w:pStyle w:val="Heading2"/>
      </w:pPr>
      <w:bookmarkStart w:id="51" w:name="materials-and-methods"/>
      <w:r>
        <w:t xml:space="preserve">Materials and methods</w:t>
      </w:r>
      <w:bookmarkEnd w:id="51"/>
    </w:p>
    <w:p>
      <w:pPr>
        <w:pStyle w:val="Heading3"/>
      </w:pPr>
      <w:bookmarkStart w:id="52" w:name="strain-construction"/>
      <w:r>
        <w:t xml:space="preserve">Strain construction</w:t>
      </w:r>
      <w:bookmarkEnd w:id="52"/>
    </w:p>
    <w:p>
      <w:pPr>
        <w:pStyle w:val="FirstParagraph"/>
      </w:pPr>
      <w:r>
        <w:t xml:space="preserve">All plasmids were constructed using isothermal assembly</w:t>
      </w:r>
      <w:r>
        <w:t xml:space="preserve"> </w:t>
      </w:r>
      <w:r>
        <w:t xml:space="preserve">(</w:t>
      </w:r>
      <w:hyperlink w:anchor="ref-dc6GAnhL">
        <w:r>
          <w:rPr>
            <w:rStyle w:val="Hyperlink"/>
          </w:rPr>
          <w:t xml:space="preserve">26</w:t>
        </w:r>
      </w:hyperlink>
      <w:r>
        <w:t xml:space="preserve">)</w:t>
      </w:r>
      <w:r>
        <w:t xml:space="preserve"> </w:t>
      </w:r>
      <w:r>
        <w:t xml:space="preserve">of fragments generated by PCR or double-stranded DNA synthesis (IDT, Coralville) and transformed into Top10 E. coli cells (5-1600-020, IBA Life Sciences, Göttingen). Transformants were screened by colony PCR and verified by sequencing (StabVida, Caparica).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7</w:t>
        </w:r>
      </w:hyperlink>
      <w:r>
        <w:t xml:space="preserve">)</w:t>
      </w:r>
      <w:r>
        <w:t xml:space="preserve">, GFPmut2</w:t>
      </w:r>
      <w:r>
        <w:t xml:space="preserve"> </w:t>
      </w:r>
      <w:r>
        <w:t xml:space="preserve">(</w:t>
      </w:r>
      <w:hyperlink w:anchor="ref-13TJF2gcl">
        <w:r>
          <w:rPr>
            <w:rStyle w:val="Hyperlink"/>
          </w:rPr>
          <w:t xml:space="preserve">27</w:t>
        </w:r>
      </w:hyperlink>
      <w:r>
        <w:t xml:space="preserve">)</w:t>
      </w:r>
      <w:r>
        <w:t xml:space="preserve">, tn10 TetR</w:t>
      </w:r>
      <w:r>
        <w:t xml:space="preserve"> </w:t>
      </w:r>
      <w:r>
        <w:t xml:space="preserve">(</w:t>
      </w:r>
      <w:hyperlink w:anchor="ref-Q1a7tU8">
        <w:r>
          <w:rPr>
            <w:rStyle w:val="Hyperlink"/>
          </w:rPr>
          <w:t xml:space="preserve">28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23</w:t>
        </w:r>
      </w:hyperlink>
      <w:r>
        <w:t xml:space="preserve">)</w:t>
      </w:r>
      <w:r>
        <w:t xml:space="preserve">. Using isothermal assembly, this construct was inserted into the pGB2 backbone</w:t>
      </w:r>
      <w:r>
        <w:t xml:space="preserve"> </w:t>
      </w:r>
      <w:r>
        <w:t xml:space="preserve">(</w:t>
      </w:r>
      <w:hyperlink w:anchor="ref-5CRbRLYC">
        <w:r>
          <w:rPr>
            <w:rStyle w:val="Hyperlink"/>
          </w:rPr>
          <w:t xml:space="preserve">5</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7</w:t>
        </w:r>
      </w:hyperlink>
      <w:r>
        <w:t xml:space="preserve">)</w:t>
      </w:r>
      <w:r>
        <w:t xml:space="preserve">. LacI</w:t>
      </w:r>
      <w:r>
        <w:t xml:space="preserve"> </w:t>
      </w:r>
      <w:r>
        <w:t xml:space="preserve">(</w:t>
      </w:r>
      <w:hyperlink w:anchor="ref-YoMCfbca">
        <w:r>
          <w:rPr>
            <w:rStyle w:val="Hyperlink"/>
          </w:rPr>
          <w:t xml:space="preserve">20</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29</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30</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22</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17</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31</w:t>
        </w:r>
      </w:hyperlink>
      <w:r>
        <w:t xml:space="preserve">)</w:t>
      </w:r>
      <w:r>
        <w:t xml:space="preserve">) and PP7cp (generated after codon optimization by DNA synthesis based on previously reported sequences</w:t>
      </w:r>
      <w:r>
        <w:t xml:space="preserve"> </w:t>
      </w:r>
      <w:r>
        <w:t xml:space="preserve">(</w:t>
      </w:r>
      <w:hyperlink w:anchor="ref-EObeLKJ1">
        <w:r>
          <w:rPr>
            <w:rStyle w:val="Hyperlink"/>
          </w:rPr>
          <w:t xml:space="preserve">32</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19</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whole-plasmid sequencing</w:t>
      </w:r>
      <w:r>
        <w:t xml:space="preserve"> </w:t>
      </w:r>
      <w:r>
        <w:t xml:space="preserve">(</w:t>
      </w:r>
      <w:hyperlink w:anchor="ref-q8xLcfYV">
        <w:r>
          <w:rPr>
            <w:rStyle w:val="Hyperlink"/>
          </w:rPr>
          <w:t xml:space="preserve">33</w:t>
        </w:r>
      </w:hyperlink>
      <w:r>
        <w:t xml:space="preserve">)</w:t>
      </w:r>
      <w:r>
        <w:t xml:space="preserve">.</w:t>
      </w:r>
    </w:p>
    <w:bookmarkStart w:id="0" w:name="tbl:plasmidList"/>
    <w:p>
      <w:pPr>
        <w:pStyle w:val="TableCaption"/>
      </w:pPr>
      <w:r>
        <w:t xml:space="preserve">Table 1: Plasmids used in this study. Ori is origin of replication. GOI is the gene of interest, which in all plasmids is expressed from a bicistronic mRNA with the appropriate repressor (TetR or LacI). Plasmids pZH713 contains a weaker ribosome binding site than other plasmids. Plasmid pJS101 confers spectinomycin resistance and other plasmids confer ampicillin resistance.</w:t>
      </w:r>
      <w:r>
        <w:t xml:space="preserve">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Plasmids pZH713 contains a weaker ribosome binding site than other plasmids. Plasmid pJS101 confers spectinomycin resistance and other plasmids confer ampicillin resistance.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53" w:name="Xc72c3d2210a39bb25cc0bbb5fe65a98b0d26e06"/>
      <w:r>
        <w:t xml:space="preserve">Characterization of GFP expression by flow cytometry</w:t>
      </w:r>
      <w:bookmarkEnd w:id="53"/>
    </w:p>
    <w:p>
      <w:pPr>
        <w:pStyle w:val="FirstParagraph"/>
      </w:pPr>
      <w:r>
        <w:t xml:space="preserve">All flow cytometry experiments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ATc (Alfa Aesar #J66688) is an analog of tetracycline that binds the tetracycline repressor very strongly, allowing it to be used as an inducer in strains without tetracycline resistance</w:t>
      </w:r>
      <w:r>
        <w:t xml:space="preserve"> </w:t>
      </w:r>
      <w:r>
        <w:t xml:space="preserve">(</w:t>
      </w:r>
      <w:hyperlink w:anchor="ref-8PQGpPEb">
        <w:r>
          <w:rPr>
            <w:rStyle w:val="Hyperlink"/>
          </w:rPr>
          <w:t xml:space="preserve">34</w:t>
        </w:r>
      </w:hyperlink>
      <w:r>
        <w:t xml:space="preserve">)</w:t>
      </w:r>
      <w:r>
        <w:t xml:space="preserve">. Next, 10 µL of cells were added to 1 mL of PBS at pH 7.4 and examined by flow cytometry.</w:t>
      </w:r>
    </w:p>
    <w:p>
      <w:pPr>
        <w:pStyle w:val="BodyText"/>
      </w:pPr>
      <w:r>
        <w:t xml:space="preserve">Flow cytometry data was collected on an S3e cell sorter (Bio-Rad, Hercules) using a target flow rate of 2,000 counts per second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35</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Noise was calculated as the coefficient of variation squared (</w:t>
      </w:r>
      <m:oMath>
        <m:r>
          <m:t>C</m:t>
        </m:r>
        <m:sSup>
          <m:e>
            <m:r>
              <m:t>V</m:t>
            </m:r>
          </m:e>
          <m:sup>
            <m:r>
              <m:t>2</m:t>
            </m:r>
          </m:sup>
        </m:sSup>
      </m:oMath>
      <w:r>
        <w:t xml:space="preserve">) from the mean,</w:t>
      </w:r>
      <w:r>
        <w:t xml:space="preserve"> </w:t>
      </w:r>
      <m:oMath>
        <m:r>
          <m:t>μ</m:t>
        </m:r>
      </m:oMath>
      <w:r>
        <w:t xml:space="preserve">, and variance,</w:t>
      </w:r>
      <w:r>
        <w:t xml:space="preserve"> </w:t>
      </w:r>
      <m:oMath>
        <m:sSup>
          <m:e>
            <m:r>
              <m:t>σ</m:t>
            </m:r>
          </m:e>
          <m:sup>
            <m:r>
              <m:t>2</m:t>
            </m:r>
          </m:sup>
        </m:sSup>
      </m:oMath>
      <w:r>
        <w:t xml:space="preserve">, as</w:t>
      </w:r>
      <w:r>
        <w:t xml:space="preserve"> </w:t>
      </w:r>
      <m:oMath>
        <m:r>
          <m:t>C</m:t>
        </m:r>
        <m:sSup>
          <m:e>
            <m:r>
              <m:t>V</m:t>
            </m:r>
          </m:e>
          <m:sup>
            <m:r>
              <m:t>2</m:t>
            </m:r>
          </m:sup>
        </m:sSup>
        <m:r>
          <m:t>=</m:t>
        </m:r>
        <m:sSup>
          <m:e>
            <m:r>
              <m:t>σ</m:t>
            </m:r>
          </m:e>
          <m:sup>
            <m:r>
              <m:t>2</m:t>
            </m:r>
          </m:sup>
        </m:sSup>
        <m:r>
          <m:t>/</m:t>
        </m:r>
        <m:sSup>
          <m:e>
            <m:r>
              <m:t>μ</m:t>
            </m:r>
          </m:e>
          <m:sup>
            <m:r>
              <m:t>2</m:t>
            </m:r>
          </m:sup>
        </m:sSup>
      </m:oMath>
      <w:r>
        <w:t xml:space="preserve">. We chose</w:t>
      </w:r>
      <w:r>
        <w:t xml:space="preserve"> </w:t>
      </w:r>
      <m:oMath>
        <m:r>
          <m:t>C</m:t>
        </m:r>
        <m:sSup>
          <m:e>
            <m:r>
              <m:t>V</m:t>
            </m:r>
          </m:e>
          <m:sup>
            <m:r>
              <m:t>2</m:t>
            </m:r>
          </m:sup>
        </m:sSup>
      </m:oMath>
      <w:r>
        <w:t xml:space="preserve"> </w:t>
      </w:r>
      <w:r>
        <w:t xml:space="preserve">to facilitate comparison with earlier work</w:t>
      </w:r>
      <w:r>
        <w:t xml:space="preserve"> </w:t>
      </w:r>
      <w:r>
        <w:t xml:space="preserve">(</w:t>
      </w:r>
      <w:hyperlink w:anchor="ref-TlAItren">
        <w:r>
          <w:rPr>
            <w:rStyle w:val="Hyperlink"/>
          </w:rPr>
          <w:t xml:space="preserve">1</w:t>
        </w:r>
      </w:hyperlink>
      <w:r>
        <w:t xml:space="preserve">,</w:t>
      </w:r>
      <w:r>
        <w:t xml:space="preserve"> </w:t>
      </w:r>
      <w:hyperlink w:anchor="ref-12XWQPtGk">
        <w:r>
          <w:rPr>
            <w:rStyle w:val="Hyperlink"/>
          </w:rPr>
          <w:t xml:space="preserve">36</w:t>
        </w:r>
      </w:hyperlink>
      <w:r>
        <w:t xml:space="preserve">)</w:t>
      </w:r>
      <w:r>
        <w:t xml:space="preserve">. We note that gating by FSC-AREA and SSC-HEIGHT to some extent selects for cells near the median cell size, so, ignoring other sources of experimental error, we expect our noise measurements to fall somewhere between the noise in the number of proteins per cell and the noise in the protein concentration. In earlier work identifying the</w:t>
      </w:r>
      <w:r>
        <w:t xml:space="preserve"> </w:t>
      </w:r>
      <w:r>
        <w:t xml:space="preserve">“</w:t>
      </w:r>
      <w:r>
        <w:t xml:space="preserve">extrinsic noise limit</w:t>
      </w:r>
      <w:r>
        <w:t xml:space="preserve">”</w:t>
      </w:r>
      <w:r>
        <w:t xml:space="preserve">, noise was estimated from integrated fluorescence intensities normalized by cell size (proportional to protein concentration) in microscope images</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54" w:name="microscopy"/>
      <w:r>
        <w:t xml:space="preserve">Microscopy</w:t>
      </w:r>
      <w:bookmarkEnd w:id="54"/>
    </w:p>
    <w:p>
      <w:pPr>
        <w:pStyle w:val="FirstParagraph"/>
      </w:pPr>
      <w:r>
        <w:t xml:space="preserve">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Leica Type F immersion oil, and an Evolve 512 EM-CCD camera (Photometrics) using 16-bit EM gain amplification. Images were prepared using Fiji</w:t>
      </w:r>
      <w:r>
        <w:t xml:space="preserve"> </w:t>
      </w:r>
      <w:r>
        <w:t xml:space="preserve">(</w:t>
      </w:r>
      <w:hyperlink w:anchor="ref-1Xy8hvPg">
        <w:r>
          <w:rPr>
            <w:rStyle w:val="Hyperlink"/>
          </w:rPr>
          <w:t xml:space="preserve">37</w:t>
        </w:r>
      </w:hyperlink>
      <w:r>
        <w:t xml:space="preserve">)</w:t>
      </w:r>
      <w:r>
        <w:t xml:space="preserve">, with linear scaling and maintaining minimum and maximum intensity values for all comparable images.</w:t>
      </w:r>
    </w:p>
    <w:p>
      <w:pPr>
        <w:pStyle w:val="BodyText"/>
      </w:pPr>
      <w:r>
        <w:t xml:space="preserve">For mRNA imaging, overnight cultures were diluted 1:100 and grown at 30 °C in M9 media supplemented with 1X MEM Amino Acids (M9A) or M9A additionally supplemented with 1% SOB media for 2—4 hours. Supplementation with SOB is used to provide quasi-rich growth conditions with very low fluorescence background and autofluorescence without the expense of commercial rich minimal media. We previously used this growth condition to characterize gene expression noise for different systems</w:t>
      </w:r>
      <w:r>
        <w:t xml:space="preserve"> </w:t>
      </w:r>
      <w:r>
        <w:t xml:space="preserve">(</w:t>
      </w:r>
      <w:hyperlink w:anchor="ref-TlAItren">
        <w:r>
          <w:rPr>
            <w:rStyle w:val="Hyperlink"/>
          </w:rPr>
          <w:t xml:space="preserve">1</w:t>
        </w:r>
      </w:hyperlink>
      <w:r>
        <w:t xml:space="preserve">)</w:t>
      </w:r>
      <w:r>
        <w:t xml:space="preserve">. Agarose gel pads (3% BP165-25, Fisher Bio-Reagents) were prepared with M9A with and without supplementation with 1% SOB, and the microscope sample chamber was maintained at 30 °C.</w:t>
      </w:r>
    </w:p>
    <w:p>
      <w:pPr>
        <w:pStyle w:val="BodyText"/>
      </w:pPr>
      <w:r>
        <w:t xml:space="preserve">To quantify independent induction from 2 plasmids, cells were grown in M9A at 37 °C. Overnight cultures were diluted 1:100 in M9A supplemented with ATc and IPTG and grown for 3.5 hours. At this point, chloramphenicol was added to a final concentration of 100 µg/mL and cultures were incubated for an additional 1 hour at 37 °C to allow most GFPmut2 and mScarlet-I molecules to mature (maturation times of 5.6 and 25.7 minutes, respectively</w:t>
      </w:r>
      <w:r>
        <w:t xml:space="preserve"> </w:t>
      </w:r>
      <w:r>
        <w:t xml:space="preserve">(</w:t>
      </w:r>
      <w:hyperlink w:anchor="ref-1BqRRwE9k">
        <w:r>
          <w:rPr>
            <w:rStyle w:val="Hyperlink"/>
          </w:rPr>
          <w:t xml:space="preserve">38</w:t>
        </w:r>
      </w:hyperlink>
      <w:r>
        <w:t xml:space="preserve">)</w:t>
      </w:r>
      <w:r>
        <w:t xml:space="preserve">). Cells were spotted onto agarose gel pads prepared with PBS and imaged at room temperature. For each of 3 replicates and 4 induction conditions, 10 images each were acquired in brightfield, GFPmut2 and mScarlet-I channels. For analysis, all cells in these images were manually segmented using the selection brush tool in Fiji with a width of 10 pixels (163—212 cells per sample). This selection was used to extract the mean green and red intensities (proportional to the concentration of GFPmut2 and mScarlet-I molecules in the cell, respectively). For each image, the mean background intensity was also measured from a large region containing no cells, which was subtracted from each single-cell data point. Mean, variance and</w:t>
      </w:r>
      <w:r>
        <w:t xml:space="preserve"> </w:t>
      </w:r>
      <m:oMath>
        <m:r>
          <m:t>C</m:t>
        </m:r>
        <m:sSup>
          <m:e>
            <m:r>
              <m:t>V</m:t>
            </m:r>
          </m:e>
          <m:sup>
            <m:r>
              <m:t>2</m:t>
            </m:r>
          </m:sup>
        </m:sSup>
      </m:oMath>
      <w:r>
        <w:t xml:space="preserve"> </w:t>
      </w:r>
      <w:r>
        <w:t xml:space="preserve">were estimated from this data for each sample following the same fitting protocol used for flow cytometry data. The raw data, single-cell intensities, Fiji macro and Python scripts required to reproduce this analysis are available in</w:t>
      </w:r>
      <w:r>
        <w:t xml:space="preserve"> </w:t>
      </w:r>
      <w:r>
        <w:rPr>
          <w:b/>
        </w:rPr>
        <w:t xml:space="preserve">File S2</w:t>
      </w:r>
      <w:r>
        <w:t xml:space="preserve">. Example images were acquired similarly, with growth instead in EZ-Rich media at 30 °C, supplemented with ATc and IPTG.</w:t>
      </w:r>
    </w:p>
    <w:p>
      <w:pPr>
        <w:pStyle w:val="Heading2"/>
      </w:pPr>
      <w:bookmarkStart w:id="55" w:name="author-contributions"/>
      <w:r>
        <w:t xml:space="preserve">Author contributions</w:t>
      </w:r>
      <w:bookmarkEnd w:id="55"/>
    </w:p>
    <w:p>
      <w:pPr>
        <w:pStyle w:val="FirstParagraph"/>
      </w:pPr>
      <w:r>
        <w:t xml:space="preserve">JS, SL, DG and ZH designed experiments and performed experiments. JS, SL, DG and ZH performed molecular cloning. ZH, SL and JS analyzed data and wrote the paper. JS, SL, DG and ZH edited and approved the manuscript. ZH supervised the project.</w:t>
      </w:r>
    </w:p>
    <w:p>
      <w:pPr>
        <w:pStyle w:val="Heading2"/>
      </w:pPr>
      <w:bookmarkStart w:id="56" w:name="acknowledgments"/>
      <w:r>
        <w:t xml:space="preserve">Acknowledgments</w:t>
      </w:r>
      <w:bookmarkEnd w:id="56"/>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39</w:t>
        </w:r>
      </w:hyperlink>
      <w:r>
        <w:t xml:space="preserve">)</w:t>
      </w:r>
      <w:r>
        <w:t xml:space="preserve">.</w:t>
      </w:r>
    </w:p>
    <w:p>
      <w:pPr>
        <w:pStyle w:val="Heading2"/>
      </w:pPr>
      <w:bookmarkStart w:id="57" w:name="references"/>
      <w:r>
        <w:t xml:space="preserve">References</w:t>
      </w:r>
      <w:bookmarkEnd w:id="57"/>
    </w:p>
    <w:bookmarkStart w:id="98" w:name="refs"/>
    <w:bookmarkStart w:id="58" w:name="ref-TlAItren"/>
    <w:p>
      <w:pPr>
        <w:pStyle w:val="Bibliography"/>
      </w:pPr>
      <w:r>
        <w:t xml:space="preserve">1. Hensel Z. 2017. A plasmid-based Escherichia coli gene expression system with cell-to-cell variation below the extrinsic noise limit. PLoS ONE 12:e0187259.</w:t>
      </w:r>
    </w:p>
    <w:bookmarkEnd w:id="58"/>
    <w:bookmarkStart w:id="59" w:name="ref-oD6kpSs3"/>
    <w:p>
      <w:pPr>
        <w:pStyle w:val="Bibliography"/>
      </w:pPr>
      <w:r>
        <w:t xml:space="preserve">2. Taniguchi Y, Choi PJ, Li G-W, Chen H, Babu M, Hearn J, Emili A, Xie XS. 2010. Quantifying E. coli Proteome and Transcriptome with Single-Molecule Sensitivity in Single Cells. Science 329:533–538.</w:t>
      </w:r>
    </w:p>
    <w:bookmarkEnd w:id="59"/>
    <w:bookmarkStart w:id="60" w:name="ref-GcRoYBF2"/>
    <w:p>
      <w:pPr>
        <w:pStyle w:val="Bibliography"/>
      </w:pPr>
      <w:r>
        <w:t xml:space="preserve">3. Dublanche Y, Michalodimitrakis K, Kümmerer N, Foglierini M, Serrano L. 2006. Noise in transcription negative feedback loops: simulation and experimental analysis. Mol Syst Biol 2:41.</w:t>
      </w:r>
    </w:p>
    <w:bookmarkEnd w:id="60"/>
    <w:bookmarkStart w:id="61" w:name="ref-82diXnad"/>
    <w:p>
      <w:pPr>
        <w:pStyle w:val="Bibliography"/>
      </w:pPr>
      <w:r>
        <w:t xml:space="preserve">4. Tutucci E, Vera M, Biswas J, Garcia J, Parker R, Singer RH. 2017. An improved MS2 system for accurate reporting of the mRNA life cycle. Nat Methods 15:81–89.</w:t>
      </w:r>
    </w:p>
    <w:bookmarkEnd w:id="61"/>
    <w:bookmarkStart w:id="62" w:name="ref-5CRbRLYC"/>
    <w:p>
      <w:pPr>
        <w:pStyle w:val="Bibliography"/>
      </w:pPr>
      <w:r>
        <w:t xml:space="preserve">5. Churchward G, Belin D, Nagamine Y. 1984. A pSC101-derived plasmid which shows no sequence homology to other commonly used cloning vectors. Gene 31:165–71.</w:t>
      </w:r>
    </w:p>
    <w:bookmarkEnd w:id="62"/>
    <w:bookmarkStart w:id="63" w:name="ref-15TQ1MvYV"/>
    <w:p>
      <w:pPr>
        <w:pStyle w:val="Bibliography"/>
      </w:pPr>
      <w:r>
        <w:t xml:space="preserve">6. Lee TS, Krupa RA, Zhang F, Hajimorad M, Holtz WJ, Prasad N, Lee SK, Keasling JD. 2011. BglBrick vectors and datasheets: A synthetic biology platform for gene expression. J Biol Eng 5:12.</w:t>
      </w:r>
    </w:p>
    <w:bookmarkEnd w:id="63"/>
    <w:bookmarkStart w:id="64" w:name="ref-NCWOk1rp"/>
    <w:p>
      <w:pPr>
        <w:pStyle w:val="Bibliography"/>
      </w:pPr>
      <w:r>
        <w:t xml:space="preserve">7. Lutz R, Bujard H. 1997. Independent and tight regulation of transcriptional units in Escherichia coli via the LacR/O, the TetR/O and AraC/I1-I2 regulatory elements. Nucleic Acids Res 25:1203–10.</w:t>
      </w:r>
    </w:p>
    <w:bookmarkEnd w:id="64"/>
    <w:bookmarkStart w:id="65" w:name="ref-Qz6zNiXK"/>
    <w:p>
      <w:pPr>
        <w:pStyle w:val="Bibliography"/>
      </w:pPr>
      <w:r>
        <w:t xml:space="preserve">8. Becskei A, Serrano L. 2000. Engineering stability in gene networks by autoregulation. Nature 405:590–3.</w:t>
      </w:r>
    </w:p>
    <w:bookmarkEnd w:id="65"/>
    <w:bookmarkStart w:id="66" w:name="ref-S7KRThVS"/>
    <w:p>
      <w:pPr>
        <w:pStyle w:val="Bibliography"/>
      </w:pPr>
      <w:r>
        <w:t xml:space="preserve">9. Paulsson J. 2004. Summing up the noise in gene networks. Nature 427:415–8.</w:t>
      </w:r>
    </w:p>
    <w:bookmarkEnd w:id="66"/>
    <w:bookmarkStart w:id="67" w:name="ref-IbIaRemg"/>
    <w:p>
      <w:pPr>
        <w:pStyle w:val="Bibliography"/>
      </w:pPr>
      <w:r>
        <w:t xml:space="preserve">10. Kamionka A. 2004. Two mutations in the tetracycline repressor change the inducer anhydrotetracycline to a corepressor. Nucleic Acids Research 32:842–847.</w:t>
      </w:r>
    </w:p>
    <w:bookmarkEnd w:id="67"/>
    <w:bookmarkStart w:id="68" w:name="ref-UMSODjob"/>
    <w:p>
      <w:pPr>
        <w:pStyle w:val="Bibliography"/>
      </w:pPr>
      <w:r>
        <w:t xml:space="preserve">11. Oehler S, Eismann ER, Krämer H, Müller-Hill B. 1990. The three operators of the lac operon cooperate in repression. EMBO J 9:973–9.</w:t>
      </w:r>
    </w:p>
    <w:bookmarkEnd w:id="68"/>
    <w:bookmarkStart w:id="69" w:name="ref-Ls5d7x4o"/>
    <w:p>
      <w:pPr>
        <w:pStyle w:val="Bibliography"/>
      </w:pPr>
      <w:r>
        <w:t xml:space="preserve">12. Scholz O, Schubert P, Kintrup M, Hillen W. 2000. Tet repressor induction without Mg2+. Biochemistry 39:10914–20.</w:t>
      </w:r>
    </w:p>
    <w:bookmarkEnd w:id="69"/>
    <w:bookmarkStart w:id="70" w:name="ref-WxFVKQqb"/>
    <w:p>
      <w:pPr>
        <w:pStyle w:val="Bibliography"/>
      </w:pPr>
      <w:r>
        <w:t xml:space="preserve">13. Oehler S, Alberti S, Müller-Hill B. 2006. Induction of the lac promoter in the absence of DNA loops and the stoichiometry of induction. Nucleic Acids Res 34:606–12.</w:t>
      </w:r>
    </w:p>
    <w:bookmarkEnd w:id="70"/>
    <w:bookmarkStart w:id="71" w:name="ref-eUtnfAD6"/>
    <w:p>
      <w:pPr>
        <w:pStyle w:val="Bibliography"/>
      </w:pPr>
      <w:r>
        <w:t xml:space="preserve">14. Novick A, Weiner M. 1957. ENZYME INDUCTION AS AN ALL-OR-NONE PHENOMENON. Proc Natl Acad Sci USA 43:553–66.</w:t>
      </w:r>
    </w:p>
    <w:bookmarkEnd w:id="71"/>
    <w:bookmarkStart w:id="72" w:name="ref-16n3gU60l"/>
    <w:p>
      <w:pPr>
        <w:pStyle w:val="Bibliography"/>
      </w:pPr>
      <w:r>
        <w:t xml:space="preserve">15. Silander OK, Nikolic N, Zaslaver A, Bren A, Kikoin I, Alon U, Ackermann M. 2012. A genome-wide analysis of promoter-mediated phenotypic noise in Escherichia coli. PLoS Genet 8:e1002443.</w:t>
      </w:r>
    </w:p>
    <w:bookmarkEnd w:id="72"/>
    <w:bookmarkStart w:id="73" w:name="ref-TvXapFFQ"/>
    <w:p>
      <w:pPr>
        <w:pStyle w:val="Bibliography"/>
      </w:pPr>
      <w:r>
        <w:t xml:space="preserve">16. Golding I, Paulsson J, Zawilski SM, Cox EC. 2005. Real-time kinetics of gene activity in individual bacteria. Cell 123:1025–36.</w:t>
      </w:r>
    </w:p>
    <w:bookmarkEnd w:id="73"/>
    <w:bookmarkStart w:id="74" w:name="ref-1GFLV3s4q"/>
    <w:p>
      <w:pPr>
        <w:pStyle w:val="Bibliography"/>
      </w:pPr>
      <w:r>
        <w:t xml:space="preserve">17. Larson DR, Zenklusen D, Wu B, Chao JA, Singer RH. 2011. Real-time observation of transcription initiation and elongation on an endogenous yeast gene. Science 332:475–8.</w:t>
      </w:r>
    </w:p>
    <w:bookmarkEnd w:id="74"/>
    <w:bookmarkStart w:id="75" w:name="ref-uQeM79z"/>
    <w:p>
      <w:pPr>
        <w:pStyle w:val="Bibliography"/>
      </w:pPr>
      <w:r>
        <w:t xml:space="preserve">18. Montero Llopis P, Jackson AF, Sliusarenko O, Surovtsev I, Heinritz J, Emonet T, Jacobs-Wagner C. 2010. Spatial organization of the flow of genetic information in bacteria. Nature 466:77–81.</w:t>
      </w:r>
    </w:p>
    <w:bookmarkEnd w:id="75"/>
    <w:bookmarkStart w:id="76" w:name="ref-zj8Ydkzo"/>
    <w:p>
      <w:pPr>
        <w:pStyle w:val="Bibliography"/>
      </w:pPr>
      <w:r>
        <w:t xml:space="preserve">19. Mastop M, Bindels DS, Shaner NC, Postma M, Gadella TWJ, Goedhart J. 2017. Characterization of a spectrally diverse set of fluorescent proteins as FRET acceptors for mTurquoise2. Sci Rep 7:11999.</w:t>
      </w:r>
    </w:p>
    <w:bookmarkEnd w:id="76"/>
    <w:bookmarkStart w:id="77" w:name="ref-YoMCfbca"/>
    <w:p>
      <w:pPr>
        <w:pStyle w:val="Bibliography"/>
      </w:pPr>
      <w:r>
        <w:t xml:space="preserve">20. Gilbert W, Müller-Hill B. 1966. Isolation of the lac repressor. Proc Natl Acad Sci USA 56:1891–8.</w:t>
      </w:r>
    </w:p>
    <w:bookmarkEnd w:id="77"/>
    <w:bookmarkStart w:id="78" w:name="ref-N7fJlkrJ"/>
    <w:p>
      <w:pPr>
        <w:pStyle w:val="Bibliography"/>
      </w:pPr>
      <w:r>
        <w:t xml:space="preserve">21. Jain A, Srivastava P. 2013. Broad host range plasmids. FEMS Microbiol Lett 348:87–96.</w:t>
      </w:r>
    </w:p>
    <w:bookmarkEnd w:id="78"/>
    <w:bookmarkStart w:id="79" w:name="ref-pzTydEMA"/>
    <w:p>
      <w:pPr>
        <w:pStyle w:val="Bibliography"/>
      </w:pPr>
      <w:r>
        <w:t xml:space="preserve">22. Espah Borujeni A, Channarasappa AS, Salis HM. 2013. Translation rate is controlled by coupled trade-offs between site accessibility, selective RNA unfolding and sliding at upstream standby sites. Nucleic Acids Res 42:2646–59.</w:t>
      </w:r>
    </w:p>
    <w:bookmarkEnd w:id="79"/>
    <w:bookmarkStart w:id="80" w:name="ref-xjKSoV9v"/>
    <w:p>
      <w:pPr>
        <w:pStyle w:val="Bibliography"/>
      </w:pPr>
      <w:r>
        <w:t xml:space="preserve">23. Hartvig L, Christiansen J. 1996. Intrinsic termination of T7 RNA polymerase mediated by either RNA or DNA. EMBO J 15:4767–74.</w:t>
      </w:r>
    </w:p>
    <w:bookmarkEnd w:id="80"/>
    <w:bookmarkStart w:id="81" w:name="ref-12aHdKu6v"/>
    <w:p>
      <w:pPr>
        <w:pStyle w:val="Bibliography"/>
      </w:pPr>
      <w:r>
        <w:t xml:space="preserve">24. Taggart JC, Li G-W. 2018. Production of Protein-Complex Components Is Stoichiometric and Lacks General Feedback Regulation in Eukaryotes. Cell Syst 7:580–589.e4.</w:t>
      </w:r>
    </w:p>
    <w:bookmarkEnd w:id="81"/>
    <w:bookmarkStart w:id="82" w:name="ref-5dC8qsZ9"/>
    <w:p>
      <w:pPr>
        <w:pStyle w:val="Bibliography"/>
      </w:pPr>
      <w:r>
        <w:t xml:space="preserve">25. Binder D, Probst C, Grünberger A, Hilgers F, Loeschcke A, Jaeger K-E, Kohlheyer D, Drepper T. 2016. Comparative Single-Cell Analysis of Different E. coli Expression Systems during Microfluidic Cultivation. PLoS ONE 11:e0160711.</w:t>
      </w:r>
    </w:p>
    <w:bookmarkEnd w:id="82"/>
    <w:bookmarkStart w:id="83" w:name="ref-dc6GAnhL"/>
    <w:p>
      <w:pPr>
        <w:pStyle w:val="Bibliography"/>
      </w:pPr>
      <w:r>
        <w:t xml:space="preserve">26. Gibson DG, Young L, Chuang R-Y, Venter JC, Hutchison CA, Smith HO. 2009. Enzymatic assembly of DNA molecules up to several hundred kilobases. Nat Methods 6:343–345.</w:t>
      </w:r>
    </w:p>
    <w:bookmarkEnd w:id="83"/>
    <w:bookmarkStart w:id="84" w:name="ref-13TJF2gcl"/>
    <w:p>
      <w:pPr>
        <w:pStyle w:val="Bibliography"/>
      </w:pPr>
      <w:r>
        <w:t xml:space="preserve">27. Cormack BP, Valdivia RH, Falkow S. 1996. FACS-optimized mutants of the green fluorescent protein (GFP). Gene 173:33–8.</w:t>
      </w:r>
    </w:p>
    <w:bookmarkEnd w:id="84"/>
    <w:bookmarkStart w:id="85" w:name="ref-Q1a7tU8"/>
    <w:p>
      <w:pPr>
        <w:pStyle w:val="Bibliography"/>
      </w:pPr>
      <w:r>
        <w:t xml:space="preserve">28. Postle K, Nguyen TT, Bertrand KP. 1984. Nucleotide sequence of the repressor gene of the TN10 tetracycline resistance determinant. Nucl Acids Res 12:4849–4863.</w:t>
      </w:r>
    </w:p>
    <w:bookmarkEnd w:id="85"/>
    <w:bookmarkStart w:id="86" w:name="ref-A1kNMUKB"/>
    <w:p>
      <w:pPr>
        <w:pStyle w:val="Bibliography"/>
      </w:pPr>
      <w:r>
        <w:t xml:space="preserve">29. Zach Hensel, Tatiana T. Marquez-Lago. 2015. Cell-cycle-synchronized, oscillatory expression of a negatively</w:t>
      </w:r>
      <w:r>
        <w:t xml:space="preserve"> </w:t>
      </w:r>
      <w:r>
        <w:t xml:space="preserve">autoregulated gene in E. coli. 1506.08596v1arXiv. arXiv.</w:t>
      </w:r>
    </w:p>
    <w:bookmarkEnd w:id="86"/>
    <w:bookmarkStart w:id="87" w:name="ref-RBKXt78E"/>
    <w:p>
      <w:pPr>
        <w:pStyle w:val="Bibliography"/>
      </w:pPr>
      <w:r>
        <w:t xml:space="preserve">30. Datsenko KA, Wanner BL. 2000. One-step inactivation of chromosomal genes in Escherichia coli K-12 using PCR products. Proc Natl Acad Sci USA 97:6640–5.</w:t>
      </w:r>
    </w:p>
    <w:bookmarkEnd w:id="87"/>
    <w:bookmarkStart w:id="88" w:name="ref-XuRR8Zmt"/>
    <w:p>
      <w:pPr>
        <w:pStyle w:val="Bibliography"/>
      </w:pPr>
      <w:r>
        <w:t xml:space="preserve">31. Kremers G-J, Goedhart J, van Munster EB, Gadella TWJ. 2006. Cyan and yellow super fluorescent proteins with improved brightness, protein folding, and FRET Förster radius. Biochemistry 45:6570–80.</w:t>
      </w:r>
    </w:p>
    <w:bookmarkEnd w:id="88"/>
    <w:bookmarkStart w:id="89" w:name="ref-EObeLKJ1"/>
    <w:p>
      <w:pPr>
        <w:pStyle w:val="Bibliography"/>
      </w:pPr>
      <w:r>
        <w:t xml:space="preserve">32. Wu B, Chao JA, Singer RH. 2012. Fluorescence fluctuation spectroscopy enables quantitative imaging of single mRNAs in living cells. Biophys J 102:2936–44.</w:t>
      </w:r>
    </w:p>
    <w:bookmarkEnd w:id="89"/>
    <w:bookmarkStart w:id="90" w:name="ref-q8xLcfYV"/>
    <w:p>
      <w:pPr>
        <w:pStyle w:val="Bibliography"/>
      </w:pPr>
      <w:r>
        <w:t xml:space="preserve">33. Hensel Z, Silva J. 2019. Zach Hensel Lab Plasmids. AddGene.</w:t>
      </w:r>
    </w:p>
    <w:bookmarkEnd w:id="90"/>
    <w:bookmarkStart w:id="91" w:name="ref-8PQGpPEb"/>
    <w:p>
      <w:pPr>
        <w:pStyle w:val="Bibliography"/>
      </w:pPr>
      <w:r>
        <w:t xml:space="preserve">34. Lederer T, Kintrup M, Takahashi M, Sum PE, Ellestad GA, Hillen W. 1996. Tetracycline analogs affecting binding to Tn10-Encoded Tet repressor trigger the same mechanism of induction. Biochemistry 35:7439–46.</w:t>
      </w:r>
    </w:p>
    <w:bookmarkEnd w:id="91"/>
    <w:bookmarkStart w:id="92" w:name="ref-J6PWaBUu"/>
    <w:p>
      <w:pPr>
        <w:pStyle w:val="Bibliography"/>
      </w:pPr>
      <w:r>
        <w:t xml:space="preserve">35. Castillo-Hair SM, Sexton JT, Landry BP, Olson EJ, Igoshin OA, Tabor JJ. 2016. FlowCal: A User-Friendly, Open Source Software Tool for Automatically Converting Flow Cytometry Data from Arbitrary to Calibrated Units. ACS Synth Biol 5:774–80.</w:t>
      </w:r>
    </w:p>
    <w:bookmarkEnd w:id="92"/>
    <w:bookmarkStart w:id="93" w:name="ref-12XWQPtGk"/>
    <w:p>
      <w:pPr>
        <w:pStyle w:val="Bibliography"/>
      </w:pPr>
      <w:r>
        <w:t xml:space="preserve">36. Taniguchi Y, Choi PJ, Li G-W, Chen H, Babu M, Hearn J, Emili A, Xie XS. 2010. Quantifying E. coli proteome and transcriptome with single-molecule sensitivity in single cells. Science 329:533–8.</w:t>
      </w:r>
    </w:p>
    <w:bookmarkEnd w:id="93"/>
    <w:bookmarkStart w:id="94" w:name="ref-1Xy8hvPg"/>
    <w:p>
      <w:pPr>
        <w:pStyle w:val="Bibliography"/>
      </w:pPr>
      <w:r>
        <w:t xml:space="preserve">37. Schindelin J, Arganda-Carreras I, Frise E, Kaynig V, Longair M, Pietzsch T, Preibisch S, Rueden C, Saalfeld S, Schmid B, Tinevez J-Y, White DJ, Hartenstein V, Eliceiri K, Tomancak P, Cardona A. 2012. Fiji: an open-source platform for biological-image analysis. Nat Methods 9:676–82.</w:t>
      </w:r>
    </w:p>
    <w:bookmarkEnd w:id="94"/>
    <w:bookmarkStart w:id="95" w:name="ref-1BqRRwE9k"/>
    <w:p>
      <w:pPr>
        <w:pStyle w:val="Bibliography"/>
      </w:pPr>
      <w:r>
        <w:t xml:space="preserve">38. Balleza E, Kim JM, Cluzel P. 2017. Systematic characterization of maturation time of fluorescent proteins in living cells. Nat Methods 15:47–51.</w:t>
      </w:r>
    </w:p>
    <w:bookmarkEnd w:id="95"/>
    <w:bookmarkStart w:id="96" w:name="ref-1GGGHdsew"/>
    <w:p>
      <w:pPr>
        <w:pStyle w:val="Bibliography"/>
      </w:pPr>
      <w:r>
        <w:t xml:space="preserve">39. Himmelstein DS, Slochower DR, Malladi VS, Greene CS, Gitter A. 2018. Open collaborative writing with Manubot. Manubot Preprint.</w:t>
      </w:r>
    </w:p>
    <w:bookmarkEnd w:id="96"/>
    <w:bookmarkStart w:id="97" w:name="ref-PgIr1Yp"/>
    <w:p>
      <w:pPr>
        <w:pStyle w:val="Bibliography"/>
      </w:pPr>
      <w:r>
        <w:t xml:space="preserve">40. Silva JPN, Lopes SV, Grilo DJ, Hensel Z. 2019. Supplementary File S2: Plasmids for independently tunable, low-noise gene expression. Zenodo.</w:t>
      </w:r>
    </w:p>
    <w:bookmarkEnd w:id="97"/>
    <w:bookmarkEnd w:id="98"/>
    <w:p>
      <w:pPr>
        <w:pStyle w:val="Heading2"/>
      </w:pPr>
      <w:bookmarkStart w:id="99" w:name="supplementary-material"/>
      <w:r>
        <w:t xml:space="preserve">Supplementary Material</w:t>
      </w:r>
      <w:bookmarkEnd w:id="99"/>
    </w:p>
    <w:bookmarkStart w:id="0" w:name="fig:gammaFits"/>
    <w:p>
      <w:pPr>
        <w:pStyle w:val="CaptionedFigure"/>
      </w:pPr>
      <w:bookmarkStart w:id="101" w:name="fig:gammaFits"/>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00"/>
                    <a:stretch>
                      <a:fillRect/>
                    </a:stretch>
                  </pic:blipFill>
                  <pic:spPr bwMode="auto">
                    <a:xfrm>
                      <a:off x="0" y="0"/>
                      <a:ext cx="3203999" cy="5018982"/>
                    </a:xfrm>
                    <a:prstGeom prst="rect">
                      <a:avLst/>
                    </a:prstGeom>
                    <a:noFill/>
                    <a:ln w="9525">
                      <a:noFill/>
                      <a:headEnd/>
                      <a:tailEnd/>
                    </a:ln>
                  </pic:spPr>
                </pic:pic>
              </a:graphicData>
            </a:graphic>
          </wp:inline>
        </w:drawing>
      </w:r>
      <w:bookmarkEnd w:id="101"/>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PgIr1Yp">
        <w:r>
          <w:rPr>
            <w:rStyle w:val="Hyperlink"/>
          </w:rPr>
          <w:t xml:space="preserve">40</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100" Target="media/rId100.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20" Target="https://doi.org/10.1101/515940"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a5ed2504168f4f519ff3ac474e2d8feb677dd313"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21" Target="https://zach-hensel.github.io/low-noise-manuscript/v/a5ed2504168f4f519ff3ac474e2d8feb677dd313/"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101/515940"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a5ed2504168f4f519ff3ac474e2d8feb677dd313"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21" Target="https://zach-hensel.github.io/low-noise-manuscript/v/a5ed2504168f4f519ff3ac474e2d8feb677dd313/"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expression of two genes</dc:title>
  <dc:creator/>
  <dc:language>en-US</dc:language>
  <cp:keywords>gene expression, synthetic biology, transcription</cp:keywords>
  <dcterms:created xsi:type="dcterms:W3CDTF">2019-05-07T19:17:00Z</dcterms:created>
  <dcterms:modified xsi:type="dcterms:W3CDTF">2019-05-07T19:17:00Z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2019-05-07</vt:lpwstr>
  </property>
  <property fmtid="{D5CDD505-2E9C-101B-9397-08002B2CF9AE}" pid="6" name="link-citations">
    <vt:lpwstr>True</vt:lpwstr>
  </property>
</Properties>
</file>