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125.png" ContentType="image/png"/>
  <Override PartName="/word/media/rId29.svg" ContentType="image/svg+xml"/>
  <Override PartName="/word/media/rId2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gene</w:t>
      </w:r>
      <w:r>
        <w:t xml:space="preserve"> </w:t>
      </w:r>
      <w:r>
        <w:t xml:space="preserve">expression</w:t>
      </w:r>
    </w:p>
    <w:p>
      <w:pPr>
        <w:pStyle w:val="FirstParagraph"/>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zach-hensel/low-noise-manuscript@62b1115</w:t>
        </w:r>
      </w:hyperlink>
      <w:r>
        <w:t xml:space="preserve"> </w:t>
      </w:r>
      <w:r>
        <w:t xml:space="preserve">on January 9, 2019.</w:t>
      </w:r>
      <w:r>
        <w:t xml:space="preserve"> </w:t>
      </w:r>
    </w:p>
    <w:p>
      <w:pPr>
        <w:pStyle w:val="Heading2"/>
      </w:pPr>
      <w:bookmarkStart w:id="23" w:name="authors"/>
      <w:r>
        <w:t xml:space="preserve">Authors</w:t>
      </w:r>
      <w:bookmarkEnd w:id="23"/>
    </w:p>
    <w:p>
      <w:pPr>
        <w:numPr>
          <w:numId w:val="1001"/>
          <w:ilvl w:val="0"/>
        </w:numPr>
      </w:pPr>
      <w:r>
        <w:rPr>
          <w:b/>
        </w:rPr>
        <w:t xml:space="preserve">João P. N. Silva</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5">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0000-0002-4348-6229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1">
        <w:r>
          <w:rPr>
            <w:rStyle w:val="Hyperlink"/>
          </w:rPr>
          <w:t xml:space="preserve">zach.hensel@itqb.unl.pt</w:t>
        </w:r>
      </w:hyperlink>
      <w:r>
        <w:t xml:space="preserve"> </w:t>
      </w:r>
    </w:p>
    <w:p>
      <w:pPr>
        <w:pStyle w:val="Heading2"/>
      </w:pPr>
      <w:bookmarkStart w:id="32" w:name="abstract"/>
      <w:r>
        <w:t xml:space="preserve">Abstract</w:t>
      </w:r>
      <w:bookmarkEnd w:id="32"/>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The TetR system was moved to a compatible plasmid backbone, and a system based on the</w:t>
      </w:r>
      <w:r>
        <w:t xml:space="preserve"> </w:t>
      </w:r>
      <w:r>
        <w:rPr>
          <w:i/>
        </w:rPr>
        <w:t xml:space="preserve">lac</w:t>
      </w:r>
      <w:r>
        <w:t xml:space="preserve"> </w:t>
      </w:r>
      <w:r>
        <w:t xml:space="preserve">repressor (LacI) was found to also exhibit gene expression noise below the extrinsic noise limit. We characterize gene expression mean and noise across the range of induction levels for these plasmids, apply the LacI system to tune expression for single-molecule mRNA detection in two different growth conditions, and show that two plasmids can be co-transformed to independently tune expression of two different genes.</w:t>
      </w:r>
    </w:p>
    <w:p>
      <w:pPr>
        <w:pStyle w:val="Heading2"/>
      </w:pPr>
      <w:bookmarkStart w:id="33" w:name="introduction"/>
      <w:r>
        <w:t xml:space="preserve">Introduction</w:t>
      </w:r>
      <w:bookmarkEnd w:id="33"/>
    </w:p>
    <w:p>
      <w:pPr>
        <w:pStyle w:val="FirstParagraph"/>
      </w:pPr>
      <w:r>
        <w:t xml:space="preserve">We recently reported the development of a plasmid-based gene-expression system in which a gene of interest is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is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are expressed bicistronically, GFP induction and gene expression noise is similar to that observed for a TetR-GFP fusion protein with autoregulation</w:t>
      </w:r>
      <w:r>
        <w:t xml:space="preserve"> </w:t>
      </w:r>
      <w:r>
        <w:t xml:space="preserve">[</w:t>
      </w:r>
      <w:hyperlink w:anchor="ref-GcRoYBF2">
        <w:r>
          <w:rPr>
            <w:rStyle w:val="Hyperlink"/>
          </w:rPr>
          <w:t xml:space="preserve">3</w:t>
        </w:r>
      </w:hyperlink>
      <w:r>
        <w:t xml:space="preserve">]</w:t>
      </w:r>
      <w:r>
        <w:t xml:space="preserve">. Compared to induction of gene expression under the control of a constitutively expressed transcriptional repressor, the inducer dose-response is relatively linearized, and gene expression noise is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recent experiments in mRNA detection and other single-molecule experiments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systems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because of a smaller cell volume 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4" w:name="methods"/>
      <w:r>
        <w:t xml:space="preserve">Methods</w:t>
      </w:r>
      <w:bookmarkEnd w:id="34"/>
    </w:p>
    <w:p>
      <w:pPr>
        <w:pStyle w:val="Heading3"/>
      </w:pPr>
      <w:bookmarkStart w:id="35" w:name="strain-construction"/>
      <w:r>
        <w:t xml:space="preserve">Strain construction</w:t>
      </w:r>
      <w:bookmarkEnd w:id="35"/>
    </w:p>
    <w:p>
      <w:pPr>
        <w:pStyle w:val="FirstParagraph"/>
      </w:pPr>
      <w:r>
        <w:t xml:space="preserve">All plasmids were constructed using isothermal assembly</w:t>
      </w:r>
      <w:r>
        <w:t xml:space="preserve"> </w:t>
      </w:r>
      <w:r>
        <w:t xml:space="preserve">[</w:t>
      </w:r>
      <w:hyperlink w:anchor="ref-dc6GAnhL">
        <w:r>
          <w:rPr>
            <w:rStyle w:val="Hyperlink"/>
          </w:rPr>
          <w:t xml:space="preserve">5</w:t>
        </w:r>
      </w:hyperlink>
      <w:r>
        <w:t xml:space="preserve">]</w:t>
      </w:r>
      <w:r>
        <w:t xml:space="preserve"> </w:t>
      </w:r>
      <w:r>
        <w:t xml:space="preserve">of fragments generated by PCR or double stranded DNA synthesis (IDT, Coralville) and transformed into Top10 E. coli cells (5-1600-020, IBA Life Sciences, Göttingen). Transformants were screened by colony PCR and verified by sequencing.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GFPmut2</w:t>
      </w:r>
      <w:r>
        <w:t xml:space="preserve"> </w:t>
      </w:r>
      <w:r>
        <w:t xml:space="preserve">[</w:t>
      </w:r>
      <w:hyperlink w:anchor="ref-13TJF2gcl">
        <w:r>
          <w:rPr>
            <w:rStyle w:val="Hyperlink"/>
          </w:rPr>
          <w:t xml:space="preserve">7</w:t>
        </w:r>
      </w:hyperlink>
      <w:r>
        <w:t xml:space="preserve">]</w:t>
      </w:r>
      <w:r>
        <w:t xml:space="preserve">, tn10 TetR</w:t>
      </w:r>
      <w:r>
        <w:t xml:space="preserve"> </w:t>
      </w:r>
      <w:r>
        <w:t xml:space="preserve">[</w:t>
      </w:r>
      <w:hyperlink w:anchor="ref-Q1a7tU8">
        <w:r>
          <w:rPr>
            <w:rStyle w:val="Hyperlink"/>
          </w:rPr>
          <w:t xml:space="preserve">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9</w:t>
        </w:r>
      </w:hyperlink>
      <w:r>
        <w:t xml:space="preserve">]</w:t>
      </w:r>
      <w:r>
        <w:t xml:space="preserve">. This was constructed by isothermal assembly with the backbone from pGB2</w:t>
      </w:r>
      <w:r>
        <w:t xml:space="preserve"> </w:t>
      </w:r>
      <w:r>
        <w:t xml:space="preserve">[</w:t>
      </w:r>
      <w:hyperlink w:anchor="ref-5CRbRLYC">
        <w:r>
          <w:rPr>
            <w:rStyle w:val="Hyperlink"/>
          </w:rPr>
          <w:t xml:space="preserve">10</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LacI</w:t>
      </w:r>
      <w:r>
        <w:t xml:space="preserve"> </w:t>
      </w:r>
      <w:r>
        <w:t xml:space="preserve">[</w:t>
      </w:r>
      <w:hyperlink w:anchor="ref-YoMCfbca">
        <w:r>
          <w:rPr>
            <w:rStyle w:val="Hyperlink"/>
          </w:rPr>
          <w:t xml:space="preserve">11</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12</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13</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14</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15</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16</w:t>
        </w:r>
      </w:hyperlink>
      <w:r>
        <w:t xml:space="preserve">]</w:t>
      </w:r>
      <w:r>
        <w:t xml:space="preserve">) and PP7cp (generated by codon optimization and DNA synthesis based on previously reported sequences</w:t>
      </w:r>
      <w:r>
        <w:t xml:space="preserve"> </w:t>
      </w:r>
      <w:r>
        <w:t xml:space="preserve">[</w:t>
      </w:r>
      <w:hyperlink w:anchor="ref-EObeLKJ1">
        <w:r>
          <w:rPr>
            <w:rStyle w:val="Hyperlink"/>
          </w:rPr>
          <w:t xml:space="preserve">17</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18</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NGS</w:t>
      </w:r>
      <w:r>
        <w:t xml:space="preserve"> </w:t>
      </w:r>
      <w:r>
        <w:t xml:space="preserve">[</w:t>
      </w:r>
      <w:hyperlink w:anchor="ref-q8xLcfYV">
        <w:r>
          <w:rPr>
            <w:rStyle w:val="Hyperlink"/>
          </w:rPr>
          <w:t xml:space="preserve">19</w:t>
        </w:r>
      </w:hyperlink>
      <w:r>
        <w:t xml:space="preserve">]</w:t>
      </w:r>
      <w:r>
        <w:t xml:space="preserve">.</w:t>
      </w:r>
    </w:p>
    <w:p>
      <w:bookmarkStart w:id="0" w:name="tbl:plasmidList"/>
      <w:r>
        <w:t/>
      </w:r>
    </w:p>
    <w:p>
      <w:pPr>
        <w:pStyle w:val="TableCaption"/>
      </w:pPr>
      <w:r>
        <w:t xml:space="preserve">Table 1: Plasmids used in this study. Ori is origin of replication. GOI is the gene of interest, which in all plasmids is expressed from a bicistronic mRNA with the appropriate repressor (TetR or LacI) .</w:t>
      </w:r>
    </w:p>
    <w:tbl>
      <w:tblPr>
        <w:tblStyle w:val="Table"/>
        <w:tblW w:type="pct" w:w="0.0"/>
        <w:tblLook w:firstRow="1"/>
        <w:tblCaption w:val="Table 1: Plasmids used in this study. Ori is origin of replication. GOI is the gene of interest, which in all plasmids is expressed from a bicistronic mRNA with the appropriate repressor (TetR or LacI)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This work</w:t>
            </w:r>
          </w:p>
        </w:tc>
      </w:tr>
    </w:tbl>
    <w:bookmarkEnd w:id="0"/>
    <w:p>
      <w:pPr>
        <w:pStyle w:val="Heading3"/>
      </w:pPr>
      <w:bookmarkStart w:id="36" w:name="characterization-of-gfp-expression-by-flow-cytometry"/>
      <w:r>
        <w:t xml:space="preserve">Characterization of GFP expression by flow cytometry</w:t>
      </w:r>
      <w:bookmarkEnd w:id="36"/>
    </w:p>
    <w:p>
      <w:pPr>
        <w:pStyle w:val="FirstParagraph"/>
      </w:pPr>
      <w:r>
        <w:t xml:space="preserve">All flow cytometry experiment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Next, 10 µL of cells were added to 1 mL of PBS at pH 7.4 and examined by flow cytometry.</w:t>
      </w:r>
    </w:p>
    <w:p>
      <w:pPr>
        <w:pStyle w:val="BodyText"/>
      </w:pPr>
      <w:r>
        <w:t xml:space="preserve">Flow cytometry data was collected on an S3e cell sorter (Bio-Rad, Hercules) using a target flow rate of 2,000 counts/s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20</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37" w:name="microscopy"/>
      <w:r>
        <w:t xml:space="preserve">Microscopy</w:t>
      </w:r>
      <w:bookmarkEnd w:id="37"/>
    </w:p>
    <w:p>
      <w:pPr>
        <w:pStyle w:val="FirstParagraph"/>
      </w:pPr>
      <w:r>
        <w:t xml:space="preserve">For microscopy, cells were grown similarly to the protocol for flow cytometry, except that overnight cultures were diluted 1:100 and imaged after 2—4 hours of growth with induction. For mRNA imaging, cells were grown in M9 media supplemented with 1X MEM Amino Acids (M9A) or M9A additionally supplemented with 1% SOB media. For 2-plasmid imaging, cells were grown in EZ Rich media. Cells were imaged on agarose gel pads (3% BP165-25, Fisher Bio-Reagents) diluted in M9A (for mRNA imaging) or PBS (for 2-plasmid imaging). For mRNA imaging, the microscope sample chamber was maintained at 30 °C. 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and an Evolve 512 EM-CCD camera (Photometrics) using a 16-bit EM gain amplification. Images were prepared using Fiji</w:t>
      </w:r>
      <w:r>
        <w:t xml:space="preserve"> </w:t>
      </w:r>
      <w:r>
        <w:t xml:space="preserve">[</w:t>
      </w:r>
      <w:hyperlink w:anchor="ref-1Xy8hvPg">
        <w:r>
          <w:rPr>
            <w:rStyle w:val="Hyperlink"/>
          </w:rPr>
          <w:t xml:space="preserve">21</w:t>
        </w:r>
      </w:hyperlink>
      <w:r>
        <w:t xml:space="preserve">]</w:t>
      </w:r>
      <w:r>
        <w:t xml:space="preserve">, with linear scaling and maintaining minimum and maximum intensity values for all comparable images.</w:t>
      </w:r>
    </w:p>
    <w:p>
      <w:pPr>
        <w:pStyle w:val="BodyText"/>
      </w:pPr>
      <w:r>
        <w:t xml:space="preserve">To analyze microscopy data for 2-plasmid imaging, 100 cells from each sample were manually segmented using the selection brush tool in Fiji with a width of 10 pixels. This selection was used to extract the mean green and red intensities (proportional to the concentration of GFPmut2 and mScarlet-I molecules in the cell, respectively) in images of the same areas. For each image, the mean background intensity was also measured from a region containing no cells, which was subtracted from each single-cell data point. The average fluorescence level was calculated for each condition, and normalized by the highest average value for each color (20,500 counts/pixel for green and 10,534 counts/pixel for red). The Fiji and Python scripts used to analyze microscopy data are available in</w:t>
      </w:r>
      <w:r>
        <w:t xml:space="preserve"> </w:t>
      </w:r>
      <w:r>
        <w:rPr>
          <w:b/>
        </w:rPr>
        <w:t xml:space="preserve">File S2</w:t>
      </w:r>
      <w:r>
        <w:t xml:space="preserve">.</w:t>
      </w:r>
    </w:p>
    <w:p>
      <w:pPr>
        <w:pStyle w:val="Heading2"/>
      </w:pPr>
      <w:bookmarkStart w:id="38" w:name="results"/>
      <w:r>
        <w:t xml:space="preserve">Results</w:t>
      </w:r>
      <w:bookmarkEnd w:id="38"/>
    </w:p>
    <w:p>
      <w:pPr>
        <w:pStyle w:val="Heading3"/>
      </w:pPr>
      <w:bookmarkStart w:id="39" w:name="moving-bicistronic-autoregulatory-construct-to-a-compatible-plasmid-backbone"/>
      <w:r>
        <w:t xml:space="preserve">Moving bicistronic autoregulatory construct to a compatible plasmid backbone</w:t>
      </w:r>
      <w:bookmarkEnd w:id="39"/>
    </w:p>
    <w:p>
      <w:pPr>
        <w:pStyle w:val="FirstParagraph"/>
      </w:pPr>
      <w:r>
        <w:t xml:space="preserve">The first step in creating a low-noise system for tuning expression of two genes is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is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10</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22</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6</w:t>
        </w:r>
      </w:hyperlink>
      <w:r>
        <w:t xml:space="preserve">]</w:t>
      </w:r>
      <w:r>
        <w:t xml:space="preserve">. A smaller change is expected in our experiment, since negative autoregulation will provide dosage compensation, just as autoregulation can reduce noise in plasmid copy number</w:t>
      </w:r>
      <w:r>
        <w:t xml:space="preserve"> </w:t>
      </w:r>
      <w:r>
        <w:t xml:space="preserve">[</w:t>
      </w:r>
      <w:hyperlink w:anchor="ref-Qz6zNiXK">
        <w:r>
          <w:rPr>
            <w:rStyle w:val="Hyperlink"/>
          </w:rPr>
          <w:t xml:space="preserve">23</w:t>
        </w:r>
      </w:hyperlink>
      <w:r>
        <w:t xml:space="preserve">,</w:t>
      </w:r>
      <w:hyperlink w:anchor="ref-S7KRThVS">
        <w:r>
          <w:rPr>
            <w:rStyle w:val="Hyperlink"/>
          </w:rPr>
          <w:t xml:space="preserve">24</w:t>
        </w:r>
      </w:hyperlink>
      <w:r>
        <w:t xml:space="preserve">,</w:t>
      </w:r>
      <w:hyperlink w:anchor="ref-GcRoYBF2">
        <w:r>
          <w:rPr>
            <w:rStyle w:val="Hyperlink"/>
          </w:rPr>
          <w:t xml:space="preserve">3</w:t>
        </w:r>
      </w:hyperlink>
      <w:r>
        <w:t xml:space="preserve">]</w:t>
      </w:r>
      <w:r>
        <w:t xml:space="preserve">.</w:t>
      </w:r>
    </w:p>
    <w:p>
      <w:bookmarkStart w:id="0" w:name="fig:pZH509-pJS101"/>
      <w:r>
        <w:t/>
      </w:r>
    </w:p>
    <w:p>
      <w:pPr>
        <w:pStyle w:val="CaptionedFigure"/>
      </w:pPr>
      <w:r>
        <w:drawing>
          <wp:inline>
            <wp:extent cx="3203999" cy="2619142"/>
            <wp:effectExtent b="0" l="0" r="0" t="0"/>
            <wp:docPr descr="Figure 1: Influence of plasmid backbone on induction of TetR expression system. Mean single-cell GFP fluorescence for pZH509 (blue) and pJS101 (orange) plasmids as a function of ATc concentration. Error bars are 1 standard error."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40"/>
                    <a:stretch>
                      <a:fillRect/>
                    </a:stretch>
                  </pic:blipFill>
                  <pic:spPr bwMode="auto">
                    <a:xfrm>
                      <a:off x="0" y="0"/>
                      <a:ext cx="3203999" cy="261914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Influence of plasmid backbone on induction of TetR expression system.</w:t>
      </w:r>
      <w:r>
        <w:t xml:space="preserve"> </w:t>
      </w:r>
      <w:r>
        <w:t xml:space="preserve">Mean single-cell GFP fluorescence for pZH509 (blue) and pJS101 (orange) plasmids as a function of ATc concentration. Error bars are 1 standard error.</w:t>
      </w:r>
    </w:p>
    <w:bookmarkEnd w:id="0"/>
    <w:p>
      <w:pPr>
        <w:pStyle w:val="Heading3"/>
      </w:pPr>
      <w:bookmarkStart w:id="41" w:name="alternative-regulatory-constructs-with-laci-replacing-tetr"/>
      <w:r>
        <w:t xml:space="preserve">Alternative regulatory constructs with LacI replacing TetR</w:t>
      </w:r>
      <w:bookmarkEnd w:id="41"/>
    </w:p>
    <w:p>
      <w:pPr>
        <w:pStyle w:val="FirstParagraph"/>
      </w:pPr>
      <w:r>
        <w:t xml:space="preserve">We hypothesized that replacing P</w:t>
      </w:r>
      <w:r>
        <w:rPr>
          <w:vertAlign w:val="subscript"/>
        </w:rPr>
        <w:t xml:space="preserve">LtetO-1</w:t>
      </w:r>
      <w:r>
        <w:t xml:space="preserve"> </w:t>
      </w:r>
      <w:r>
        <w:t xml:space="preserve">with the 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6</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cpANz6cV">
        <w:r>
          <w:rPr>
            <w:rStyle w:val="Hyperlink"/>
          </w:rPr>
          <w:t xml:space="preserve">25</w:t>
        </w:r>
      </w:hyperlink>
      <w:r>
        <w:t xml:space="preserve">,</w:t>
      </w:r>
      <w:hyperlink w:anchor="ref-UMSODjob">
        <w:r>
          <w:rPr>
            <w:rStyle w:val="Hyperlink"/>
          </w:rPr>
          <w:t xml:space="preserve">26</w:t>
        </w:r>
      </w:hyperlink>
      <w:r>
        <w:t xml:space="preserve">]</w:t>
      </w:r>
      <w:r>
        <w:t xml:space="preserve"> </w:t>
      </w:r>
      <w:r>
        <w:t xml:space="preserve">for a single site, with 2 tandem sites in our constructs). And, TetR binds ATc much more strongly than LacI binds IPTG (over 3 orders of magnitude difference in typical concentrations required for half-induction</w:t>
      </w:r>
      <w:r>
        <w:t xml:space="preserve"> </w:t>
      </w:r>
      <w:r>
        <w:t xml:space="preserve">[</w:t>
      </w:r>
      <w:hyperlink w:anchor="ref-Ls5d7x4o">
        <w:r>
          <w:rPr>
            <w:rStyle w:val="Hyperlink"/>
          </w:rPr>
          <w:t xml:space="preserve">27</w:t>
        </w:r>
      </w:hyperlink>
      <w:r>
        <w:t xml:space="preserve">,</w:t>
      </w:r>
      <w:hyperlink w:anchor="ref-WxFVKQqb">
        <w:r>
          <w:rPr>
            <w:rStyle w:val="Hyperlink"/>
          </w:rPr>
          <w:t xml:space="preserve">28</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achievable induction levels to a small extent.</w:t>
      </w:r>
    </w:p>
    <w:p>
      <w:bookmarkStart w:id="0" w:name="fig:pJS102-mean-noise"/>
      <w:r>
        <w:t/>
      </w:r>
    </w:p>
    <w:p>
      <w:pPr>
        <w:pStyle w:val="CaptionedFigure"/>
      </w:pPr>
      <w:r>
        <w:drawing>
          <wp:inline>
            <wp:extent cx="5943600" cy="2404924"/>
            <wp:effectExtent b="0" l="0" r="0" t="0"/>
            <wp:docPr descr="Figure 2: Characterizing mean expression levels and noise for different gene expression systems. (a) Mean GFP expression for pJS102 with different IPTG concentrations. Expression at zero IPTG is plotted separately to fit on logarithmic scale. Error bars 1 standard error. (b) GFP expression noise (CV2) as a function of mean for pZH509, pJS101, and pJS102. GFP mean increases monotonically with inducer concentration. Error bars 1 standard error."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42"/>
                    <a:stretch>
                      <a:fillRect/>
                    </a:stretch>
                  </pic:blipFill>
                  <pic:spPr bwMode="auto">
                    <a:xfrm>
                      <a:off x="0" y="0"/>
                      <a:ext cx="5943600" cy="2404924"/>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w:t>
      </w:r>
      <w:r>
        <w:rPr>
          <w:b/>
        </w:rPr>
        <w:t xml:space="preserve">a</w:t>
      </w:r>
      <w:r>
        <w:t xml:space="preserve">) Mean GFP expression for pJS102 with different IPTG concentrations. Expression at zero IPTG is plotted separately to fit on logarithmic scale. Error bars 1 standard error. (</w:t>
      </w:r>
      <w:r>
        <w:rPr>
          <w:b/>
        </w:rPr>
        <w:t xml:space="preserve">b</w:t>
      </w:r>
      <w:r>
        <w:t xml:space="preserve">) GFP expression noise (CV</w:t>
      </w:r>
      <w:r>
        <w:rPr>
          <w:vertAlign w:val="superscript"/>
        </w:rPr>
        <w:t xml:space="preserve">2</w:t>
      </w:r>
      <w:r>
        <w:t xml:space="preserve">) as a function of mean for pZH509, pJS101, and pJS102. GFP mean increases monotonically with inducer concentration. Error bars 1 standard error.</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29</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is partially due to measurement noise, and, at any rate, is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 Here, we also note that noise for pJS101, with its lower-copy-number pSC101 replicon, is lower than that for pZH509 or pJS102 at similar expression levels. This suggests that incorporating this construct into the chromosome, where copy number is more tightly regulated, may lead to a further noise reduction.</w:t>
      </w:r>
    </w:p>
    <w:p>
      <w:pPr>
        <w:pStyle w:val="BodyText"/>
      </w:pPr>
      <w:r>
        <w:t xml:space="preserve">We found that side scattering was weakly correlated with fluorescence, and thus with cell size, so gating for scattering modestly reduces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is somewhat overestimated. Our noise measurements are also similar to those found for many</w:t>
      </w:r>
      <w:r>
        <w:t xml:space="preserve"> </w:t>
      </w:r>
      <w:r>
        <w:rPr>
          <w:i/>
        </w:rPr>
        <w:t xml:space="preserve">E. coli</w:t>
      </w:r>
      <w:r>
        <w:t xml:space="preserve"> </w:t>
      </w:r>
      <w:r>
        <w:t xml:space="preserve">promoters using a similar flow cytometry method with similar gating and fitting procedures</w:t>
      </w:r>
      <w:r>
        <w:t xml:space="preserve"> </w:t>
      </w:r>
      <w:r>
        <w:t xml:space="preserve">[</w:t>
      </w:r>
      <w:hyperlink w:anchor="ref-16n3gU60l">
        <w:r>
          <w:rPr>
            <w:rStyle w:val="Hyperlink"/>
          </w:rPr>
          <w:t xml:space="preserve">30</w:t>
        </w:r>
      </w:hyperlink>
      <w:r>
        <w:t xml:space="preserve">]</w:t>
      </w:r>
      <w:r>
        <w:t xml:space="preserve">.</w:t>
      </w:r>
    </w:p>
    <w:p>
      <w:pPr>
        <w:pStyle w:val="Heading3"/>
      </w:pPr>
      <w:bookmarkStart w:id="43" w:name="using-the-new-induction-system-for-detection-of-single-mrna-in-living-e.-coli"/>
      <w:r>
        <w:t xml:space="preserve">Using the new induction system for detection of single mRNA in living</w:t>
      </w:r>
      <w:r>
        <w:t xml:space="preserve"> </w:t>
      </w:r>
      <w:r>
        <w:rPr>
          <w:i/>
        </w:rPr>
        <w:t xml:space="preserve">E. coli</w:t>
      </w:r>
      <w:bookmarkEnd w:id="43"/>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31</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encoding mVenus-Cro and also including 24 tandem repeats of the binding sequence for the PP7 coat protein (PP7cp)</w:t>
      </w:r>
      <w:r>
        <w:t xml:space="preserve"> </w:t>
      </w:r>
      <w:r>
        <w:t xml:space="preserve">[</w:t>
      </w:r>
      <w:hyperlink w:anchor="ref-1GFLV3s4q">
        <w:r>
          <w:rPr>
            <w:rStyle w:val="Hyperlink"/>
          </w:rPr>
          <w:t xml:space="preserve">15</w:t>
        </w:r>
      </w:hyperlink>
      <w:r>
        <w:t xml:space="preserve">]</w:t>
      </w:r>
      <w:r>
        <w:t xml:space="preserve"> </w:t>
      </w:r>
      <w:r>
        <w:t xml:space="preserve">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(e.g. growth media, temperature, and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at 100 µM IPTG in partially rich media. We note the absence of pole-localized fluorescent spots that characterize mRNA aggregation</w:t>
      </w:r>
      <w:r>
        <w:t xml:space="preserve"> </w:t>
      </w:r>
      <w:r>
        <w:t xml:space="preserve">[</w:t>
      </w:r>
      <w:hyperlink w:anchor="ref-uQeM79z">
        <w:r>
          <w:rPr>
            <w:rStyle w:val="Hyperlink"/>
          </w:rPr>
          <w:t xml:space="preserve">32</w:t>
        </w:r>
      </w:hyperlink>
      <w:r>
        <w:t xml:space="preserve">]</w:t>
      </w:r>
      <w:r>
        <w:t xml:space="preserve">, and we observed reasonable mRNA lifetimes of a few minutes in timelapse imaging.</w:t>
      </w:r>
    </w:p>
    <w:p>
      <w:pPr>
        <w:pStyle w:val="BodyText"/>
      </w:pPr>
      <w:r>
        <w:t xml:space="preserve">We moved to minimal media hoping to find a growth condition with lower mRNA expression levels,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several different PP7cp-SYFP induction conditions and identify 10—20 µM IPTG as an optimal growth condition. 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p>
      <w:bookmarkStart w:id="0" w:name="fig:pZH713-optimization"/>
      <w:r>
        <w:t/>
      </w:r>
    </w:p>
    <w:p>
      <w:pPr>
        <w:pStyle w:val="CaptionedFigure"/>
      </w:pPr>
      <w:r>
        <w:drawing>
          <wp:inline>
            <wp:extent cx="3203999" cy="2580999"/>
            <wp:effectExtent b="0" l="0" r="0" t="0"/>
            <wp:docPr descr="Figure 3: Using IPTG to tune expression of a fluorescent RNA-binding protein for single mRNA detection in different growth conditions. (a) PP7cp-SYFP2 is induced with 100 µM IPTG to detect single mVenus-Cro mRNA molecules in supplemented media and minimal media conditions; in minimal media there is too high a PP7cp-SYFP expression level to see single mRNA spots above background. Scale bar 4 µm. (b)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4"/>
                    <a:stretch>
                      <a:fillRect/>
                    </a:stretch>
                  </pic:blipFill>
                  <pic:spPr bwMode="auto">
                    <a:xfrm>
                      <a:off x="0" y="0"/>
                      <a:ext cx="3203999" cy="2580999"/>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w:t>
      </w:r>
      <w:r>
        <w:rPr>
          <w:b/>
        </w:rPr>
        <w:t xml:space="preserve">a</w:t>
      </w:r>
      <w:r>
        <w:t xml:space="preserve">) PP7cp-SYFP2 is induced with 100 µM IPTG to detect single mVenus-Cro mRNA molecules in supplemented media and minimal media conditions; in minimal media there is too high a PP7cp-SYFP expression level to see single mRNA spots above background. Scale bar 4 µm. (</w:t>
      </w:r>
      <w:r>
        <w:rPr>
          <w:b/>
        </w:rPr>
        <w:t xml:space="preserve">b</w:t>
      </w:r>
      <w:r>
        <w:t xml:space="preserve">)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w:t>
      </w:r>
    </w:p>
    <w:bookmarkEnd w:id="0"/>
    <w:p>
      <w:pPr>
        <w:pStyle w:val="Heading3"/>
      </w:pPr>
      <w:bookmarkStart w:id="45" w:name="independent-tunable-expression-of-two-genes"/>
      <w:r>
        <w:t xml:space="preserve">Independent, tunable expression of two genes</w:t>
      </w:r>
      <w:bookmarkEnd w:id="45"/>
    </w:p>
    <w:p>
      <w:pPr>
        <w:pStyle w:val="FirstParagraph"/>
      </w:pPr>
      <w:r>
        <w:t xml:space="preserve">Lastly, we tested whether ATc-inducible and IPTG-inducible plasmids could be combined to achieve low-noise expression of two genes into the same cell. We replaced GFPmut2 in pJS102 with the fast-maturing RFP mScarlet-I</w:t>
      </w:r>
      <w:r>
        <w:t xml:space="preserve"> </w:t>
      </w:r>
      <w:r>
        <w:t xml:space="preserve">[</w:t>
      </w:r>
      <w:hyperlink w:anchor="ref-zj8Ydkzo">
        <w:r>
          <w:rPr>
            <w:rStyle w:val="Hyperlink"/>
          </w:rPr>
          <w:t xml:space="preserve">18</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p>
      <w:bookmarkStart w:id="0" w:name="fig:pJS101-pDG101"/>
      <w:r>
        <w:t/>
      </w:r>
    </w:p>
    <w:p>
      <w:pPr>
        <w:pStyle w:val="CaptionedFigure"/>
      </w:pPr>
      <w:r>
        <w:drawing>
          <wp:inline>
            <wp:extent cx="3203999" cy="4271999"/>
            <wp:effectExtent b="0" l="0" r="0" t="0"/>
            <wp:docPr descr="Figure 4: Independence of induction of TetR and LacI systems. MG1655 cells harboring pJS101 (ATc-inducible expression of GFP) and pDG101 (IPTG-inducible expression of mScarlet-I) were grown with different combinations of IPTG and ATc concentrations. (a) GFP fluorescence shows no influence of IPTG on ATc-induced expression of GFP. (b) No influence of ATc on IPTG-induced expression of mScarlet-I. The same regions are imaged as in a. Scale bar 3 µm. (c) Average single-cell GFP (green) and mScarlet-I (red) fluoresence, normalized by the maximum average fluorescence for each color. Solid lines: 10 nM ATc. Dashed lines: 50 nM ATc. A small decrease in mScarlet-I fluorescence in 50 nM ATc occurred because samples were prepared at the same time on PBS gel pads without inducer; 10 nM ATc samples were imaged approximately 30 minutes later, with some additional mScarlet-I expression, maturation, and cell growth."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6"/>
                    <a:stretch>
                      <a:fillRect/>
                    </a:stretch>
                  </pic:blipFill>
                  <pic:spPr bwMode="auto">
                    <a:xfrm>
                      <a:off x="0" y="0"/>
                      <a:ext cx="3203999" cy="4271999"/>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and pDG101 (IPTG-inducible expression of mScarlet-I) were grown with different combinations of IPTG and ATc concentrations. (</w:t>
      </w:r>
      <w:r>
        <w:rPr>
          <w:b/>
        </w:rPr>
        <w:t xml:space="preserve">a</w:t>
      </w:r>
      <w:r>
        <w:t xml:space="preserve">) GFP fluorescence shows no influence of IPTG on ATc-induced expression of GFP. (</w:t>
      </w:r>
      <w:r>
        <w:rPr>
          <w:b/>
        </w:rPr>
        <w:t xml:space="preserve">b</w:t>
      </w:r>
      <w:r>
        <w:t xml:space="preserve">) No influence of ATc on IPTG-induced expression of mScarlet-I. The same regions are imaged as in</w:t>
      </w:r>
      <w:r>
        <w:t xml:space="preserve"> </w:t>
      </w:r>
      <w:r>
        <w:rPr>
          <w:b/>
        </w:rPr>
        <w:t xml:space="preserve">a</w:t>
      </w:r>
      <w:r>
        <w:t xml:space="preserve">. Scale bar 3 µm. (</w:t>
      </w:r>
      <w:r>
        <w:rPr>
          <w:b/>
        </w:rPr>
        <w:t xml:space="preserve">c</w:t>
      </w:r>
      <w:r>
        <w:t xml:space="preserve">) Average single-cell GFP (green) and mScarlet-I (red) fluoresence, normalized by the maximum average fluorescence for each color. Solid lines: 10 nM ATc. Dashed lines: 50 nM ATc. A small decrease in mScarlet-I fluorescence in 50 nM ATc occurred because samples were prepared at the same time on PBS gel pads without inducer; 10 nM ATc samples were imaged approximately 30 minutes later, with some additional mScarlet-I expression, maturation, and cell growth.</w:t>
      </w:r>
    </w:p>
    <w:bookmarkEnd w:id="0"/>
    <w:p>
      <w:pPr>
        <w:pStyle w:val="Heading2"/>
      </w:pPr>
      <w:bookmarkStart w:id="47" w:name="discussion"/>
      <w:r>
        <w:t xml:space="preserve">Discussion</w:t>
      </w:r>
      <w:bookmarkEnd w:id="47"/>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33</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34</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w:t>
      </w:r>
    </w:p>
    <w:p>
      <w:pPr>
        <w:pStyle w:val="BodyText"/>
      </w:pPr>
      <w:r>
        <w:t xml:space="preserve">Using modern molecular cloning techniques, it is simple to replace GFPmut2 in pJS101 and pJS102 with genes of interest by PCR and isothermal assembly with near 100% efficiency and a low probability of clones with incorrect sequence. The apparent insensitivity of this circuit to regulatory parameters (DNA and inducer binding affinities) suggests that it can be easily extended to a third repressor-based expression system. Further, additional ribosome binding sites can be added to the bicistronic operon to express additional components.</w:t>
      </w:r>
    </w:p>
    <w:p>
      <w:pPr>
        <w:pStyle w:val="Heading2"/>
      </w:pPr>
      <w:bookmarkStart w:id="48" w:name="author-contributions"/>
      <w:r>
        <w:t xml:space="preserve">Author contributions</w:t>
      </w:r>
      <w:bookmarkEnd w:id="48"/>
    </w:p>
    <w:p>
      <w:pPr>
        <w:pStyle w:val="FirstParagraph"/>
      </w:pPr>
      <w:r>
        <w:t xml:space="preserve">JS, DG and ZH designed experiments and performed experiments. JS, SL, DG, and ZH performed molecular cloning. ZH and JS analyzed data and wrote the paper. JS, SL, DG and ZH edited and approved the manuscript. ZH supervised the project.</w:t>
      </w:r>
    </w:p>
    <w:p>
      <w:pPr>
        <w:pStyle w:val="Heading2"/>
      </w:pPr>
      <w:bookmarkStart w:id="49" w:name="acknowledgments"/>
      <w:r>
        <w:t xml:space="preserve">Acknowledgments</w:t>
      </w:r>
      <w:bookmarkEnd w:id="49"/>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35</w:t>
        </w:r>
      </w:hyperlink>
      <w:r>
        <w:t xml:space="preserve">]</w:t>
      </w:r>
      <w:r>
        <w:t xml:space="preserve">.</w:t>
      </w:r>
    </w:p>
    <w:p>
      <w:pPr>
        <w:pStyle w:val="Heading2"/>
      </w:pPr>
      <w:bookmarkStart w:id="50" w:name="references"/>
      <w:r>
        <w:t xml:space="preserve">References</w:t>
      </w:r>
      <w:bookmarkEnd w:id="50"/>
    </w:p>
    <w:bookmarkStart w:id="123" w:name="refs"/>
    <w:bookmarkStart w:id="52" w:name="ref-TlAItren"/>
    <w:p>
      <w:pPr>
        <w:pStyle w:val="FirstParagraph"/>
      </w:pPr>
      <w:r>
        <w:t xml:space="preserve">1.</w:t>
      </w:r>
      <w:r>
        <w:t xml:space="preserve"> </w:t>
      </w:r>
      <w:r>
        <w:rPr>
          <w:b/>
        </w:rPr>
        <w:t xml:space="preserve">A plasmid-based Escherichia coli gene expression system with cell-to-cell variation below the extrinsic noise limit.</w:t>
      </w:r>
      <w:r>
        <w:br w:type="textWrapping"/>
      </w:r>
      <w:r>
        <w:t xml:space="preserve">Zach Hensel</w:t>
      </w:r>
      <w:r>
        <w:br w:type="textWrapping"/>
      </w:r>
      <w:r>
        <w:rPr>
          <w:i/>
        </w:rPr>
        <w:t xml:space="preserve">PloS one</w:t>
      </w:r>
      <w:r>
        <w:t xml:space="preserve"> </w:t>
      </w:r>
      <w:r>
        <w:t xml:space="preserve">(2017-10-30)</w:t>
      </w:r>
      <w:r>
        <w:t xml:space="preserve"> </w:t>
      </w:r>
      <w:hyperlink r:id="rId51">
        <w:r>
          <w:rPr>
            <w:rStyle w:val="Hyperlink"/>
          </w:rPr>
          <w:t xml:space="preserve">https://www.ncbi.nlm.nih.gov/pubmed/29084263</w:t>
        </w:r>
      </w:hyperlink>
    </w:p>
    <w:bookmarkEnd w:id="52"/>
    <w:bookmarkStart w:id="54" w:name="ref-oD6kpSs3"/>
    <w:p>
      <w:pPr>
        <w:pStyle w:val="BodyText"/>
      </w:pPr>
      <w:r>
        <w:t xml:space="preserve">2.</w:t>
      </w:r>
      <w:r>
        <w:t xml:space="preserve"> </w:t>
      </w:r>
      <w:r>
        <w:rPr>
          <w:b/>
        </w:rPr>
        <w:t xml:space="preserve">Quantifying E. coli Proteome and Transcriptome with Single-Molecule Sensitivity in Single Cells</w:t>
      </w:r>
      <w:r>
        <w:br w:type="textWrapping"/>
      </w:r>
      <w:r>
        <w:t xml:space="preserve">Y. Taniguchi, P. J. Choi, G.-W. Li, H. Chen, M. Babu, J. Hearn, A. Emili, X. S. Xie</w:t>
      </w:r>
      <w:r>
        <w:br w:type="textWrapping"/>
      </w:r>
      <w:r>
        <w:rPr>
          <w:i/>
        </w:rPr>
        <w:t xml:space="preserve">Science</w:t>
      </w:r>
      <w:r>
        <w:t xml:space="preserve"> </w:t>
      </w:r>
      <w:r>
        <w:t xml:space="preserve">(2010-07-29)</w:t>
      </w:r>
      <w:r>
        <w:t xml:space="preserve"> </w:t>
      </w:r>
      <w:hyperlink r:id="rId53">
        <w:r>
          <w:rPr>
            <w:rStyle w:val="Hyperlink"/>
          </w:rPr>
          <w:t xml:space="preserve">https://doi.org/10.1126/science.1188308</w:t>
        </w:r>
      </w:hyperlink>
    </w:p>
    <w:bookmarkEnd w:id="54"/>
    <w:bookmarkStart w:id="56" w:name="ref-GcRoYBF2"/>
    <w:p>
      <w:pPr>
        <w:pStyle w:val="BodyText"/>
      </w:pPr>
      <w:r>
        <w:t xml:space="preserve">3.</w:t>
      </w:r>
      <w:r>
        <w:t xml:space="preserve"> </w:t>
      </w:r>
      <w:r>
        <w:rPr>
          <w:b/>
        </w:rPr>
        <w:t xml:space="preserve">Noise in transcription negative feedback loops: simulation and experimental analysis.</w:t>
      </w:r>
      <w:r>
        <w:br w:type="textWrapping"/>
      </w:r>
      <w:r>
        <w:t xml:space="preserve">Yann Dublanche, Konstantinos Michalodimitrakis, Nico Kümmerer, Mathilde Foglierini, Luis Serrano</w:t>
      </w:r>
      <w:r>
        <w:br w:type="textWrapping"/>
      </w:r>
      <w:r>
        <w:rPr>
          <w:i/>
        </w:rPr>
        <w:t xml:space="preserve">Molecular systems biology</w:t>
      </w:r>
      <w:r>
        <w:t xml:space="preserve"> </w:t>
      </w:r>
      <w:r>
        <w:t xml:space="preserve">(2006-08-01)</w:t>
      </w:r>
      <w:r>
        <w:t xml:space="preserve"> </w:t>
      </w:r>
      <w:hyperlink r:id="rId55">
        <w:r>
          <w:rPr>
            <w:rStyle w:val="Hyperlink"/>
          </w:rPr>
          <w:t xml:space="preserve">https://www.ncbi.nlm.nih.gov/pubmed/16883354</w:t>
        </w:r>
      </w:hyperlink>
    </w:p>
    <w:bookmarkEnd w:id="56"/>
    <w:bookmarkStart w:id="58" w:name="ref-82diXnad"/>
    <w:p>
      <w:pPr>
        <w:pStyle w:val="BodyText"/>
      </w:pPr>
      <w:r>
        <w:t xml:space="preserve">4.</w:t>
      </w:r>
      <w:r>
        <w:t xml:space="preserve"> </w:t>
      </w:r>
      <w:r>
        <w:rPr>
          <w:b/>
        </w:rPr>
        <w:t xml:space="preserve">An improved MS2 system for accurate reporting of the mRNA life cycle.</w:t>
      </w:r>
      <w:r>
        <w:br w:type="textWrapping"/>
      </w:r>
      <w:r>
        <w:t xml:space="preserve">Evelina Tutucci, Maria Vera, Jeetayu Biswas, Jennifer Garcia, Roy Parker, Robert H Singer</w:t>
      </w:r>
      <w:r>
        <w:br w:type="textWrapping"/>
      </w:r>
      <w:r>
        <w:rPr>
          <w:i/>
        </w:rPr>
        <w:t xml:space="preserve">Nature methods</w:t>
      </w:r>
      <w:r>
        <w:t xml:space="preserve"> </w:t>
      </w:r>
      <w:r>
        <w:t xml:space="preserve">(2017-11-13)</w:t>
      </w:r>
      <w:r>
        <w:t xml:space="preserve"> </w:t>
      </w:r>
      <w:hyperlink r:id="rId57">
        <w:r>
          <w:rPr>
            <w:rStyle w:val="Hyperlink"/>
          </w:rPr>
          <w:t xml:space="preserve">https://www.ncbi.nlm.nih.gov/pubmed/29131164</w:t>
        </w:r>
      </w:hyperlink>
    </w:p>
    <w:bookmarkEnd w:id="58"/>
    <w:bookmarkStart w:id="60" w:name="ref-dc6GAnhL"/>
    <w:p>
      <w:pPr>
        <w:pStyle w:val="BodyText"/>
      </w:pPr>
      <w:r>
        <w:t xml:space="preserve">5.</w:t>
      </w:r>
      <w:r>
        <w:t xml:space="preserve"> </w:t>
      </w:r>
      <w:r>
        <w:rPr>
          <w:b/>
        </w:rPr>
        <w:t xml:space="preserve">Enzymatic assembly of DNA molecules up to several hundred kilobases</w:t>
      </w:r>
      <w:r>
        <w:br w:type="textWrapping"/>
      </w:r>
      <w:r>
        <w:t xml:space="preserve">Daniel G Gibson, Lei Young, Ray-Yuan Chuang, J Craig Venter, Clyde A Hutchison, Hamilton O Smith</w:t>
      </w:r>
      <w:r>
        <w:br w:type="textWrapping"/>
      </w:r>
      <w:r>
        <w:rPr>
          <w:i/>
        </w:rPr>
        <w:t xml:space="preserve">Nature Methods</w:t>
      </w:r>
      <w:r>
        <w:t xml:space="preserve"> </w:t>
      </w:r>
      <w:r>
        <w:t xml:space="preserve">(2009-04-12)</w:t>
      </w:r>
      <w:r>
        <w:t xml:space="preserve"> </w:t>
      </w:r>
      <w:hyperlink r:id="rId59">
        <w:r>
          <w:rPr>
            <w:rStyle w:val="Hyperlink"/>
          </w:rPr>
          <w:t xml:space="preserve">https://doi.org/10.1038/nmeth.1318</w:t>
        </w:r>
      </w:hyperlink>
    </w:p>
    <w:bookmarkEnd w:id="60"/>
    <w:bookmarkStart w:id="62" w:name="ref-NCWOk1rp"/>
    <w:p>
      <w:pPr>
        <w:pStyle w:val="BodyText"/>
      </w:pPr>
      <w:r>
        <w:t xml:space="preserve">6.</w:t>
      </w:r>
      <w:r>
        <w:t xml:space="preserve"> </w:t>
      </w:r>
      <w:r>
        <w:rPr>
          <w:b/>
        </w:rPr>
        <w:t xml:space="preserve">Independent and tight regulation of transcriptional units in Escherichia coli via the LacR/O, the TetR/O and AraC/I1-I2 regulatory elements.</w:t>
      </w:r>
      <w:r>
        <w:br w:type="textWrapping"/>
      </w:r>
      <w:r>
        <w:t xml:space="preserve">R Lutz, H Bujard</w:t>
      </w:r>
      <w:r>
        <w:br w:type="textWrapping"/>
      </w:r>
      <w:r>
        <w:rPr>
          <w:i/>
        </w:rPr>
        <w:t xml:space="preserve">Nucleic acids research</w:t>
      </w:r>
      <w:r>
        <w:t xml:space="preserve"> </w:t>
      </w:r>
      <w:r>
        <w:t xml:space="preserve">(1997-03-15)</w:t>
      </w:r>
      <w:r>
        <w:t xml:space="preserve"> </w:t>
      </w:r>
      <w:hyperlink r:id="rId61">
        <w:r>
          <w:rPr>
            <w:rStyle w:val="Hyperlink"/>
          </w:rPr>
          <w:t xml:space="preserve">https://www.ncbi.nlm.nih.gov/pubmed/9092630</w:t>
        </w:r>
      </w:hyperlink>
    </w:p>
    <w:bookmarkEnd w:id="62"/>
    <w:bookmarkStart w:id="64" w:name="ref-13TJF2gcl"/>
    <w:p>
      <w:pPr>
        <w:pStyle w:val="BodyText"/>
      </w:pPr>
      <w:r>
        <w:t xml:space="preserve">7.</w:t>
      </w:r>
      <w:r>
        <w:t xml:space="preserve"> </w:t>
      </w:r>
      <w:r>
        <w:rPr>
          <w:b/>
        </w:rPr>
        <w:t xml:space="preserve">FACS-optimized mutants of the green fluorescent protein (GFP).</w:t>
      </w:r>
      <w:r>
        <w:br w:type="textWrapping"/>
      </w:r>
      <w:r>
        <w:t xml:space="preserve">BP Cormack, RH Valdivia, S Falkow</w:t>
      </w:r>
      <w:r>
        <w:br w:type="textWrapping"/>
      </w:r>
      <w:r>
        <w:rPr>
          <w:i/>
        </w:rPr>
        <w:t xml:space="preserve">Gene</w:t>
      </w:r>
      <w:r>
        <w:t xml:space="preserve"> </w:t>
      </w:r>
      <w:r>
        <w:t xml:space="preserve">(1996)</w:t>
      </w:r>
      <w:r>
        <w:t xml:space="preserve"> </w:t>
      </w:r>
      <w:hyperlink r:id="rId63">
        <w:r>
          <w:rPr>
            <w:rStyle w:val="Hyperlink"/>
          </w:rPr>
          <w:t xml:space="preserve">https://www.ncbi.nlm.nih.gov/pubmed/8707053</w:t>
        </w:r>
      </w:hyperlink>
    </w:p>
    <w:bookmarkEnd w:id="64"/>
    <w:bookmarkStart w:id="66" w:name="ref-Q1a7tU8"/>
    <w:p>
      <w:pPr>
        <w:pStyle w:val="BodyText"/>
      </w:pPr>
      <w:r>
        <w:t xml:space="preserve">8.</w:t>
      </w:r>
      <w:r>
        <w:t xml:space="preserve"> </w:t>
      </w:r>
      <w:r>
        <w:rPr>
          <w:b/>
        </w:rPr>
        <w:t xml:space="preserve">Nucleotide sequence of the repressor gene of the TN10 tetracycline resistance determinant</w:t>
      </w:r>
      <w:r>
        <w:br w:type="textWrapping"/>
      </w:r>
      <w:r>
        <w:t xml:space="preserve">Kathleen Postle, Toai T. Nguyen, Kevin P. Bertrand</w:t>
      </w:r>
      <w:r>
        <w:br w:type="textWrapping"/>
      </w:r>
      <w:r>
        <w:rPr>
          <w:i/>
        </w:rPr>
        <w:t xml:space="preserve">Nucleic Acids Research</w:t>
      </w:r>
      <w:r>
        <w:t xml:space="preserve"> </w:t>
      </w:r>
      <w:r>
        <w:t xml:space="preserve">(1984)</w:t>
      </w:r>
      <w:r>
        <w:t xml:space="preserve"> </w:t>
      </w:r>
      <w:hyperlink r:id="rId65">
        <w:r>
          <w:rPr>
            <w:rStyle w:val="Hyperlink"/>
          </w:rPr>
          <w:t xml:space="preserve">https://doi.org/10.1093/nar/12.12.4849</w:t>
        </w:r>
      </w:hyperlink>
    </w:p>
    <w:bookmarkEnd w:id="66"/>
    <w:bookmarkStart w:id="68" w:name="ref-xjKSoV9v"/>
    <w:p>
      <w:pPr>
        <w:pStyle w:val="BodyText"/>
      </w:pPr>
      <w:r>
        <w:t xml:space="preserve">9.</w:t>
      </w:r>
      <w:r>
        <w:t xml:space="preserve"> </w:t>
      </w:r>
      <w:r>
        <w:rPr>
          <w:b/>
        </w:rPr>
        <w:t xml:space="preserve">Intrinsic termination of T7 RNA polymerase mediated by either RNA or DNA.</w:t>
      </w:r>
      <w:r>
        <w:br w:type="textWrapping"/>
      </w:r>
      <w:r>
        <w:t xml:space="preserve">L Hartvig, J Christiansen</w:t>
      </w:r>
      <w:r>
        <w:br w:type="textWrapping"/>
      </w:r>
      <w:r>
        <w:rPr>
          <w:i/>
        </w:rPr>
        <w:t xml:space="preserve">The EMBO journal</w:t>
      </w:r>
      <w:r>
        <w:t xml:space="preserve"> </w:t>
      </w:r>
      <w:r>
        <w:t xml:space="preserve">(1996-09-02)</w:t>
      </w:r>
      <w:r>
        <w:t xml:space="preserve"> </w:t>
      </w:r>
      <w:hyperlink r:id="rId67">
        <w:r>
          <w:rPr>
            <w:rStyle w:val="Hyperlink"/>
          </w:rPr>
          <w:t xml:space="preserve">https://www.ncbi.nlm.nih.gov/pubmed/8887568</w:t>
        </w:r>
      </w:hyperlink>
    </w:p>
    <w:bookmarkEnd w:id="68"/>
    <w:bookmarkStart w:id="70" w:name="ref-5CRbRLYC"/>
    <w:p>
      <w:pPr>
        <w:pStyle w:val="BodyText"/>
      </w:pPr>
      <w:r>
        <w:t xml:space="preserve">10.</w:t>
      </w:r>
      <w:r>
        <w:t xml:space="preserve"> </w:t>
      </w:r>
      <w:r>
        <w:rPr>
          <w:b/>
        </w:rPr>
        <w:t xml:space="preserve">A pSC101-derived plasmid which shows no sequence homology to other commonly used cloning vectors.</w:t>
      </w:r>
      <w:r>
        <w:br w:type="textWrapping"/>
      </w:r>
      <w:r>
        <w:t xml:space="preserve">G Churchward, D Belin, Y Nagamine</w:t>
      </w:r>
      <w:r>
        <w:br w:type="textWrapping"/>
      </w:r>
      <w:r>
        <w:rPr>
          <w:i/>
        </w:rPr>
        <w:t xml:space="preserve">Gene</w:t>
      </w:r>
      <w:r>
        <w:t xml:space="preserve"> </w:t>
      </w:r>
      <w:r>
        <w:t xml:space="preserve">(1984-11)</w:t>
      </w:r>
      <w:r>
        <w:t xml:space="preserve"> </w:t>
      </w:r>
      <w:hyperlink r:id="rId69">
        <w:r>
          <w:rPr>
            <w:rStyle w:val="Hyperlink"/>
          </w:rPr>
          <w:t xml:space="preserve">https://www.ncbi.nlm.nih.gov/pubmed/6098521</w:t>
        </w:r>
      </w:hyperlink>
    </w:p>
    <w:bookmarkEnd w:id="70"/>
    <w:bookmarkStart w:id="72" w:name="ref-YoMCfbca"/>
    <w:p>
      <w:pPr>
        <w:pStyle w:val="BodyText"/>
      </w:pPr>
      <w:r>
        <w:t xml:space="preserve">11.</w:t>
      </w:r>
      <w:r>
        <w:t xml:space="preserve"> </w:t>
      </w:r>
      <w:r>
        <w:rPr>
          <w:b/>
        </w:rPr>
        <w:t xml:space="preserve">Isolation of the lac repressor.</w:t>
      </w:r>
      <w:r>
        <w:br w:type="textWrapping"/>
      </w:r>
      <w:r>
        <w:t xml:space="preserve">W Gilbert, B Müller-Hill</w:t>
      </w:r>
      <w:r>
        <w:br w:type="textWrapping"/>
      </w:r>
      <w:r>
        <w:rPr>
          <w:i/>
        </w:rPr>
        <w:t xml:space="preserve">Proceedings of the National Academy of Sciences of the United States of America</w:t>
      </w:r>
      <w:r>
        <w:t xml:space="preserve"> </w:t>
      </w:r>
      <w:r>
        <w:t xml:space="preserve">(1966-12)</w:t>
      </w:r>
      <w:r>
        <w:t xml:space="preserve"> </w:t>
      </w:r>
      <w:hyperlink r:id="rId71">
        <w:r>
          <w:rPr>
            <w:rStyle w:val="Hyperlink"/>
          </w:rPr>
          <w:t xml:space="preserve">https://www.ncbi.nlm.nih.gov/pubmed/16591435</w:t>
        </w:r>
      </w:hyperlink>
    </w:p>
    <w:bookmarkEnd w:id="72"/>
    <w:bookmarkStart w:id="74" w:name="ref-A1kNMUKB"/>
    <w:p>
      <w:pPr>
        <w:pStyle w:val="BodyText"/>
      </w:pPr>
      <w:r>
        <w:t xml:space="preserve">12.</w:t>
      </w:r>
      <w:r>
        <w:t xml:space="preserve"> </w:t>
      </w:r>
      <w:r>
        <w:rPr>
          <w:b/>
        </w:rPr>
        <w:t xml:space="preserve">Cell-cycle-synchronized, oscillatory expression of a negatively</w:t>
      </w:r>
      <w:r>
        <w:rPr>
          <w:b/>
        </w:rPr>
        <w:t xml:space="preserve"> </w:t>
      </w:r>
      <w:r>
        <w:rPr>
          <w:b/>
        </w:rPr>
        <w:t xml:space="preserve">autoregulated gene in E. coli</w:t>
      </w:r>
      <w:r>
        <w:br w:type="textWrapping"/>
      </w:r>
      <w:r>
        <w:t xml:space="preserve">Zach Hensel, Tatiana T. Marquez-Lago</w:t>
      </w:r>
      <w:r>
        <w:br w:type="textWrapping"/>
      </w:r>
      <w:r>
        <w:rPr>
          <w:i/>
        </w:rPr>
        <w:t xml:space="preserve">arXiv</w:t>
      </w:r>
      <w:r>
        <w:t xml:space="preserve"> </w:t>
      </w:r>
      <w:r>
        <w:t xml:space="preserve">(2015-06-29)</w:t>
      </w:r>
      <w:r>
        <w:t xml:space="preserve"> </w:t>
      </w:r>
      <w:hyperlink r:id="rId73">
        <w:r>
          <w:rPr>
            <w:rStyle w:val="Hyperlink"/>
          </w:rPr>
          <w:t xml:space="preserve">https://arxiv.org/abs/1506.08596v1</w:t>
        </w:r>
      </w:hyperlink>
    </w:p>
    <w:bookmarkEnd w:id="74"/>
    <w:bookmarkStart w:id="76" w:name="ref-RBKXt78E"/>
    <w:p>
      <w:pPr>
        <w:pStyle w:val="BodyText"/>
      </w:pPr>
      <w:r>
        <w:t xml:space="preserve">13.</w:t>
      </w:r>
      <w:r>
        <w:t xml:space="preserve"> </w:t>
      </w:r>
      <w:r>
        <w:rPr>
          <w:b/>
        </w:rPr>
        <w:t xml:space="preserve">One-step inactivation of chromosomal genes in Escherichia coli K-12 using PCR products.</w:t>
      </w:r>
      <w:r>
        <w:br w:type="textWrapping"/>
      </w:r>
      <w:r>
        <w:t xml:space="preserve">KA Datsenko, BL Wanner</w:t>
      </w:r>
      <w:r>
        <w:br w:type="textWrapping"/>
      </w:r>
      <w:r>
        <w:rPr>
          <w:i/>
        </w:rPr>
        <w:t xml:space="preserve">Proceedings of the National Academy of Sciences of the United States of America</w:t>
      </w:r>
      <w:r>
        <w:t xml:space="preserve"> </w:t>
      </w:r>
      <w:r>
        <w:t xml:space="preserve">(2000-06-06)</w:t>
      </w:r>
      <w:r>
        <w:t xml:space="preserve"> </w:t>
      </w:r>
      <w:hyperlink r:id="rId75">
        <w:r>
          <w:rPr>
            <w:rStyle w:val="Hyperlink"/>
          </w:rPr>
          <w:t xml:space="preserve">https://www.ncbi.nlm.nih.gov/pubmed/10829079</w:t>
        </w:r>
      </w:hyperlink>
    </w:p>
    <w:bookmarkEnd w:id="76"/>
    <w:bookmarkStart w:id="78" w:name="ref-pzTydEMA"/>
    <w:p>
      <w:pPr>
        <w:pStyle w:val="BodyText"/>
      </w:pPr>
      <w:r>
        <w:t xml:space="preserve">14.</w:t>
      </w:r>
      <w:r>
        <w:t xml:space="preserve"> </w:t>
      </w:r>
      <w:r>
        <w:rPr>
          <w:b/>
        </w:rPr>
        <w:t xml:space="preserve">Translation rate is controlled by coupled trade-offs between site accessibility, selective RNA unfolding and sliding at upstream standby sites.</w:t>
      </w:r>
      <w:r>
        <w:br w:type="textWrapping"/>
      </w:r>
      <w:r>
        <w:t xml:space="preserve">Amin Espah Borujeni, Anirudh S Channarasappa, Howard M Salis</w:t>
      </w:r>
      <w:r>
        <w:br w:type="textWrapping"/>
      </w:r>
      <w:r>
        <w:rPr>
          <w:i/>
        </w:rPr>
        <w:t xml:space="preserve">Nucleic acids research</w:t>
      </w:r>
      <w:r>
        <w:t xml:space="preserve"> </w:t>
      </w:r>
      <w:r>
        <w:t xml:space="preserve">(2013-11-14)</w:t>
      </w:r>
      <w:r>
        <w:t xml:space="preserve"> </w:t>
      </w:r>
      <w:hyperlink r:id="rId77">
        <w:r>
          <w:rPr>
            <w:rStyle w:val="Hyperlink"/>
          </w:rPr>
          <w:t xml:space="preserve">https://www.ncbi.nlm.nih.gov/pubmed/24234441</w:t>
        </w:r>
      </w:hyperlink>
    </w:p>
    <w:bookmarkEnd w:id="78"/>
    <w:bookmarkStart w:id="80" w:name="ref-1GFLV3s4q"/>
    <w:p>
      <w:pPr>
        <w:pStyle w:val="BodyText"/>
      </w:pPr>
      <w:r>
        <w:t xml:space="preserve">15.</w:t>
      </w:r>
      <w:r>
        <w:t xml:space="preserve"> </w:t>
      </w:r>
      <w:r>
        <w:rPr>
          <w:b/>
        </w:rPr>
        <w:t xml:space="preserve">Real-time observation of transcription initiation and elongation on an endogenous yeast gene.</w:t>
      </w:r>
      <w:r>
        <w:br w:type="textWrapping"/>
      </w:r>
      <w:r>
        <w:t xml:space="preserve">Daniel R Larson, Daniel Zenklusen, Bin Wu, Jeffrey A Chao, Robert H Singer</w:t>
      </w:r>
      <w:r>
        <w:br w:type="textWrapping"/>
      </w:r>
      <w:r>
        <w:rPr>
          <w:i/>
        </w:rPr>
        <w:t xml:space="preserve">Science (New York, N.Y.)</w:t>
      </w:r>
      <w:r>
        <w:t xml:space="preserve"> </w:t>
      </w:r>
      <w:r>
        <w:t xml:space="preserve">(2011-04-22)</w:t>
      </w:r>
      <w:r>
        <w:t xml:space="preserve"> </w:t>
      </w:r>
      <w:hyperlink r:id="rId79">
        <w:r>
          <w:rPr>
            <w:rStyle w:val="Hyperlink"/>
          </w:rPr>
          <w:t xml:space="preserve">https://www.ncbi.nlm.nih.gov/pubmed/21512033</w:t>
        </w:r>
      </w:hyperlink>
    </w:p>
    <w:bookmarkEnd w:id="80"/>
    <w:bookmarkStart w:id="82" w:name="ref-XuRR8Zmt"/>
    <w:p>
      <w:pPr>
        <w:pStyle w:val="BodyText"/>
      </w:pPr>
      <w:r>
        <w:t xml:space="preserve">16.</w:t>
      </w:r>
      <w:r>
        <w:t xml:space="preserve"> </w:t>
      </w:r>
      <w:r>
        <w:rPr>
          <w:b/>
        </w:rPr>
        <w:t xml:space="preserve">Cyan and yellow super fluorescent proteins with improved brightness, protein folding, and FRET Förster radius.</w:t>
      </w:r>
      <w:r>
        <w:br w:type="textWrapping"/>
      </w:r>
      <w:r>
        <w:t xml:space="preserve">Gert-Jan Kremers, Joachim Goedhart, Erik B van Munster, Theodorus WJ Gadella</w:t>
      </w:r>
      <w:r>
        <w:br w:type="textWrapping"/>
      </w:r>
      <w:r>
        <w:rPr>
          <w:i/>
        </w:rPr>
        <w:t xml:space="preserve">Biochemistry</w:t>
      </w:r>
      <w:r>
        <w:t xml:space="preserve"> </w:t>
      </w:r>
      <w:r>
        <w:t xml:space="preserve">(2006-05-30)</w:t>
      </w:r>
      <w:r>
        <w:t xml:space="preserve"> </w:t>
      </w:r>
      <w:hyperlink r:id="rId81">
        <w:r>
          <w:rPr>
            <w:rStyle w:val="Hyperlink"/>
          </w:rPr>
          <w:t xml:space="preserve">https://www.ncbi.nlm.nih.gov/pubmed/16716067</w:t>
        </w:r>
      </w:hyperlink>
    </w:p>
    <w:bookmarkEnd w:id="82"/>
    <w:bookmarkStart w:id="84" w:name="ref-EObeLKJ1"/>
    <w:p>
      <w:pPr>
        <w:pStyle w:val="BodyText"/>
      </w:pPr>
      <w:r>
        <w:t xml:space="preserve">17.</w:t>
      </w:r>
      <w:r>
        <w:t xml:space="preserve"> </w:t>
      </w:r>
      <w:r>
        <w:rPr>
          <w:b/>
        </w:rPr>
        <w:t xml:space="preserve">Fluorescence fluctuation spectroscopy enables quantitative imaging of single mRNAs in living cells.</w:t>
      </w:r>
      <w:r>
        <w:br w:type="textWrapping"/>
      </w:r>
      <w:r>
        <w:t xml:space="preserve">Bin Wu, Jeffrey A Chao, Robert H Singer</w:t>
      </w:r>
      <w:r>
        <w:br w:type="textWrapping"/>
      </w:r>
      <w:r>
        <w:rPr>
          <w:i/>
        </w:rPr>
        <w:t xml:space="preserve">Biophysical journal</w:t>
      </w:r>
      <w:r>
        <w:t xml:space="preserve"> </w:t>
      </w:r>
      <w:r>
        <w:t xml:space="preserve">(2012-06-19)</w:t>
      </w:r>
      <w:r>
        <w:t xml:space="preserve"> </w:t>
      </w:r>
      <w:hyperlink r:id="rId83">
        <w:r>
          <w:rPr>
            <w:rStyle w:val="Hyperlink"/>
          </w:rPr>
          <w:t xml:space="preserve">https://www.ncbi.nlm.nih.gov/pubmed/22735544</w:t>
        </w:r>
      </w:hyperlink>
    </w:p>
    <w:bookmarkEnd w:id="84"/>
    <w:bookmarkStart w:id="86" w:name="ref-zj8Ydkzo"/>
    <w:p>
      <w:pPr>
        <w:pStyle w:val="BodyText"/>
      </w:pPr>
      <w:r>
        <w:t xml:space="preserve">18.</w:t>
      </w:r>
      <w:r>
        <w:t xml:space="preserve"> </w:t>
      </w:r>
      <w:r>
        <w:rPr>
          <w:b/>
        </w:rPr>
        <w:t xml:space="preserve">Characterization of a spectrally diverse set of fluorescent proteins as FRET acceptors for mTurquoise2.</w:t>
      </w:r>
      <w:r>
        <w:br w:type="textWrapping"/>
      </w:r>
      <w:r>
        <w:t xml:space="preserve">Marieke Mastop, Daphne S Bindels, Nathan C Shaner, Marten Postma, Theodorus WJ Gadella, Joachim Goedhart</w:t>
      </w:r>
      <w:r>
        <w:br w:type="textWrapping"/>
      </w:r>
      <w:r>
        <w:rPr>
          <w:i/>
        </w:rPr>
        <w:t xml:space="preserve">Scientific reports</w:t>
      </w:r>
      <w:r>
        <w:t xml:space="preserve"> </w:t>
      </w:r>
      <w:r>
        <w:t xml:space="preserve">(2017-09-20)</w:t>
      </w:r>
      <w:r>
        <w:t xml:space="preserve"> </w:t>
      </w:r>
      <w:hyperlink r:id="rId85">
        <w:r>
          <w:rPr>
            <w:rStyle w:val="Hyperlink"/>
          </w:rPr>
          <w:t xml:space="preserve">https://www.ncbi.nlm.nih.gov/pubmed/28931898</w:t>
        </w:r>
      </w:hyperlink>
    </w:p>
    <w:bookmarkEnd w:id="86"/>
    <w:bookmarkStart w:id="88" w:name="ref-q8xLcfYV"/>
    <w:p>
      <w:pPr>
        <w:pStyle w:val="BodyText"/>
      </w:pPr>
      <w:r>
        <w:t xml:space="preserve">19.</w:t>
      </w:r>
      <w:r>
        <w:t xml:space="preserve"> </w:t>
      </w:r>
      <w:r>
        <w:rPr>
          <w:b/>
        </w:rPr>
        <w:t xml:space="preserve">Zach Hensel Lab Plasmids</w:t>
      </w:r>
      <w:r>
        <w:br w:type="textWrapping"/>
      </w:r>
      <w:r>
        <w:t xml:space="preserve">Zach Hensel, João Silva</w:t>
      </w:r>
      <w:r>
        <w:br w:type="textWrapping"/>
      </w:r>
      <w:r>
        <w:rPr>
          <w:i/>
        </w:rPr>
        <w:t xml:space="preserve">AddGene</w:t>
      </w:r>
      <w:r>
        <w:t xml:space="preserve"> </w:t>
      </w:r>
      <w:r>
        <w:t xml:space="preserve">(2019)</w:t>
      </w:r>
      <w:r>
        <w:t xml:space="preserve"> </w:t>
      </w:r>
      <w:hyperlink r:id="rId87">
        <w:r>
          <w:rPr>
            <w:rStyle w:val="Hyperlink"/>
          </w:rPr>
          <w:t xml:space="preserve">https://www.addgene.org/Zach_Hensel/</w:t>
        </w:r>
      </w:hyperlink>
    </w:p>
    <w:bookmarkEnd w:id="88"/>
    <w:bookmarkStart w:id="90" w:name="ref-J6PWaBUu"/>
    <w:p>
      <w:pPr>
        <w:pStyle w:val="BodyText"/>
      </w:pPr>
      <w:r>
        <w:t xml:space="preserve">20.</w:t>
      </w:r>
      <w:r>
        <w:t xml:space="preserve"> </w:t>
      </w:r>
      <w:r>
        <w:rPr>
          <w:b/>
        </w:rPr>
        <w:t xml:space="preserve">FlowCal: A User-Friendly, Open Source Software Tool for Automatically Converting Flow Cytometry Data from Arbitrary to Calibrated Units.</w:t>
      </w:r>
      <w:r>
        <w:br w:type="textWrapping"/>
      </w:r>
      <w:r>
        <w:t xml:space="preserve">Sebastian M Castillo-Hair, John T Sexton, Brian P Landry, Evan J Olson, Oleg A Igoshin, Jeffrey J Tabor</w:t>
      </w:r>
      <w:r>
        <w:br w:type="textWrapping"/>
      </w:r>
      <w:r>
        <w:rPr>
          <w:i/>
        </w:rPr>
        <w:t xml:space="preserve">ACS synthetic biology</w:t>
      </w:r>
      <w:r>
        <w:t xml:space="preserve"> </w:t>
      </w:r>
      <w:r>
        <w:t xml:space="preserve">(2016-05-12)</w:t>
      </w:r>
      <w:r>
        <w:t xml:space="preserve"> </w:t>
      </w:r>
      <w:hyperlink r:id="rId89">
        <w:r>
          <w:rPr>
            <w:rStyle w:val="Hyperlink"/>
          </w:rPr>
          <w:t xml:space="preserve">https://www.ncbi.nlm.nih.gov/pubmed/27110723</w:t>
        </w:r>
      </w:hyperlink>
    </w:p>
    <w:bookmarkEnd w:id="90"/>
    <w:bookmarkStart w:id="92" w:name="ref-1Xy8hvPg"/>
    <w:p>
      <w:pPr>
        <w:pStyle w:val="BodyText"/>
      </w:pPr>
      <w:r>
        <w:t xml:space="preserve">21.</w:t>
      </w:r>
      <w:r>
        <w:t xml:space="preserve"> </w:t>
      </w:r>
      <w:r>
        <w:rPr>
          <w:b/>
        </w:rPr>
        <w:t xml:space="preserve">Fiji: an open-source platform for biological-image analysis.</w:t>
      </w:r>
      <w:r>
        <w:br w:type="textWrapping"/>
      </w:r>
      <w:r>
        <w:t xml:space="preserve">Johannes Schindelin, Ignacio Arganda-Carreras, Erwin Frise, Verena Kaynig, Mark Longair, Tobias Pietzsch, Stephan Preibisch, Curtis Rueden, Stephan Saalfeld, Benjamin Schmid, … Albert Cardona</w:t>
      </w:r>
      <w:r>
        <w:br w:type="textWrapping"/>
      </w:r>
      <w:r>
        <w:rPr>
          <w:i/>
        </w:rPr>
        <w:t xml:space="preserve">Nature methods</w:t>
      </w:r>
      <w:r>
        <w:t xml:space="preserve"> </w:t>
      </w:r>
      <w:r>
        <w:t xml:space="preserve">(2012-06-28)</w:t>
      </w:r>
      <w:r>
        <w:t xml:space="preserve"> </w:t>
      </w:r>
      <w:hyperlink r:id="rId91">
        <w:r>
          <w:rPr>
            <w:rStyle w:val="Hyperlink"/>
          </w:rPr>
          <w:t xml:space="preserve">https://www.ncbi.nlm.nih.gov/pubmed/22743772</w:t>
        </w:r>
      </w:hyperlink>
    </w:p>
    <w:bookmarkEnd w:id="92"/>
    <w:bookmarkStart w:id="94" w:name="ref-15TQ1MvYV"/>
    <w:p>
      <w:pPr>
        <w:pStyle w:val="BodyText"/>
      </w:pPr>
      <w:r>
        <w:t xml:space="preserve">22.</w:t>
      </w:r>
      <w:r>
        <w:t xml:space="preserve"> </w:t>
      </w:r>
      <w:r>
        <w:rPr>
          <w:b/>
        </w:rPr>
        <w:t xml:space="preserve">BglBrick vectors and datasheets: A synthetic biology platform for gene expression.</w:t>
      </w:r>
      <w:r>
        <w:br w:type="textWrapping"/>
      </w:r>
      <w:r>
        <w:t xml:space="preserve">Taek Soon Lee, Rachel A Krupa, Fuzhong Zhang, Meghdad Hajimorad, William J Holtz, Nilu Prasad, Sung Kuk Lee, Jay D Keasling</w:t>
      </w:r>
      <w:r>
        <w:br w:type="textWrapping"/>
      </w:r>
      <w:r>
        <w:rPr>
          <w:i/>
        </w:rPr>
        <w:t xml:space="preserve">Journal of biological engineering</w:t>
      </w:r>
      <w:r>
        <w:t xml:space="preserve"> </w:t>
      </w:r>
      <w:r>
        <w:t xml:space="preserve">(2011-09-20)</w:t>
      </w:r>
      <w:r>
        <w:t xml:space="preserve"> </w:t>
      </w:r>
      <w:hyperlink r:id="rId93">
        <w:r>
          <w:rPr>
            <w:rStyle w:val="Hyperlink"/>
          </w:rPr>
          <w:t xml:space="preserve">https://www.ncbi.nlm.nih.gov/pubmed/21933410</w:t>
        </w:r>
      </w:hyperlink>
    </w:p>
    <w:bookmarkEnd w:id="94"/>
    <w:bookmarkStart w:id="96" w:name="ref-Qz6zNiXK"/>
    <w:p>
      <w:pPr>
        <w:pStyle w:val="BodyText"/>
      </w:pPr>
      <w:r>
        <w:t xml:space="preserve">23.</w:t>
      </w:r>
      <w:r>
        <w:t xml:space="preserve"> </w:t>
      </w:r>
      <w:r>
        <w:rPr>
          <w:b/>
        </w:rPr>
        <w:t xml:space="preserve">Engineering stability in gene networks by autoregulation.</w:t>
      </w:r>
      <w:r>
        <w:br w:type="textWrapping"/>
      </w:r>
      <w:r>
        <w:t xml:space="preserve">A Becskei, L Serrano</w:t>
      </w:r>
      <w:r>
        <w:br w:type="textWrapping"/>
      </w:r>
      <w:r>
        <w:rPr>
          <w:i/>
        </w:rPr>
        <w:t xml:space="preserve">Nature</w:t>
      </w:r>
      <w:r>
        <w:t xml:space="preserve"> </w:t>
      </w:r>
      <w:r>
        <w:t xml:space="preserve">(2000-06-01)</w:t>
      </w:r>
      <w:r>
        <w:t xml:space="preserve"> </w:t>
      </w:r>
      <w:hyperlink r:id="rId95">
        <w:r>
          <w:rPr>
            <w:rStyle w:val="Hyperlink"/>
          </w:rPr>
          <w:t xml:space="preserve">https://www.ncbi.nlm.nih.gov/pubmed/10850721</w:t>
        </w:r>
      </w:hyperlink>
    </w:p>
    <w:bookmarkEnd w:id="96"/>
    <w:bookmarkStart w:id="98" w:name="ref-S7KRThVS"/>
    <w:p>
      <w:pPr>
        <w:pStyle w:val="BodyText"/>
      </w:pPr>
      <w:r>
        <w:t xml:space="preserve">24.</w:t>
      </w:r>
      <w:r>
        <w:t xml:space="preserve"> </w:t>
      </w:r>
      <w:r>
        <w:rPr>
          <w:b/>
        </w:rPr>
        <w:t xml:space="preserve">Summing up the noise in gene networks.</w:t>
      </w:r>
      <w:r>
        <w:br w:type="textWrapping"/>
      </w:r>
      <w:r>
        <w:t xml:space="preserve">Johan Paulsson</w:t>
      </w:r>
      <w:r>
        <w:br w:type="textWrapping"/>
      </w:r>
      <w:r>
        <w:rPr>
          <w:i/>
        </w:rPr>
        <w:t xml:space="preserve">Nature</w:t>
      </w:r>
      <w:r>
        <w:t xml:space="preserve"> </w:t>
      </w:r>
      <w:r>
        <w:t xml:space="preserve">(2004-01-29)</w:t>
      </w:r>
      <w:r>
        <w:t xml:space="preserve"> </w:t>
      </w:r>
      <w:hyperlink r:id="rId97">
        <w:r>
          <w:rPr>
            <w:rStyle w:val="Hyperlink"/>
          </w:rPr>
          <w:t xml:space="preserve">https://www.ncbi.nlm.nih.gov/pubmed/14749823</w:t>
        </w:r>
      </w:hyperlink>
    </w:p>
    <w:bookmarkEnd w:id="98"/>
    <w:bookmarkStart w:id="100" w:name="ref-cpANz6cV"/>
    <w:p>
      <w:pPr>
        <w:pStyle w:val="BodyText"/>
      </w:pPr>
      <w:r>
        <w:t xml:space="preserve">25.</w:t>
      </w:r>
      <w:r>
        <w:t xml:space="preserve"> </w:t>
      </w:r>
      <w:r>
        <w:rPr>
          <w:b/>
        </w:rPr>
        <w:t xml:space="preserve">Two mutations in the tetracycline repressor change the inducer anhydrotetracycline to a corepressor.</w:t>
      </w:r>
      <w:r>
        <w:br w:type="textWrapping"/>
      </w:r>
      <w:r>
        <w:t xml:space="preserve">Annette Kamionka, Joanna Bogdanska-Urbaniak, Oliver Scholz, Wolfgang Hillen</w:t>
      </w:r>
      <w:r>
        <w:br w:type="textWrapping"/>
      </w:r>
      <w:r>
        <w:rPr>
          <w:i/>
        </w:rPr>
        <w:t xml:space="preserve">Nucleic acids research</w:t>
      </w:r>
      <w:r>
        <w:t xml:space="preserve"> </w:t>
      </w:r>
      <w:r>
        <w:t xml:space="preserve">(2004-02-04)</w:t>
      </w:r>
      <w:r>
        <w:t xml:space="preserve"> </w:t>
      </w:r>
      <w:hyperlink r:id="rId99">
        <w:r>
          <w:rPr>
            <w:rStyle w:val="Hyperlink"/>
          </w:rPr>
          <w:t xml:space="preserve">https://www.ncbi.nlm.nih.gov/pubmed/14764926</w:t>
        </w:r>
      </w:hyperlink>
    </w:p>
    <w:bookmarkEnd w:id="100"/>
    <w:bookmarkStart w:id="102" w:name="ref-UMSODjob"/>
    <w:p>
      <w:pPr>
        <w:pStyle w:val="BodyText"/>
      </w:pPr>
      <w:r>
        <w:t xml:space="preserve">26.</w:t>
      </w:r>
      <w:r>
        <w:t xml:space="preserve"> </w:t>
      </w:r>
      <w:r>
        <w:rPr>
          <w:b/>
        </w:rPr>
        <w:t xml:space="preserve">The three operators of the lac operon cooperate in repression.</w:t>
      </w:r>
      <w:r>
        <w:br w:type="textWrapping"/>
      </w:r>
      <w:r>
        <w:t xml:space="preserve">S Oehler, ER Eismann, H Krämer, B Müller-Hill</w:t>
      </w:r>
      <w:r>
        <w:br w:type="textWrapping"/>
      </w:r>
      <w:r>
        <w:rPr>
          <w:i/>
        </w:rPr>
        <w:t xml:space="preserve">The EMBO journal</w:t>
      </w:r>
      <w:r>
        <w:t xml:space="preserve"> </w:t>
      </w:r>
      <w:r>
        <w:t xml:space="preserve">(1990-04)</w:t>
      </w:r>
      <w:r>
        <w:t xml:space="preserve"> </w:t>
      </w:r>
      <w:hyperlink r:id="rId101">
        <w:r>
          <w:rPr>
            <w:rStyle w:val="Hyperlink"/>
          </w:rPr>
          <w:t xml:space="preserve">https://www.ncbi.nlm.nih.gov/pubmed/2182324</w:t>
        </w:r>
      </w:hyperlink>
    </w:p>
    <w:bookmarkEnd w:id="102"/>
    <w:bookmarkStart w:id="104" w:name="ref-Ls5d7x4o"/>
    <w:p>
      <w:pPr>
        <w:pStyle w:val="BodyText"/>
      </w:pPr>
      <w:r>
        <w:t xml:space="preserve">27.</w:t>
      </w:r>
      <w:r>
        <w:t xml:space="preserve"> </w:t>
      </w:r>
      <w:r>
        <w:rPr>
          <w:b/>
        </w:rPr>
        <w:t xml:space="preserve">Tet repressor induction without Mg2+.</w:t>
      </w:r>
      <w:r>
        <w:br w:type="textWrapping"/>
      </w:r>
      <w:r>
        <w:t xml:space="preserve">O Scholz, P Schubert, M Kintrup, W Hillen</w:t>
      </w:r>
      <w:r>
        <w:br w:type="textWrapping"/>
      </w:r>
      <w:r>
        <w:rPr>
          <w:i/>
        </w:rPr>
        <w:t xml:space="preserve">Biochemistry</w:t>
      </w:r>
      <w:r>
        <w:t xml:space="preserve"> </w:t>
      </w:r>
      <w:r>
        <w:t xml:space="preserve">(2000-09-05)</w:t>
      </w:r>
      <w:r>
        <w:t xml:space="preserve"> </w:t>
      </w:r>
      <w:hyperlink r:id="rId103">
        <w:r>
          <w:rPr>
            <w:rStyle w:val="Hyperlink"/>
          </w:rPr>
          <w:t xml:space="preserve">https://www.ncbi.nlm.nih.gov/pubmed/10978179</w:t>
        </w:r>
      </w:hyperlink>
    </w:p>
    <w:bookmarkEnd w:id="104"/>
    <w:bookmarkStart w:id="106" w:name="ref-WxFVKQqb"/>
    <w:p>
      <w:pPr>
        <w:pStyle w:val="BodyText"/>
      </w:pPr>
      <w:r>
        <w:t xml:space="preserve">28.</w:t>
      </w:r>
      <w:r>
        <w:t xml:space="preserve"> </w:t>
      </w:r>
      <w:r>
        <w:rPr>
          <w:b/>
        </w:rPr>
        <w:t xml:space="preserve">Induction of the lac promoter in the absence of DNA loops and the stoichiometry of induction.</w:t>
      </w:r>
      <w:r>
        <w:br w:type="textWrapping"/>
      </w:r>
      <w:r>
        <w:t xml:space="preserve">Stefan Oehler, Siegfried Alberti, Benno Müller-Hill</w:t>
      </w:r>
      <w:r>
        <w:br w:type="textWrapping"/>
      </w:r>
      <w:r>
        <w:rPr>
          <w:i/>
        </w:rPr>
        <w:t xml:space="preserve">Nucleic acids research</w:t>
      </w:r>
      <w:r>
        <w:t xml:space="preserve"> </w:t>
      </w:r>
      <w:r>
        <w:t xml:space="preserve">(2006-01-23)</w:t>
      </w:r>
      <w:r>
        <w:t xml:space="preserve"> </w:t>
      </w:r>
      <w:hyperlink r:id="rId105">
        <w:r>
          <w:rPr>
            <w:rStyle w:val="Hyperlink"/>
          </w:rPr>
          <w:t xml:space="preserve">https://www.ncbi.nlm.nih.gov/pubmed/16432263</w:t>
        </w:r>
      </w:hyperlink>
    </w:p>
    <w:bookmarkEnd w:id="106"/>
    <w:bookmarkStart w:id="108" w:name="ref-eUtnfAD6"/>
    <w:p>
      <w:pPr>
        <w:pStyle w:val="BodyText"/>
      </w:pPr>
      <w:r>
        <w:t xml:space="preserve">29.</w:t>
      </w:r>
      <w:r>
        <w:t xml:space="preserve"> </w:t>
      </w:r>
      <w:r>
        <w:rPr>
          <w:b/>
        </w:rPr>
        <w:t xml:space="preserve">ENZYME INDUCTION AS AN ALL-OR-NONE PHENOMENON.</w:t>
      </w:r>
      <w:r>
        <w:br w:type="textWrapping"/>
      </w:r>
      <w:r>
        <w:t xml:space="preserve">A Novick, M Weiner</w:t>
      </w:r>
      <w:r>
        <w:br w:type="textWrapping"/>
      </w:r>
      <w:r>
        <w:rPr>
          <w:i/>
        </w:rPr>
        <w:t xml:space="preserve">Proceedings of the National Academy of Sciences of the United States of America</w:t>
      </w:r>
      <w:r>
        <w:t xml:space="preserve"> </w:t>
      </w:r>
      <w:r>
        <w:t xml:space="preserve">(1957-07-15)</w:t>
      </w:r>
      <w:r>
        <w:t xml:space="preserve"> </w:t>
      </w:r>
      <w:hyperlink r:id="rId107">
        <w:r>
          <w:rPr>
            <w:rStyle w:val="Hyperlink"/>
          </w:rPr>
          <w:t xml:space="preserve">https://www.ncbi.nlm.nih.gov/pubmed/16590055</w:t>
        </w:r>
      </w:hyperlink>
    </w:p>
    <w:bookmarkEnd w:id="108"/>
    <w:bookmarkStart w:id="110" w:name="ref-16n3gU60l"/>
    <w:p>
      <w:pPr>
        <w:pStyle w:val="BodyText"/>
      </w:pPr>
      <w:r>
        <w:t xml:space="preserve">30.</w:t>
      </w:r>
      <w:r>
        <w:t xml:space="preserve"> </w:t>
      </w:r>
      <w:r>
        <w:rPr>
          <w:b/>
        </w:rPr>
        <w:t xml:space="preserve">A genome-wide analysis of promoter-mediated phenotypic noise in Escherichia coli.</w:t>
      </w:r>
      <w:r>
        <w:br w:type="textWrapping"/>
      </w:r>
      <w:r>
        <w:t xml:space="preserve">Olin K Silander, Nela Nikolic, Alon Zaslaver, Anat Bren, Ilya Kikoin, Uri Alon, Martin Ackermann</w:t>
      </w:r>
      <w:r>
        <w:br w:type="textWrapping"/>
      </w:r>
      <w:r>
        <w:rPr>
          <w:i/>
        </w:rPr>
        <w:t xml:space="preserve">PLoS genetics</w:t>
      </w:r>
      <w:r>
        <w:t xml:space="preserve"> </w:t>
      </w:r>
      <w:r>
        <w:t xml:space="preserve">(2012-01-19)</w:t>
      </w:r>
      <w:r>
        <w:t xml:space="preserve"> </w:t>
      </w:r>
      <w:hyperlink r:id="rId109">
        <w:r>
          <w:rPr>
            <w:rStyle w:val="Hyperlink"/>
          </w:rPr>
          <w:t xml:space="preserve">https://www.ncbi.nlm.nih.gov/pubmed/22275871</w:t>
        </w:r>
      </w:hyperlink>
    </w:p>
    <w:bookmarkEnd w:id="110"/>
    <w:bookmarkStart w:id="112" w:name="ref-TvXapFFQ"/>
    <w:p>
      <w:pPr>
        <w:pStyle w:val="BodyText"/>
      </w:pPr>
      <w:r>
        <w:t xml:space="preserve">31.</w:t>
      </w:r>
      <w:r>
        <w:t xml:space="preserve"> </w:t>
      </w:r>
      <w:r>
        <w:rPr>
          <w:b/>
        </w:rPr>
        <w:t xml:space="preserve">Real-time kinetics of gene activity in individual bacteria.</w:t>
      </w:r>
      <w:r>
        <w:br w:type="textWrapping"/>
      </w:r>
      <w:r>
        <w:t xml:space="preserve">Ido Golding, Johan Paulsson, Scott M Zawilski, Edward C Cox</w:t>
      </w:r>
      <w:r>
        <w:br w:type="textWrapping"/>
      </w:r>
      <w:r>
        <w:rPr>
          <w:i/>
        </w:rPr>
        <w:t xml:space="preserve">Cell</w:t>
      </w:r>
      <w:r>
        <w:t xml:space="preserve"> </w:t>
      </w:r>
      <w:r>
        <w:t xml:space="preserve">(2005-12-16)</w:t>
      </w:r>
      <w:r>
        <w:t xml:space="preserve"> </w:t>
      </w:r>
      <w:hyperlink r:id="rId111">
        <w:r>
          <w:rPr>
            <w:rStyle w:val="Hyperlink"/>
          </w:rPr>
          <w:t xml:space="preserve">https://www.ncbi.nlm.nih.gov/pubmed/16360033</w:t>
        </w:r>
      </w:hyperlink>
    </w:p>
    <w:bookmarkEnd w:id="112"/>
    <w:bookmarkStart w:id="114" w:name="ref-uQeM79z"/>
    <w:p>
      <w:pPr>
        <w:pStyle w:val="BodyText"/>
      </w:pPr>
      <w:r>
        <w:t xml:space="preserve">32.</w:t>
      </w:r>
      <w:r>
        <w:t xml:space="preserve"> </w:t>
      </w:r>
      <w:r>
        <w:rPr>
          <w:b/>
        </w:rPr>
        <w:t xml:space="preserve">Spatial organization of the flow of genetic information in bacteria.</w:t>
      </w:r>
      <w:r>
        <w:br w:type="textWrapping"/>
      </w:r>
      <w:r>
        <w:t xml:space="preserve">Paula Montero Llopis, Audrey F Jackson, Oleksii Sliusarenko, Ivan Surovtsev, Jennifer Heinritz, Thierry Emonet, Christine Jacobs-Wagner</w:t>
      </w:r>
      <w:r>
        <w:br w:type="textWrapping"/>
      </w:r>
      <w:r>
        <w:rPr>
          <w:i/>
        </w:rPr>
        <w:t xml:space="preserve">Nature</w:t>
      </w:r>
      <w:r>
        <w:t xml:space="preserve"> </w:t>
      </w:r>
      <w:r>
        <w:t xml:space="preserve">(2010-06-20)</w:t>
      </w:r>
      <w:r>
        <w:t xml:space="preserve"> </w:t>
      </w:r>
      <w:hyperlink r:id="rId113">
        <w:r>
          <w:rPr>
            <w:rStyle w:val="Hyperlink"/>
          </w:rPr>
          <w:t xml:space="preserve">https://www.ncbi.nlm.nih.gov/pubmed/20562858</w:t>
        </w:r>
      </w:hyperlink>
    </w:p>
    <w:bookmarkEnd w:id="114"/>
    <w:bookmarkStart w:id="116" w:name="ref-12aHdKu6v"/>
    <w:p>
      <w:pPr>
        <w:pStyle w:val="BodyText"/>
      </w:pPr>
      <w:r>
        <w:t xml:space="preserve">33.</w:t>
      </w:r>
      <w:r>
        <w:t xml:space="preserve"> </w:t>
      </w:r>
      <w:r>
        <w:rPr>
          <w:b/>
        </w:rPr>
        <w:t xml:space="preserve">Production of Protein-Complex Components Is Stoichiometric and Lacks General Feedback Regulation in Eukaryotes.</w:t>
      </w:r>
      <w:r>
        <w:br w:type="textWrapping"/>
      </w:r>
      <w:r>
        <w:t xml:space="preserve">James C Taggart, Gene-Wei Li</w:t>
      </w:r>
      <w:r>
        <w:br w:type="textWrapping"/>
      </w:r>
      <w:r>
        <w:rPr>
          <w:i/>
        </w:rPr>
        <w:t xml:space="preserve">Cell systems</w:t>
      </w:r>
      <w:r>
        <w:t xml:space="preserve"> </w:t>
      </w:r>
      <w:r>
        <w:t xml:space="preserve">(2018-12-12)</w:t>
      </w:r>
      <w:r>
        <w:t xml:space="preserve"> </w:t>
      </w:r>
      <w:hyperlink r:id="rId115">
        <w:r>
          <w:rPr>
            <w:rStyle w:val="Hyperlink"/>
          </w:rPr>
          <w:t xml:space="preserve">https://www.ncbi.nlm.nih.gov/pubmed/30553725</w:t>
        </w:r>
      </w:hyperlink>
    </w:p>
    <w:bookmarkEnd w:id="116"/>
    <w:bookmarkStart w:id="118" w:name="ref-5dC8qsZ9"/>
    <w:p>
      <w:pPr>
        <w:pStyle w:val="BodyText"/>
      </w:pPr>
      <w:r>
        <w:t xml:space="preserve">34.</w:t>
      </w:r>
      <w:r>
        <w:t xml:space="preserve"> </w:t>
      </w:r>
      <w:r>
        <w:rPr>
          <w:b/>
        </w:rPr>
        <w:t xml:space="preserve">Comparative Single-Cell Analysis of Different E. coli Expression Systems during Microfluidic Cultivation.</w:t>
      </w:r>
      <w:r>
        <w:br w:type="textWrapping"/>
      </w:r>
      <w:r>
        <w:t xml:space="preserve">Dennis Binder, Christopher Probst, Alexander Grünberger, Fabienne Hilgers, Anita Loeschcke, Karl-Erich Jaeger, Dietrich Kohlheyer, Thomas Drepper</w:t>
      </w:r>
      <w:r>
        <w:br w:type="textWrapping"/>
      </w:r>
      <w:r>
        <w:rPr>
          <w:i/>
        </w:rPr>
        <w:t xml:space="preserve">PloS one</w:t>
      </w:r>
      <w:r>
        <w:t xml:space="preserve"> </w:t>
      </w:r>
      <w:r>
        <w:t xml:space="preserve">(2016-08-15)</w:t>
      </w:r>
      <w:r>
        <w:t xml:space="preserve"> </w:t>
      </w:r>
      <w:hyperlink r:id="rId117">
        <w:r>
          <w:rPr>
            <w:rStyle w:val="Hyperlink"/>
          </w:rPr>
          <w:t xml:space="preserve">https://www.ncbi.nlm.nih.gov/pubmed/27525986</w:t>
        </w:r>
      </w:hyperlink>
    </w:p>
    <w:bookmarkEnd w:id="118"/>
    <w:bookmarkStart w:id="120" w:name="ref-1GGGHdsew"/>
    <w:p>
      <w:pPr>
        <w:pStyle w:val="BodyText"/>
      </w:pPr>
      <w:r>
        <w:t xml:space="preserve">35.</w:t>
      </w:r>
      <w:r>
        <w:t xml:space="preserve"> </w:t>
      </w:r>
      <w:r>
        <w:rPr>
          <w:b/>
        </w:rPr>
        <w:t xml:space="preserve">Open collaborative writing with Manubot</w:t>
      </w:r>
      <w:r>
        <w:br w:type="textWrapping"/>
      </w:r>
      <w:r>
        <w:t xml:space="preserve">Daniel S. Himmelstein, David R. Slochower, Venkat S. Malladi, Casey S. Greene, Anthony Gitter</w:t>
      </w:r>
      <w:r>
        <w:br w:type="textWrapping"/>
      </w:r>
      <w:r>
        <w:rPr>
          <w:i/>
        </w:rPr>
        <w:t xml:space="preserve">Manubot Preprint</w:t>
      </w:r>
      <w:r>
        <w:t xml:space="preserve"> </w:t>
      </w:r>
      <w:r>
        <w:t xml:space="preserve">(2018)</w:t>
      </w:r>
      <w:r>
        <w:t xml:space="preserve"> </w:t>
      </w:r>
      <w:hyperlink r:id="rId119">
        <w:r>
          <w:rPr>
            <w:rStyle w:val="Hyperlink"/>
          </w:rPr>
          <w:t xml:space="preserve">https://greenelab.github.io/meta-review/</w:t>
        </w:r>
      </w:hyperlink>
    </w:p>
    <w:bookmarkEnd w:id="120"/>
    <w:bookmarkStart w:id="122" w:name="ref-V7sgPYoL"/>
    <w:p>
      <w:pPr>
        <w:pStyle w:val="BodyText"/>
      </w:pPr>
      <w:r>
        <w:t xml:space="preserve">36.</w:t>
      </w:r>
      <w:r>
        <w:t xml:space="preserve"> </w:t>
      </w:r>
      <w:r>
        <w:rPr>
          <w:b/>
        </w:rPr>
        <w:t xml:space="preserve">Supplementary File S2: Plasmids for independently tunable, low- noise gene expression</w:t>
      </w:r>
      <w:r>
        <w:br w:type="textWrapping"/>
      </w:r>
      <w:r>
        <w:t xml:space="preserve">João P. N. Silva, Soraia Vidigal Lopes, Diogo J. Grilo, Zach Hensel</w:t>
      </w:r>
      <w:r>
        <w:br w:type="textWrapping"/>
      </w:r>
      <w:r>
        <w:rPr>
          <w:i/>
        </w:rPr>
        <w:t xml:space="preserve">Zenodo</w:t>
      </w:r>
      <w:r>
        <w:t xml:space="preserve"> </w:t>
      </w:r>
      <w:r>
        <w:t xml:space="preserve">(2019-01-09)</w:t>
      </w:r>
      <w:r>
        <w:t xml:space="preserve"> </w:t>
      </w:r>
      <w:hyperlink r:id="rId121">
        <w:r>
          <w:rPr>
            <w:rStyle w:val="Hyperlink"/>
          </w:rPr>
          <w:t xml:space="preserve">https://doi.org/10.5281/zenodo.2536104</w:t>
        </w:r>
      </w:hyperlink>
    </w:p>
    <w:bookmarkEnd w:id="122"/>
    <w:bookmarkEnd w:id="123"/>
    <w:p>
      <w:pPr>
        <w:pStyle w:val="Heading2"/>
      </w:pPr>
      <w:bookmarkStart w:id="124" w:name="supplementary-material"/>
      <w:r>
        <w:t xml:space="preserve">Supplementary Material</w:t>
      </w:r>
      <w:bookmarkEnd w:id="124"/>
    </w:p>
    <w:p>
      <w:bookmarkStart w:id="0" w:name="fig:gammaFits"/>
      <w:r>
        <w:t/>
      </w:r>
    </w:p>
    <w:p>
      <w:pPr>
        <w:pStyle w:val="CaptionedFigure"/>
      </w:pPr>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25"/>
                    <a:stretch>
                      <a:fillRect/>
                    </a:stretch>
                  </pic:blipFill>
                  <pic:spPr bwMode="auto">
                    <a:xfrm>
                      <a:off x="0" y="0"/>
                      <a:ext cx="3203999" cy="5018982"/>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w:t>
      </w:r>
      <w:r>
        <w:t xml:space="preserve"> </w:t>
      </w:r>
      <w:hyperlink w:anchor="fig:pJS102-mean-noise">
        <w:r>
          <w:rPr>
            <w:rStyle w:val="Hyperlink"/>
          </w:rPr>
          <w:t xml:space="preserve">2</w:t>
        </w:r>
      </w:hyperlink>
      <w:r>
        <w:t xml:space="preserve">, and</w:t>
      </w:r>
      <w:r>
        <w:t xml:space="preserve"> </w:t>
      </w:r>
      <w:hyperlink w:anchor="fig:pJS101-pDG101">
        <w:r>
          <w:rPr>
            <w:rStyle w:val="Hyperlink"/>
          </w:rPr>
          <w:t xml:space="preserve">4</w:t>
        </w:r>
      </w:hyperlink>
      <w:r>
        <w:t xml:space="preserve">, DNA sequences, and explanatory text files are available as a compressed archive at Zenodo</w:t>
      </w:r>
      <w:r>
        <w:t xml:space="preserve"> </w:t>
      </w:r>
      <w:r>
        <w:t xml:space="preserve">[</w:t>
      </w:r>
      <w:hyperlink w:anchor="ref-V7sgPYoL">
        <w:r>
          <w:rPr>
            <w:rStyle w:val="Hyperlink"/>
          </w:rPr>
          <w:t xml:space="preserve">36</w:t>
        </w:r>
      </w:hyperlink>
      <w:r>
        <w:t xml:space="preserve">]</w:t>
      </w:r>
      <w:r>
        <w:t xml:space="preserve">.</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8888c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3e668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125" Target="media/rId125.png" /><Relationship Type="http://schemas.openxmlformats.org/officeDocument/2006/relationships/image" Id="rId29" Target="media/rId29.svg" /><Relationship Type="http://schemas.openxmlformats.org/officeDocument/2006/relationships/image" Id="rId24" Target="media/rId24.svg" /><Relationship Type="http://schemas.openxmlformats.org/officeDocument/2006/relationships/hyperlink" Id="rId73" Target="https://arxiv.org/abs/1506.08596v1" TargetMode="External" /><Relationship Type="http://schemas.openxmlformats.org/officeDocument/2006/relationships/hyperlink" Id="rId59" Target="https://doi.org/10.1038/nmeth.1318" TargetMode="External" /><Relationship Type="http://schemas.openxmlformats.org/officeDocument/2006/relationships/hyperlink" Id="rId65" Target="https://doi.org/10.1093/nar/12.12.4849" TargetMode="External" /><Relationship Type="http://schemas.openxmlformats.org/officeDocument/2006/relationships/hyperlink" Id="rId53" Target="https://doi.org/10.1126/science.1188308" TargetMode="External" /><Relationship Type="http://schemas.openxmlformats.org/officeDocument/2006/relationships/hyperlink" Id="rId121" Target="https://doi.org/10.5281/zenodo.2536104"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62b1115000d85a86ba166e71f221878b80dfde0a" TargetMode="External" /><Relationship Type="http://schemas.openxmlformats.org/officeDocument/2006/relationships/hyperlink" Id="rId119"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87" Target="https://www.addgene.org/Zach_Hensel/" TargetMode="External" /><Relationship Type="http://schemas.openxmlformats.org/officeDocument/2006/relationships/hyperlink" Id="rId75" Target="https://www.ncbi.nlm.nih.gov/pubmed/10829079" TargetMode="External" /><Relationship Type="http://schemas.openxmlformats.org/officeDocument/2006/relationships/hyperlink" Id="rId95" Target="https://www.ncbi.nlm.nih.gov/pubmed/10850721" TargetMode="External" /><Relationship Type="http://schemas.openxmlformats.org/officeDocument/2006/relationships/hyperlink" Id="rId103" Target="https://www.ncbi.nlm.nih.gov/pubmed/10978179" TargetMode="External" /><Relationship Type="http://schemas.openxmlformats.org/officeDocument/2006/relationships/hyperlink" Id="rId97" Target="https://www.ncbi.nlm.nih.gov/pubmed/14749823" TargetMode="External" /><Relationship Type="http://schemas.openxmlformats.org/officeDocument/2006/relationships/hyperlink" Id="rId99" Target="https://www.ncbi.nlm.nih.gov/pubmed/14764926" TargetMode="External" /><Relationship Type="http://schemas.openxmlformats.org/officeDocument/2006/relationships/hyperlink" Id="rId111" Target="https://www.ncbi.nlm.nih.gov/pubmed/16360033" TargetMode="External" /><Relationship Type="http://schemas.openxmlformats.org/officeDocument/2006/relationships/hyperlink" Id="rId105" Target="https://www.ncbi.nlm.nih.gov/pubmed/16432263" TargetMode="External" /><Relationship Type="http://schemas.openxmlformats.org/officeDocument/2006/relationships/hyperlink" Id="rId107" Target="https://www.ncbi.nlm.nih.gov/pubmed/16590055" TargetMode="External" /><Relationship Type="http://schemas.openxmlformats.org/officeDocument/2006/relationships/hyperlink" Id="rId71" Target="https://www.ncbi.nlm.nih.gov/pubmed/16591435" TargetMode="External" /><Relationship Type="http://schemas.openxmlformats.org/officeDocument/2006/relationships/hyperlink" Id="rId81" Target="https://www.ncbi.nlm.nih.gov/pubmed/16716067" TargetMode="External" /><Relationship Type="http://schemas.openxmlformats.org/officeDocument/2006/relationships/hyperlink" Id="rId55" Target="https://www.ncbi.nlm.nih.gov/pubmed/16883354" TargetMode="External" /><Relationship Type="http://schemas.openxmlformats.org/officeDocument/2006/relationships/hyperlink" Id="rId113" Target="https://www.ncbi.nlm.nih.gov/pubmed/20562858" TargetMode="External" /><Relationship Type="http://schemas.openxmlformats.org/officeDocument/2006/relationships/hyperlink" Id="rId79" Target="https://www.ncbi.nlm.nih.gov/pubmed/21512033" TargetMode="External" /><Relationship Type="http://schemas.openxmlformats.org/officeDocument/2006/relationships/hyperlink" Id="rId101" Target="https://www.ncbi.nlm.nih.gov/pubmed/2182324" TargetMode="External" /><Relationship Type="http://schemas.openxmlformats.org/officeDocument/2006/relationships/hyperlink" Id="rId93" Target="https://www.ncbi.nlm.nih.gov/pubmed/21933410" TargetMode="External" /><Relationship Type="http://schemas.openxmlformats.org/officeDocument/2006/relationships/hyperlink" Id="rId109" Target="https://www.ncbi.nlm.nih.gov/pubmed/22275871" TargetMode="External" /><Relationship Type="http://schemas.openxmlformats.org/officeDocument/2006/relationships/hyperlink" Id="rId83" Target="https://www.ncbi.nlm.nih.gov/pubmed/22735544" TargetMode="External" /><Relationship Type="http://schemas.openxmlformats.org/officeDocument/2006/relationships/hyperlink" Id="rId91" Target="https://www.ncbi.nlm.nih.gov/pubmed/22743772" TargetMode="External" /><Relationship Type="http://schemas.openxmlformats.org/officeDocument/2006/relationships/hyperlink" Id="rId77" Target="https://www.ncbi.nlm.nih.gov/pubmed/24234441" TargetMode="External" /><Relationship Type="http://schemas.openxmlformats.org/officeDocument/2006/relationships/hyperlink" Id="rId89" Target="https://www.ncbi.nlm.nih.gov/pubmed/27110723" TargetMode="External" /><Relationship Type="http://schemas.openxmlformats.org/officeDocument/2006/relationships/hyperlink" Id="rId117" Target="https://www.ncbi.nlm.nih.gov/pubmed/27525986" TargetMode="External" /><Relationship Type="http://schemas.openxmlformats.org/officeDocument/2006/relationships/hyperlink" Id="rId85" Target="https://www.ncbi.nlm.nih.gov/pubmed/28931898" TargetMode="External" /><Relationship Type="http://schemas.openxmlformats.org/officeDocument/2006/relationships/hyperlink" Id="rId51" Target="https://www.ncbi.nlm.nih.gov/pubmed/29084263" TargetMode="External" /><Relationship Type="http://schemas.openxmlformats.org/officeDocument/2006/relationships/hyperlink" Id="rId57" Target="https://www.ncbi.nlm.nih.gov/pubmed/29131164" TargetMode="External" /><Relationship Type="http://schemas.openxmlformats.org/officeDocument/2006/relationships/hyperlink" Id="rId115" Target="https://www.ncbi.nlm.nih.gov/pubmed/30553725" TargetMode="External" /><Relationship Type="http://schemas.openxmlformats.org/officeDocument/2006/relationships/hyperlink" Id="rId69" Target="https://www.ncbi.nlm.nih.gov/pubmed/6098521" TargetMode="External" /><Relationship Type="http://schemas.openxmlformats.org/officeDocument/2006/relationships/hyperlink" Id="rId63" Target="https://www.ncbi.nlm.nih.gov/pubmed/8707053" TargetMode="External" /><Relationship Type="http://schemas.openxmlformats.org/officeDocument/2006/relationships/hyperlink" Id="rId67" Target="https://www.ncbi.nlm.nih.gov/pubmed/8887568" TargetMode="External" /><Relationship Type="http://schemas.openxmlformats.org/officeDocument/2006/relationships/hyperlink" Id="rId61" Target="https://www.ncbi.nlm.nih.gov/pubmed/9092630" TargetMode="External" /><Relationship Type="http://schemas.openxmlformats.org/officeDocument/2006/relationships/hyperlink" Id="rId21" Target="https://zach-hensel.github.io/low-noise-manuscript/v/62b1115000d85a86ba166e71f221878b80dfde0a/" TargetMode="External" /><Relationship Type="http://schemas.openxmlformats.org/officeDocument/2006/relationships/hyperlink" Id="rId31"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73" Target="https://arxiv.org/abs/1506.08596v1" TargetMode="External" /><Relationship Type="http://schemas.openxmlformats.org/officeDocument/2006/relationships/hyperlink" Id="rId59" Target="https://doi.org/10.1038/nmeth.1318" TargetMode="External" /><Relationship Type="http://schemas.openxmlformats.org/officeDocument/2006/relationships/hyperlink" Id="rId65" Target="https://doi.org/10.1093/nar/12.12.4849" TargetMode="External" /><Relationship Type="http://schemas.openxmlformats.org/officeDocument/2006/relationships/hyperlink" Id="rId53" Target="https://doi.org/10.1126/science.1188308" TargetMode="External" /><Relationship Type="http://schemas.openxmlformats.org/officeDocument/2006/relationships/hyperlink" Id="rId121" Target="https://doi.org/10.5281/zenodo.2536104"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62b1115000d85a86ba166e71f221878b80dfde0a" TargetMode="External" /><Relationship Type="http://schemas.openxmlformats.org/officeDocument/2006/relationships/hyperlink" Id="rId119"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87" Target="https://www.addgene.org/Zach_Hensel/" TargetMode="External" /><Relationship Type="http://schemas.openxmlformats.org/officeDocument/2006/relationships/hyperlink" Id="rId75" Target="https://www.ncbi.nlm.nih.gov/pubmed/10829079" TargetMode="External" /><Relationship Type="http://schemas.openxmlformats.org/officeDocument/2006/relationships/hyperlink" Id="rId95" Target="https://www.ncbi.nlm.nih.gov/pubmed/10850721" TargetMode="External" /><Relationship Type="http://schemas.openxmlformats.org/officeDocument/2006/relationships/hyperlink" Id="rId103" Target="https://www.ncbi.nlm.nih.gov/pubmed/10978179" TargetMode="External" /><Relationship Type="http://schemas.openxmlformats.org/officeDocument/2006/relationships/hyperlink" Id="rId97" Target="https://www.ncbi.nlm.nih.gov/pubmed/14749823" TargetMode="External" /><Relationship Type="http://schemas.openxmlformats.org/officeDocument/2006/relationships/hyperlink" Id="rId99" Target="https://www.ncbi.nlm.nih.gov/pubmed/14764926" TargetMode="External" /><Relationship Type="http://schemas.openxmlformats.org/officeDocument/2006/relationships/hyperlink" Id="rId111" Target="https://www.ncbi.nlm.nih.gov/pubmed/16360033" TargetMode="External" /><Relationship Type="http://schemas.openxmlformats.org/officeDocument/2006/relationships/hyperlink" Id="rId105" Target="https://www.ncbi.nlm.nih.gov/pubmed/16432263" TargetMode="External" /><Relationship Type="http://schemas.openxmlformats.org/officeDocument/2006/relationships/hyperlink" Id="rId107" Target="https://www.ncbi.nlm.nih.gov/pubmed/16590055" TargetMode="External" /><Relationship Type="http://schemas.openxmlformats.org/officeDocument/2006/relationships/hyperlink" Id="rId71" Target="https://www.ncbi.nlm.nih.gov/pubmed/16591435" TargetMode="External" /><Relationship Type="http://schemas.openxmlformats.org/officeDocument/2006/relationships/hyperlink" Id="rId81" Target="https://www.ncbi.nlm.nih.gov/pubmed/16716067" TargetMode="External" /><Relationship Type="http://schemas.openxmlformats.org/officeDocument/2006/relationships/hyperlink" Id="rId55" Target="https://www.ncbi.nlm.nih.gov/pubmed/16883354" TargetMode="External" /><Relationship Type="http://schemas.openxmlformats.org/officeDocument/2006/relationships/hyperlink" Id="rId113" Target="https://www.ncbi.nlm.nih.gov/pubmed/20562858" TargetMode="External" /><Relationship Type="http://schemas.openxmlformats.org/officeDocument/2006/relationships/hyperlink" Id="rId79" Target="https://www.ncbi.nlm.nih.gov/pubmed/21512033" TargetMode="External" /><Relationship Type="http://schemas.openxmlformats.org/officeDocument/2006/relationships/hyperlink" Id="rId101" Target="https://www.ncbi.nlm.nih.gov/pubmed/2182324" TargetMode="External" /><Relationship Type="http://schemas.openxmlformats.org/officeDocument/2006/relationships/hyperlink" Id="rId93" Target="https://www.ncbi.nlm.nih.gov/pubmed/21933410" TargetMode="External" /><Relationship Type="http://schemas.openxmlformats.org/officeDocument/2006/relationships/hyperlink" Id="rId109" Target="https://www.ncbi.nlm.nih.gov/pubmed/22275871" TargetMode="External" /><Relationship Type="http://schemas.openxmlformats.org/officeDocument/2006/relationships/hyperlink" Id="rId83" Target="https://www.ncbi.nlm.nih.gov/pubmed/22735544" TargetMode="External" /><Relationship Type="http://schemas.openxmlformats.org/officeDocument/2006/relationships/hyperlink" Id="rId91" Target="https://www.ncbi.nlm.nih.gov/pubmed/22743772" TargetMode="External" /><Relationship Type="http://schemas.openxmlformats.org/officeDocument/2006/relationships/hyperlink" Id="rId77" Target="https://www.ncbi.nlm.nih.gov/pubmed/24234441" TargetMode="External" /><Relationship Type="http://schemas.openxmlformats.org/officeDocument/2006/relationships/hyperlink" Id="rId89" Target="https://www.ncbi.nlm.nih.gov/pubmed/27110723" TargetMode="External" /><Relationship Type="http://schemas.openxmlformats.org/officeDocument/2006/relationships/hyperlink" Id="rId117" Target="https://www.ncbi.nlm.nih.gov/pubmed/27525986" TargetMode="External" /><Relationship Type="http://schemas.openxmlformats.org/officeDocument/2006/relationships/hyperlink" Id="rId85" Target="https://www.ncbi.nlm.nih.gov/pubmed/28931898" TargetMode="External" /><Relationship Type="http://schemas.openxmlformats.org/officeDocument/2006/relationships/hyperlink" Id="rId51" Target="https://www.ncbi.nlm.nih.gov/pubmed/29084263" TargetMode="External" /><Relationship Type="http://schemas.openxmlformats.org/officeDocument/2006/relationships/hyperlink" Id="rId57" Target="https://www.ncbi.nlm.nih.gov/pubmed/29131164" TargetMode="External" /><Relationship Type="http://schemas.openxmlformats.org/officeDocument/2006/relationships/hyperlink" Id="rId115" Target="https://www.ncbi.nlm.nih.gov/pubmed/30553725" TargetMode="External" /><Relationship Type="http://schemas.openxmlformats.org/officeDocument/2006/relationships/hyperlink" Id="rId69" Target="https://www.ncbi.nlm.nih.gov/pubmed/6098521" TargetMode="External" /><Relationship Type="http://schemas.openxmlformats.org/officeDocument/2006/relationships/hyperlink" Id="rId63" Target="https://www.ncbi.nlm.nih.gov/pubmed/8707053" TargetMode="External" /><Relationship Type="http://schemas.openxmlformats.org/officeDocument/2006/relationships/hyperlink" Id="rId67" Target="https://www.ncbi.nlm.nih.gov/pubmed/8887568" TargetMode="External" /><Relationship Type="http://schemas.openxmlformats.org/officeDocument/2006/relationships/hyperlink" Id="rId61" Target="https://www.ncbi.nlm.nih.gov/pubmed/9092630" TargetMode="External" /><Relationship Type="http://schemas.openxmlformats.org/officeDocument/2006/relationships/hyperlink" Id="rId21" Target="https://zach-hensel.github.io/low-noise-manuscript/v/62b1115000d85a86ba166e71f221878b80dfde0a/" TargetMode="External" /><Relationship Type="http://schemas.openxmlformats.org/officeDocument/2006/relationships/hyperlink" Id="rId31"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gene expression</dc:title>
  <dc:creator/>
  <cp:keywords>gene expression, synthetic biology, transcription</cp:keywords>
  <dcterms:created xsi:type="dcterms:W3CDTF">2019-01-09T13:29:41Z</dcterms:created>
  <dcterms:modified xsi:type="dcterms:W3CDTF">2019-01-09T13:29:41Z</dcterms:modified>
</cp:coreProperties>
</file>