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121.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gene</w:t>
      </w:r>
      <w:r>
        <w:t xml:space="preserve"> </w:t>
      </w:r>
      <w:r>
        <w:t xml:space="preserve">expression</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zach-hensel/low-noise-manuscript@5f2c31a</w:t>
        </w:r>
      </w:hyperlink>
      <w:r>
        <w:t xml:space="preserve"> </w:t>
      </w:r>
      <w:r>
        <w:t xml:space="preserve">on January 8,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methods"/>
      <w:r>
        <w:t xml:space="preserve">Methods</w:t>
      </w:r>
      <w:bookmarkEnd w:id="34"/>
    </w:p>
    <w:p>
      <w:pPr>
        <w:pStyle w:val="Heading3"/>
      </w:pPr>
      <w:bookmarkStart w:id="35" w:name="strain-construction"/>
      <w:r>
        <w:t xml:space="preserve">Strain construction</w:t>
      </w:r>
      <w:bookmarkEnd w:id="35"/>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assembled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p>
      <w:bookmarkStart w:id="0" w:name="tbl:plasmidList"/>
      <w:r>
        <w:t/>
      </w:r>
    </w:p>
    <w:p>
      <w:pPr>
        <w:pStyle w:val="TableCaption"/>
      </w:pPr>
      <w:r>
        <w:t xml:space="preserve">Table 1: Plasmids used in this study.</w:t>
      </w:r>
      <w:r>
        <w:t xml:space="preserve"> </w:t>
      </w:r>
    </w:p>
    <w:tbl>
      <w:tblPr>
        <w:tblStyle w:val="Table"/>
        <w:tblW w:type="pct" w:w="0.0"/>
        <w:tblLook w:firstRow="1"/>
        <w:tblCaption w:val="Table 1: Plasmids used in this study.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Repressor Expression</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bl>
    <w:bookmarkEnd w:id="0"/>
    <w:p>
      <w:pPr>
        <w:pStyle w:val="Heading3"/>
      </w:pPr>
      <w:bookmarkStart w:id="36" w:name="characterization-of-gfp-expression-by-flow-cytometry"/>
      <w:r>
        <w:t xml:space="preserve">Characterization of GFP expression by flow cytometry</w:t>
      </w:r>
      <w:bookmarkEnd w:id="36"/>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7" w:name="microscopy"/>
      <w:r>
        <w:t xml:space="preserve">Microscopy</w:t>
      </w:r>
      <w:bookmarkEnd w:id="37"/>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 available in</w:t>
      </w:r>
      <w:r>
        <w:t xml:space="preserve"> </w:t>
      </w:r>
      <w:r>
        <w:rPr>
          <w:b/>
        </w:rPr>
        <w:t xml:space="preserve">File S2</w:t>
      </w:r>
      <w:r>
        <w:t xml:space="preserve">.</w:t>
      </w:r>
    </w:p>
    <w:p>
      <w:pPr>
        <w:pStyle w:val="Heading2"/>
      </w:pPr>
      <w:bookmarkStart w:id="38" w:name="results"/>
      <w:r>
        <w:t xml:space="preserve">Results</w:t>
      </w:r>
      <w:bookmarkEnd w:id="38"/>
    </w:p>
    <w:p>
      <w:pPr>
        <w:pStyle w:val="Heading3"/>
      </w:pPr>
      <w:bookmarkStart w:id="39" w:name="moving-bicistronic-autoregulatory-construct-to-a-compatible-plasmid-backbone"/>
      <w:r>
        <w:t xml:space="preserve">Moving bicistronic autoregulatory construct to a compatible plasmid backbone</w:t>
      </w:r>
      <w:bookmarkEnd w:id="39"/>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p>
      <w:bookmarkStart w:id="0" w:name="fig:pZH509-pJS101"/>
      <w:r>
        <w:t/>
      </w:r>
    </w:p>
    <w:p>
      <w:pPr>
        <w:pStyle w:val="CaptionedFigure"/>
      </w:pPr>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40"/>
                    <a:stretch>
                      <a:fillRect/>
                    </a:stretch>
                  </pic:blipFill>
                  <pic:spPr bwMode="auto">
                    <a:xfrm>
                      <a:off x="0" y="0"/>
                      <a:ext cx="3203999" cy="261914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alternative-regulatory-constructs-with-laci-replacing-tetr"/>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cpANz6cV">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p>
      <w:bookmarkStart w:id="0" w:name="fig:pJS102-mean-noise"/>
      <w:r>
        <w:t/>
      </w:r>
    </w:p>
    <w:p>
      <w:pPr>
        <w:pStyle w:val="CaptionedFigure"/>
      </w:pPr>
      <w:r>
        <w:drawing>
          <wp:inline>
            <wp:extent cx="5943600" cy="2404924"/>
            <wp:effectExtent b="0" l="0" r="0" t="0"/>
            <wp:docPr descr="Figure 2: Characterizing mean expression levels and noise for different gene expression systems. (a) Mean GFP expression for pJS102 with different IPTG concentrations. Zero data point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Zero data point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w:t>
      </w:r>
    </w:p>
    <w:p>
      <w:pPr>
        <w:pStyle w:val="Heading3"/>
      </w:pPr>
      <w:bookmarkStart w:id="43" w:name="using-the-new-induction-system-for-detection-of-single-mrna-in-living-e.-coli"/>
      <w:r>
        <w:t xml:space="preserve">Using the new induction system for detection of single mRNA in living</w:t>
      </w:r>
      <w:r>
        <w:t xml:space="preserve"> </w:t>
      </w:r>
      <w:r>
        <w:rPr>
          <w:i/>
        </w:rPr>
        <w:t xml:space="preserve">E. coli</w:t>
      </w:r>
      <w:bookmarkEnd w:id="43"/>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30</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31</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p>
      <w:bookmarkStart w:id="0" w:name="fig:pZH713-optimization"/>
      <w:r>
        <w:t/>
      </w:r>
    </w:p>
    <w:p>
      <w:pPr>
        <w:pStyle w:val="CaptionedFigure"/>
      </w:pPr>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4"/>
                    <a:stretch>
                      <a:fillRect/>
                    </a:stretch>
                  </pic:blipFill>
                  <pic:spPr bwMode="auto">
                    <a:xfrm>
                      <a:off x="0" y="0"/>
                      <a:ext cx="3203999" cy="2580999"/>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5" w:name="independent-tunable-expression-of-two-genes"/>
      <w:r>
        <w:t xml:space="preserve">Independent, tunable expression of two genes</w:t>
      </w:r>
      <w:bookmarkEnd w:id="45"/>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p>
      <w:bookmarkStart w:id="0" w:name="fig:pJS101-pDG101"/>
      <w:r>
        <w:t/>
      </w:r>
    </w:p>
    <w:p>
      <w:pPr>
        <w:pStyle w:val="CaptionedFigure"/>
      </w:pPr>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Scale bar 3 µm. (c) Average single-cell GFP (green) and mScarlet-I (red) fluoresence, normalized by the maximum average fluorescence for each color. Solid lines: 10 nM ATc. Dashed lines: 50 nM ATc."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6"/>
                    <a:stretch>
                      <a:fillRect/>
                    </a:stretch>
                  </pic:blipFill>
                  <pic:spPr bwMode="auto">
                    <a:xfrm>
                      <a:off x="0" y="0"/>
                      <a:ext cx="3203999" cy="4271999"/>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Scale bar 3 µm. (</w:t>
      </w:r>
      <w:r>
        <w:rPr>
          <w:b/>
        </w:rPr>
        <w:t xml:space="preserve">c</w:t>
      </w:r>
      <w:r>
        <w:t xml:space="preserve">) Average single-cell GFP (green) and mScarlet-I (red) fluoresence, normalized by the maximum average fluorescence for each color. Solid lines: 10 nM ATc. Dashed lines: 50 nM ATc.</w:t>
      </w:r>
    </w:p>
    <w:bookmarkEnd w:id="0"/>
    <w:p>
      <w:pPr>
        <w:pStyle w:val="Heading2"/>
      </w:pPr>
      <w:bookmarkStart w:id="47" w:name="discussion"/>
      <w:r>
        <w:t xml:space="preserve">Discussion</w:t>
      </w:r>
      <w:bookmarkEnd w:id="47"/>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32</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33</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48" w:name="author-contributions"/>
      <w:r>
        <w:t xml:space="preserve">Author contributions</w:t>
      </w:r>
      <w:bookmarkEnd w:id="48"/>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49" w:name="acknowledgments"/>
      <w:r>
        <w:t xml:space="preserve">Acknowledgments</w:t>
      </w:r>
      <w:bookmarkEnd w:id="49"/>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34</w:t>
        </w:r>
      </w:hyperlink>
      <w:r>
        <w:t xml:space="preserve">]</w:t>
      </w:r>
      <w:r>
        <w:t xml:space="preserve">.</w:t>
      </w:r>
    </w:p>
    <w:p>
      <w:pPr>
        <w:pStyle w:val="Heading2"/>
      </w:pPr>
      <w:bookmarkStart w:id="50" w:name="references"/>
      <w:r>
        <w:t xml:space="preserve">References</w:t>
      </w:r>
      <w:bookmarkEnd w:id="50"/>
    </w:p>
    <w:bookmarkStart w:id="119" w:name="refs"/>
    <w:bookmarkStart w:id="52" w:name="ref-TlAItren"/>
    <w:p>
      <w:pPr>
        <w:pStyle w:val="FirstParagraph"/>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1">
        <w:r>
          <w:rPr>
            <w:rStyle w:val="Hyperlink"/>
          </w:rPr>
          <w:t xml:space="preserve">https://www.ncbi.nlm.nih.gov/pubmed/29084263</w:t>
        </w:r>
      </w:hyperlink>
    </w:p>
    <w:bookmarkEnd w:id="52"/>
    <w:bookmarkStart w:id="54" w:name="ref-oD6kpSs3"/>
    <w:p>
      <w:pPr>
        <w:pStyle w:val="BodyText"/>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3">
        <w:r>
          <w:rPr>
            <w:rStyle w:val="Hyperlink"/>
          </w:rPr>
          <w:t xml:space="preserve">https://doi.org/10.1126/science.1188308</w:t>
        </w:r>
      </w:hyperlink>
    </w:p>
    <w:bookmarkEnd w:id="54"/>
    <w:bookmarkStart w:id="56" w:name="ref-GcRoYBF2"/>
    <w:p>
      <w:pPr>
        <w:pStyle w:val="BodyText"/>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55">
        <w:r>
          <w:rPr>
            <w:rStyle w:val="Hyperlink"/>
          </w:rPr>
          <w:t xml:space="preserve">https://www.ncbi.nlm.nih.gov/pubmed/16883354</w:t>
        </w:r>
      </w:hyperlink>
    </w:p>
    <w:bookmarkEnd w:id="56"/>
    <w:bookmarkStart w:id="58" w:name="ref-82diXnad"/>
    <w:p>
      <w:pPr>
        <w:pStyle w:val="BodyText"/>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57">
        <w:r>
          <w:rPr>
            <w:rStyle w:val="Hyperlink"/>
          </w:rPr>
          <w:t xml:space="preserve">https://www.ncbi.nlm.nih.gov/pubmed/29131164</w:t>
        </w:r>
      </w:hyperlink>
    </w:p>
    <w:bookmarkEnd w:id="58"/>
    <w:bookmarkStart w:id="60" w:name="ref-dc6GAnhL"/>
    <w:p>
      <w:pPr>
        <w:pStyle w:val="BodyText"/>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59">
        <w:r>
          <w:rPr>
            <w:rStyle w:val="Hyperlink"/>
          </w:rPr>
          <w:t xml:space="preserve">https://doi.org/10.1038/nmeth.1318</w:t>
        </w:r>
      </w:hyperlink>
    </w:p>
    <w:bookmarkEnd w:id="60"/>
    <w:bookmarkStart w:id="62" w:name="ref-NCWOk1rp"/>
    <w:p>
      <w:pPr>
        <w:pStyle w:val="BodyText"/>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61">
        <w:r>
          <w:rPr>
            <w:rStyle w:val="Hyperlink"/>
          </w:rPr>
          <w:t xml:space="preserve">https://www.ncbi.nlm.nih.gov/pubmed/9092630</w:t>
        </w:r>
      </w:hyperlink>
    </w:p>
    <w:bookmarkEnd w:id="62"/>
    <w:bookmarkStart w:id="64" w:name="ref-13TJF2gcl"/>
    <w:p>
      <w:pPr>
        <w:pStyle w:val="BodyText"/>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63">
        <w:r>
          <w:rPr>
            <w:rStyle w:val="Hyperlink"/>
          </w:rPr>
          <w:t xml:space="preserve">https://www.ncbi.nlm.nih.gov/pubmed/8707053</w:t>
        </w:r>
      </w:hyperlink>
    </w:p>
    <w:bookmarkEnd w:id="64"/>
    <w:bookmarkStart w:id="66" w:name="ref-Q1a7tU8"/>
    <w:p>
      <w:pPr>
        <w:pStyle w:val="BodyText"/>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65">
        <w:r>
          <w:rPr>
            <w:rStyle w:val="Hyperlink"/>
          </w:rPr>
          <w:t xml:space="preserve">https://doi.org/10.1093/nar/12.12.4849</w:t>
        </w:r>
      </w:hyperlink>
    </w:p>
    <w:bookmarkEnd w:id="66"/>
    <w:bookmarkStart w:id="68" w:name="ref-xjKSoV9v"/>
    <w:p>
      <w:pPr>
        <w:pStyle w:val="BodyText"/>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67">
        <w:r>
          <w:rPr>
            <w:rStyle w:val="Hyperlink"/>
          </w:rPr>
          <w:t xml:space="preserve">https://www.ncbi.nlm.nih.gov/pubmed/8887568</w:t>
        </w:r>
      </w:hyperlink>
    </w:p>
    <w:bookmarkEnd w:id="68"/>
    <w:bookmarkStart w:id="70" w:name="ref-5CRbRLYC"/>
    <w:p>
      <w:pPr>
        <w:pStyle w:val="BodyText"/>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69">
        <w:r>
          <w:rPr>
            <w:rStyle w:val="Hyperlink"/>
          </w:rPr>
          <w:t xml:space="preserve">https://www.ncbi.nlm.nih.gov/pubmed/6098521</w:t>
        </w:r>
      </w:hyperlink>
    </w:p>
    <w:bookmarkEnd w:id="70"/>
    <w:bookmarkStart w:id="72" w:name="ref-YoMCfbca"/>
    <w:p>
      <w:pPr>
        <w:pStyle w:val="BodyText"/>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71">
        <w:r>
          <w:rPr>
            <w:rStyle w:val="Hyperlink"/>
          </w:rPr>
          <w:t xml:space="preserve">https://www.ncbi.nlm.nih.gov/pubmed/16591435</w:t>
        </w:r>
      </w:hyperlink>
    </w:p>
    <w:bookmarkEnd w:id="72"/>
    <w:bookmarkStart w:id="74" w:name="ref-A1kNMUKB"/>
    <w:p>
      <w:pPr>
        <w:pStyle w:val="BodyText"/>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73">
        <w:r>
          <w:rPr>
            <w:rStyle w:val="Hyperlink"/>
          </w:rPr>
          <w:t xml:space="preserve">https://arxiv.org/abs/1506.08596v1</w:t>
        </w:r>
      </w:hyperlink>
    </w:p>
    <w:bookmarkEnd w:id="74"/>
    <w:bookmarkStart w:id="76" w:name="ref-RBKXt78E"/>
    <w:p>
      <w:pPr>
        <w:pStyle w:val="BodyText"/>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75">
        <w:r>
          <w:rPr>
            <w:rStyle w:val="Hyperlink"/>
          </w:rPr>
          <w:t xml:space="preserve">https://www.ncbi.nlm.nih.gov/pubmed/10829079</w:t>
        </w:r>
      </w:hyperlink>
    </w:p>
    <w:bookmarkEnd w:id="76"/>
    <w:bookmarkStart w:id="78" w:name="ref-pzTydEMA"/>
    <w:p>
      <w:pPr>
        <w:pStyle w:val="BodyText"/>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77">
        <w:r>
          <w:rPr>
            <w:rStyle w:val="Hyperlink"/>
          </w:rPr>
          <w:t xml:space="preserve">https://www.ncbi.nlm.nih.gov/pubmed/24234441</w:t>
        </w:r>
      </w:hyperlink>
    </w:p>
    <w:bookmarkEnd w:id="78"/>
    <w:bookmarkStart w:id="80" w:name="ref-1GFLV3s4q"/>
    <w:p>
      <w:pPr>
        <w:pStyle w:val="BodyText"/>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79">
        <w:r>
          <w:rPr>
            <w:rStyle w:val="Hyperlink"/>
          </w:rPr>
          <w:t xml:space="preserve">https://www.ncbi.nlm.nih.gov/pubmed/21512033</w:t>
        </w:r>
      </w:hyperlink>
    </w:p>
    <w:bookmarkEnd w:id="80"/>
    <w:bookmarkStart w:id="82" w:name="ref-XuRR8Zmt"/>
    <w:p>
      <w:pPr>
        <w:pStyle w:val="BodyText"/>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81">
        <w:r>
          <w:rPr>
            <w:rStyle w:val="Hyperlink"/>
          </w:rPr>
          <w:t xml:space="preserve">https://www.ncbi.nlm.nih.gov/pubmed/16716067</w:t>
        </w:r>
      </w:hyperlink>
    </w:p>
    <w:bookmarkEnd w:id="82"/>
    <w:bookmarkStart w:id="84" w:name="ref-EObeLKJ1"/>
    <w:p>
      <w:pPr>
        <w:pStyle w:val="BodyText"/>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83">
        <w:r>
          <w:rPr>
            <w:rStyle w:val="Hyperlink"/>
          </w:rPr>
          <w:t xml:space="preserve">https://www.ncbi.nlm.nih.gov/pubmed/22735544</w:t>
        </w:r>
      </w:hyperlink>
    </w:p>
    <w:bookmarkEnd w:id="84"/>
    <w:bookmarkStart w:id="86" w:name="ref-zj8Ydkzo"/>
    <w:p>
      <w:pPr>
        <w:pStyle w:val="BodyText"/>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85">
        <w:r>
          <w:rPr>
            <w:rStyle w:val="Hyperlink"/>
          </w:rPr>
          <w:t xml:space="preserve">https://www.ncbi.nlm.nih.gov/pubmed/28931898</w:t>
        </w:r>
      </w:hyperlink>
    </w:p>
    <w:bookmarkEnd w:id="86"/>
    <w:bookmarkStart w:id="88" w:name="ref-q8xLcfYV"/>
    <w:p>
      <w:pPr>
        <w:pStyle w:val="BodyText"/>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87">
        <w:r>
          <w:rPr>
            <w:rStyle w:val="Hyperlink"/>
          </w:rPr>
          <w:t xml:space="preserve">https://www.addgene.org/Zach_Hensel/</w:t>
        </w:r>
      </w:hyperlink>
    </w:p>
    <w:bookmarkEnd w:id="88"/>
    <w:bookmarkStart w:id="90" w:name="ref-J6PWaBUu"/>
    <w:p>
      <w:pPr>
        <w:pStyle w:val="BodyText"/>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89">
        <w:r>
          <w:rPr>
            <w:rStyle w:val="Hyperlink"/>
          </w:rPr>
          <w:t xml:space="preserve">https://www.ncbi.nlm.nih.gov/pubmed/27110723</w:t>
        </w:r>
      </w:hyperlink>
    </w:p>
    <w:bookmarkEnd w:id="90"/>
    <w:bookmarkStart w:id="92" w:name="ref-1Xy8hvPg"/>
    <w:p>
      <w:pPr>
        <w:pStyle w:val="BodyText"/>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91">
        <w:r>
          <w:rPr>
            <w:rStyle w:val="Hyperlink"/>
          </w:rPr>
          <w:t xml:space="preserve">https://www.ncbi.nlm.nih.gov/pubmed/22743772</w:t>
        </w:r>
      </w:hyperlink>
    </w:p>
    <w:bookmarkEnd w:id="92"/>
    <w:bookmarkStart w:id="94" w:name="ref-15TQ1MvYV"/>
    <w:p>
      <w:pPr>
        <w:pStyle w:val="BodyText"/>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93">
        <w:r>
          <w:rPr>
            <w:rStyle w:val="Hyperlink"/>
          </w:rPr>
          <w:t xml:space="preserve">https://www.ncbi.nlm.nih.gov/pubmed/21933410</w:t>
        </w:r>
      </w:hyperlink>
    </w:p>
    <w:bookmarkEnd w:id="94"/>
    <w:bookmarkStart w:id="96" w:name="ref-Qz6zNiXK"/>
    <w:p>
      <w:pPr>
        <w:pStyle w:val="BodyText"/>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95">
        <w:r>
          <w:rPr>
            <w:rStyle w:val="Hyperlink"/>
          </w:rPr>
          <w:t xml:space="preserve">https://www.ncbi.nlm.nih.gov/pubmed/10850721</w:t>
        </w:r>
      </w:hyperlink>
    </w:p>
    <w:bookmarkEnd w:id="96"/>
    <w:bookmarkStart w:id="98" w:name="ref-S7KRThVS"/>
    <w:p>
      <w:pPr>
        <w:pStyle w:val="BodyText"/>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97">
        <w:r>
          <w:rPr>
            <w:rStyle w:val="Hyperlink"/>
          </w:rPr>
          <w:t xml:space="preserve">https://www.ncbi.nlm.nih.gov/pubmed/14749823</w:t>
        </w:r>
      </w:hyperlink>
    </w:p>
    <w:bookmarkEnd w:id="98"/>
    <w:bookmarkStart w:id="100" w:name="ref-cpANz6cV"/>
    <w:p>
      <w:pPr>
        <w:pStyle w:val="BodyText"/>
      </w:pPr>
      <w:r>
        <w:t xml:space="preserve">25.</w:t>
      </w:r>
      <w:r>
        <w:t xml:space="preserve"> </w:t>
      </w:r>
      <w:r>
        <w:rPr>
          <w:b/>
        </w:rPr>
        <w:t xml:space="preserve">Two mutations in the tetracycline repressor change the inducer anhydrotetracycline to a corepressor.</w:t>
      </w:r>
      <w:r>
        <w:br w:type="textWrapping"/>
      </w:r>
      <w:r>
        <w:t xml:space="preserve">Annette Kamionka, Joanna Bogdanska-Urbaniak, Oliver Scholz, Wolfgang Hillen</w:t>
      </w:r>
      <w:r>
        <w:br w:type="textWrapping"/>
      </w:r>
      <w:r>
        <w:rPr>
          <w:i/>
        </w:rPr>
        <w:t xml:space="preserve">Nucleic acids research</w:t>
      </w:r>
      <w:r>
        <w:t xml:space="preserve"> </w:t>
      </w:r>
      <w:r>
        <w:t xml:space="preserve">(2004-02-04)</w:t>
      </w:r>
      <w:r>
        <w:t xml:space="preserve"> </w:t>
      </w:r>
      <w:hyperlink r:id="rId99">
        <w:r>
          <w:rPr>
            <w:rStyle w:val="Hyperlink"/>
          </w:rPr>
          <w:t xml:space="preserve">https://www.ncbi.nlm.nih.gov/pubmed/14764926</w:t>
        </w:r>
      </w:hyperlink>
    </w:p>
    <w:bookmarkEnd w:id="100"/>
    <w:bookmarkStart w:id="102" w:name="ref-UMSODjob"/>
    <w:p>
      <w:pPr>
        <w:pStyle w:val="BodyText"/>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01">
        <w:r>
          <w:rPr>
            <w:rStyle w:val="Hyperlink"/>
          </w:rPr>
          <w:t xml:space="preserve">https://www.ncbi.nlm.nih.gov/pubmed/2182324</w:t>
        </w:r>
      </w:hyperlink>
    </w:p>
    <w:bookmarkEnd w:id="102"/>
    <w:bookmarkStart w:id="104" w:name="ref-Ls5d7x4o"/>
    <w:p>
      <w:pPr>
        <w:pStyle w:val="BodyText"/>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03">
        <w:r>
          <w:rPr>
            <w:rStyle w:val="Hyperlink"/>
          </w:rPr>
          <w:t xml:space="preserve">https://www.ncbi.nlm.nih.gov/pubmed/10978179</w:t>
        </w:r>
      </w:hyperlink>
    </w:p>
    <w:bookmarkEnd w:id="104"/>
    <w:bookmarkStart w:id="106" w:name="ref-WxFVKQqb"/>
    <w:p>
      <w:pPr>
        <w:pStyle w:val="BodyText"/>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05">
        <w:r>
          <w:rPr>
            <w:rStyle w:val="Hyperlink"/>
          </w:rPr>
          <w:t xml:space="preserve">https://www.ncbi.nlm.nih.gov/pubmed/16432263</w:t>
        </w:r>
      </w:hyperlink>
    </w:p>
    <w:bookmarkEnd w:id="106"/>
    <w:bookmarkStart w:id="108" w:name="ref-eUtnfAD6"/>
    <w:p>
      <w:pPr>
        <w:pStyle w:val="BodyText"/>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07">
        <w:r>
          <w:rPr>
            <w:rStyle w:val="Hyperlink"/>
          </w:rPr>
          <w:t xml:space="preserve">https://www.ncbi.nlm.nih.gov/pubmed/16590055</w:t>
        </w:r>
      </w:hyperlink>
    </w:p>
    <w:bookmarkEnd w:id="108"/>
    <w:bookmarkStart w:id="110" w:name="ref-TvXapFFQ"/>
    <w:p>
      <w:pPr>
        <w:pStyle w:val="BodyText"/>
      </w:pPr>
      <w:r>
        <w:t xml:space="preserve">30.</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09">
        <w:r>
          <w:rPr>
            <w:rStyle w:val="Hyperlink"/>
          </w:rPr>
          <w:t xml:space="preserve">https://www.ncbi.nlm.nih.gov/pubmed/16360033</w:t>
        </w:r>
      </w:hyperlink>
    </w:p>
    <w:bookmarkEnd w:id="110"/>
    <w:bookmarkStart w:id="112" w:name="ref-uQeM79z"/>
    <w:p>
      <w:pPr>
        <w:pStyle w:val="BodyText"/>
      </w:pPr>
      <w:r>
        <w:t xml:space="preserve">31.</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11">
        <w:r>
          <w:rPr>
            <w:rStyle w:val="Hyperlink"/>
          </w:rPr>
          <w:t xml:space="preserve">https://www.ncbi.nlm.nih.gov/pubmed/20562858</w:t>
        </w:r>
      </w:hyperlink>
    </w:p>
    <w:bookmarkEnd w:id="112"/>
    <w:bookmarkStart w:id="114" w:name="ref-12aHdKu6v"/>
    <w:p>
      <w:pPr>
        <w:pStyle w:val="BodyText"/>
      </w:pPr>
      <w:r>
        <w:t xml:space="preserve">32.</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13">
        <w:r>
          <w:rPr>
            <w:rStyle w:val="Hyperlink"/>
          </w:rPr>
          <w:t xml:space="preserve">https://www.ncbi.nlm.nih.gov/pubmed/30553725</w:t>
        </w:r>
      </w:hyperlink>
    </w:p>
    <w:bookmarkEnd w:id="114"/>
    <w:bookmarkStart w:id="116" w:name="ref-5dC8qsZ9"/>
    <w:p>
      <w:pPr>
        <w:pStyle w:val="BodyText"/>
      </w:pPr>
      <w:r>
        <w:t xml:space="preserve">33.</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15">
        <w:r>
          <w:rPr>
            <w:rStyle w:val="Hyperlink"/>
          </w:rPr>
          <w:t xml:space="preserve">https://www.ncbi.nlm.nih.gov/pubmed/27525986</w:t>
        </w:r>
      </w:hyperlink>
    </w:p>
    <w:bookmarkEnd w:id="116"/>
    <w:bookmarkStart w:id="118" w:name="ref-1GGGHdsew"/>
    <w:p>
      <w:pPr>
        <w:pStyle w:val="BodyText"/>
      </w:pPr>
      <w:r>
        <w:t xml:space="preserve">34.</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17">
        <w:r>
          <w:rPr>
            <w:rStyle w:val="Hyperlink"/>
          </w:rPr>
          <w:t xml:space="preserve">https://greenelab.github.io/meta-review/</w:t>
        </w:r>
      </w:hyperlink>
    </w:p>
    <w:bookmarkEnd w:id="118"/>
    <w:bookmarkEnd w:id="119"/>
    <w:p>
      <w:pPr>
        <w:pStyle w:val="Heading2"/>
      </w:pPr>
      <w:bookmarkStart w:id="120" w:name="supplementary-material"/>
      <w:r>
        <w:t xml:space="preserve">Supplementary Material</w:t>
      </w:r>
      <w:bookmarkEnd w:id="120"/>
    </w:p>
    <w:p>
      <w:bookmarkStart w:id="0" w:name="fig:gammaFits"/>
      <w:r>
        <w:t/>
      </w:r>
    </w:p>
    <w:p>
      <w:pPr>
        <w:pStyle w:val="CaptionedFigure"/>
      </w:pPr>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21"/>
                    <a:stretch>
                      <a:fillRect/>
                    </a:stretch>
                  </pic:blipFill>
                  <pic:spPr bwMode="auto">
                    <a:xfrm>
                      <a:off x="0" y="0"/>
                      <a:ext cx="3203999" cy="5018982"/>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 </w:t>
      </w:r>
      <w:r>
        <w:t xml:space="preserve">and</w:t>
      </w:r>
      <w:r>
        <w:t xml:space="preserve"> </w:t>
      </w:r>
      <w:hyperlink w:anchor="fig:pJS102-mean-noise">
        <w:r>
          <w:rPr>
            <w:rStyle w:val="Hyperlink"/>
          </w:rPr>
          <w:t xml:space="preserve">2</w:t>
        </w:r>
      </w:hyperlink>
      <w:r>
        <w:t xml:space="preserve">, DNA sequences, and explanatory text files are available as a compressed archive at Zenodo.</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f3c7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951a3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121" Target="media/rId121.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5f2c31aa2f6aaf65e91d4e1ce2a5acef4cc3ae79" TargetMode="External" /><Relationship Type="http://schemas.openxmlformats.org/officeDocument/2006/relationships/hyperlink" Id="rId117"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09"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1"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5"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3"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5f2c31aa2f6aaf65e91d4e1ce2a5acef4cc3ae79/"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5f2c31aa2f6aaf65e91d4e1ce2a5acef4cc3ae79" TargetMode="External" /><Relationship Type="http://schemas.openxmlformats.org/officeDocument/2006/relationships/hyperlink" Id="rId117"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09"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1"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5"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3"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5f2c31aa2f6aaf65e91d4e1ce2a5acef4cc3ae79/"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gene expression</dc:title>
  <dc:creator/>
  <cp:keywords>gene expression, synthetic biology, transcription</cp:keywords>
  <dcterms:created xsi:type="dcterms:W3CDTF">2019-01-08T00:58:49Z</dcterms:created>
  <dcterms:modified xsi:type="dcterms:W3CDTF">2019-01-08T00:58:49Z</dcterms:modified>
</cp:coreProperties>
</file>