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DD0EB"/>
                <w:sz w:val="24"/>
                <w:szCs w:val="24"/>
              </w:rPr>
              <w:t xml:space="preserve">{{ case.owner.org_name }}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{{ case.name 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E2F3"/>
                <w:sz w:val="28"/>
                <w:szCs w:val="28"/>
              </w:rPr>
              <w:t xml:space="preserve">Incident Response Report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4472C4" w:sz="12"/>
              <w:right w:val="none" w:color="FFFFFF" w:sz="0"/>
            </w:tcBorders>
            <w:shd w:fill="D9E2F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Prepared for: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{{ case.client.customer_name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Report date: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{{ date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Lead Analyst: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{{ case.owner.user_name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Reviewing Analyst: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{{ case.reviewer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Case ID: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{{ case.case_id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Classification: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{{ case.classification 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TLP Classification: </w:t>
      </w: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{{ case.tlp }}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Recipients may share TLP:AMBER information with members of their own organization and its clients on a need-to-know basis. https://www.cisa.gov/tlp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{{ case.description|markdown }}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##BEGIN STYLE default##</w:t>
      </w:r>
    </w:p>
    <w:p>
      <w:pPr>
        <w:pStyle w:val="ListParagraph"/>
        <w:numPr>
          <w:ilvl w:val="0"/>
          <w:numId w:val="2"/>
        </w:numPr>
      </w:pPr>
      <w:r>
        <w:rPr>
          <w:color w:val="AAAAAA"/>
          <w:sz w:val="18"/>
          <w:szCs w:val="18"/>
        </w:rPr>
        <w:t xml:space="preserve">##ul##</w:t>
      </w:r>
    </w:p>
    <w:p>
      <w:pPr>
        <w:pStyle w:val="ListParagraph"/>
        <w:numPr>
          <w:ilvl w:val="0"/>
          <w:numId w:val="3"/>
        </w:numPr>
      </w:pPr>
      <w:r>
        <w:rPr>
          <w:color w:val="AAAAAA"/>
          <w:sz w:val="18"/>
          <w:szCs w:val="18"/>
        </w:rPr>
        <w:t xml:space="preserve">##ol##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##table_header##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##table_cell##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##paragraph##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##code##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##strong##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##italic##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##END STYLE##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2. Incident Overview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iocs|selectattr('ioc_tags', 'search', 'exfiltration')|list|count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0000" w:sz="8"/>
              <w:left w:val="single" w:color="C00000" w:sz="24"/>
              <w:bottom w:val="single" w:color="C00000" w:sz="8"/>
              <w:right w:val="single" w:color="C00000" w:sz="8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⚠ DATA EXFILTRATION INDICATOR PRESENT  </w:t>
            </w:r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One or more IOCs are tagged as exfiltration-related. Review Section 4 (TA0010) and Appendix B. Regulatory notification obligations may apply.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2.1 Case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Case Name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case.name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Case ID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case.case_id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case.classification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Severity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case.severity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Status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case.status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 Opened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case.open_date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 Closed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case.close_date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Lead Analyst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case.owner.user_name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Reviewing Analyst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case.reviewer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Customer / Client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case.client.customer_name }}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TLP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{{ case.tlp 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2.2 How the Incident Was Identified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Populated from the 'Initial summary' note when the report is generated.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for note in notes %}{% if note.note_title == "Initial summary" %}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{{ note.note_content|markdown }}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%}{% endfor %}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2.3 Business Impact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Populated from the 'Business impact' note when the report is generated.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for note in notes %}{% if note.note_title == "Business impact" %}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{{ note.note_content|markdown }}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%}{% endfor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438"/>
      </w:tblGrid>
      <w:tr>
        <w:trPr>
          <w:tblHeader/>
        </w:trPr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Business Unit / Function</w:t>
            </w:r>
          </w:p>
        </w:tc>
        <w:tc>
          <w:tcPr>
            <w:tcW w:type="dxa" w:w="4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Impact Description</w:t>
            </w:r>
          </w:p>
        </w:tc>
        <w:tc>
          <w:tcPr>
            <w:tcW w:type="dxa" w:w="2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2.4 Analysis 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 / Time (UTC)</w:t>
            </w:r>
          </w:p>
        </w:tc>
        <w:tc>
          <w:tcPr>
            <w:tcW w:type="dxa" w:w="7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case.open_date }}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Case opened — request received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of analysis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date }}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End of analysis — report issued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3. Scope of Investigation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Define the boundaries of this investigation. Specify in-scope systems, accounts, time periods, and network segments. Document exclusions and note any limitations on log availability or access that constrained findings. Source: Affected hosts and Affected accounts notes.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Affected Systems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800"/>
        <w:gridCol w:w="1600"/>
        <w:gridCol w:w="14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Hostname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OS / Role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Compromised?</w:t>
            </w:r>
          </w:p>
        </w:tc>
        <w:tc>
          <w:tcPr>
            <w:tcW w:type="dxa" w:w="1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Collected?</w:t>
            </w:r>
          </w:p>
        </w:tc>
      </w:tr>
      <w:tr>
        <w:tc>
          <w:tcPr>
            <w:tcW w:type="dxa" w:w="9638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 if assets|count %}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asset.asset_name 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asset.asset_ip 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asset.type 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asset.asset_description 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asset.asset_compromise_status }}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 endif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Affected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700"/>
        <w:gridCol w:w="1500"/>
        <w:gridCol w:w="1900"/>
        <w:gridCol w:w="1538"/>
      </w:tblGrid>
      <w:tr>
        <w:trPr>
          <w:tblHeader/>
        </w:trPr>
        <w:tc>
          <w:tcPr>
            <w:tcW w:type="dxa" w:w="17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1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Domain / Host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Privileges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Compromise Confirmed?</w:t>
            </w:r>
          </w:p>
        </w:tc>
        <w:tc>
          <w:tcPr>
            <w:tcW w:type="dxa" w:w="15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Remediated?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 / Suspected / No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 / No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4. Analysis — MITRE ATT&amp;CK® Framework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Findings mapped to the MITRE ATT&amp;CK framework (https://attack.mitre.org). Tactics where no activity was observed are marked 'Not observed'. Source: Technical Investigation notes.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TA0001 — Initial Access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T1566.001 Spearphishing Attachment, T1190 Exploit Public-Facing 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2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 / Account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TA0002 — Execution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T1059.001 PowerShell, T1047 WMI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2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Command / Binary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TA0003 — Persistence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T1053.005 Scheduled Task, T1547.001 Registry Run Keys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2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Artifact / Path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TA0004 — Privilege Escalation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T1068 Exploitation for Privilege Escalation, T1078 Valid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500"/>
        <w:gridCol w:w="1800"/>
        <w:gridCol w:w="1738"/>
      </w:tblGrid>
      <w:tr>
        <w:trPr>
          <w:tblHeader/>
        </w:trPr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Privilege Reached</w:t>
            </w:r>
          </w:p>
        </w:tc>
        <w:tc>
          <w:tcPr>
            <w:tcW w:type="dxa" w:w="17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TA0005 — Defense Evasion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T1070.001 Clear Windows Event Logs, T1027 Obfuscated Files, T1562.001 Disable Security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2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TA0006 — Credential Access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T1003.001 LSASS Memory, T1558.003 Kerberoasting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2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Accounts Compromised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TA0007 — Discovery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T1087.002 Domain Account Enumeration, T1046 Network Scanning, T1135 Network Share Discovery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2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Tool / Method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TA0008 — Lateral Movement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T1021.001 RDP, T1021.002 SMB/Windows Admin Shares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500"/>
        <w:gridCol w:w="1800"/>
        <w:gridCol w:w="1738"/>
      </w:tblGrid>
      <w:tr>
        <w:trPr>
          <w:tblHeader/>
        </w:trPr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Source Host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Destination Host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Account Used</w:t>
            </w:r>
          </w:p>
        </w:tc>
        <w:tc>
          <w:tcPr>
            <w:tcW w:type="dxa" w:w="17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TA0011 — Command and Control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T1071.001 Web Protocols, T1573 Encrypted Channel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0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Indicator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Protocol / Port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First Seen (UTC)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Last Seen (UTC)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TA0010 — Exfiltration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T1074.001 Local Data Staging, T1048.002 Exfiltration Over HTTPS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600"/>
        <w:gridCol w:w="1700"/>
        <w:gridCol w:w="12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7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Source Host</w:t>
            </w:r>
          </w:p>
        </w:tc>
        <w:tc>
          <w:tcPr>
            <w:tcW w:type="dxa" w:w="17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Volume</w:t>
            </w:r>
          </w:p>
        </w:tc>
        <w:tc>
          <w:tcPr>
            <w:tcW w:type="dxa" w:w="19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TA0010 — Data Types at Risk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Estimated Volume</w:t>
            </w:r>
          </w:p>
        </w:tc>
        <w:tc>
          <w:tcPr>
            <w:tcW w:type="dxa" w:w="2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Regulatory Classification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TA0040 — Impact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Techniques observed: e.g. T1486 Data Encrypted for Impact, T1490 Inhibit System Recovery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500"/>
        <w:gridCol w:w="26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Evidence 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5. Ransomware Variant and Behavior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Key fields below. Full analysis populated from the 'Ransomware variant and behavior' note.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for note in notes %}{% if note.note_title == "Ransomware variant and behavior" %}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{{ note.note_content|markdown }}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%}{% endfor %}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5.1 Variant Identification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Identified family / variant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LockBit 3.0 / Unknown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Identification confidence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Confirmed / Likely / Unknown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ATT&amp;CK Group (if attributed)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G0092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Ransom note filename(s)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Ransom note location(s)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File extension appended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Encryption scope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Local / Network shares / Backup systems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Shadow copy deletion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Yes / No / Unknown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MBR / boot sector impacted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Yes / No / Unknown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Known decryptor available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Ransom demand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Payment portal / address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Deadline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5.2 Malware Artifacts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1800"/>
        <w:gridCol w:w="12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Artifact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SHA-256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First Seen (UTC)</w:t>
            </w:r>
          </w:p>
        </w:tc>
        <w:tc>
          <w:tcPr>
            <w:tcW w:type="dxa" w:w="1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6. Cyber Threat Intelligence (CTI) Findings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Populated from the 'Cyber Threat Intelligence' note when the report is generated.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for note in notes %}{% if note.note_title == "Cyber Threat Intelligence" %}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{{ note.note_content|markdown }}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%}{% endfor %}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6.1 Threat Actor Profile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Suspected group / alias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Wizard Spider / UNC1878 / Unknown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Attribution confidence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High / Moderate / Low / Unattributed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Assessed motivation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Financial / Espionage / Hacktivism / Unknown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ATT&amp;CK Group reference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G0102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Associated malware family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Known campaigns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6.2 Intelligence 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Intelligence Source</w:t>
            </w:r>
          </w:p>
        </w:tc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Reference</w:t>
            </w:r>
          </w:p>
        </w:tc>
        <w:tc>
          <w:tcPr>
            <w:tcW w:type="dxa" w:w="3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7. Response Actions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tasks|rejectattr('task_status', 'equalto', 'Closed')|list|count %}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Outstanding Tasks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472C4" w:sz="8"/>
              <w:left w:val="single" w:color="4472C4" w:sz="24"/>
              <w:bottom w:val="single" w:color="4472C4" w:sz="8"/>
              <w:right w:val="single" w:color="4472C4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⏳ OPEN TASKS REMAIN 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The following case tasks are not yet closed. Confirm completion before finalising this report.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638"/>
      </w:tblGrid>
      <w:tr>
        <w:trPr>
          <w:tblHeader/>
        </w:trPr>
        <w:tc>
          <w:tcPr>
            <w:tcW w:type="dxa" w:w="4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Opened</w:t>
            </w:r>
          </w:p>
        </w:tc>
        <w:tc>
          <w:tcPr>
            <w:tcW w:type="dxa" w:w="1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Last Updated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FFFFFF"/>
                <w:sz w:val="1"/>
                <w:szCs w:val="1"/>
              </w:rPr>
              <w:t xml:space="preserve">{%tr for task in tasks|rejectattr('task_status', 'equalto', 'Closed')|list %}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task.task_title }}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task.task_status 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task.task_open_date }}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task.task_last_update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FFFFFF"/>
                <w:sz w:val="1"/>
                <w:szCs w:val="1"/>
              </w:rPr>
              <w:t xml:space="preserve">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7.1 Containment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Source: Containment actions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0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Isolated?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Actioned By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 / No / Pending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7.2 Eradication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Source: Eradication actions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000"/>
        <w:gridCol w:w="1500"/>
        <w:gridCol w:w="1600"/>
        <w:gridCol w:w="12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Host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Artifact / Mechanism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Path / Detail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Removed By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Confirmed?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 / 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7.3 Recovery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Source: Recovery actions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500"/>
        <w:gridCol w:w="1500"/>
        <w:gridCol w:w="1238"/>
      </w:tblGrid>
      <w:tr>
        <w:trPr>
          <w:tblHeader/>
        </w:trPr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Restore Method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Restore Point Date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Restored By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Validated?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Clean backup / Rebuild / Decryptor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 / No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8. Remediation and Recommendations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8.1 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500"/>
        <w:gridCol w:w="1200"/>
        <w:gridCol w:w="1438"/>
      </w:tblGrid>
      <w:tr>
        <w:trPr>
          <w:tblHeader/>
        </w:trPr>
        <w:tc>
          <w:tcPr>
            <w:tcW w:type="dxa" w:w="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Priority</w:t>
            </w:r>
          </w:p>
        </w:tc>
        <w:tc>
          <w:tcPr>
            <w:tcW w:type="dxa" w:w="1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 compromised systems and block confirmed IOCs at all network boundaries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8.2 Strategic Improvements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2000"/>
        <w:gridCol w:w="1638"/>
      </w:tblGrid>
      <w:tr>
        <w:trPr>
          <w:tblHeader/>
        </w:trPr>
        <w:tc>
          <w:tcPr>
            <w:tcW w:type="dxa" w:w="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Category</w:t>
            </w:r>
          </w:p>
        </w:tc>
        <w:tc>
          <w:tcPr>
            <w:tcW w:type="dxa" w:w="1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Enforce phishing-resistant MFA across all remote access, email, and privileged accounts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9. Conclusion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Closing summary reinforcing key findings, overall impact, and path forward. Address: full attack chain, threat actor sophistication, estimated dwell time, attribution confidence, and confidence in containment and recovery.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02060"/>
          <w:sz w:val="44"/>
          <w:szCs w:val="44"/>
        </w:rPr>
        <w:t xml:space="preserve">Appendix A — Assets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assets|count %}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assets were identified during this investigation.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Compromised</w:t>
            </w:r>
          </w:p>
        </w:tc>
        <w:tc>
          <w:tcPr>
            <w:tcW w:type="dxa" w:w="3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asset in assets %}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asset.asset_name 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asset.type 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asset.asset_compromise_status }}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asset.light_asset_description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Compromised Asset Detail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assets|selectattr('compromised')|list|count %}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for asset in assets %}{% if asset.compromised %}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{{ asset.asset_name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0000" w:sz="8"/>
              <w:left w:val="single" w:color="C00000" w:sz="24"/>
              <w:bottom w:val="single" w:color="C00000" w:sz="8"/>
              <w:right w:val="single" w:color="C00000" w:sz="8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Asset type:  </w:t>
            </w:r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{{ asset.type }}  |  Status: {{ asset.asset_compromise_status 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{{ asset.asset_description|markdown }}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asset.asset_ioc|count %}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Indicators of compromise linked to this asset: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IOC Value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4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item in asset.asset_ioc %}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item.ioc_value 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item.type_name }}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item.ioc_description }}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endfor %}</w:t>
            </w:r>
          </w:p>
        </w:tc>
      </w:tr>
    </w:tbl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%}{% endfor %}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8"/>
              <w:left w:val="single" w:color="375623" w:sz="24"/>
              <w:bottom w:val="single" w:color="375623" w:sz="8"/>
              <w:right w:val="single" w:color="375623" w:sz="8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No compromised assets recorded.  </w:t>
            </w:r>
            <w:r>
              <w:rPr>
                <w:rFonts w:ascii="Arial" w:cs="Arial" w:eastAsia="Arial" w:hAnsi="Arial"/>
                <w:color w:val="1E4620"/>
                <w:sz w:val="18"/>
                <w:szCs w:val="18"/>
              </w:rPr>
              <w:t xml:space="preserve">All assets recorded in this case are marked as not compromised.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8"/>
              <w:left w:val="single" w:color="AAAAAA" w:sz="24"/>
              <w:bottom w:val="single" w:color="AAAAAA" w:sz="8"/>
              <w:right w:val="single" w:color="AAAAAA" w:sz="8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 assets recorded.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assets have been added to this case.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02060"/>
          <w:sz w:val="44"/>
          <w:szCs w:val="44"/>
        </w:rPr>
        <w:t xml:space="preserve">Appendix B — Indicators of Compromise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iocs|count %}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indicators of compromise were identified and validated during this investigation.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Network Indicators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iocs|selectattr('ioc_type.type_name', 'in', ['IP', 'domain', 'url', 'Domain', 'URL', 'ip'])|list|count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400"/>
        <w:gridCol w:w="1838"/>
      </w:tblGrid>
      <w:tr>
        <w:trPr>
          <w:tblHeader/>
        </w:trP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ioc in iocs %}{% if ioc.ioc_type.type_name|lower in ['ip', 'domain', 'url', 'fqdn', 'hostname'] %}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ioc.ioc_value 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ioc.ioc_type.type_name }}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ioc.ioc_description }}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ioc.ioc_tags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 endif %}{%tr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8"/>
              <w:left w:val="single" w:color="AAAAAA" w:sz="24"/>
              <w:bottom w:val="single" w:color="AAAAAA" w:sz="8"/>
              <w:right w:val="single" w:color="AAAAAA" w:sz="8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 network indicators recorded for this case.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File Indicators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iocs|selectattr('ioc_type.type_name', 'in', ['hash', 'md5', 'sha1', 'sha256', 'filename', 'filepath', 'Hash', 'MD5', 'SHA256'])|list|count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400"/>
        <w:gridCol w:w="1838"/>
      </w:tblGrid>
      <w:tr>
        <w:trPr>
          <w:tblHeader/>
        </w:trP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ioc in iocs %}{% if ioc.ioc_type.type_name|lower in ['hash', 'md5', 'sha1', 'sha256', 'sha-256', 'filename', 'filepath'] %}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ioc.ioc_value 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ioc.ioc_type.type_name }}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ioc.ioc_description }}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ioc.ioc_tags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 endif %}{%tr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8"/>
              <w:left w:val="single" w:color="AAAAAA" w:sz="24"/>
              <w:bottom w:val="single" w:color="AAAAAA" w:sz="8"/>
              <w:right w:val="single" w:color="AAAAAA" w:sz="8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 file indicators recorded for this case.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Other Indicators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400"/>
        <w:gridCol w:w="1838"/>
      </w:tblGrid>
      <w:tr>
        <w:trPr>
          <w:tblHeader/>
        </w:trP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ioc in iocs %}{% if ioc.ioc_type.type_name|lower not in ['ip', 'domain', 'url', 'fqdn', 'hostname', 'hash', 'md5', 'sha1', 'sha256', 'sha-256', 'filename', 'filepath'] %}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ioc.ioc_value 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ioc.ioc_type.type_name }}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ioc.ioc_description }}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ioc.ioc_tags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 endif %}{%tr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8"/>
              <w:left w:val="single" w:color="AAAAAA" w:sz="24"/>
              <w:bottom w:val="single" w:color="AAAAAA" w:sz="8"/>
              <w:right w:val="single" w:color="AAAAAA" w:sz="8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 indicators of compromise recorded.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IOCs have been added to this case.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02060"/>
          <w:sz w:val="44"/>
          <w:szCs w:val="44"/>
        </w:rPr>
        <w:t xml:space="preserve">Appendix C — Received Files and Evidence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evidences|count %}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files were received and analyzed during this investigation.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SHA-256</w:t>
            </w:r>
          </w:p>
        </w:tc>
        <w:tc>
          <w:tcPr>
            <w:tcW w:type="dxa" w:w="2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Added By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evidence in evidences %}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evidence.filename 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evidence.date_added }}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evidence.file_hash }}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evidence.added_by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8"/>
              <w:left w:val="single" w:color="AAAAAA" w:sz="24"/>
              <w:bottom w:val="single" w:color="AAAAAA" w:sz="8"/>
              <w:right w:val="single" w:color="AAAAAA" w:sz="8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 evidence files recorded.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evidence has been registered against this case.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02060"/>
          <w:sz w:val="44"/>
          <w:szCs w:val="44"/>
        </w:rPr>
        <w:t xml:space="preserve">Appendix D — Event Timeline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if timeline|count %}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Chronological timeline of events observed during the investigation.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Assets</w:t>
            </w:r>
          </w:p>
        </w:tc>
        <w:tc>
          <w:tcPr>
            <w:tcW w:type="dxa" w:w="3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for event in timeline %}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event.event_date 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event.category 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{% for asset in event.assets %}{{ asset }} {% endfor %}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{{ event.event_title }}
{{ event.event_content }}</w:t>
            </w:r>
          </w:p>
        </w:tc>
      </w:tr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{%tr endfor %}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else %}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8"/>
              <w:left w:val="single" w:color="AAAAAA" w:sz="24"/>
              <w:bottom w:val="single" w:color="AAAAAA" w:sz="8"/>
              <w:right w:val="single" w:color="AAAAAA" w:sz="8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 timeline events recorded.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events have been added to the case timeline.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FFFFFF"/>
          <w:sz w:val="1"/>
          <w:szCs w:val="1"/>
        </w:rPr>
        <w:t xml:space="preserve">{% endif %}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2"/>
      </w:pBdr>
      <w:tabs>
        <w:tab w:val="center" w:pos="4819"/>
        <w:tab w:val="right" w:pos="9638"/>
      </w:tabs>
    </w:pPr>
    <w:r>
      <w:rPr>
        <w:rFonts w:ascii="Arial" w:cs="Arial" w:eastAsia="Arial" w:hAnsi="Arial"/>
        <w:b/>
        <w:bCs/>
        <w:color w:val="FF8C00"/>
        <w:sz w:val="16"/>
        <w:szCs w:val="16"/>
      </w:rPr>
      <w:t xml:space="preserve">TLP: {{ case.tlp }}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CONFIDENTIAL — {{ case.owner.org_name 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4472C4" w:sz="4" w:space="2"/>
      </w:pBdr>
      <w:tabs>
        <w:tab w:val="right" w:pos="9638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{{ case.name }}</w:t>
    </w:r>
    <w:r>
      <w:rPr>
        <w:rFonts w:ascii="Arial" w:cs="Arial" w:eastAsia="Arial" w:hAnsi="Arial"/>
        <w:color w:val="888888"/>
        <w:sz w:val="16"/>
        <w:szCs w:val="16"/>
      </w:rPr>
      <w:t xml:space="preserve">	{{ doc_id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472C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2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2026-03-20T03:06:39.872Z</dcterms:created>
  <dcterms:modified xsi:type="dcterms:W3CDTF">2026-03-20T03:06:39.873Z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