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Campaign Control System — Decision Framework</w:t>
      </w:r>
    </w:p>
    <w:p>
      <w:pPr>
        <w:pBdr>
          <w:bottom w:val="single" w:color="1F4E78" w:sz="6" w:space="4"/>
        </w:pBdr>
        <w:spacing w:after="1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Paid Search, Target ROAS bidding  |  Required (mature) Target ROAS: 220%  |  Mature Breakeven ROAS: 200.1%  |  7-day click attribution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1. Why raw reported ROAS is misleading</w:t>
      </w:r>
    </w:p>
    <w:p>
      <w:pPr>
        <w:spacing w:after="60"/>
      </w:pPr>
      <w:r>
        <w:rPr>
          <w:rFonts w:ascii="Arial" w:cs="Arial" w:eastAsia="Arial" w:hAnsi="Arial"/>
          <w:sz w:val="17"/>
          <w:szCs w:val="17"/>
        </w:rPr>
        <w:t xml:space="preserve">Revenue keeps posting for up to 7 days after the click. A campaign's reported ROAS on the day of spend (D0) will structurally look weak even when the campaign is healthy, because only ~49% of its eventual revenue has arrived. The system never compares raw reported ROAS to target — it first grosses up each day's revenue by how much of its eventual (mature) value has typically posted by that day's age, using the case's own lag curve: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300"/>
            <w:shd w:fill="1F4E7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Age</w:t>
            </w:r>
          </w:p>
        </w:tc>
        <w:tc>
          <w:tcPr>
            <w:tcW w:type="dxa" w:w="1300"/>
            <w:shd w:fill="1F4E7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D0</w:t>
            </w:r>
          </w:p>
        </w:tc>
        <w:tc>
          <w:tcPr>
            <w:tcW w:type="dxa" w:w="1900"/>
            <w:shd w:fill="1F4E7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D1–D3</w:t>
            </w:r>
          </w:p>
        </w:tc>
        <w:tc>
          <w:tcPr>
            <w:tcW w:type="dxa" w:w="1900"/>
            <w:shd w:fill="1F4E7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D4–D6</w:t>
            </w:r>
          </w:p>
        </w:tc>
        <w:tc>
          <w:tcPr>
            <w:tcW w:type="dxa" w:w="1900"/>
            <w:shd w:fill="1F4E7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D7</w:t>
            </w:r>
          </w:p>
        </w:tc>
        <w:tc>
          <w:tcPr>
            <w:tcW w:type="dxa" w:w="1900"/>
            <w:shd w:fill="1F4E7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Mature (8+)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% Revenue Observed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49.2%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57.7–64.1%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66.3–69.3%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71.0%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100%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Reported ROAS at breakeven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98.5%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115.5–128.3%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132.7–138.7%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142.1%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200.1%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Adjusted ROAS (any window) = Σ [ Revenue-to-date ÷ % Revenue Observed at that day's age ] ÷ Σ Spend</w:t>
      </w:r>
    </w:p>
    <w:p>
      <w:pPr>
        <w:spacing w:after="60"/>
      </w:pPr>
      <w:r>
        <w:rPr>
          <w:rFonts w:ascii="Arial" w:cs="Arial" w:eastAsia="Arial" w:hAnsi="Arial"/>
          <w:sz w:val="17"/>
          <w:szCs w:val="17"/>
        </w:rPr>
        <w:t xml:space="preserve">Two windows are computed this way: a 3-day Fast Window (early-warning safety net only) and a 14-day Primary Window (the decision-grade signal; automatically extends to 30 days if order volume is thin — see gates below).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2. When to act — decision bands (Primary Window Adjusted ROAS vs. the 220% target)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3200"/>
        <w:gridCol w:w="240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Primary-Window Adjusted ROAS</w:t>
            </w:r>
          </w:p>
        </w:tc>
        <w:tc>
          <w:tcPr>
            <w:tcW w:type="dxa" w:w="2000"/>
            <w:shd w:fill="1F4E7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Zone</w:t>
            </w:r>
          </w:p>
        </w:tc>
        <w:tc>
          <w:tcPr>
            <w:tcW w:type="dxa" w:w="3200"/>
            <w:shd w:fill="1F4E7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2400"/>
            <w:shd w:fill="1F4E7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 200% (at/below breakeven)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Severe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Pause the campaign</w:t>
            </w:r>
          </w:p>
        </w:tc>
        <w:tc>
          <w:tcPr>
            <w:tcW w:type="dxa" w:w="2400"/>
            <w:shd w:fill="FBE2E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Status → Paused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200% – 210%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Moderate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Increase Target ROAS</w:t>
            </w:r>
          </w:p>
        </w:tc>
        <w:tc>
          <w:tcPr>
            <w:tcW w:type="dxa" w:w="2400"/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Target ROAS +10 pts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210% – 235%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Normal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change</w:t>
            </w:r>
          </w:p>
        </w:tc>
        <w:tc>
          <w:tcPr>
            <w:tcW w:type="dxa" w:w="24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235%, budget capped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Opportunity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Increase Budget</w:t>
            </w:r>
          </w:p>
        </w:tc>
        <w:tc>
          <w:tcPr>
            <w:tcW w:type="dxa" w:w="24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Budget +25%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 235%, budget not capped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Opportunity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Decrease Target ROAS</w:t>
            </w:r>
          </w:p>
        </w:tc>
        <w:tc>
          <w:tcPr>
            <w:tcW w:type="dxa" w:w="24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Target ROAS −10 pts (floor 205%)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The band is intentionally asymmetric: only 10 points of downside room (210%) before tightening, but 15 points of upside room (235%) before loosening — because the objective is to maximize sustainable spend, so upside is given more benefit of the doubt than downside.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3. Gates — what keeps the system from overreacting to noise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0"/>
      </w:tblGrid>
      <w:tr>
        <w:trPr>
          <w:tblHeader/>
        </w:trPr>
        <w:tc>
          <w:tcPr>
            <w:tcW w:type="dxa" w:w="3400"/>
            <w:shd w:fill="1F4E7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Gate</w:t>
            </w:r>
          </w:p>
        </w:tc>
        <w:tc>
          <w:tcPr>
            <w:tcW w:type="dxa" w:w="6800"/>
            <w:shd w:fill="1F4E7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does and why</w:t>
            </w:r>
          </w:p>
        </w:tc>
      </w:tr>
      <w:tr>
        <w:tc>
          <w:tcPr>
            <w:tcW w:type="dxa" w:w="3400"/>
            <w:shd w:fill="D9E1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Confidence gate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Need ≥ 30 matured orders in the 14-day Primary window before acting on Target ROAS/Budget. If short, fall back to a 30-day window; if still short, hold and state how many more orders are needed.</w:t>
            </w:r>
          </w:p>
        </w:tc>
      </w:tr>
      <w:tr>
        <w:tc>
          <w:tcPr>
            <w:tcW w:type="dxa" w:w="3400"/>
            <w:shd w:fill="D9E1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Wait-period gate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After any Target ROAS or Budget change: hold further Target ROAS/Budget changes until ≥ 7 days AND ≥ 30 new orders have accumulated — whichever is later. Lets the bidding algorithm relearn before it is judged again.</w:t>
            </w:r>
          </w:p>
        </w:tc>
      </w:tr>
      <w:tr>
        <w:tc>
          <w:tcPr>
            <w:tcW w:type="dxa" w:w="3400"/>
            <w:shd w:fill="D9E1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Pause gate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Minimum 3 days paused before re-enable is eligible. Re-enable at Target ROAS +10 pts and 50% of the prior budget, ramping back up as the standard rules confirm recovery.</w:t>
            </w:r>
          </w:p>
        </w:tc>
      </w:tr>
      <w:tr>
        <w:tc>
          <w:tcPr>
            <w:tcW w:type="dxa" w:w="3400"/>
            <w:shd w:fill="D9E1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Safety gate (always on)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 3-day “Fast Window,” age-adjusted the same way, checks for an acute breach (&lt; 90% of breakeven, i.e. below ~180%) with ≥ 5 matured orders. If triggered, pause immediately — this overrides every other rule, including an active wait period or seasonality window.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4. Pause, re-enable, and seasonality</w:t>
      </w:r>
    </w:p>
    <w:p>
      <w:pPr>
        <w:spacing w:after="60"/>
      </w:pPr>
      <w:r>
        <w:rPr>
          <w:rFonts w:ascii="Arial" w:cs="Arial" w:eastAsia="Arial" w:hAnsi="Arial"/>
          <w:sz w:val="17"/>
          <w:szCs w:val="17"/>
        </w:rPr>
        <w:t xml:space="preserve">A pause can be triggered two ways: (a) the Safety Gate above, on raw acute deterioration in the last 3 days, or (b) a confirmed breach — the slower, 14-day Primary Window itself falls below the 200.1% breakeven line, which means the problem is sustained, not a blip. Both use the identical Pause action; the difference is only which window caught it.</w:t>
      </w:r>
    </w:p>
    <w:p>
      <w:pPr>
        <w:spacing w:after="60"/>
      </w:pPr>
      <w:r>
        <w:rPr>
          <w:rFonts w:ascii="Arial" w:cs="Arial" w:eastAsia="Arial" w:hAnsi="Arial"/>
          <w:sz w:val="17"/>
          <w:szCs w:val="17"/>
        </w:rPr>
        <w:t xml:space="preserve">Seasonality is a scheduled override, not a reaction: flag a known event (e.g. Black Friday, an announced promo, a known slow week) with a direction, a duration, and an adjustment size (default ±15 points if no better historical estimate exists). On the start date the system applies the adjustment; for the interior of the window it holds (expected swings are not treated as a signal); on the end date it automatically reverts to the pre-season baseline. The Safety Gate stays active throughout — a real breakeven breach still forces a pause even mid-season.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5. Required system output (every review)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rPr>
          <w:tblHeader/>
        </w:trPr>
        <w:tc>
          <w:tcPr>
            <w:tcW w:type="dxa" w:w="2200"/>
            <w:shd w:fill="1F4E7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8000"/>
            <w:shd w:fill="1F4E7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2200"/>
            <w:shd w:fill="D9E1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What the team does (Pause / Re-enable / Increase or Decrease Target ROAS / Increase Budget / Apply or Revert Seasonality / No change).</w:t>
            </w:r>
          </w:p>
        </w:tc>
      </w:tr>
      <w:tr>
        <w:tc>
          <w:tcPr>
            <w:tcW w:type="dxa" w:w="2200"/>
            <w:shd w:fill="D9E1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VALUE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The specific new number — e.g. “Target ROAS → 230%”, “Budget → $6,250/day”, “Status → Paused”, or “No change”.</w:t>
            </w:r>
          </w:p>
        </w:tc>
      </w:tr>
      <w:tr>
        <w:tc>
          <w:tcPr>
            <w:tcW w:type="dxa" w:w="2200"/>
            <w:shd w:fill="D9E1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REASON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One plain sentence — no jargon.</w:t>
            </w:r>
          </w:p>
        </w:tc>
      </w:tr>
      <w:tr>
        <w:tc>
          <w:tcPr>
            <w:tcW w:type="dxa" w:w="2200"/>
            <w:shd w:fill="D9E1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REVIEW CADENCE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When to look again: tomorrow, in N days, or after N more matured orders.</w:t>
            </w:r>
          </w:p>
        </w:tc>
      </w:tr>
      <w:tr>
        <w:tc>
          <w:tcPr>
            <w:tcW w:type="dxa" w:w="2200"/>
            <w:shd w:fill="D9E1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WAIT PERIOD</w:t>
            </w:r>
          </w:p>
        </w:tc>
        <w:tc>
          <w:tcPr>
            <w:tcW w:type="dxa" w:w="8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Whether another change is blocked right now, and what clears it (days elapsed AND/OR orders accumulated).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Example — a review that lands in the “Moderate” band: ACTION: Increase Target ROAS.  VALUE: Target ROAS → 230%.  REASON: Matured, lag-adjusted ROAS is running below the normal range around target; tightening to protect margin.  REVIEW CADENCE: In 7 days or after 30 new orders, whichever is later.  WAIT PERIOD: 7 days matured AND 30 new orders before the next change.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6. Handoff notes and stated assumptions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Five numbers drive nearly every review: the Primary-Window Adjusted ROAS, the Fast-Window Adjusted ROAS, matured order count, days since the last change, and orders since the last change. Everything else is a fixed, rarely-touched constant (see the companion workbook's Inputs tab).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Minimum-confidence (30 orders) and wait-period (7 days / 30 orders) thresholds follow standard Smart Bidding relearning guidance and are treated as reasonable defaults, not measured from this account's data; a team with its own conversion-lag-to-relearning evidence should tune them.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Order-count and spend/revenue data are assumed to arrive daily, by the date the spend occurred (not the date the conversion posted), which is what lets the age-adjustment formula work at all.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A single ±10-point Target ROAS step and ±25% budget step are used for every intervention; combined with the wait-period gate, this makes the system self-throttling — it cannot make two changes in the same direction back-to-back without new evidence in between.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7"/>
          <w:szCs w:val="17"/>
        </w:rPr>
        <w:t xml:space="preserve">The full mechanics — including every threshold as an editable input, an audit trail of every intermediate calculation, and a live chart of raw vs. adjusted ROAS — live in the companion Campaign_Control_System.xlsx workbook. This page is the summary; the workbook is the system of record.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2026-09-08T19:23:29.097Z</dcterms:created>
  <dcterms:modified xsi:type="dcterms:W3CDTF">2026-09-08T19:23:29.097Z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