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17365D"/>
          <w:sz w:val="17"/>
        </w:rPr>
        <w:t>WYNWOOD SCHOOL OF MUSIC</w:t>
      </w:r>
    </w:p>
    <w:p>
      <w:pPr>
        <w:pStyle w:val="Title"/>
        <w:spacing w:before="0" w:after="80"/>
      </w:pPr>
      <w:r>
        <w:t>Lead Follow Up and Airtable Guide</w:t>
      </w:r>
    </w:p>
    <w:p>
      <w:pPr>
        <w:spacing w:before="0" w:after="100" w:line="247" w:lineRule="auto"/>
      </w:pPr>
      <w:r>
        <w:rPr>
          <w:rFonts w:ascii="Aptos" w:hAnsi="Aptos"/>
          <w:b/>
          <w:color w:val="000000"/>
          <w:sz w:val="20"/>
        </w:rPr>
        <w:t xml:space="preserve">Our rule  </w:t>
      </w:r>
      <w:r>
        <w:rPr>
          <w:rFonts w:ascii="Aptos" w:hAnsi="Aptos"/>
          <w:b w:val="0"/>
          <w:color w:val="000000"/>
          <w:sz w:val="20"/>
        </w:rPr>
        <w:t>Help every family promptly, keep the record current, and choose a final outcome only when the lead is truly finished. Accurate outcomes teach Google which inquiries become good students.</w:t>
      </w:r>
    </w:p>
    <w:p>
      <w:pPr>
        <w:pStyle w:val="Heading1"/>
        <w:keepNext/>
        <w:spacing w:before="100" w:after="40"/>
      </w:pPr>
      <w:r>
        <w:rPr>
          <w:rFonts w:ascii="Aptos" w:hAnsi="Aptos"/>
          <w:b/>
          <w:color w:val="000000"/>
          <w:sz w:val="22"/>
        </w:rPr>
        <w:t>Daily workflow</w:t>
      </w:r>
    </w:p>
    <w:p>
      <w:pPr>
        <w:spacing w:after="50" w:line="240" w:lineRule="auto"/>
        <w:ind w:left="29" w:hanging="29"/>
      </w:pPr>
      <w:r>
        <w:rPr>
          <w:rFonts w:ascii="Aptos" w:hAnsi="Aptos"/>
          <w:b/>
          <w:color w:val="000000"/>
          <w:sz w:val="20"/>
        </w:rPr>
        <w:t xml:space="preserve">1  Open the Leads table.  </w:t>
      </w:r>
      <w:r>
        <w:rPr>
          <w:rFonts w:ascii="Aptos" w:hAnsi="Aptos"/>
          <w:b w:val="0"/>
          <w:color w:val="000000"/>
          <w:sz w:val="20"/>
        </w:rPr>
        <w:t>Work all new website inquiries from this one table every business day. Use Form Source when you need to distinguish Contact Us from Trial Lesson inquiries. Contact new leads as soon as practical and always the same day.</w:t>
      </w:r>
    </w:p>
    <w:p>
      <w:pPr>
        <w:spacing w:after="50" w:line="240" w:lineRule="auto"/>
        <w:ind w:left="29" w:hanging="29"/>
      </w:pPr>
      <w:r>
        <w:rPr>
          <w:rFonts w:ascii="Aptos" w:hAnsi="Aptos"/>
          <w:b/>
          <w:color w:val="000000"/>
          <w:sz w:val="20"/>
        </w:rPr>
        <w:t xml:space="preserve">2  Call first.  </w:t>
      </w:r>
      <w:r>
        <w:rPr>
          <w:rFonts w:ascii="Aptos" w:hAnsi="Aptos"/>
          <w:b w:val="0"/>
          <w:color w:val="000000"/>
          <w:sz w:val="20"/>
        </w:rPr>
        <w:t>If there is no answer, leave a short voicemail and send a text or email. Make at least three follow-up attempts across seven days before closing a qualified lead that stopped responding.</w:t>
      </w:r>
    </w:p>
    <w:p>
      <w:pPr>
        <w:spacing w:after="50" w:line="240" w:lineRule="auto"/>
        <w:ind w:left="29" w:hanging="29"/>
      </w:pPr>
      <w:r>
        <w:rPr>
          <w:rFonts w:ascii="Aptos" w:hAnsi="Aptos"/>
          <w:b/>
          <w:color w:val="000000"/>
          <w:sz w:val="20"/>
        </w:rPr>
        <w:t xml:space="preserve">3  Qualify with a short conversation.  </w:t>
      </w:r>
      <w:r>
        <w:rPr>
          <w:rFonts w:ascii="Aptos" w:hAnsi="Aptos"/>
          <w:b w:val="0"/>
          <w:color w:val="000000"/>
          <w:sz w:val="20"/>
        </w:rPr>
        <w:t>Confirm the student’s age, instrument or interest, experience, goals, schedule, location, desired start date, and whether the recommended program and price work for the family.</w:t>
      </w:r>
    </w:p>
    <w:p>
      <w:pPr>
        <w:spacing w:after="50" w:line="240" w:lineRule="auto"/>
        <w:ind w:left="29" w:hanging="29"/>
      </w:pPr>
      <w:r>
        <w:rPr>
          <w:rFonts w:ascii="Aptos" w:hAnsi="Aptos"/>
          <w:b/>
          <w:color w:val="000000"/>
          <w:sz w:val="20"/>
        </w:rPr>
        <w:t xml:space="preserve">4  Give one clear next step.  </w:t>
      </w:r>
      <w:r>
        <w:rPr>
          <w:rFonts w:ascii="Aptos" w:hAnsi="Aptos"/>
          <w:b w:val="0"/>
          <w:color w:val="000000"/>
          <w:sz w:val="20"/>
        </w:rPr>
        <w:t>Recommend the best program and book the trial lesson or enrollment step while you are speaking. State who will do what and by when.</w:t>
      </w:r>
    </w:p>
    <w:p>
      <w:pPr>
        <w:spacing w:after="50" w:line="240" w:lineRule="auto"/>
        <w:ind w:left="29" w:hanging="29"/>
      </w:pPr>
      <w:r>
        <w:rPr>
          <w:rFonts w:ascii="Aptos" w:hAnsi="Aptos"/>
          <w:b/>
          <w:color w:val="000000"/>
          <w:sz w:val="20"/>
        </w:rPr>
        <w:t xml:space="preserve">5  Update Airtable after every touch.  </w:t>
      </w:r>
      <w:r>
        <w:rPr>
          <w:rFonts w:ascii="Aptos" w:hAnsi="Aptos"/>
          <w:b w:val="0"/>
          <w:color w:val="000000"/>
          <w:sz w:val="20"/>
        </w:rPr>
        <w:t>Keep Lead Status, notes, and the next follow-up current. Notes should be brief and factual. Leave Final Outcome blank while the lead is still active.</w:t>
      </w:r>
    </w:p>
    <w:p>
      <w:pPr>
        <w:pStyle w:val="Heading1"/>
        <w:keepNext/>
        <w:spacing w:before="100" w:after="40"/>
      </w:pPr>
      <w:r>
        <w:rPr>
          <w:rFonts w:ascii="Aptos" w:hAnsi="Aptos"/>
          <w:b/>
          <w:color w:val="000000"/>
          <w:sz w:val="22"/>
        </w:rPr>
        <w:t>Simple call opening</w:t>
      </w:r>
    </w:p>
    <w:p>
      <w:pPr>
        <w:spacing w:before="0" w:after="80" w:line="245" w:lineRule="auto"/>
      </w:pPr>
      <w:r>
        <w:rPr>
          <w:rFonts w:ascii="Aptos" w:hAnsi="Aptos"/>
          <w:b w:val="0"/>
          <w:i/>
          <w:color w:val="000000"/>
          <w:sz w:val="20"/>
        </w:rPr>
        <w:t>“Hi, this is [name] from Wynwood School of Music. I saw your inquiry about lessons for [student]. Is now a good time for a few quick questions so I can recommend the right next step?”</w:t>
      </w:r>
    </w:p>
    <w:p>
      <w:pPr>
        <w:pStyle w:val="Heading1"/>
        <w:keepNext/>
        <w:spacing w:before="100" w:after="40"/>
      </w:pPr>
      <w:r>
        <w:rPr>
          <w:rFonts w:ascii="Aptos" w:hAnsi="Aptos"/>
          <w:b/>
          <w:color w:val="000000"/>
          <w:sz w:val="22"/>
        </w:rPr>
        <w:t>Choose the final outcome carefully</w:t>
      </w:r>
    </w:p>
    <w:tbl>
      <w:tblPr>
        <w:tblW w:type="auto" w:w="0"/>
        <w:tblLayout w:type="fixed"/>
        <w:tblLook w:firstColumn="1" w:firstRow="1" w:lastColumn="0" w:lastRow="0" w:noHBand="0" w:noVBand="1" w:val="04A0"/>
      </w:tblPr>
      <w:tblGrid>
        <w:gridCol w:w="2952"/>
        <w:gridCol w:w="7200"/>
      </w:tblGrid>
      <w:t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Final Outcome</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color w:val="FFFFFF"/>
                <w:sz w:val="18"/>
              </w:rPr>
              <w:t>Use it when</w:t>
            </w:r>
          </w:p>
        </w:tc>
      </w:tr>
      <w:tr>
        <w:tc>
          <w:tcPr>
            <w:tcW w:type="dxa" w:w="2952"/>
            <w:shd w:fill="EAF1F8"/>
            <w:tcBorders>
              <w:top w:val="single" w:sz="6" w:color="D9D9D9"/>
              <w:left w:val="single" w:sz="6" w:color="D9D9D9"/>
              <w:bottom w:val="single" w:sz="6" w:color="D9D9D9"/>
              <w:right w:val="single" w:sz="6" w:color="D9D9D9"/>
              <w:insideH w:val="single" w:sz="6" w:color="D9D9D9"/>
              <w:insideV w:val="single" w:sz="6" w:color="D9D9D9"/>
            </w:tcBorders>
            <w:tcMar>
              <w:top w:w="72" w:type="dxa"/>
              <w:start w:w="110" w:type="dxa"/>
              <w:bottom w:w="72" w:type="dxa"/>
              <w:end w:w="110" w:type="dxa"/>
            </w:tcMar>
            <w:vAlign w:val="center"/>
          </w:tcPr>
          <w:p>
            <w:pPr>
              <w:spacing w:after="0"/>
            </w:pPr>
            <w:r>
              <w:rPr>
                <w:rFonts w:ascii="Aptos" w:hAnsi="Aptos"/>
                <w:b/>
                <w:color w:val="000000"/>
                <w:sz w:val="18"/>
              </w:rPr>
              <w:t>Unqualified</w:t>
            </w:r>
          </w:p>
        </w:tc>
        <w:tc>
          <w:tcPr>
            <w:tcW w:type="dxa" w:w="7200"/>
            <w:shd w:fill="EAF1F8"/>
            <w:tcBorders>
              <w:top w:val="single" w:sz="6" w:color="D9D9D9"/>
              <w:left w:val="single" w:sz="6" w:color="D9D9D9"/>
              <w:bottom w:val="single" w:sz="6" w:color="D9D9D9"/>
              <w:right w:val="single" w:sz="6" w:color="D9D9D9"/>
              <w:insideH w:val="single" w:sz="6" w:color="D9D9D9"/>
              <w:insideV w:val="single" w:sz="6" w:color="D9D9D9"/>
            </w:tcBorders>
            <w:tcMar>
              <w:top w:w="72" w:type="dxa"/>
              <w:start w:w="110" w:type="dxa"/>
              <w:bottom w:w="72" w:type="dxa"/>
              <w:end w:w="110" w:type="dxa"/>
            </w:tcMar>
            <w:vAlign w:val="center"/>
          </w:tcPr>
          <w:p>
            <w:pPr>
              <w:spacing w:after="0" w:line="240" w:lineRule="auto"/>
            </w:pPr>
            <w:r>
              <w:rPr>
                <w:rFonts w:ascii="Aptos" w:hAnsi="Aptos"/>
                <w:b w:val="0"/>
                <w:color w:val="000000"/>
                <w:sz w:val="18"/>
              </w:rPr>
              <w:t>The inquiry is spam, outside our services or location, or the family is clearly not a realistic fit. Do not use this simply because someone has not answered.</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72" w:type="dxa"/>
              <w:start w:w="110" w:type="dxa"/>
              <w:bottom w:w="72" w:type="dxa"/>
              <w:end w:w="110" w:type="dxa"/>
            </w:tcMar>
            <w:vAlign w:val="center"/>
          </w:tcPr>
          <w:p>
            <w:pPr>
              <w:spacing w:after="0"/>
            </w:pPr>
            <w:r>
              <w:rPr>
                <w:rFonts w:ascii="Aptos" w:hAnsi="Aptos"/>
                <w:b/>
                <w:color w:val="000000"/>
                <w:sz w:val="18"/>
              </w:rPr>
              <w:t>Qualified – Not Enrolled</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72" w:type="dxa"/>
              <w:start w:w="110" w:type="dxa"/>
              <w:bottom w:w="72" w:type="dxa"/>
              <w:end w:w="110" w:type="dxa"/>
            </w:tcMar>
            <w:vAlign w:val="center"/>
          </w:tcPr>
          <w:p>
            <w:pPr>
              <w:spacing w:after="0" w:line="240" w:lineRule="auto"/>
            </w:pPr>
            <w:r>
              <w:rPr>
                <w:rFonts w:ascii="Aptos" w:hAnsi="Aptos"/>
                <w:b w:val="0"/>
                <w:color w:val="000000"/>
                <w:sz w:val="18"/>
              </w:rPr>
              <w:t>The family is a real fit but did not enroll after proper follow-up, including timing, schedule, price, lost interest, or choosing another option.</w:t>
            </w:r>
          </w:p>
        </w:tc>
      </w:tr>
      <w:tr>
        <w:tc>
          <w:tcPr>
            <w:tcW w:type="dxa" w:w="2952"/>
            <w:shd w:fill="EAF1F8"/>
            <w:tcBorders>
              <w:top w:val="single" w:sz="6" w:color="D9D9D9"/>
              <w:left w:val="single" w:sz="6" w:color="D9D9D9"/>
              <w:bottom w:val="single" w:sz="6" w:color="D9D9D9"/>
              <w:right w:val="single" w:sz="6" w:color="D9D9D9"/>
              <w:insideH w:val="single" w:sz="6" w:color="D9D9D9"/>
              <w:insideV w:val="single" w:sz="6" w:color="D9D9D9"/>
            </w:tcBorders>
            <w:tcMar>
              <w:top w:w="72" w:type="dxa"/>
              <w:start w:w="110" w:type="dxa"/>
              <w:bottom w:w="72" w:type="dxa"/>
              <w:end w:w="110" w:type="dxa"/>
            </w:tcMar>
            <w:vAlign w:val="center"/>
          </w:tcPr>
          <w:p>
            <w:pPr>
              <w:spacing w:after="0"/>
            </w:pPr>
            <w:r>
              <w:rPr>
                <w:rFonts w:ascii="Aptos" w:hAnsi="Aptos"/>
                <w:b/>
                <w:color w:val="000000"/>
                <w:sz w:val="18"/>
              </w:rPr>
              <w:t>Enrolled</w:t>
            </w:r>
          </w:p>
        </w:tc>
        <w:tc>
          <w:tcPr>
            <w:tcW w:type="dxa" w:w="7200"/>
            <w:shd w:fill="EAF1F8"/>
            <w:tcBorders>
              <w:top w:val="single" w:sz="6" w:color="D9D9D9"/>
              <w:left w:val="single" w:sz="6" w:color="D9D9D9"/>
              <w:bottom w:val="single" w:sz="6" w:color="D9D9D9"/>
              <w:right w:val="single" w:sz="6" w:color="D9D9D9"/>
              <w:insideH w:val="single" w:sz="6" w:color="D9D9D9"/>
              <w:insideV w:val="single" w:sz="6" w:color="D9D9D9"/>
            </w:tcBorders>
            <w:tcMar>
              <w:top w:w="72" w:type="dxa"/>
              <w:start w:w="110" w:type="dxa"/>
              <w:bottom w:w="72" w:type="dxa"/>
              <w:end w:w="110" w:type="dxa"/>
            </w:tcMar>
            <w:vAlign w:val="center"/>
          </w:tcPr>
          <w:p>
            <w:pPr>
              <w:spacing w:after="0" w:line="240" w:lineRule="auto"/>
            </w:pPr>
            <w:r>
              <w:rPr>
                <w:rFonts w:ascii="Aptos" w:hAnsi="Aptos"/>
                <w:b w:val="0"/>
                <w:color w:val="000000"/>
                <w:sz w:val="18"/>
              </w:rPr>
              <w:t>The student completed the agreed signup or payment and is confirmed to begin. Interest, a trial booking, or a verbal yes alone is not enrollment.</w:t>
            </w:r>
          </w:p>
        </w:tc>
      </w:tr>
    </w:tbl>
    <w:p>
      <w:pPr>
        <w:pStyle w:val="Heading1"/>
        <w:keepNext/>
        <w:spacing w:before="100" w:after="40"/>
      </w:pPr>
      <w:r>
        <w:rPr>
          <w:rFonts w:ascii="Aptos" w:hAnsi="Aptos"/>
          <w:b/>
          <w:color w:val="000000"/>
          <w:sz w:val="22"/>
        </w:rPr>
        <w:t>Airtable rules that protect our tracking</w:t>
      </w:r>
    </w:p>
    <w:p>
      <w:pPr>
        <w:pStyle w:val="ListBullet"/>
        <w:spacing w:after="30" w:line="240" w:lineRule="auto"/>
        <w:ind w:left="317" w:hanging="202"/>
      </w:pPr>
      <w:r>
        <w:rPr>
          <w:rFonts w:ascii="Aptos" w:hAnsi="Aptos"/>
          <w:b w:val="0"/>
          <w:color w:val="000000"/>
          <w:sz w:val="19"/>
        </w:rPr>
        <w:t>Enter Qualified At when you first confirm the lead is a real fit; enter Finalized At when you choose the final outcome.</w:t>
      </w:r>
    </w:p>
    <w:p>
      <w:pPr>
        <w:pStyle w:val="ListBullet"/>
        <w:spacing w:after="30" w:line="240" w:lineRule="auto"/>
        <w:ind w:left="317" w:hanging="202"/>
      </w:pPr>
      <w:r>
        <w:rPr>
          <w:rFonts w:ascii="Aptos" w:hAnsi="Aptos"/>
          <w:b w:val="0"/>
          <w:color w:val="000000"/>
          <w:sz w:val="19"/>
        </w:rPr>
        <w:t>Never edit Lead ID, landing page, GCLID, UTM fields, Google upload timestamps, or Google Ads Upload Error.</w:t>
      </w:r>
    </w:p>
    <w:p>
      <w:pPr>
        <w:pStyle w:val="ListBullet"/>
        <w:spacing w:after="30" w:line="240" w:lineRule="auto"/>
        <w:ind w:left="317" w:hanging="202"/>
      </w:pPr>
      <w:r>
        <w:rPr>
          <w:rFonts w:ascii="Aptos" w:hAnsi="Aptos"/>
          <w:b w:val="0"/>
          <w:color w:val="000000"/>
          <w:sz w:val="19"/>
        </w:rPr>
        <w:t>Do not delete a record or merge duplicates yourself. Flag the issue for the manager responsible for Airtable.</w:t>
      </w:r>
    </w:p>
    <w:sectPr w:rsidR="00FC693F" w:rsidRPr="0006063C" w:rsidSect="00034616">
      <w:footerReference w:type="default" r:id="rId9"/>
      <w:pgSz w:w="12240" w:h="15840"/>
      <w:pgMar w:top="792"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color w:val="667085"/>
        <w:sz w:val="16"/>
      </w:rPr>
      <w:t>Staff quick guide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Follow Up and Airtable Guide</dc:title>
  <dc:subject>One page staff guide for qualifying and closing Wynwood School of Music leads</dc:subject>
  <dc:creator>Wynwood School of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