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rFonts w:ascii="Palatino Linotype" w:cs="Palatino Linotype" w:eastAsia="Palatino Linotype" w:hAnsi="Palatino Linotype"/>
          <w:color w:val="404040"/>
        </w:rPr>
      </w:pPr>
      <w:bookmarkStart w:colFirst="0" w:colLast="0" w:name="_giu411bvofck" w:id="0"/>
      <w:bookmarkEnd w:id="0"/>
      <w:r w:rsidDel="00000000" w:rsidR="00000000" w:rsidRPr="00000000">
        <w:rPr>
          <w:rFonts w:ascii="Palatino Linotype" w:cs="Palatino Linotype" w:eastAsia="Palatino Linotype" w:hAnsi="Palatino Linotype"/>
          <w:sz w:val="24"/>
          <w:szCs w:val="24"/>
          <w:rtl w:val="0"/>
        </w:rPr>
        <w:t xml:space="preserve">Linking Spatiotemporal Changes in Mangrove Species Composition and Restoration Outcomes to Canopy Height Using Multi-Source Remote Sensing </w:t>
      </w:r>
      <w:r w:rsidDel="00000000" w:rsidR="00000000" w:rsidRPr="00000000">
        <w:rPr>
          <w:rtl w:val="0"/>
        </w:rPr>
      </w:r>
    </w:p>
    <w:p w:rsidR="00000000" w:rsidDel="00000000" w:rsidP="00000000" w:rsidRDefault="00000000" w:rsidRPr="00000000" w14:paraId="00000002">
      <w:pPr>
        <w:spacing w:after="240" w:before="240" w:lineRule="auto"/>
        <w:jc w:val="both"/>
        <w:rPr>
          <w:rFonts w:ascii="Palatino Linotype" w:cs="Palatino Linotype" w:eastAsia="Palatino Linotype" w:hAnsi="Palatino Linotype"/>
          <w:color w:val="404040"/>
        </w:rPr>
      </w:pPr>
      <w:r w:rsidDel="00000000" w:rsidR="00000000" w:rsidRPr="00000000">
        <w:rPr>
          <w:rFonts w:ascii="Palatino Linotype" w:cs="Palatino Linotype" w:eastAsia="Palatino Linotype" w:hAnsi="Palatino Linotype"/>
          <w:color w:val="404040"/>
          <w:rtl w:val="0"/>
        </w:rPr>
        <w:t xml:space="preserve">Zachary Afif</w:t>
      </w:r>
      <w:r w:rsidDel="00000000" w:rsidR="00000000" w:rsidRPr="00000000">
        <w:rPr>
          <w:rFonts w:ascii="Palatino Linotype" w:cs="Palatino Linotype" w:eastAsia="Palatino Linotype" w:hAnsi="Palatino Linotype"/>
          <w:color w:val="404040"/>
          <w:vertAlign w:val="superscript"/>
          <w:rtl w:val="0"/>
        </w:rPr>
        <w:t xml:space="preserve">a</w:t>
      </w:r>
      <w:r w:rsidDel="00000000" w:rsidR="00000000" w:rsidRPr="00000000">
        <w:rPr>
          <w:rFonts w:ascii="Palatino Linotype" w:cs="Palatino Linotype" w:eastAsia="Palatino Linotype" w:hAnsi="Palatino Linotype"/>
          <w:color w:val="404040"/>
          <w:rtl w:val="0"/>
        </w:rPr>
        <w:t xml:space="preserve">, Uday Pimple</w:t>
      </w:r>
      <w:r w:rsidDel="00000000" w:rsidR="00000000" w:rsidRPr="00000000">
        <w:rPr>
          <w:rFonts w:ascii="Palatino Linotype" w:cs="Palatino Linotype" w:eastAsia="Palatino Linotype" w:hAnsi="Palatino Linotype"/>
          <w:color w:val="404040"/>
          <w:vertAlign w:val="superscript"/>
          <w:rtl w:val="0"/>
        </w:rPr>
        <w:t xml:space="preserve">b*</w:t>
      </w:r>
      <w:r w:rsidDel="00000000" w:rsidR="00000000" w:rsidRPr="00000000">
        <w:rPr>
          <w:rFonts w:ascii="Palatino Linotype" w:cs="Palatino Linotype" w:eastAsia="Palatino Linotype" w:hAnsi="Palatino Linotype"/>
          <w:color w:val="404040"/>
          <w:rtl w:val="0"/>
        </w:rPr>
        <w:t xml:space="preserve">, Dario Simonetti</w:t>
      </w:r>
      <w:r w:rsidDel="00000000" w:rsidR="00000000" w:rsidRPr="00000000">
        <w:rPr>
          <w:rFonts w:ascii="Palatino Linotype" w:cs="Palatino Linotype" w:eastAsia="Palatino Linotype" w:hAnsi="Palatino Linotype"/>
          <w:color w:val="404040"/>
          <w:vertAlign w:val="superscript"/>
          <w:rtl w:val="0"/>
        </w:rPr>
        <w:t xml:space="preserve">c</w:t>
      </w:r>
      <w:r w:rsidDel="00000000" w:rsidR="00000000" w:rsidRPr="00000000">
        <w:rPr>
          <w:rFonts w:ascii="Palatino Linotype" w:cs="Palatino Linotype" w:eastAsia="Palatino Linotype" w:hAnsi="Palatino Linotype"/>
          <w:color w:val="404040"/>
          <w:rtl w:val="0"/>
        </w:rPr>
        <w:t xml:space="preserve">, Asamaporn Sitthi</w:t>
      </w:r>
      <w:r w:rsidDel="00000000" w:rsidR="00000000" w:rsidRPr="00000000">
        <w:rPr>
          <w:rFonts w:ascii="Palatino Linotype" w:cs="Palatino Linotype" w:eastAsia="Palatino Linotype" w:hAnsi="Palatino Linotype"/>
          <w:color w:val="404040"/>
          <w:vertAlign w:val="superscript"/>
          <w:rtl w:val="0"/>
        </w:rPr>
        <w:t xml:space="preserve">f</w:t>
      </w:r>
      <w:r w:rsidDel="00000000" w:rsidR="00000000" w:rsidRPr="00000000">
        <w:rPr>
          <w:rFonts w:ascii="Palatino Linotype" w:cs="Palatino Linotype" w:eastAsia="Palatino Linotype" w:hAnsi="Palatino Linotype"/>
          <w:color w:val="404040"/>
          <w:rtl w:val="0"/>
        </w:rPr>
        <w:t xml:space="preserve">, Uta Berger</w:t>
      </w:r>
      <w:r w:rsidDel="00000000" w:rsidR="00000000" w:rsidRPr="00000000">
        <w:rPr>
          <w:rFonts w:ascii="Palatino Linotype" w:cs="Palatino Linotype" w:eastAsia="Palatino Linotype" w:hAnsi="Palatino Linotype"/>
          <w:color w:val="404040"/>
          <w:vertAlign w:val="superscript"/>
          <w:rtl w:val="0"/>
        </w:rPr>
        <w:t xml:space="preserve">g</w:t>
      </w:r>
      <w:r w:rsidDel="00000000" w:rsidR="00000000" w:rsidRPr="00000000">
        <w:rPr>
          <w:rFonts w:ascii="Palatino Linotype" w:cs="Palatino Linotype" w:eastAsia="Palatino Linotype" w:hAnsi="Palatino Linotype"/>
          <w:color w:val="404040"/>
          <w:rtl w:val="0"/>
        </w:rPr>
        <w:t xml:space="preserve">, Valéry Gond</w:t>
      </w:r>
      <w:r w:rsidDel="00000000" w:rsidR="00000000" w:rsidRPr="00000000">
        <w:rPr>
          <w:rFonts w:ascii="Palatino Linotype" w:cs="Palatino Linotype" w:eastAsia="Palatino Linotype" w:hAnsi="Palatino Linotype"/>
          <w:color w:val="404040"/>
          <w:vertAlign w:val="superscript"/>
          <w:rtl w:val="0"/>
        </w:rPr>
        <w:t xml:space="preserve">g</w:t>
      </w:r>
      <w:r w:rsidDel="00000000" w:rsidR="00000000" w:rsidRPr="00000000">
        <w:rPr>
          <w:rFonts w:ascii="Palatino Linotype" w:cs="Palatino Linotype" w:eastAsia="Palatino Linotype" w:hAnsi="Palatino Linotype"/>
          <w:color w:val="404040"/>
          <w:rtl w:val="0"/>
        </w:rPr>
        <w:t xml:space="preserve">,</w:t>
      </w:r>
    </w:p>
    <w:p w:rsidR="00000000" w:rsidDel="00000000" w:rsidP="00000000" w:rsidRDefault="00000000" w:rsidRPr="00000000" w14:paraId="00000003">
      <w:pPr>
        <w:spacing w:after="0" w:before="0" w:lineRule="auto"/>
        <w:jc w:val="both"/>
        <w:rPr>
          <w:rFonts w:ascii="Palatino Linotype" w:cs="Palatino Linotype" w:eastAsia="Palatino Linotype" w:hAnsi="Palatino Linotype"/>
          <w:color w:val="404040"/>
        </w:rPr>
      </w:pPr>
      <w:r w:rsidDel="00000000" w:rsidR="00000000" w:rsidRPr="00000000">
        <w:rPr>
          <w:rFonts w:ascii="Palatino Linotype" w:cs="Palatino Linotype" w:eastAsia="Palatino Linotype" w:hAnsi="Palatino Linotype"/>
          <w:color w:val="404040"/>
          <w:rtl w:val="0"/>
        </w:rPr>
        <w:t xml:space="preserve"> </w:t>
      </w:r>
      <w:r w:rsidDel="00000000" w:rsidR="00000000" w:rsidRPr="00000000">
        <w:rPr>
          <w:rFonts w:ascii="Palatino Linotype" w:cs="Palatino Linotype" w:eastAsia="Palatino Linotype" w:hAnsi="Palatino Linotype"/>
          <w:color w:val="404040"/>
          <w:sz w:val="20"/>
          <w:szCs w:val="20"/>
          <w:vertAlign w:val="superscript"/>
          <w:rtl w:val="0"/>
        </w:rPr>
        <w:t xml:space="preserve">a </w:t>
      </w:r>
      <w:r w:rsidDel="00000000" w:rsidR="00000000" w:rsidRPr="00000000">
        <w:rPr>
          <w:rFonts w:ascii="Palatino Linotype" w:cs="Palatino Linotype" w:eastAsia="Palatino Linotype" w:hAnsi="Palatino Linotype"/>
          <w:color w:val="404040"/>
          <w:sz w:val="20"/>
          <w:szCs w:val="20"/>
          <w:rtl w:val="0"/>
        </w:rPr>
        <w:t xml:space="preserve">XXXXXXX, Indonesia </w:t>
      </w:r>
      <w:r w:rsidDel="00000000" w:rsidR="00000000" w:rsidRPr="00000000">
        <w:rPr>
          <w:rtl w:val="0"/>
        </w:rPr>
      </w:r>
    </w:p>
    <w:p w:rsidR="00000000" w:rsidDel="00000000" w:rsidP="00000000" w:rsidRDefault="00000000" w:rsidRPr="00000000" w14:paraId="00000004">
      <w:pPr>
        <w:spacing w:after="0" w:before="0" w:lineRule="auto"/>
        <w:jc w:val="both"/>
        <w:rPr>
          <w:rFonts w:ascii="Palatino Linotype" w:cs="Palatino Linotype" w:eastAsia="Palatino Linotype" w:hAnsi="Palatino Linotype"/>
          <w:color w:val="404040"/>
          <w:sz w:val="20"/>
          <w:szCs w:val="20"/>
        </w:rPr>
      </w:pPr>
      <w:r w:rsidDel="00000000" w:rsidR="00000000" w:rsidRPr="00000000">
        <w:rPr>
          <w:rFonts w:ascii="Palatino Linotype" w:cs="Palatino Linotype" w:eastAsia="Palatino Linotype" w:hAnsi="Palatino Linotype"/>
          <w:color w:val="404040"/>
          <w:rtl w:val="0"/>
        </w:rPr>
        <w:t xml:space="preserve"> </w:t>
      </w:r>
      <w:r w:rsidDel="00000000" w:rsidR="00000000" w:rsidRPr="00000000">
        <w:rPr>
          <w:rFonts w:ascii="Palatino Linotype" w:cs="Palatino Linotype" w:eastAsia="Palatino Linotype" w:hAnsi="Palatino Linotype"/>
          <w:color w:val="404040"/>
          <w:sz w:val="20"/>
          <w:szCs w:val="20"/>
          <w:vertAlign w:val="superscript"/>
          <w:rtl w:val="0"/>
        </w:rPr>
        <w:t xml:space="preserve">b </w:t>
      </w:r>
      <w:r w:rsidDel="00000000" w:rsidR="00000000" w:rsidRPr="00000000">
        <w:rPr>
          <w:rFonts w:ascii="Palatino Linotype" w:cs="Palatino Linotype" w:eastAsia="Palatino Linotype" w:hAnsi="Palatino Linotype"/>
          <w:color w:val="404040"/>
          <w:sz w:val="20"/>
          <w:szCs w:val="20"/>
          <w:rtl w:val="0"/>
        </w:rPr>
        <w:t xml:space="preserve">The Joint Graduate School of Energy and Environment and Centre of Excellence on Energy Technology and Environment, King Mongkut's University of Technology Thonburi, Bangkok 10140, Thailand</w:t>
      </w:r>
    </w:p>
    <w:p w:rsidR="00000000" w:rsidDel="00000000" w:rsidP="00000000" w:rsidRDefault="00000000" w:rsidRPr="00000000" w14:paraId="00000005">
      <w:pPr>
        <w:spacing w:after="0" w:before="0" w:lineRule="auto"/>
        <w:jc w:val="both"/>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color w:val="404040"/>
          <w:sz w:val="20"/>
          <w:szCs w:val="20"/>
          <w:vertAlign w:val="superscript"/>
          <w:rtl w:val="0"/>
        </w:rPr>
        <w:t xml:space="preserve">b </w:t>
      </w:r>
      <w:r w:rsidDel="00000000" w:rsidR="00000000" w:rsidRPr="00000000">
        <w:rPr>
          <w:rFonts w:ascii="Palatino Linotype" w:cs="Palatino Linotype" w:eastAsia="Palatino Linotype" w:hAnsi="Palatino Linotype"/>
          <w:color w:val="404040"/>
          <w:sz w:val="20"/>
          <w:szCs w:val="20"/>
          <w:rtl w:val="0"/>
        </w:rPr>
        <w:t xml:space="preserve">GIS and Remote Sensing Consultant, 21059, Varese, Italy; gis.dario.simonetti@gmail.com</w:t>
      </w:r>
      <w:r w:rsidDel="00000000" w:rsidR="00000000" w:rsidRPr="00000000">
        <w:rPr>
          <w:rtl w:val="0"/>
        </w:rPr>
      </w:r>
    </w:p>
    <w:p w:rsidR="00000000" w:rsidDel="00000000" w:rsidP="00000000" w:rsidRDefault="00000000" w:rsidRPr="00000000" w14:paraId="00000006">
      <w:pPr>
        <w:jc w:val="both"/>
        <w:rPr>
          <w:rFonts w:ascii="Palatino Linotype" w:cs="Palatino Linotype" w:eastAsia="Palatino Linotype" w:hAnsi="Palatino Linotype"/>
          <w:color w:val="404040"/>
          <w:sz w:val="20"/>
          <w:szCs w:val="20"/>
        </w:rPr>
      </w:pPr>
      <w:r w:rsidDel="00000000" w:rsidR="00000000" w:rsidRPr="00000000">
        <w:rPr>
          <w:rFonts w:ascii="Palatino Linotype" w:cs="Palatino Linotype" w:eastAsia="Palatino Linotype" w:hAnsi="Palatino Linotype"/>
          <w:sz w:val="20"/>
          <w:szCs w:val="20"/>
          <w:vertAlign w:val="superscript"/>
          <w:rtl w:val="0"/>
        </w:rPr>
        <w:t xml:space="preserve">e </w:t>
      </w:r>
      <w:r w:rsidDel="00000000" w:rsidR="00000000" w:rsidRPr="00000000">
        <w:rPr>
          <w:rFonts w:ascii="Palatino Linotype" w:cs="Palatino Linotype" w:eastAsia="Palatino Linotype" w:hAnsi="Palatino Linotype"/>
          <w:sz w:val="20"/>
          <w:szCs w:val="20"/>
          <w:rtl w:val="0"/>
        </w:rPr>
        <w:t xml:space="preserve">Srinakharinwirot University; </w:t>
      </w:r>
      <w:hyperlink r:id="rId7">
        <w:r w:rsidDel="00000000" w:rsidR="00000000" w:rsidRPr="00000000">
          <w:rPr>
            <w:rFonts w:ascii="Palatino Linotype" w:cs="Palatino Linotype" w:eastAsia="Palatino Linotype" w:hAnsi="Palatino Linotype"/>
            <w:sz w:val="20"/>
            <w:szCs w:val="20"/>
            <w:rtl w:val="0"/>
          </w:rPr>
          <w:t xml:space="preserve">as.sitthi@gmail.com</w:t>
        </w:r>
      </w:hyperlink>
      <w:r w:rsidDel="00000000" w:rsidR="00000000" w:rsidRPr="00000000">
        <w:rPr>
          <w:rFonts w:ascii="Palatino Linotype" w:cs="Palatino Linotype" w:eastAsia="Palatino Linotype" w:hAnsi="Palatino Linotype"/>
          <w:sz w:val="20"/>
          <w:szCs w:val="20"/>
          <w:rtl w:val="0"/>
        </w:rPr>
        <w:t xml:space="preserve"> ; </w:t>
      </w:r>
      <w:hyperlink r:id="rId8">
        <w:r w:rsidDel="00000000" w:rsidR="00000000" w:rsidRPr="00000000">
          <w:rPr>
            <w:rFonts w:ascii="Palatino Linotype" w:cs="Palatino Linotype" w:eastAsia="Palatino Linotype" w:hAnsi="Palatino Linotype"/>
            <w:sz w:val="20"/>
            <w:szCs w:val="20"/>
            <w:rtl w:val="0"/>
          </w:rPr>
          <w:t xml:space="preserve">asamaporn@g.swu.ac.th</w:t>
        </w:r>
      </w:hyperlink>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tl w:val="0"/>
        </w:rPr>
      </w:r>
    </w:p>
    <w:p w:rsidR="00000000" w:rsidDel="00000000" w:rsidP="00000000" w:rsidRDefault="00000000" w:rsidRPr="00000000" w14:paraId="00000007">
      <w:pPr>
        <w:jc w:val="both"/>
        <w:rPr>
          <w:rFonts w:ascii="Palatino Linotype" w:cs="Palatino Linotype" w:eastAsia="Palatino Linotype" w:hAnsi="Palatino Linotype"/>
          <w:color w:val="404040"/>
          <w:sz w:val="20"/>
          <w:szCs w:val="20"/>
        </w:rPr>
      </w:pPr>
      <w:r w:rsidDel="00000000" w:rsidR="00000000" w:rsidRPr="00000000">
        <w:rPr>
          <w:rFonts w:ascii="Palatino Linotype" w:cs="Palatino Linotype" w:eastAsia="Palatino Linotype" w:hAnsi="Palatino Linotype"/>
          <w:color w:val="404040"/>
          <w:sz w:val="20"/>
          <w:szCs w:val="20"/>
          <w:vertAlign w:val="superscript"/>
          <w:rtl w:val="0"/>
        </w:rPr>
        <w:t xml:space="preserve">g</w:t>
      </w:r>
      <w:r w:rsidDel="00000000" w:rsidR="00000000" w:rsidRPr="00000000">
        <w:rPr>
          <w:rFonts w:ascii="Palatino Linotype" w:cs="Palatino Linotype" w:eastAsia="Palatino Linotype" w:hAnsi="Palatino Linotype"/>
          <w:color w:val="404040"/>
          <w:sz w:val="20"/>
          <w:szCs w:val="20"/>
          <w:rtl w:val="0"/>
        </w:rPr>
        <w:t xml:space="preserve">Institute of Forest Growth and Computer Sciences, Technische Universität Dresden, Tharandt, Germany; </w:t>
      </w:r>
      <w:hyperlink r:id="rId9">
        <w:r w:rsidDel="00000000" w:rsidR="00000000" w:rsidRPr="00000000">
          <w:rPr>
            <w:rFonts w:ascii="Palatino Linotype" w:cs="Palatino Linotype" w:eastAsia="Palatino Linotype" w:hAnsi="Palatino Linotype"/>
            <w:color w:val="1155cc"/>
            <w:sz w:val="20"/>
            <w:szCs w:val="20"/>
            <w:u w:val="single"/>
            <w:rtl w:val="0"/>
          </w:rPr>
          <w:t xml:space="preserve">uta.berger@tu-dresden.de</w:t>
        </w:r>
      </w:hyperlink>
      <w:r w:rsidDel="00000000" w:rsidR="00000000" w:rsidRPr="00000000">
        <w:rPr>
          <w:rtl w:val="0"/>
        </w:rPr>
      </w:r>
    </w:p>
    <w:p w:rsidR="00000000" w:rsidDel="00000000" w:rsidP="00000000" w:rsidRDefault="00000000" w:rsidRPr="00000000" w14:paraId="00000008">
      <w:pPr>
        <w:jc w:val="both"/>
        <w:rPr>
          <w:rFonts w:ascii="Palatino Linotype" w:cs="Palatino Linotype" w:eastAsia="Palatino Linotype" w:hAnsi="Palatino Linotype"/>
          <w:color w:val="404040"/>
          <w:sz w:val="20"/>
          <w:szCs w:val="20"/>
        </w:rPr>
      </w:pPr>
      <w:r w:rsidDel="00000000" w:rsidR="00000000" w:rsidRPr="00000000">
        <w:rPr>
          <w:rFonts w:ascii="Palatino Linotype" w:cs="Palatino Linotype" w:eastAsia="Palatino Linotype" w:hAnsi="Palatino Linotype"/>
          <w:color w:val="404040"/>
          <w:sz w:val="20"/>
          <w:szCs w:val="20"/>
          <w:vertAlign w:val="superscript"/>
          <w:rtl w:val="0"/>
        </w:rPr>
        <w:t xml:space="preserve">f</w:t>
      </w:r>
      <w:r w:rsidDel="00000000" w:rsidR="00000000" w:rsidRPr="00000000">
        <w:rPr>
          <w:rFonts w:ascii="Palatino Linotype" w:cs="Palatino Linotype" w:eastAsia="Palatino Linotype" w:hAnsi="Palatino Linotype"/>
          <w:color w:val="404040"/>
          <w:sz w:val="20"/>
          <w:szCs w:val="20"/>
          <w:rtl w:val="0"/>
        </w:rPr>
        <w:t xml:space="preserve">CIRAD, UPR Forests and Societies (F&amp;S), Campus International de Baillarguet, Montpellier, France; valery.gond@cirad.fr</w:t>
      </w:r>
    </w:p>
    <w:p w:rsidR="00000000" w:rsidDel="00000000" w:rsidP="00000000" w:rsidRDefault="00000000" w:rsidRPr="00000000" w14:paraId="00000009">
      <w:pPr>
        <w:spacing w:after="240" w:before="240" w:lineRule="auto"/>
        <w:ind w:left="260" w:hanging="80"/>
        <w:jc w:val="both"/>
        <w:rPr>
          <w:rFonts w:ascii="Palatino Linotype" w:cs="Palatino Linotype" w:eastAsia="Palatino Linotype" w:hAnsi="Palatino Linotype"/>
          <w:color w:val="404040"/>
          <w:sz w:val="24"/>
          <w:szCs w:val="24"/>
        </w:rPr>
      </w:pPr>
      <w:r w:rsidDel="00000000" w:rsidR="00000000" w:rsidRPr="00000000">
        <w:rPr>
          <w:rFonts w:ascii="Palatino Linotype" w:cs="Palatino Linotype" w:eastAsia="Palatino Linotype" w:hAnsi="Palatino Linotype"/>
          <w:b w:val="1"/>
          <w:color w:val="404040"/>
          <w:sz w:val="20"/>
          <w:szCs w:val="20"/>
          <w:rtl w:val="0"/>
        </w:rPr>
        <w:t xml:space="preserve">*       </w:t>
        <w:tab/>
      </w:r>
      <w:r w:rsidDel="00000000" w:rsidR="00000000" w:rsidRPr="00000000">
        <w:rPr>
          <w:rFonts w:ascii="Palatino Linotype" w:cs="Palatino Linotype" w:eastAsia="Palatino Linotype" w:hAnsi="Palatino Linotype"/>
          <w:color w:val="404040"/>
          <w:sz w:val="20"/>
          <w:szCs w:val="20"/>
          <w:rtl w:val="0"/>
        </w:rPr>
        <w:t xml:space="preserve">Correspondence: upimple@gmail.com; uday.pim@kmutt.ac.th Tel.: +66-2-872-9014 (ext. 4112)</w:t>
      </w:r>
      <w:r w:rsidDel="00000000" w:rsidR="00000000" w:rsidRPr="00000000">
        <w:rPr>
          <w:rtl w:val="0"/>
        </w:rPr>
      </w:r>
    </w:p>
    <w:p w:rsidR="00000000" w:rsidDel="00000000" w:rsidP="00000000" w:rsidRDefault="00000000" w:rsidRPr="00000000" w14:paraId="0000000A">
      <w:pPr>
        <w:pStyle w:val="Title"/>
        <w:jc w:val="left"/>
        <w:rPr>
          <w:rFonts w:ascii="Palatino Linotype" w:cs="Palatino Linotype" w:eastAsia="Palatino Linotype" w:hAnsi="Palatino Linotype"/>
          <w:sz w:val="24"/>
          <w:szCs w:val="24"/>
        </w:rPr>
      </w:pPr>
      <w:bookmarkStart w:colFirst="0" w:colLast="0" w:name="_hz7cou9s42uj" w:id="1"/>
      <w:bookmarkEnd w:id="1"/>
      <w:r w:rsidDel="00000000" w:rsidR="00000000" w:rsidRPr="00000000">
        <w:rPr>
          <w:rFonts w:ascii="Palatino Linotype" w:cs="Palatino Linotype" w:eastAsia="Palatino Linotype" w:hAnsi="Palatino Linotype"/>
          <w:b w:val="1"/>
          <w:color w:val="404040"/>
          <w:sz w:val="24"/>
          <w:szCs w:val="24"/>
          <w:rtl w:val="0"/>
        </w:rPr>
        <w:t xml:space="preserve">Abstract</w:t>
      </w:r>
      <w:r w:rsidDel="00000000" w:rsidR="00000000" w:rsidRPr="00000000">
        <w:rPr>
          <w:rFonts w:ascii="Palatino Linotype" w:cs="Palatino Linotype" w:eastAsia="Palatino Linotype" w:hAnsi="Palatino Linotype"/>
          <w:color w:val="404040"/>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numPr>
          <w:ilvl w:val="0"/>
          <w:numId w:val="1"/>
        </w:numPr>
        <w:ind w:left="720" w:hanging="360"/>
        <w:rPr>
          <w:rFonts w:ascii="Palatino Linotype" w:cs="Palatino Linotype" w:eastAsia="Palatino Linotype" w:hAnsi="Palatino Linotype"/>
          <w:b w:val="1"/>
          <w:sz w:val="24"/>
          <w:szCs w:val="24"/>
        </w:rPr>
      </w:pPr>
      <w:bookmarkStart w:colFirst="0" w:colLast="0" w:name="_uca3dytmo7eq" w:id="2"/>
      <w:bookmarkEnd w:id="2"/>
      <w:r w:rsidDel="00000000" w:rsidR="00000000" w:rsidRPr="00000000">
        <w:rPr>
          <w:rFonts w:ascii="Palatino Linotype" w:cs="Palatino Linotype" w:eastAsia="Palatino Linotype" w:hAnsi="Palatino Linotype"/>
          <w:b w:val="1"/>
          <w:sz w:val="24"/>
          <w:szCs w:val="24"/>
          <w:rtl w:val="0"/>
        </w:rPr>
        <w:t xml:space="preserve">Introduction</w:t>
      </w:r>
    </w:p>
    <w:p w:rsidR="00000000" w:rsidDel="00000000" w:rsidP="00000000" w:rsidRDefault="00000000" w:rsidRPr="00000000" w14:paraId="0000000C">
      <w:pPr>
        <w:spacing w:after="160" w:line="276" w:lineRule="auto"/>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Mangrove forests are one of the most valuable and productive ecosystems, forming a critical interface between land and sea. They provide numerous ecosystem services, including serving as significant carbon sinks storing three to five times more carbon than terrestrial forests </w:t>
      </w:r>
      <w:hyperlink r:id="rId10">
        <w:r w:rsidDel="00000000" w:rsidR="00000000" w:rsidRPr="00000000">
          <w:rPr>
            <w:rFonts w:ascii="Palatino Linotype" w:cs="Palatino Linotype" w:eastAsia="Palatino Linotype" w:hAnsi="Palatino Linotype"/>
            <w:sz w:val="24"/>
            <w:szCs w:val="24"/>
            <w:rtl w:val="0"/>
          </w:rPr>
          <w:t xml:space="preserve">(Alongi, 2012)</w:t>
        </w:r>
      </w:hyperlink>
      <w:r w:rsidDel="00000000" w:rsidR="00000000" w:rsidRPr="00000000">
        <w:rPr>
          <w:rFonts w:ascii="Palatino Linotype" w:cs="Palatino Linotype" w:eastAsia="Palatino Linotype" w:hAnsi="Palatino Linotype"/>
          <w:sz w:val="24"/>
          <w:szCs w:val="24"/>
          <w:rtl w:val="0"/>
        </w:rPr>
        <w:t xml:space="preserve">, as well as supporting biodiversity and protecting coastlines. </w:t>
      </w:r>
      <w:r w:rsidDel="00000000" w:rsidR="00000000" w:rsidRPr="00000000">
        <w:rPr>
          <w:rFonts w:ascii="Palatino Linotype" w:cs="Palatino Linotype" w:eastAsia="Palatino Linotype" w:hAnsi="Palatino Linotype"/>
          <w:sz w:val="24"/>
          <w:szCs w:val="24"/>
          <w:rtl w:val="0"/>
        </w:rPr>
        <w:t xml:space="preserve">The Indo-West-Pacific region including Southeast Asia are one of the highest biodiversity regions responsible for accommodating about 62 species, compared to the Atlantic-East Pacific region (only 12; </w:t>
      </w:r>
      <w:hyperlink r:id="rId11">
        <w:r w:rsidDel="00000000" w:rsidR="00000000" w:rsidRPr="00000000">
          <w:rPr>
            <w:rFonts w:ascii="Palatino Linotype" w:cs="Palatino Linotype" w:eastAsia="Palatino Linotype" w:hAnsi="Palatino Linotype"/>
            <w:sz w:val="24"/>
            <w:szCs w:val="24"/>
            <w:rtl w:val="0"/>
          </w:rPr>
          <w:t xml:space="preserve">Duke et al., 1998; Spalding,  et al., 2010; Tomlinson,  2016)</w:t>
        </w:r>
      </w:hyperlink>
      <w:r w:rsidDel="00000000" w:rsidR="00000000" w:rsidRPr="00000000">
        <w:rPr>
          <w:rFonts w:ascii="Palatino Linotype" w:cs="Palatino Linotype" w:eastAsia="Palatino Linotype" w:hAnsi="Palatino Linotype"/>
          <w:sz w:val="24"/>
          <w:szCs w:val="24"/>
          <w:rtl w:val="0"/>
        </w:rPr>
        <w:t xml:space="preserve">. The species diversity is driven by local environmental settings and responsible for structural complexity and carbon sequestration potential </w:t>
      </w:r>
      <w:hyperlink r:id="rId12">
        <w:r w:rsidDel="00000000" w:rsidR="00000000" w:rsidRPr="00000000">
          <w:rPr>
            <w:rFonts w:ascii="Palatino Linotype" w:cs="Palatino Linotype" w:eastAsia="Palatino Linotype" w:hAnsi="Palatino Linotype"/>
            <w:sz w:val="24"/>
            <w:szCs w:val="24"/>
            <w:rtl w:val="0"/>
          </w:rPr>
          <w:t xml:space="preserve">(Pimple et al., 2022b; Sitthi et al., 2025)</w:t>
        </w:r>
      </w:hyperlink>
      <w:r w:rsidDel="00000000" w:rsidR="00000000" w:rsidRPr="00000000">
        <w:rPr>
          <w:rFonts w:ascii="Palatino Linotype" w:cs="Palatino Linotype" w:eastAsia="Palatino Linotype" w:hAnsi="Palatino Linotype"/>
          <w:sz w:val="24"/>
          <w:szCs w:val="24"/>
          <w:rtl w:val="0"/>
        </w:rPr>
        <w:t xml:space="preserve">. </w:t>
      </w:r>
    </w:p>
    <w:p w:rsidR="00000000" w:rsidDel="00000000" w:rsidP="00000000" w:rsidRDefault="00000000" w:rsidRPr="00000000" w14:paraId="0000000D">
      <w:pPr>
        <w:spacing w:after="160" w:line="276" w:lineRule="auto"/>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color w:val="1f1f1f"/>
          <w:sz w:val="24"/>
          <w:szCs w:val="24"/>
          <w:rtl w:val="0"/>
        </w:rPr>
        <w:t xml:space="preserve">While </w:t>
      </w:r>
      <w:r w:rsidDel="00000000" w:rsidR="00000000" w:rsidRPr="00000000">
        <w:rPr>
          <w:rFonts w:ascii="Palatino Linotype" w:cs="Palatino Linotype" w:eastAsia="Palatino Linotype" w:hAnsi="Palatino Linotype"/>
          <w:sz w:val="24"/>
          <w:szCs w:val="24"/>
          <w:rtl w:val="0"/>
        </w:rPr>
        <w:t xml:space="preserve">the global rate of mangrove losses has decreased, countries in</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Southeast Asia countries like the Philippines, Cambodia, Indonesia, Myanmar, Malaysia continue to experience high losses </w:t>
      </w:r>
      <w:hyperlink r:id="rId13">
        <w:r w:rsidDel="00000000" w:rsidR="00000000" w:rsidRPr="00000000">
          <w:rPr>
            <w:rFonts w:ascii="Palatino Linotype" w:cs="Palatino Linotype" w:eastAsia="Palatino Linotype" w:hAnsi="Palatino Linotype"/>
            <w:sz w:val="24"/>
            <w:szCs w:val="24"/>
            <w:rtl w:val="0"/>
          </w:rPr>
          <w:t xml:space="preserve">(Bunting et al., 2023; Friess et al., 2019; Gandhi and Jones, 2019; Goldberg et al., 2020)</w:t>
        </w:r>
      </w:hyperlink>
      <w:r w:rsidDel="00000000" w:rsidR="00000000" w:rsidRPr="00000000">
        <w:rPr>
          <w:rFonts w:ascii="Palatino Linotype" w:cs="Palatino Linotype" w:eastAsia="Palatino Linotype" w:hAnsi="Palatino Linotype"/>
          <w:sz w:val="24"/>
          <w:szCs w:val="24"/>
          <w:rtl w:val="0"/>
        </w:rPr>
        <w:t xml:space="preserve">. Although awareness have expanded restoration efforts across the region </w:t>
      </w:r>
      <w:hyperlink r:id="rId14">
        <w:r w:rsidDel="00000000" w:rsidR="00000000" w:rsidRPr="00000000">
          <w:rPr>
            <w:rFonts w:ascii="Palatino Linotype" w:cs="Palatino Linotype" w:eastAsia="Palatino Linotype" w:hAnsi="Palatino Linotype"/>
            <w:sz w:val="24"/>
            <w:szCs w:val="24"/>
            <w:rtl w:val="0"/>
          </w:rPr>
          <w:t xml:space="preserve">(Sitthi et al., 2025; Song et al., 2023)</w:t>
        </w:r>
      </w:hyperlink>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many focus on monoculture plantations without an adequate site assessment or consideration of ecological principles </w:t>
      </w:r>
      <w:hyperlink r:id="rId15">
        <w:r w:rsidDel="00000000" w:rsidR="00000000" w:rsidRPr="00000000">
          <w:rPr>
            <w:rFonts w:ascii="Palatino Linotype" w:cs="Palatino Linotype" w:eastAsia="Palatino Linotype" w:hAnsi="Palatino Linotype"/>
            <w:sz w:val="24"/>
            <w:szCs w:val="24"/>
            <w:rtl w:val="0"/>
          </w:rPr>
          <w:t xml:space="preserve">(Pimple et al., 2022a, 2020; Sitthi et al., 2025)</w:t>
        </w:r>
      </w:hyperlink>
      <w:r w:rsidDel="00000000" w:rsidR="00000000" w:rsidRPr="00000000">
        <w:rPr>
          <w:rFonts w:ascii="Palatino Linotype" w:cs="Palatino Linotype" w:eastAsia="Palatino Linotype" w:hAnsi="Palatino Linotype"/>
          <w:sz w:val="24"/>
          <w:szCs w:val="24"/>
          <w:rtl w:val="0"/>
        </w:rPr>
        <w:t xml:space="preserve">. As a result,  these areas often show reduced ecological functions, altered species composition (monoculture) and simplified forest structure </w:t>
      </w:r>
      <w:hyperlink r:id="rId16">
        <w:r w:rsidDel="00000000" w:rsidR="00000000" w:rsidRPr="00000000">
          <w:rPr>
            <w:rFonts w:ascii="Palatino Linotype" w:cs="Palatino Linotype" w:eastAsia="Palatino Linotype" w:hAnsi="Palatino Linotype"/>
            <w:sz w:val="24"/>
            <w:szCs w:val="24"/>
            <w:rtl w:val="0"/>
          </w:rPr>
          <w:t xml:space="preserve">(Asaeda et al., 2016; Pimple et al., 2023, 2022a)</w:t>
        </w:r>
      </w:hyperlink>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Understanding the baseline of mangrove species diversity, restoration outcomes and their structural dynamics remains limited, with only a few localized studies </w:t>
      </w:r>
      <w:hyperlink r:id="rId17">
        <w:r w:rsidDel="00000000" w:rsidR="00000000" w:rsidRPr="00000000">
          <w:rPr>
            <w:rFonts w:ascii="Palatino Linotype" w:cs="Palatino Linotype" w:eastAsia="Palatino Linotype" w:hAnsi="Palatino Linotype"/>
            <w:sz w:val="24"/>
            <w:szCs w:val="24"/>
            <w:rtl w:val="0"/>
          </w:rPr>
          <w:t xml:space="preserve">(Pimple et al., 2025, 2022a, 2020)</w:t>
        </w:r>
      </w:hyperlink>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Since canopy height can be considered as one of the key indicators of forest maturity and structural complexity </w:t>
      </w:r>
      <w:hyperlink r:id="rId18">
        <w:r w:rsidDel="00000000" w:rsidR="00000000" w:rsidRPr="00000000">
          <w:rPr>
            <w:rFonts w:ascii="Palatino Linotype" w:cs="Palatino Linotype" w:eastAsia="Palatino Linotype" w:hAnsi="Palatino Linotype"/>
            <w:sz w:val="24"/>
            <w:szCs w:val="24"/>
            <w:rtl w:val="0"/>
          </w:rPr>
          <w:t xml:space="preserve">(Simard et al., 2019)</w:t>
        </w:r>
      </w:hyperlink>
      <w:r w:rsidDel="00000000" w:rsidR="00000000" w:rsidRPr="00000000">
        <w:rPr>
          <w:rFonts w:ascii="Palatino Linotype" w:cs="Palatino Linotype" w:eastAsia="Palatino Linotype" w:hAnsi="Palatino Linotype"/>
          <w:sz w:val="24"/>
          <w:szCs w:val="24"/>
          <w:rtl w:val="0"/>
        </w:rPr>
        <w:t xml:space="preserve">, linking it with species composition and restoration history provides a direct way to assess the outcome of conservation interventions, structural complexity and ecological functions over a period</w:t>
      </w:r>
      <w:r w:rsidDel="00000000" w:rsidR="00000000" w:rsidRPr="00000000">
        <w:rPr>
          <w:rFonts w:ascii="Palatino Linotype" w:cs="Palatino Linotype" w:eastAsia="Palatino Linotype" w:hAnsi="Palatino Linotype"/>
          <w:sz w:val="24"/>
          <w:szCs w:val="24"/>
          <w:rtl w:val="0"/>
        </w:rPr>
        <w:t xml:space="preserve">.  </w:t>
      </w:r>
    </w:p>
    <w:p w:rsidR="00000000" w:rsidDel="00000000" w:rsidP="00000000" w:rsidRDefault="00000000" w:rsidRPr="00000000" w14:paraId="0000000E">
      <w:pPr>
        <w:spacing w:after="160" w:line="276" w:lineRule="auto"/>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Canopy height serves as a measurable indicator </w:t>
      </w:r>
      <w:r w:rsidDel="00000000" w:rsidR="00000000" w:rsidRPr="00000000">
        <w:rPr>
          <w:rFonts w:ascii="Palatino Linotype" w:cs="Palatino Linotype" w:eastAsia="Palatino Linotype" w:hAnsi="Palatino Linotype"/>
          <w:sz w:val="24"/>
          <w:szCs w:val="24"/>
          <w:rtl w:val="0"/>
        </w:rPr>
        <w:t xml:space="preserve">for restoration success and detecting natural disturbances and </w:t>
      </w:r>
      <w:r w:rsidDel="00000000" w:rsidR="00000000" w:rsidRPr="00000000">
        <w:rPr>
          <w:rFonts w:ascii="Palatino Linotype" w:cs="Palatino Linotype" w:eastAsia="Palatino Linotype" w:hAnsi="Palatino Linotype"/>
          <w:sz w:val="24"/>
          <w:szCs w:val="24"/>
          <w:rtl w:val="0"/>
        </w:rPr>
        <w:t xml:space="preserve">recovery</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caused</w:t>
      </w:r>
      <w:r w:rsidDel="00000000" w:rsidR="00000000" w:rsidRPr="00000000">
        <w:rPr>
          <w:rFonts w:ascii="Palatino Linotype" w:cs="Palatino Linotype" w:eastAsia="Palatino Linotype" w:hAnsi="Palatino Linotype"/>
          <w:sz w:val="24"/>
          <w:szCs w:val="24"/>
          <w:rtl w:val="0"/>
        </w:rPr>
        <w:t xml:space="preserve"> by storms, tsunamis or </w:t>
      </w:r>
      <w:r w:rsidDel="00000000" w:rsidR="00000000" w:rsidRPr="00000000">
        <w:rPr>
          <w:rFonts w:ascii="Palatino Linotype" w:cs="Palatino Linotype" w:eastAsia="Palatino Linotype" w:hAnsi="Palatino Linotype"/>
          <w:sz w:val="24"/>
          <w:szCs w:val="24"/>
          <w:rtl w:val="0"/>
        </w:rPr>
        <w:t xml:space="preserve">lightning strikes</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Reliable estimation of canopy height are fundamental for assessing above-ground biomass, vertical complexity, and habitat quality</w:t>
      </w:r>
      <w:r w:rsidDel="00000000" w:rsidR="00000000" w:rsidRPr="00000000">
        <w:rPr>
          <w:rFonts w:ascii="Palatino Linotype" w:cs="Palatino Linotype" w:eastAsia="Palatino Linotype" w:hAnsi="Palatino Linotype"/>
          <w:sz w:val="24"/>
          <w:szCs w:val="24"/>
          <w:rtl w:val="0"/>
        </w:rPr>
        <w:t xml:space="preserve"> </w:t>
      </w:r>
      <w:hyperlink r:id="rId19">
        <w:r w:rsidDel="00000000" w:rsidR="00000000" w:rsidRPr="00000000">
          <w:rPr>
            <w:rFonts w:ascii="Palatino Linotype" w:cs="Palatino Linotype" w:eastAsia="Palatino Linotype" w:hAnsi="Palatino Linotype"/>
            <w:color w:val="cc2936"/>
            <w:sz w:val="24"/>
            <w:szCs w:val="24"/>
            <w:rtl w:val="0"/>
          </w:rPr>
          <w:t xml:space="preserve">(Alexander et al., 2018; Asner et al., 2010; Goetz et al., 2010; Hill and Hinsley, 2015; Li et al.</w:t>
        </w:r>
      </w:hyperlink>
      <w:hyperlink r:id="rId20">
        <w:r w:rsidDel="00000000" w:rsidR="00000000" w:rsidRPr="00000000">
          <w:rPr>
            <w:rFonts w:ascii="Palatino Linotype" w:cs="Palatino Linotype" w:eastAsia="Palatino Linotype" w:hAnsi="Palatino Linotype"/>
            <w:color w:val="cc2936"/>
            <w:sz w:val="24"/>
            <w:szCs w:val="24"/>
            <w:rtl w:val="0"/>
          </w:rPr>
          <w:t xml:space="preserve">, 2020)</w:t>
        </w:r>
      </w:hyperlink>
      <w:r w:rsidDel="00000000" w:rsidR="00000000" w:rsidRPr="00000000">
        <w:rPr>
          <w:rFonts w:ascii="Palatino Linotype" w:cs="Palatino Linotype" w:eastAsia="Palatino Linotype" w:hAnsi="Palatino Linotype"/>
          <w:sz w:val="24"/>
          <w:szCs w:val="24"/>
          <w:rtl w:val="0"/>
        </w:rPr>
        <w:t xml:space="preserve">.</w:t>
      </w:r>
      <w:r w:rsidDel="00000000" w:rsidR="00000000" w:rsidRPr="00000000">
        <w:rPr>
          <w:rFonts w:ascii="Palatino Linotype" w:cs="Palatino Linotype" w:eastAsia="Palatino Linotype" w:hAnsi="Palatino Linotype"/>
          <w:sz w:val="24"/>
          <w:szCs w:val="24"/>
          <w:rtl w:val="0"/>
        </w:rPr>
        <w:t xml:space="preserve"> However, spatiotemporal analyses of canopy height dynamics remain scarce, as most studies rely on single-date observations </w:t>
      </w:r>
      <w:hyperlink r:id="rId21">
        <w:r w:rsidDel="00000000" w:rsidR="00000000" w:rsidRPr="00000000">
          <w:rPr>
            <w:rFonts w:ascii="Palatino Linotype" w:cs="Palatino Linotype" w:eastAsia="Palatino Linotype" w:hAnsi="Palatino Linotype"/>
            <w:sz w:val="24"/>
            <w:szCs w:val="24"/>
            <w:rtl w:val="0"/>
          </w:rPr>
          <w:t xml:space="preserve">(Zhen et al., 2024)</w:t>
        </w:r>
      </w:hyperlink>
      <w:r w:rsidDel="00000000" w:rsidR="00000000" w:rsidRPr="00000000">
        <w:rPr>
          <w:rFonts w:ascii="Palatino Linotype" w:cs="Palatino Linotype" w:eastAsia="Palatino Linotype" w:hAnsi="Palatino Linotype"/>
          <w:sz w:val="24"/>
          <w:szCs w:val="24"/>
          <w:rtl w:val="0"/>
        </w:rPr>
        <w:t xml:space="preserve">. Traditional field-based measurements are limited in scale due to high cost, accessibility challenges, and time requirements. Remote sensing technologies such as Landsat, Sentinel-1 and-2, LiDAR, ICEsat-1 and 2 and GEDI (Ecosystems Dynamics Investigation (GEDI); Land, Vegetation, and Ice Sensor (LVIS); and its predecessor although allow large scale species diversity distributions, success of restoration, and structural attributes </w:t>
      </w:r>
      <w:commentRangeStart w:id="0"/>
      <w:hyperlink r:id="rId22">
        <w:r w:rsidDel="00000000" w:rsidR="00000000" w:rsidRPr="00000000">
          <w:rPr>
            <w:rFonts w:ascii="Palatino Linotype" w:cs="Palatino Linotype" w:eastAsia="Palatino Linotype" w:hAnsi="Palatino Linotype"/>
            <w:sz w:val="24"/>
            <w:szCs w:val="24"/>
            <w:rtl w:val="0"/>
          </w:rPr>
          <w:t xml:space="preserve">(Otero et al., 2019; Pimple et al., </w:t>
        </w:r>
      </w:hyperlink>
      <w:commentRangeStart w:id="1"/>
      <w:hyperlink r:id="rId23">
        <w:r w:rsidDel="00000000" w:rsidR="00000000" w:rsidRPr="00000000">
          <w:rPr>
            <w:rFonts w:ascii="Palatino Linotype" w:cs="Palatino Linotype" w:eastAsia="Palatino Linotype" w:hAnsi="Palatino Linotype"/>
            <w:sz w:val="24"/>
            <w:szCs w:val="24"/>
            <w:rtl w:val="0"/>
          </w:rPr>
          <w:t xml:space="preserve">2025</w:t>
        </w:r>
      </w:hyperlink>
      <w:commentRangeEnd w:id="1"/>
      <w:r w:rsidDel="00000000" w:rsidR="00000000" w:rsidRPr="00000000">
        <w:commentReference w:id="1"/>
      </w:r>
      <w:hyperlink r:id="rId24">
        <w:r w:rsidDel="00000000" w:rsidR="00000000" w:rsidRPr="00000000">
          <w:rPr>
            <w:rFonts w:ascii="Palatino Linotype" w:cs="Palatino Linotype" w:eastAsia="Palatino Linotype" w:hAnsi="Palatino Linotype"/>
            <w:sz w:val="24"/>
            <w:szCs w:val="24"/>
            <w:rtl w:val="0"/>
          </w:rPr>
          <w:t xml:space="preserve">)</w:t>
        </w:r>
      </w:hyperlink>
      <w:r w:rsidDel="00000000" w:rsidR="00000000" w:rsidRPr="00000000">
        <w:rPr>
          <w:rFonts w:ascii="Palatino Linotype" w:cs="Palatino Linotype" w:eastAsia="Palatino Linotype" w:hAnsi="Palatino Linotype"/>
          <w:sz w:val="24"/>
          <w:szCs w:val="24"/>
          <w:rtl w:val="0"/>
        </w:rPr>
        <w:t xml:space="preserve"> </w:t>
      </w:r>
      <w:hyperlink r:id="rId25">
        <w:r w:rsidDel="00000000" w:rsidR="00000000" w:rsidRPr="00000000">
          <w:rPr>
            <w:rFonts w:ascii="Palatino Linotype" w:cs="Palatino Linotype" w:eastAsia="Palatino Linotype" w:hAnsi="Palatino Linotype"/>
            <w:sz w:val="24"/>
            <w:szCs w:val="24"/>
            <w:rtl w:val="0"/>
          </w:rPr>
          <w:t xml:space="preserve">(Jia et al., 2025)</w:t>
        </w:r>
      </w:hyperlink>
      <w:r w:rsidDel="00000000" w:rsidR="00000000" w:rsidRPr="00000000">
        <w:rPr>
          <w:rFonts w:ascii="Palatino Linotype" w:cs="Palatino Linotype" w:eastAsia="Palatino Linotype" w:hAnsi="Palatino Linotype"/>
          <w:sz w:val="24"/>
          <w:szCs w:val="24"/>
          <w:rtl w:val="0"/>
        </w:rPr>
        <w:t xml:space="preserve"> (Neuenschwander et al., 2020) (Li et al., 2020)</w:t>
      </w:r>
      <w:commentRangeEnd w:id="0"/>
      <w:r w:rsidDel="00000000" w:rsidR="00000000" w:rsidRPr="00000000">
        <w:commentReference w:id="0"/>
      </w:r>
      <w:r w:rsidDel="00000000" w:rsidR="00000000" w:rsidRPr="00000000">
        <w:rPr>
          <w:rFonts w:ascii="Palatino Linotype" w:cs="Palatino Linotype" w:eastAsia="Palatino Linotype" w:hAnsi="Palatino Linotype"/>
          <w:sz w:val="24"/>
          <w:szCs w:val="24"/>
          <w:rtl w:val="0"/>
        </w:rPr>
        <w:t xml:space="preserve"> (Nandy et al., 2021). </w:t>
      </w:r>
      <w:r w:rsidDel="00000000" w:rsidR="00000000" w:rsidRPr="00000000">
        <w:rPr>
          <w:rtl w:val="0"/>
        </w:rPr>
      </w:r>
    </w:p>
    <w:p w:rsidR="00000000" w:rsidDel="00000000" w:rsidP="00000000" w:rsidRDefault="00000000" w:rsidRPr="00000000" w14:paraId="0000000F">
      <w:pPr>
        <w:spacing w:after="160" w:line="276" w:lineRule="auto"/>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The </w:t>
      </w:r>
      <w:r w:rsidDel="00000000" w:rsidR="00000000" w:rsidRPr="00000000">
        <w:rPr>
          <w:rFonts w:ascii="Palatino Linotype" w:cs="Palatino Linotype" w:eastAsia="Palatino Linotype" w:hAnsi="Palatino Linotype"/>
          <w:sz w:val="24"/>
          <w:szCs w:val="24"/>
          <w:rtl w:val="0"/>
        </w:rPr>
        <w:t xml:space="preserve">integration of Sentinel-1 and-2 SDGSAT-1 MII, and UAV-LiDAR </w:t>
      </w:r>
      <w:r w:rsidDel="00000000" w:rsidR="00000000" w:rsidRPr="00000000">
        <w:rPr>
          <w:rFonts w:ascii="Palatino Linotype" w:cs="Palatino Linotype" w:eastAsia="Palatino Linotype" w:hAnsi="Palatino Linotype"/>
          <w:sz w:val="24"/>
          <w:szCs w:val="24"/>
          <w:rtl w:val="0"/>
        </w:rPr>
        <w:t xml:space="preserve">showed  potential for canopy height measurements in mangrove forests </w:t>
      </w:r>
      <w:hyperlink r:id="rId26">
        <w:r w:rsidDel="00000000" w:rsidR="00000000" w:rsidRPr="00000000">
          <w:rPr>
            <w:rFonts w:ascii="Palatino Linotype" w:cs="Palatino Linotype" w:eastAsia="Palatino Linotype" w:hAnsi="Palatino Linotype"/>
            <w:sz w:val="24"/>
            <w:szCs w:val="24"/>
            <w:rtl w:val="0"/>
          </w:rPr>
          <w:t xml:space="preserve">(Jia et al., 2025)</w:t>
        </w:r>
      </w:hyperlink>
      <w:r w:rsidDel="00000000" w:rsidR="00000000" w:rsidRPr="00000000">
        <w:rPr>
          <w:rFonts w:ascii="Palatino Linotype" w:cs="Palatino Linotype" w:eastAsia="Palatino Linotype" w:hAnsi="Palatino Linotype"/>
          <w:sz w:val="24"/>
          <w:szCs w:val="24"/>
          <w:rtl w:val="0"/>
        </w:rPr>
        <w:t xml:space="preserve">.</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The recently launched ICESat-2 demonstrates promising results for terrain and canopy height monitoring in forested ecosystems, including boreal and Mountainous forest </w:t>
      </w:r>
      <w:commentRangeStart w:id="2"/>
      <w:hyperlink r:id="rId27">
        <w:r w:rsidDel="00000000" w:rsidR="00000000" w:rsidRPr="00000000">
          <w:rPr>
            <w:rFonts w:ascii="Palatino Linotype" w:cs="Palatino Linotype" w:eastAsia="Palatino Linotype" w:hAnsi="Palatino Linotype"/>
            <w:color w:val="cc2936"/>
            <w:sz w:val="24"/>
            <w:szCs w:val="24"/>
            <w:rtl w:val="0"/>
          </w:rPr>
          <w:t xml:space="preserve">(Neuenschwander et al., 2020)</w:t>
        </w:r>
      </w:hyperlink>
      <w:r w:rsidDel="00000000" w:rsidR="00000000" w:rsidRPr="00000000">
        <w:rPr>
          <w:rFonts w:ascii="Palatino Linotype" w:cs="Palatino Linotype" w:eastAsia="Palatino Linotype" w:hAnsi="Palatino Linotype"/>
          <w:sz w:val="24"/>
          <w:szCs w:val="24"/>
          <w:rtl w:val="0"/>
        </w:rPr>
        <w:t xml:space="preserve"> </w:t>
      </w:r>
      <w:hyperlink r:id="rId28">
        <w:r w:rsidDel="00000000" w:rsidR="00000000" w:rsidRPr="00000000">
          <w:rPr>
            <w:rFonts w:ascii="Palatino Linotype" w:cs="Palatino Linotype" w:eastAsia="Palatino Linotype" w:hAnsi="Palatino Linotype"/>
            <w:color w:val="cc2936"/>
            <w:sz w:val="24"/>
            <w:szCs w:val="24"/>
            <w:rtl w:val="0"/>
          </w:rPr>
          <w:t xml:space="preserve">(Li et al., 2020)</w:t>
        </w:r>
      </w:hyperlink>
      <w:r w:rsidDel="00000000" w:rsidR="00000000" w:rsidRPr="00000000">
        <w:rPr>
          <w:rFonts w:ascii="Palatino Linotype" w:cs="Palatino Linotype" w:eastAsia="Palatino Linotype" w:hAnsi="Palatino Linotype"/>
          <w:sz w:val="24"/>
          <w:szCs w:val="24"/>
          <w:rtl w:val="0"/>
        </w:rPr>
        <w:t xml:space="preserve">,</w:t>
      </w:r>
      <w:commentRangeEnd w:id="2"/>
      <w:r w:rsidDel="00000000" w:rsidR="00000000" w:rsidRPr="00000000">
        <w:commentReference w:id="2"/>
      </w:r>
      <w:r w:rsidDel="00000000" w:rsidR="00000000" w:rsidRPr="00000000">
        <w:rPr>
          <w:rFonts w:ascii="Palatino Linotype" w:cs="Palatino Linotype" w:eastAsia="Palatino Linotype" w:hAnsi="Palatino Linotype"/>
          <w:sz w:val="24"/>
          <w:szCs w:val="24"/>
          <w:rtl w:val="0"/>
        </w:rPr>
        <w:t xml:space="preserve"> as well as above-ground biomass mapping </w:t>
      </w:r>
      <w:hyperlink r:id="rId29">
        <w:r w:rsidDel="00000000" w:rsidR="00000000" w:rsidRPr="00000000">
          <w:rPr>
            <w:rFonts w:ascii="Palatino Linotype" w:cs="Palatino Linotype" w:eastAsia="Palatino Linotype" w:hAnsi="Palatino Linotype"/>
            <w:color w:val="cc2936"/>
            <w:sz w:val="24"/>
            <w:szCs w:val="24"/>
            <w:rtl w:val="0"/>
          </w:rPr>
          <w:t xml:space="preserve">(Nandy et al., 2021)</w:t>
        </w:r>
      </w:hyperlink>
      <w:r w:rsidDel="00000000" w:rsidR="00000000" w:rsidRPr="00000000">
        <w:rPr>
          <w:rFonts w:ascii="Palatino Linotype" w:cs="Palatino Linotype" w:eastAsia="Palatino Linotype" w:hAnsi="Palatino Linotype"/>
          <w:sz w:val="24"/>
          <w:szCs w:val="24"/>
          <w:rtl w:val="0"/>
        </w:rPr>
        <w:t xml:space="preserve">.</w:t>
      </w:r>
      <w:r w:rsidDel="00000000" w:rsidR="00000000" w:rsidRPr="00000000">
        <w:rPr>
          <w:rFonts w:ascii="Palatino Linotype" w:cs="Palatino Linotype" w:eastAsia="Palatino Linotype" w:hAnsi="Palatino Linotype"/>
          <w:sz w:val="24"/>
          <w:szCs w:val="24"/>
          <w:rtl w:val="0"/>
        </w:rPr>
        <w:t xml:space="preserve"> However, its application in mangroves studies remains limited. Yu et al. (2022) evaluated ICESat-2 for canopy height retrievals. Besides the capacity of ICESat-2 to use a green wavelength (532 nm) that allows simultaneous measurement of terrain and vegetation and is well-suited for mapping canopy height in flooded and wetland areas. The above studies were restricted to mangrove extent, without addressing spatiotemporal dynamics of species diversity or long-term restoration outcomes.</w:t>
      </w:r>
    </w:p>
    <w:p w:rsidR="00000000" w:rsidDel="00000000" w:rsidP="00000000" w:rsidRDefault="00000000" w:rsidRPr="00000000" w14:paraId="00000010">
      <w:pPr>
        <w:spacing w:after="160" w:line="276" w:lineRule="auto"/>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The growing availability of medium- and high-resolution imagery such as Landsat Sentinel-1 SAR, Sentinel-2 MSI imagery, and LiDAR technologies, combined with cloud-computing platforms like Google Earth Engine (GEE) and advanced machine learning capabilities, further strengthens data processing and predictive modeling for canopy height estimation. These models can integrate LiDAR-derived variables with satellite imagery features, including spectral reflectance, spectral indices, texture metrics, and other derived parameters, improving the accuracy and spatial coverage of canopy height predictions </w:t>
      </w:r>
      <w:hyperlink r:id="rId30">
        <w:r w:rsidDel="00000000" w:rsidR="00000000" w:rsidRPr="00000000">
          <w:rPr>
            <w:rFonts w:ascii="Palatino Linotype" w:cs="Palatino Linotype" w:eastAsia="Palatino Linotype" w:hAnsi="Palatino Linotype"/>
            <w:color w:val="cc2936"/>
            <w:sz w:val="24"/>
            <w:szCs w:val="24"/>
            <w:rtl w:val="0"/>
          </w:rPr>
          <w:t xml:space="preserve">(Li et al., 2020)</w:t>
        </w:r>
      </w:hyperlink>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Additionally, incorporating long-term spatiotemporal dynamics of species distribution and rehabilitation baselines can help overcome the limitations of single-date LiDAR observations, providing a more comprehensive assessment of mangrove structural and ecological changes </w:t>
      </w:r>
      <w:hyperlink r:id="rId31">
        <w:r w:rsidDel="00000000" w:rsidR="00000000" w:rsidRPr="00000000">
          <w:rPr>
            <w:rFonts w:ascii="Palatino Linotype" w:cs="Palatino Linotype" w:eastAsia="Palatino Linotype" w:hAnsi="Palatino Linotype"/>
            <w:sz w:val="24"/>
            <w:szCs w:val="24"/>
            <w:rtl w:val="0"/>
          </w:rPr>
          <w:t xml:space="preserve">(Pimple et al., 2025)</w:t>
        </w:r>
      </w:hyperlink>
      <w:r w:rsidDel="00000000" w:rsidR="00000000" w:rsidRPr="00000000">
        <w:rPr>
          <w:rFonts w:ascii="Palatino Linotype" w:cs="Palatino Linotype" w:eastAsia="Palatino Linotype" w:hAnsi="Palatino Linotype"/>
          <w:sz w:val="24"/>
          <w:szCs w:val="24"/>
          <w:rtl w:val="0"/>
        </w:rPr>
        <w:t xml:space="preserve">.  </w:t>
      </w:r>
    </w:p>
    <w:p w:rsidR="00000000" w:rsidDel="00000000" w:rsidP="00000000" w:rsidRDefault="00000000" w:rsidRPr="00000000" w14:paraId="00000011">
      <w:pPr>
        <w:spacing w:after="160" w:line="276" w:lineRule="auto"/>
        <w:jc w:val="both"/>
        <w:rPr>
          <w:rFonts w:ascii="Palatino Linotype" w:cs="Palatino Linotype" w:eastAsia="Palatino Linotype" w:hAnsi="Palatino Linotype"/>
          <w:color w:val="ff0000"/>
          <w:sz w:val="24"/>
          <w:szCs w:val="24"/>
          <w:highlight w:val="yellow"/>
        </w:rPr>
      </w:pPr>
      <w:r w:rsidDel="00000000" w:rsidR="00000000" w:rsidRPr="00000000">
        <w:rPr>
          <w:rFonts w:ascii="Palatino Linotype" w:cs="Palatino Linotype" w:eastAsia="Palatino Linotype" w:hAnsi="Palatino Linotype"/>
          <w:sz w:val="24"/>
          <w:szCs w:val="24"/>
          <w:rtl w:val="0"/>
        </w:rPr>
        <w:t xml:space="preserve">Building on these recent advances, this study addresses the knowledge gap of how canopy height derived from ICESat-2, GEDI, and satellite imagery can be used to assess mangrove structural dynamics and evaluate restoration success at a landscape scale, in relation to long-term spatiotemporal patterns of species diversity and restoration outcomes. By integrating these remote sensing data with existing baseline field inventory, species and rehabilitation maps, we can link canopy height measurements to surface elevation, species composition, stand structure, and historical restoration interventions. To address this question, the specific objectives are to: (1) map and analyse mangrove canopy height using remote sensing in combination with existing baseline data; (2) assess rehabilitated and natural stands to evaluate restoration success based on height and structural patterns; and (3) explore species-level height differences to understand how species composition influences forest structure and restoration outcomes.</w:t>
      </w:r>
      <w:r w:rsidDel="00000000" w:rsidR="00000000" w:rsidRPr="00000000">
        <w:rPr>
          <w:rtl w:val="0"/>
        </w:rPr>
      </w:r>
    </w:p>
    <w:p w:rsidR="00000000" w:rsidDel="00000000" w:rsidP="00000000" w:rsidRDefault="00000000" w:rsidRPr="00000000" w14:paraId="00000012">
      <w:pPr>
        <w:spacing w:after="240" w:before="240" w:lineRule="auto"/>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b w:val="1"/>
          <w:color w:val="404040"/>
          <w:sz w:val="24"/>
          <w:szCs w:val="24"/>
          <w:rtl w:val="0"/>
        </w:rPr>
        <w:t xml:space="preserve">2 Study area and dataset</w:t>
      </w:r>
      <w:r w:rsidDel="00000000" w:rsidR="00000000" w:rsidRPr="00000000">
        <w:rPr>
          <w:rtl w:val="0"/>
        </w:rPr>
      </w:r>
    </w:p>
    <w:p w:rsidR="00000000" w:rsidDel="00000000" w:rsidP="00000000" w:rsidRDefault="00000000" w:rsidRPr="00000000" w14:paraId="00000013">
      <w:pPr>
        <w:pStyle w:val="Heading1"/>
        <w:ind w:left="0" w:firstLine="0"/>
        <w:rPr>
          <w:rFonts w:ascii="Palatino Linotype" w:cs="Palatino Linotype" w:eastAsia="Palatino Linotype" w:hAnsi="Palatino Linotype"/>
          <w:b w:val="1"/>
          <w:sz w:val="24"/>
          <w:szCs w:val="24"/>
        </w:rPr>
      </w:pPr>
      <w:bookmarkStart w:colFirst="0" w:colLast="0" w:name="_jwerz0jlj30a" w:id="3"/>
      <w:bookmarkEnd w:id="3"/>
      <w:r w:rsidDel="00000000" w:rsidR="00000000" w:rsidRPr="00000000">
        <w:rPr>
          <w:rFonts w:ascii="Palatino Linotype" w:cs="Palatino Linotype" w:eastAsia="Palatino Linotype" w:hAnsi="Palatino Linotype"/>
          <w:b w:val="1"/>
          <w:sz w:val="24"/>
          <w:szCs w:val="24"/>
          <w:rtl w:val="0"/>
        </w:rPr>
        <w:t xml:space="preserve">2.1 Study area</w:t>
      </w:r>
    </w:p>
    <w:p w:rsidR="00000000" w:rsidDel="00000000" w:rsidP="00000000" w:rsidRDefault="00000000" w:rsidRPr="00000000" w14:paraId="00000014">
      <w:pPr>
        <w:spacing w:line="276" w:lineRule="auto"/>
        <w:ind w:firstLine="0"/>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The study area is located in Trat Province, Thailand (12.21° N, 102.61° E). The area consists of various mangrove conditions such as natural mangrove, rehabilitated mangrove, and regenerated mangrove. The study site was selected as it had a vast area of mangrove forests, which covers approximately 106 km2, with a large rehabilitated mangrove area adjacent to natural mangrove. Previously, the area was subject to large-scale rehabilitation efforts that were conducted without a proper site assessment using a monoculture of </w:t>
      </w:r>
      <w:r w:rsidDel="00000000" w:rsidR="00000000" w:rsidRPr="00000000">
        <w:rPr>
          <w:rFonts w:ascii="Palatino Linotype" w:cs="Palatino Linotype" w:eastAsia="Palatino Linotype" w:hAnsi="Palatino Linotype"/>
          <w:i w:val="1"/>
          <w:sz w:val="24"/>
          <w:szCs w:val="24"/>
          <w:rtl w:val="0"/>
        </w:rPr>
        <w:t xml:space="preserve">Rhizophoraceae </w:t>
      </w:r>
      <w:r w:rsidDel="00000000" w:rsidR="00000000" w:rsidRPr="00000000">
        <w:rPr>
          <w:rFonts w:ascii="Palatino Linotype" w:cs="Palatino Linotype" w:eastAsia="Palatino Linotype" w:hAnsi="Palatino Linotype"/>
          <w:sz w:val="24"/>
          <w:szCs w:val="24"/>
          <w:rtl w:val="0"/>
        </w:rPr>
        <w:t xml:space="preserve">and several degraded lands have undergone a natural regeneration. In addition, the area also had a zone of mangrove forest </w:t>
      </w:r>
      <w:r w:rsidDel="00000000" w:rsidR="00000000" w:rsidRPr="00000000">
        <w:rPr>
          <w:rFonts w:ascii="Palatino Linotype" w:cs="Palatino Linotype" w:eastAsia="Palatino Linotype" w:hAnsi="Palatino Linotype"/>
          <w:sz w:val="24"/>
          <w:szCs w:val="24"/>
          <w:rtl w:val="0"/>
        </w:rPr>
        <w:t xml:space="preserve">that was once</w:t>
      </w:r>
      <w:r w:rsidDel="00000000" w:rsidR="00000000" w:rsidRPr="00000000">
        <w:rPr>
          <w:rFonts w:ascii="Palatino Linotype" w:cs="Palatino Linotype" w:eastAsia="Palatino Linotype" w:hAnsi="Palatino Linotype"/>
          <w:sz w:val="24"/>
          <w:szCs w:val="24"/>
          <w:rtl w:val="0"/>
        </w:rPr>
        <w:t xml:space="preserve"> degraded by shrimp farming and agriculture </w:t>
      </w:r>
      <w:hyperlink r:id="rId32">
        <w:r w:rsidDel="00000000" w:rsidR="00000000" w:rsidRPr="00000000">
          <w:rPr>
            <w:rFonts w:ascii="Palatino Linotype" w:cs="Palatino Linotype" w:eastAsia="Palatino Linotype" w:hAnsi="Palatino Linotype"/>
            <w:sz w:val="24"/>
            <w:szCs w:val="24"/>
            <w:rtl w:val="0"/>
          </w:rPr>
          <w:t xml:space="preserve">(Pimple et al., 2025, 2020)</w:t>
        </w:r>
      </w:hyperlink>
      <w:r w:rsidDel="00000000" w:rsidR="00000000" w:rsidRPr="00000000">
        <w:rPr>
          <w:rFonts w:ascii="Palatino Linotype" w:cs="Palatino Linotype" w:eastAsia="Palatino Linotype" w:hAnsi="Palatino Linotype"/>
          <w:sz w:val="24"/>
          <w:szCs w:val="24"/>
          <w:rtl w:val="0"/>
        </w:rPr>
        <w:t xml:space="preserve">.  Importantly, the site contains detailed baseline data on species distribution and restoration from 1987 to 2022 </w:t>
      </w:r>
      <w:hyperlink r:id="rId33">
        <w:r w:rsidDel="00000000" w:rsidR="00000000" w:rsidRPr="00000000">
          <w:rPr>
            <w:rFonts w:ascii="Palatino Linotype" w:cs="Palatino Linotype" w:eastAsia="Palatino Linotype" w:hAnsi="Palatino Linotype"/>
            <w:sz w:val="24"/>
            <w:szCs w:val="24"/>
            <w:rtl w:val="0"/>
          </w:rPr>
          <w:t xml:space="preserve">(Pimple et al., 2025, 2022a)</w:t>
        </w:r>
      </w:hyperlink>
      <w:r w:rsidDel="00000000" w:rsidR="00000000" w:rsidRPr="00000000">
        <w:rPr>
          <w:rFonts w:ascii="Palatino Linotype" w:cs="Palatino Linotype" w:eastAsia="Palatino Linotype" w:hAnsi="Palatino Linotype"/>
          <w:sz w:val="24"/>
          <w:szCs w:val="24"/>
          <w:rtl w:val="0"/>
        </w:rPr>
        <w:t xml:space="preserve">. These data provide a robust foundation for assessing the canopy height with respect to species community assemblages and the success of restoration interventions over time.</w:t>
      </w:r>
    </w:p>
    <w:p w:rsidR="00000000" w:rsidDel="00000000" w:rsidP="00000000" w:rsidRDefault="00000000" w:rsidRPr="00000000" w14:paraId="00000015">
      <w:pPr>
        <w:spacing w:line="276" w:lineRule="auto"/>
        <w:ind w:left="0" w:firstLine="0"/>
        <w:jc w:val="both"/>
        <w:rPr>
          <w:rFonts w:ascii="Palatino Linotype" w:cs="Palatino Linotype" w:eastAsia="Palatino Linotype" w:hAnsi="Palatino Linotype"/>
          <w:sz w:val="24"/>
          <w:szCs w:val="24"/>
        </w:rPr>
      </w:pPr>
      <w:r w:rsidDel="00000000" w:rsidR="00000000" w:rsidRPr="00000000">
        <w:rPr>
          <w:rtl w:val="0"/>
        </w:rPr>
      </w:r>
    </w:p>
    <w:p w:rsidR="00000000" w:rsidDel="00000000" w:rsidP="00000000" w:rsidRDefault="00000000" w:rsidRPr="00000000" w14:paraId="00000016">
      <w:pPr>
        <w:spacing w:line="276" w:lineRule="auto"/>
        <w:ind w:firstLine="0"/>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The study area supports a complex mangrove ecosystem with over 19 genera existing within the region. The currently identified species are </w:t>
      </w:r>
      <w:r w:rsidDel="00000000" w:rsidR="00000000" w:rsidRPr="00000000">
        <w:rPr>
          <w:rFonts w:ascii="Palatino Linotype" w:cs="Palatino Linotype" w:eastAsia="Palatino Linotype" w:hAnsi="Palatino Linotype"/>
          <w:i w:val="1"/>
          <w:sz w:val="24"/>
          <w:szCs w:val="24"/>
          <w:rtl w:val="0"/>
        </w:rPr>
        <w:t xml:space="preserve">Avicennia alba, Avicennia marina, Avicennia officinalis, Bruguiera cylindrica, Bruguiera gymnorhiza, Bruguiera hainesii, Bruguiera sexangula, Ceriops tagal, Excoecaria agallocha, Heritiera littoralis, Intsia bijuga, Lumnitzera littorea, Lumnitzera racemosa, Rhizophora apiculata, Rhizophora mucronata, Sonneratia alba, Sonneratia ovata, Xylocarpus granatum, and Xylocarpus moluccensis </w:t>
      </w:r>
      <w:hyperlink r:id="rId34">
        <w:r w:rsidDel="00000000" w:rsidR="00000000" w:rsidRPr="00000000">
          <w:rPr>
            <w:rFonts w:ascii="Palatino Linotype" w:cs="Palatino Linotype" w:eastAsia="Palatino Linotype" w:hAnsi="Palatino Linotype"/>
            <w:sz w:val="24"/>
            <w:szCs w:val="24"/>
            <w:rtl w:val="0"/>
          </w:rPr>
          <w:t xml:space="preserve">(Pimple et al., 2025, 2020)</w:t>
        </w:r>
      </w:hyperlink>
      <w:r w:rsidDel="00000000" w:rsidR="00000000" w:rsidRPr="00000000">
        <w:rPr>
          <w:rFonts w:ascii="Palatino Linotype" w:cs="Palatino Linotype" w:eastAsia="Palatino Linotype" w:hAnsi="Palatino Linotype"/>
          <w:sz w:val="24"/>
          <w:szCs w:val="24"/>
          <w:rtl w:val="0"/>
        </w:rPr>
        <w:t xml:space="preserve">.  This existing field data will be used in this study. </w:t>
      </w:r>
    </w:p>
    <w:p w:rsidR="00000000" w:rsidDel="00000000" w:rsidP="00000000" w:rsidRDefault="00000000" w:rsidRPr="00000000" w14:paraId="00000017">
      <w:pPr>
        <w:spacing w:line="276" w:lineRule="auto"/>
        <w:ind w:firstLine="0"/>
        <w:jc w:val="both"/>
        <w:rPr>
          <w:rFonts w:ascii="Palatino Linotype" w:cs="Palatino Linotype" w:eastAsia="Palatino Linotype" w:hAnsi="Palatino Linotype"/>
          <w:sz w:val="24"/>
          <w:szCs w:val="24"/>
        </w:rPr>
      </w:pPr>
      <w:r w:rsidDel="00000000" w:rsidR="00000000" w:rsidRPr="00000000">
        <w:rPr>
          <w:rtl w:val="0"/>
        </w:rPr>
      </w:r>
    </w:p>
    <w:p w:rsidR="00000000" w:rsidDel="00000000" w:rsidP="00000000" w:rsidRDefault="00000000" w:rsidRPr="00000000" w14:paraId="00000018">
      <w:pPr>
        <w:spacing w:line="276" w:lineRule="auto"/>
        <w:ind w:firstLine="0"/>
        <w:jc w:val="both"/>
        <w:rPr>
          <w:rFonts w:ascii="Palatino Linotype" w:cs="Palatino Linotype" w:eastAsia="Palatino Linotype" w:hAnsi="Palatino Linotype"/>
          <w:sz w:val="24"/>
          <w:szCs w:val="24"/>
        </w:rPr>
      </w:pPr>
      <w:r w:rsidDel="00000000" w:rsidR="00000000" w:rsidRPr="00000000">
        <w:rPr>
          <w:rtl w:val="0"/>
        </w:rPr>
      </w:r>
    </w:p>
    <w:p w:rsidR="00000000" w:rsidDel="00000000" w:rsidP="00000000" w:rsidRDefault="00000000" w:rsidRPr="00000000" w14:paraId="00000019">
      <w:pPr>
        <w:spacing w:line="276" w:lineRule="auto"/>
        <w:ind w:firstLine="0"/>
        <w:jc w:val="both"/>
        <w:rPr>
          <w:rFonts w:ascii="Palatino Linotype" w:cs="Palatino Linotype" w:eastAsia="Palatino Linotype" w:hAnsi="Palatino Linotype"/>
          <w:sz w:val="24"/>
          <w:szCs w:val="24"/>
        </w:rPr>
      </w:pPr>
      <w:r w:rsidDel="00000000" w:rsidR="00000000" w:rsidRPr="00000000">
        <w:rPr>
          <w:rtl w:val="0"/>
        </w:rPr>
      </w:r>
    </w:p>
    <w:p w:rsidR="00000000" w:rsidDel="00000000" w:rsidP="00000000" w:rsidRDefault="00000000" w:rsidRPr="00000000" w14:paraId="0000001A">
      <w:pPr>
        <w:spacing w:line="276" w:lineRule="auto"/>
        <w:ind w:firstLine="0"/>
        <w:jc w:val="both"/>
        <w:rPr>
          <w:rFonts w:ascii="Palatino Linotype" w:cs="Palatino Linotype" w:eastAsia="Palatino Linotype" w:hAnsi="Palatino Linotype"/>
          <w:sz w:val="24"/>
          <w:szCs w:val="24"/>
        </w:rPr>
      </w:pPr>
      <w:r w:rsidDel="00000000" w:rsidR="00000000" w:rsidRPr="00000000">
        <w:rPr>
          <w:rtl w:val="0"/>
        </w:rPr>
      </w:r>
    </w:p>
    <w:p w:rsidR="00000000" w:rsidDel="00000000" w:rsidP="00000000" w:rsidRDefault="00000000" w:rsidRPr="00000000" w14:paraId="0000001B">
      <w:pPr>
        <w:spacing w:line="240" w:lineRule="auto"/>
        <w:ind w:left="0" w:firstLine="0"/>
        <w:jc w:val="left"/>
        <w:rPr>
          <w:rFonts w:ascii="Palatino Linotype" w:cs="Palatino Linotype" w:eastAsia="Palatino Linotype" w:hAnsi="Palatino Linotype"/>
          <w:b w:val="1"/>
          <w:sz w:val="24"/>
          <w:szCs w:val="24"/>
        </w:rPr>
      </w:pPr>
      <w:r w:rsidDel="00000000" w:rsidR="00000000" w:rsidRPr="00000000">
        <w:rPr>
          <w:rtl w:val="0"/>
        </w:rPr>
      </w:r>
    </w:p>
    <w:p w:rsidR="00000000" w:rsidDel="00000000" w:rsidP="00000000" w:rsidRDefault="00000000" w:rsidRPr="00000000" w14:paraId="0000001C">
      <w:pPr>
        <w:spacing w:line="240" w:lineRule="auto"/>
        <w:ind w:left="0" w:firstLine="0"/>
        <w:jc w:val="left"/>
        <w:rPr>
          <w:rFonts w:ascii="Palatino Linotype" w:cs="Palatino Linotype" w:eastAsia="Palatino Linotype" w:hAnsi="Palatino Linotype"/>
          <w:b w:val="1"/>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123825</wp:posOffset>
            </wp:positionH>
            <wp:positionV relativeFrom="paragraph">
              <wp:posOffset>114300</wp:posOffset>
            </wp:positionV>
            <wp:extent cx="3160403" cy="3126662"/>
            <wp:effectExtent b="0" l="0" r="0" t="0"/>
            <wp:wrapNone/>
            <wp:docPr id="3"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3160403" cy="3126662"/>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3445200</wp:posOffset>
            </wp:positionH>
            <wp:positionV relativeFrom="paragraph">
              <wp:posOffset>114300</wp:posOffset>
            </wp:positionV>
            <wp:extent cx="2285130" cy="3190279"/>
            <wp:effectExtent b="0" l="0" r="0" t="0"/>
            <wp:wrapNone/>
            <wp:docPr id="2"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2285130" cy="3190279"/>
                    </a:xfrm>
                    <a:prstGeom prst="rect"/>
                    <a:ln/>
                  </pic:spPr>
                </pic:pic>
              </a:graphicData>
            </a:graphic>
          </wp:anchor>
        </w:drawing>
      </w:r>
    </w:p>
    <w:p w:rsidR="00000000" w:rsidDel="00000000" w:rsidP="00000000" w:rsidRDefault="00000000" w:rsidRPr="00000000" w14:paraId="0000001D">
      <w:pPr>
        <w:spacing w:line="240" w:lineRule="auto"/>
        <w:ind w:left="720" w:firstLine="0"/>
        <w:jc w:val="center"/>
        <w:rPr>
          <w:rFonts w:ascii="Palatino Linotype" w:cs="Palatino Linotype" w:eastAsia="Palatino Linotype" w:hAnsi="Palatino Linotype"/>
          <w:b w:val="1"/>
          <w:sz w:val="24"/>
          <w:szCs w:val="24"/>
        </w:rPr>
      </w:pPr>
      <w:r w:rsidDel="00000000" w:rsidR="00000000" w:rsidRPr="00000000">
        <w:rPr>
          <w:rtl w:val="0"/>
        </w:rPr>
      </w:r>
    </w:p>
    <w:p w:rsidR="00000000" w:rsidDel="00000000" w:rsidP="00000000" w:rsidRDefault="00000000" w:rsidRPr="00000000" w14:paraId="0000001E">
      <w:pPr>
        <w:spacing w:line="240" w:lineRule="auto"/>
        <w:ind w:left="720" w:firstLine="0"/>
        <w:jc w:val="center"/>
        <w:rPr>
          <w:rFonts w:ascii="Palatino Linotype" w:cs="Palatino Linotype" w:eastAsia="Palatino Linotype" w:hAnsi="Palatino Linotype"/>
          <w:b w:val="1"/>
          <w:sz w:val="24"/>
          <w:szCs w:val="24"/>
        </w:rPr>
      </w:pPr>
      <w:r w:rsidDel="00000000" w:rsidR="00000000" w:rsidRPr="00000000">
        <w:rPr>
          <w:rtl w:val="0"/>
        </w:rPr>
      </w:r>
    </w:p>
    <w:p w:rsidR="00000000" w:rsidDel="00000000" w:rsidP="00000000" w:rsidRDefault="00000000" w:rsidRPr="00000000" w14:paraId="0000001F">
      <w:pPr>
        <w:spacing w:line="240" w:lineRule="auto"/>
        <w:ind w:left="720" w:firstLine="0"/>
        <w:jc w:val="center"/>
        <w:rPr>
          <w:rFonts w:ascii="Palatino Linotype" w:cs="Palatino Linotype" w:eastAsia="Palatino Linotype" w:hAnsi="Palatino Linotype"/>
          <w:b w:val="1"/>
          <w:sz w:val="24"/>
          <w:szCs w:val="24"/>
        </w:rPr>
      </w:pPr>
      <w:r w:rsidDel="00000000" w:rsidR="00000000" w:rsidRPr="00000000">
        <w:rPr>
          <w:rtl w:val="0"/>
        </w:rPr>
      </w:r>
    </w:p>
    <w:p w:rsidR="00000000" w:rsidDel="00000000" w:rsidP="00000000" w:rsidRDefault="00000000" w:rsidRPr="00000000" w14:paraId="00000020">
      <w:pPr>
        <w:spacing w:line="240" w:lineRule="auto"/>
        <w:ind w:left="720" w:firstLine="0"/>
        <w:jc w:val="center"/>
        <w:rPr>
          <w:rFonts w:ascii="Palatino Linotype" w:cs="Palatino Linotype" w:eastAsia="Palatino Linotype" w:hAnsi="Palatino Linotype"/>
          <w:b w:val="1"/>
          <w:sz w:val="24"/>
          <w:szCs w:val="24"/>
        </w:rPr>
      </w:pPr>
      <w:r w:rsidDel="00000000" w:rsidR="00000000" w:rsidRPr="00000000">
        <w:rPr>
          <w:rtl w:val="0"/>
        </w:rPr>
      </w:r>
    </w:p>
    <w:p w:rsidR="00000000" w:rsidDel="00000000" w:rsidP="00000000" w:rsidRDefault="00000000" w:rsidRPr="00000000" w14:paraId="00000021">
      <w:pPr>
        <w:spacing w:line="240" w:lineRule="auto"/>
        <w:ind w:left="720" w:firstLine="0"/>
        <w:jc w:val="center"/>
        <w:rPr>
          <w:rFonts w:ascii="Palatino Linotype" w:cs="Palatino Linotype" w:eastAsia="Palatino Linotype" w:hAnsi="Palatino Linotype"/>
          <w:b w:val="1"/>
          <w:sz w:val="24"/>
          <w:szCs w:val="24"/>
        </w:rPr>
      </w:pPr>
      <w:r w:rsidDel="00000000" w:rsidR="00000000" w:rsidRPr="00000000">
        <w:rPr>
          <w:rtl w:val="0"/>
        </w:rPr>
      </w:r>
    </w:p>
    <w:p w:rsidR="00000000" w:rsidDel="00000000" w:rsidP="00000000" w:rsidRDefault="00000000" w:rsidRPr="00000000" w14:paraId="00000022">
      <w:pPr>
        <w:spacing w:line="240" w:lineRule="auto"/>
        <w:ind w:left="0" w:firstLine="0"/>
        <w:jc w:val="both"/>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23">
      <w:pPr>
        <w:spacing w:line="240" w:lineRule="auto"/>
        <w:ind w:left="0" w:firstLine="0"/>
        <w:jc w:val="both"/>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24">
      <w:pPr>
        <w:spacing w:line="240" w:lineRule="auto"/>
        <w:ind w:left="0" w:firstLine="0"/>
        <w:jc w:val="both"/>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25">
      <w:pPr>
        <w:spacing w:line="240" w:lineRule="auto"/>
        <w:ind w:left="0" w:firstLine="0"/>
        <w:jc w:val="both"/>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26">
      <w:pPr>
        <w:spacing w:line="240" w:lineRule="auto"/>
        <w:ind w:left="0" w:firstLine="0"/>
        <w:jc w:val="both"/>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27">
      <w:pPr>
        <w:spacing w:line="240" w:lineRule="auto"/>
        <w:ind w:left="0" w:firstLine="0"/>
        <w:jc w:val="both"/>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28">
      <w:pPr>
        <w:spacing w:line="240" w:lineRule="auto"/>
        <w:ind w:left="0" w:firstLine="0"/>
        <w:jc w:val="both"/>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29">
      <w:pPr>
        <w:spacing w:line="240" w:lineRule="auto"/>
        <w:ind w:left="0" w:firstLine="0"/>
        <w:jc w:val="both"/>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2A">
      <w:pPr>
        <w:spacing w:line="240" w:lineRule="auto"/>
        <w:ind w:left="0" w:firstLine="0"/>
        <w:jc w:val="both"/>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2B">
      <w:pPr>
        <w:spacing w:line="240" w:lineRule="auto"/>
        <w:ind w:left="0" w:firstLine="0"/>
        <w:jc w:val="both"/>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2C">
      <w:pPr>
        <w:spacing w:line="240" w:lineRule="auto"/>
        <w:ind w:left="0" w:firstLine="0"/>
        <w:jc w:val="both"/>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2D">
      <w:pPr>
        <w:spacing w:line="240" w:lineRule="auto"/>
        <w:ind w:left="0" w:firstLine="0"/>
        <w:jc w:val="both"/>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2E">
      <w:pPr>
        <w:spacing w:line="240" w:lineRule="auto"/>
        <w:ind w:left="0" w:firstLine="0"/>
        <w:jc w:val="both"/>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2F">
      <w:pPr>
        <w:spacing w:line="240" w:lineRule="auto"/>
        <w:ind w:left="0" w:firstLine="0"/>
        <w:jc w:val="both"/>
        <w:rPr>
          <w:rFonts w:ascii="Palatino Linotype" w:cs="Palatino Linotype" w:eastAsia="Palatino Linotype" w:hAnsi="Palatino Linotype"/>
          <w:b w:val="1"/>
          <w:sz w:val="20"/>
          <w:szCs w:val="20"/>
        </w:rPr>
      </w:pPr>
      <w:r w:rsidDel="00000000" w:rsidR="00000000" w:rsidRPr="00000000">
        <w:rPr>
          <w:rFonts w:ascii="Palatino Linotype" w:cs="Palatino Linotype" w:eastAsia="Palatino Linotype" w:hAnsi="Palatino Linotype"/>
          <w:sz w:val="20"/>
          <w:szCs w:val="20"/>
          <w:rtl w:val="0"/>
        </w:rPr>
        <w:t xml:space="preserve">Figure 2. The location of Study area at Trat Province, Thailand (1) existing field data 257 plot at 10 m x 10 m;  (2) green dots are spatial distribution of field data; (3)  red dots are the transect plot with inclusion of microtopography measurements across sea to land gradient. </w:t>
      </w:r>
      <w:r w:rsidDel="00000000" w:rsidR="00000000" w:rsidRPr="00000000">
        <w:rPr>
          <w:rtl w:val="0"/>
        </w:rPr>
      </w:r>
    </w:p>
    <w:p w:rsidR="00000000" w:rsidDel="00000000" w:rsidP="00000000" w:rsidRDefault="00000000" w:rsidRPr="00000000" w14:paraId="00000030">
      <w:pPr>
        <w:spacing w:line="259" w:lineRule="auto"/>
        <w:ind w:lef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31">
      <w:pPr>
        <w:spacing w:after="240" w:before="240" w:lineRule="auto"/>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b w:val="1"/>
          <w:color w:val="404040"/>
          <w:sz w:val="24"/>
          <w:szCs w:val="24"/>
          <w:rtl w:val="0"/>
        </w:rPr>
        <w:t xml:space="preserve">2.2 Dataset</w:t>
      </w:r>
      <w:r w:rsidDel="00000000" w:rsidR="00000000" w:rsidRPr="00000000">
        <w:rPr>
          <w:rtl w:val="0"/>
        </w:rPr>
      </w:r>
    </w:p>
    <w:p w:rsidR="00000000" w:rsidDel="00000000" w:rsidP="00000000" w:rsidRDefault="00000000" w:rsidRPr="00000000" w14:paraId="00000032">
      <w:pPr>
        <w:ind w:left="0" w:firstLine="0"/>
        <w:rPr>
          <w:rFonts w:ascii="Palatino Linotype" w:cs="Palatino Linotype" w:eastAsia="Palatino Linotype" w:hAnsi="Palatino Linotype"/>
          <w:b w:val="1"/>
          <w:sz w:val="24"/>
          <w:szCs w:val="24"/>
        </w:rPr>
      </w:pPr>
      <w:r w:rsidDel="00000000" w:rsidR="00000000" w:rsidRPr="00000000">
        <w:rPr>
          <w:rFonts w:ascii="Palatino Linotype" w:cs="Palatino Linotype" w:eastAsia="Palatino Linotype" w:hAnsi="Palatino Linotype"/>
          <w:b w:val="1"/>
          <w:sz w:val="24"/>
          <w:szCs w:val="24"/>
          <w:rtl w:val="0"/>
        </w:rPr>
        <w:t xml:space="preserve">2.2.1 </w:t>
      </w:r>
      <w:r w:rsidDel="00000000" w:rsidR="00000000" w:rsidRPr="00000000">
        <w:rPr>
          <w:rFonts w:ascii="Palatino Linotype" w:cs="Palatino Linotype" w:eastAsia="Palatino Linotype" w:hAnsi="Palatino Linotype"/>
          <w:b w:val="1"/>
          <w:sz w:val="24"/>
          <w:szCs w:val="24"/>
          <w:rtl w:val="0"/>
        </w:rPr>
        <w:t xml:space="preserve">Sentinel-1 SAR and-2 MSI Composites</w:t>
      </w:r>
    </w:p>
    <w:p w:rsidR="00000000" w:rsidDel="00000000" w:rsidP="00000000" w:rsidRDefault="00000000" w:rsidRPr="00000000" w14:paraId="00000033">
      <w:pPr>
        <w:spacing w:after="200" w:lineRule="auto"/>
        <w:ind w:left="0" w:firstLine="0"/>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The study utilized Sentinel-1 SAR with dual polarization of C-band obtained from Google </w:t>
      </w:r>
      <w:r w:rsidDel="00000000" w:rsidR="00000000" w:rsidRPr="00000000">
        <w:rPr>
          <w:rFonts w:ascii="Palatino Linotype" w:cs="Palatino Linotype" w:eastAsia="Palatino Linotype" w:hAnsi="Palatino Linotype"/>
          <w:sz w:val="24"/>
          <w:szCs w:val="24"/>
          <w:rtl w:val="0"/>
        </w:rPr>
        <w:t xml:space="preserve">Earth Engine (GEE; 2020-2022) </w:t>
      </w:r>
      <w:r w:rsidDel="00000000" w:rsidR="00000000" w:rsidRPr="00000000">
        <w:rPr>
          <w:rFonts w:ascii="Palatino Linotype" w:cs="Palatino Linotype" w:eastAsia="Palatino Linotype" w:hAnsi="Palatino Linotype"/>
          <w:sz w:val="24"/>
          <w:szCs w:val="24"/>
          <w:rtl w:val="0"/>
        </w:rPr>
        <w:t xml:space="preserve">collection. The imagery </w:t>
      </w:r>
      <w:r w:rsidDel="00000000" w:rsidR="00000000" w:rsidRPr="00000000">
        <w:rPr>
          <w:rFonts w:ascii="Palatino Linotype" w:cs="Palatino Linotype" w:eastAsia="Palatino Linotype" w:hAnsi="Palatino Linotype"/>
          <w:sz w:val="24"/>
          <w:szCs w:val="24"/>
          <w:rtl w:val="0"/>
        </w:rPr>
        <w:t xml:space="preserve">has</w:t>
      </w:r>
      <w:r w:rsidDel="00000000" w:rsidR="00000000" w:rsidRPr="00000000">
        <w:rPr>
          <w:rFonts w:ascii="Palatino Linotype" w:cs="Palatino Linotype" w:eastAsia="Palatino Linotype" w:hAnsi="Palatino Linotype"/>
          <w:sz w:val="24"/>
          <w:szCs w:val="24"/>
          <w:rtl w:val="0"/>
        </w:rPr>
        <w:t xml:space="preserve"> been preprocessed border noise correction, thermal noise removal, radiometric calibration, orthorectification, and LEE speckle filtering  </w:t>
      </w:r>
      <w:hyperlink r:id="rId37">
        <w:r w:rsidDel="00000000" w:rsidR="00000000" w:rsidRPr="00000000">
          <w:rPr>
            <w:rFonts w:ascii="Palatino Linotype" w:cs="Palatino Linotype" w:eastAsia="Palatino Linotype" w:hAnsi="Palatino Linotype"/>
            <w:sz w:val="24"/>
            <w:szCs w:val="24"/>
            <w:rtl w:val="0"/>
          </w:rPr>
          <w:t xml:space="preserve">(Mullissa et al., 2021; Slagter et al., 2020)</w:t>
        </w:r>
      </w:hyperlink>
      <w:r w:rsidDel="00000000" w:rsidR="00000000" w:rsidRPr="00000000">
        <w:rPr>
          <w:rFonts w:ascii="Palatino Linotype" w:cs="Palatino Linotype" w:eastAsia="Palatino Linotype" w:hAnsi="Palatino Linotype"/>
          <w:sz w:val="24"/>
          <w:szCs w:val="24"/>
          <w:rtl w:val="0"/>
        </w:rPr>
        <w:t xml:space="preserve">.  The terrain normalization was excluded due to </w:t>
      </w:r>
      <w:r w:rsidDel="00000000" w:rsidR="00000000" w:rsidRPr="00000000">
        <w:rPr>
          <w:rFonts w:ascii="Palatino Linotype" w:cs="Palatino Linotype" w:eastAsia="Palatino Linotype" w:hAnsi="Palatino Linotype"/>
          <w:sz w:val="24"/>
          <w:szCs w:val="24"/>
          <w:rtl w:val="0"/>
        </w:rPr>
        <w:t xml:space="preserve">uncertainties</w:t>
      </w:r>
      <w:r w:rsidDel="00000000" w:rsidR="00000000" w:rsidRPr="00000000">
        <w:rPr>
          <w:rFonts w:ascii="Palatino Linotype" w:cs="Palatino Linotype" w:eastAsia="Palatino Linotype" w:hAnsi="Palatino Linotype"/>
          <w:sz w:val="24"/>
          <w:szCs w:val="24"/>
          <w:rtl w:val="0"/>
        </w:rPr>
        <w:t xml:space="preserve"> associated with global Shuttle Radar Topographic Mission and ASTER Global DEM elevation data in mangrove forests </w:t>
      </w:r>
      <w:hyperlink r:id="rId38">
        <w:r w:rsidDel="00000000" w:rsidR="00000000" w:rsidRPr="00000000">
          <w:rPr>
            <w:rFonts w:ascii="Palatino Linotype" w:cs="Palatino Linotype" w:eastAsia="Palatino Linotype" w:hAnsi="Palatino Linotype"/>
            <w:sz w:val="24"/>
            <w:szCs w:val="24"/>
            <w:rtl w:val="0"/>
          </w:rPr>
          <w:t xml:space="preserve">(Pimple et al., 2025)</w:t>
        </w:r>
      </w:hyperlink>
      <w:r w:rsidDel="00000000" w:rsidR="00000000" w:rsidRPr="00000000">
        <w:rPr>
          <w:rFonts w:ascii="Palatino Linotype" w:cs="Palatino Linotype" w:eastAsia="Palatino Linotype" w:hAnsi="Palatino Linotype"/>
          <w:sz w:val="24"/>
          <w:szCs w:val="24"/>
          <w:rtl w:val="0"/>
        </w:rPr>
        <w:t xml:space="preserve">.</w:t>
      </w:r>
      <w:r w:rsidDel="00000000" w:rsidR="00000000" w:rsidRPr="00000000">
        <w:rPr>
          <w:rtl w:val="0"/>
        </w:rPr>
      </w:r>
    </w:p>
    <w:p w:rsidR="00000000" w:rsidDel="00000000" w:rsidP="00000000" w:rsidRDefault="00000000" w:rsidRPr="00000000" w14:paraId="00000034">
      <w:pPr>
        <w:ind w:left="0" w:firstLine="0"/>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Sentinel-2 data contain images of 13 UNIT 16 spectral bands, representing the TOA reflectance for the period 2020 -2022 was sourced from GEE collection. To handle the potential unreliability of Sentinel-2A cloud mask, cloud and shadow removal was performed using knowledge-based tested rules </w:t>
      </w:r>
      <w:hyperlink r:id="rId39">
        <w:r w:rsidDel="00000000" w:rsidR="00000000" w:rsidRPr="00000000">
          <w:rPr>
            <w:rFonts w:ascii="Palatino Linotype" w:cs="Palatino Linotype" w:eastAsia="Palatino Linotype" w:hAnsi="Palatino Linotype"/>
            <w:sz w:val="24"/>
            <w:szCs w:val="24"/>
            <w:rtl w:val="0"/>
          </w:rPr>
          <w:t xml:space="preserve">(Pimple et al., 2025; Simonetti et al., 2021; Zhang et al., 2018)</w:t>
        </w:r>
      </w:hyperlink>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 Only blue, green, red, NIR, SWIR-1, and SWIR-2 bands were used; SWIR-1 and SWIR-2 bands were resampled at  10 m resolution using nearest neighbour transformation. </w:t>
      </w:r>
      <w:r w:rsidDel="00000000" w:rsidR="00000000" w:rsidRPr="00000000">
        <w:rPr>
          <w:rtl w:val="0"/>
        </w:rPr>
      </w:r>
    </w:p>
    <w:p w:rsidR="00000000" w:rsidDel="00000000" w:rsidP="00000000" w:rsidRDefault="00000000" w:rsidRPr="00000000" w14:paraId="00000035">
      <w:pPr>
        <w:ind w:left="0" w:firstLine="0"/>
        <w:jc w:val="both"/>
        <w:rPr>
          <w:rFonts w:ascii="Palatino Linotype" w:cs="Palatino Linotype" w:eastAsia="Palatino Linotype" w:hAnsi="Palatino Linotype"/>
          <w:sz w:val="24"/>
          <w:szCs w:val="24"/>
        </w:rPr>
      </w:pPr>
      <w:r w:rsidDel="00000000" w:rsidR="00000000" w:rsidRPr="00000000">
        <w:rPr>
          <w:rtl w:val="0"/>
        </w:rPr>
      </w:r>
    </w:p>
    <w:p w:rsidR="00000000" w:rsidDel="00000000" w:rsidP="00000000" w:rsidRDefault="00000000" w:rsidRPr="00000000" w14:paraId="00000036">
      <w:pPr>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Only low tide images of Sentinel-1 SAR and-2 MSI were considered to avoid the effect of periodic tidal inundation effect </w:t>
      </w:r>
      <w:hyperlink r:id="rId40">
        <w:r w:rsidDel="00000000" w:rsidR="00000000" w:rsidRPr="00000000">
          <w:rPr>
            <w:rFonts w:ascii="Palatino Linotype" w:cs="Palatino Linotype" w:eastAsia="Palatino Linotype" w:hAnsi="Palatino Linotype"/>
            <w:color w:val="cc2936"/>
            <w:sz w:val="24"/>
            <w:szCs w:val="24"/>
            <w:rtl w:val="0"/>
          </w:rPr>
          <w:t xml:space="preserve">(Pimple et al., 2025; Rogers et al., 2017)</w:t>
        </w:r>
      </w:hyperlink>
      <w:r w:rsidDel="00000000" w:rsidR="00000000" w:rsidRPr="00000000">
        <w:rPr>
          <w:rFonts w:ascii="Palatino Linotype" w:cs="Palatino Linotype" w:eastAsia="Palatino Linotype" w:hAnsi="Palatino Linotype"/>
          <w:sz w:val="24"/>
          <w:szCs w:val="24"/>
          <w:rtl w:val="0"/>
        </w:rPr>
        <w:t xml:space="preserve">. A median composite collection was computed to reduce the short-term tidal effects, seasonal variability, and noise from outliers, ensuring consistency and quality of pixels </w:t>
      </w:r>
      <w:hyperlink r:id="rId41">
        <w:r w:rsidDel="00000000" w:rsidR="00000000" w:rsidRPr="00000000">
          <w:rPr>
            <w:rFonts w:ascii="Palatino Linotype" w:cs="Palatino Linotype" w:eastAsia="Palatino Linotype" w:hAnsi="Palatino Linotype"/>
            <w:color w:val="cc2936"/>
            <w:sz w:val="24"/>
            <w:szCs w:val="24"/>
            <w:rtl w:val="0"/>
          </w:rPr>
          <w:t xml:space="preserve">(Sagar et al., 2017)</w:t>
        </w:r>
      </w:hyperlink>
      <w:r w:rsidDel="00000000" w:rsidR="00000000" w:rsidRPr="00000000">
        <w:rPr>
          <w:rFonts w:ascii="Palatino Linotype" w:cs="Palatino Linotype" w:eastAsia="Palatino Linotype" w:hAnsi="Palatino Linotype"/>
          <w:sz w:val="24"/>
          <w:szCs w:val="24"/>
          <w:rtl w:val="0"/>
        </w:rPr>
        <w:t xml:space="preserve">.  </w:t>
      </w:r>
    </w:p>
    <w:p w:rsidR="00000000" w:rsidDel="00000000" w:rsidP="00000000" w:rsidRDefault="00000000" w:rsidRPr="00000000" w14:paraId="00000037">
      <w:pPr>
        <w:jc w:val="both"/>
        <w:rPr>
          <w:rFonts w:ascii="Palatino Linotype" w:cs="Palatino Linotype" w:eastAsia="Palatino Linotype" w:hAnsi="Palatino Linotype"/>
          <w:sz w:val="24"/>
          <w:szCs w:val="24"/>
        </w:rPr>
      </w:pPr>
      <w:r w:rsidDel="00000000" w:rsidR="00000000" w:rsidRPr="00000000">
        <w:rPr>
          <w:rtl w:val="0"/>
        </w:rPr>
      </w:r>
    </w:p>
    <w:p w:rsidR="00000000" w:rsidDel="00000000" w:rsidP="00000000" w:rsidRDefault="00000000" w:rsidRPr="00000000" w14:paraId="00000038">
      <w:pPr>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Then, we calculated several spectral indices and radar indices </w:t>
      </w:r>
      <w:r w:rsidDel="00000000" w:rsidR="00000000" w:rsidRPr="00000000">
        <w:rPr>
          <w:rFonts w:ascii="Palatino Linotype" w:cs="Palatino Linotype" w:eastAsia="Palatino Linotype" w:hAnsi="Palatino Linotype"/>
          <w:sz w:val="24"/>
          <w:szCs w:val="24"/>
          <w:rtl w:val="0"/>
        </w:rPr>
        <w:t xml:space="preserve">as shown in table 1. were calculated.</w:t>
      </w:r>
      <w:r w:rsidDel="00000000" w:rsidR="00000000" w:rsidRPr="00000000">
        <w:rPr>
          <w:rtl w:val="0"/>
        </w:rPr>
      </w:r>
    </w:p>
    <w:p w:rsidR="00000000" w:rsidDel="00000000" w:rsidP="00000000" w:rsidRDefault="00000000" w:rsidRPr="00000000" w14:paraId="00000039">
      <w:pPr>
        <w:jc w:val="both"/>
        <w:rPr>
          <w:rFonts w:ascii="Palatino Linotype" w:cs="Palatino Linotype" w:eastAsia="Palatino Linotype" w:hAnsi="Palatino Linotype"/>
          <w:sz w:val="24"/>
          <w:szCs w:val="24"/>
        </w:rPr>
      </w:pPr>
      <w:r w:rsidDel="00000000" w:rsidR="00000000" w:rsidRPr="00000000">
        <w:rPr>
          <w:rtl w:val="0"/>
        </w:rPr>
      </w:r>
    </w:p>
    <w:p w:rsidR="00000000" w:rsidDel="00000000" w:rsidP="00000000" w:rsidRDefault="00000000" w:rsidRPr="00000000" w14:paraId="0000003A">
      <w:pPr>
        <w:ind w:left="2880"/>
        <w:jc w:val="both"/>
        <w:rPr>
          <w:rFonts w:ascii="Palatino Linotype" w:cs="Palatino Linotype" w:eastAsia="Palatino Linotype" w:hAnsi="Palatino Linotype"/>
          <w:color w:val="ff0000"/>
        </w:rPr>
      </w:pPr>
      <w:r w:rsidDel="00000000" w:rsidR="00000000" w:rsidRPr="00000000">
        <w:rPr>
          <w:rFonts w:ascii="Palatino Linotype" w:cs="Palatino Linotype" w:eastAsia="Palatino Linotype" w:hAnsi="Palatino Linotype"/>
          <w:color w:val="ff0000"/>
          <w:rtl w:val="0"/>
        </w:rPr>
        <w:t xml:space="preserve">Table 1. Spectral and Radar Indices used for modelling</w:t>
      </w:r>
    </w:p>
    <w:p w:rsidR="00000000" w:rsidDel="00000000" w:rsidP="00000000" w:rsidRDefault="00000000" w:rsidRPr="00000000" w14:paraId="0000003B">
      <w:pPr>
        <w:ind w:left="2880"/>
        <w:jc w:val="both"/>
        <w:rPr>
          <w:rFonts w:ascii="Palatino Linotype" w:cs="Palatino Linotype" w:eastAsia="Palatino Linotype" w:hAnsi="Palatino Linotype"/>
          <w:color w:val="ff0000"/>
        </w:rPr>
      </w:pPr>
      <w:r w:rsidDel="00000000" w:rsidR="00000000" w:rsidRPr="00000000">
        <w:rPr>
          <w:rtl w:val="0"/>
        </w:rPr>
      </w:r>
    </w:p>
    <w:tbl>
      <w:tblPr>
        <w:tblStyle w:val="Table1"/>
        <w:tblW w:w="897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2685"/>
        <w:gridCol w:w="2685"/>
        <w:gridCol w:w="1515"/>
        <w:tblGridChange w:id="0">
          <w:tblGrid>
            <w:gridCol w:w="2085"/>
            <w:gridCol w:w="2685"/>
            <w:gridCol w:w="2685"/>
            <w:gridCol w:w="1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Palatino Linotype" w:cs="Palatino Linotype" w:eastAsia="Palatino Linotype" w:hAnsi="Palatino Linotype"/>
                <w:color w:val="ff0000"/>
                <w:sz w:val="24"/>
                <w:szCs w:val="24"/>
              </w:rPr>
            </w:pPr>
            <w:r w:rsidDel="00000000" w:rsidR="00000000" w:rsidRPr="00000000">
              <w:rPr>
                <w:rFonts w:ascii="Palatino Linotype" w:cs="Palatino Linotype" w:eastAsia="Palatino Linotype" w:hAnsi="Palatino Linotype"/>
                <w:color w:val="ff0000"/>
                <w:sz w:val="24"/>
                <w:szCs w:val="24"/>
                <w:rtl w:val="0"/>
              </w:rPr>
              <w:t xml:space="preserve"> Indices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Palatino Linotype" w:cs="Palatino Linotype" w:eastAsia="Palatino Linotype" w:hAnsi="Palatino Linotype"/>
                <w:color w:val="ff0000"/>
                <w:sz w:val="24"/>
                <w:szCs w:val="24"/>
              </w:rPr>
            </w:pPr>
            <w:r w:rsidDel="00000000" w:rsidR="00000000" w:rsidRPr="00000000">
              <w:rPr>
                <w:rFonts w:ascii="Palatino Linotype" w:cs="Palatino Linotype" w:eastAsia="Palatino Linotype" w:hAnsi="Palatino Linotype"/>
                <w:color w:val="ff0000"/>
                <w:sz w:val="24"/>
                <w:szCs w:val="24"/>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Palatino Linotype" w:cs="Palatino Linotype" w:eastAsia="Palatino Linotype" w:hAnsi="Palatino Linotype"/>
                <w:color w:val="ff0000"/>
                <w:sz w:val="24"/>
                <w:szCs w:val="24"/>
              </w:rPr>
            </w:pPr>
            <w:r w:rsidDel="00000000" w:rsidR="00000000" w:rsidRPr="00000000">
              <w:rPr>
                <w:rFonts w:ascii="Palatino Linotype" w:cs="Palatino Linotype" w:eastAsia="Palatino Linotype" w:hAnsi="Palatino Linotype"/>
                <w:color w:val="ff0000"/>
                <w:sz w:val="24"/>
                <w:szCs w:val="24"/>
                <w:rtl w:val="0"/>
              </w:rPr>
              <w:t xml:space="preserve">Formula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Palatino Linotype" w:cs="Palatino Linotype" w:eastAsia="Palatino Linotype" w:hAnsi="Palatino Linotype"/>
                <w:color w:val="ff0000"/>
                <w:sz w:val="24"/>
                <w:szCs w:val="24"/>
              </w:rPr>
            </w:pPr>
            <w:r w:rsidDel="00000000" w:rsidR="00000000" w:rsidRPr="00000000">
              <w:rPr>
                <w:rFonts w:ascii="Palatino Linotype" w:cs="Palatino Linotype" w:eastAsia="Palatino Linotype" w:hAnsi="Palatino Linotype"/>
                <w:color w:val="ff0000"/>
                <w:sz w:val="24"/>
                <w:szCs w:val="24"/>
                <w:rtl w:val="0"/>
              </w:rPr>
              <w:t xml:space="preserve">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color w:val="ff0000"/>
              </w:rPr>
            </w:pPr>
            <w:r w:rsidDel="00000000" w:rsidR="00000000" w:rsidRPr="00000000">
              <w:rPr>
                <w:rFonts w:ascii="Palatino Linotype" w:cs="Palatino Linotype" w:eastAsia="Palatino Linotype" w:hAnsi="Palatino Linotype"/>
                <w:color w:val="ff0000"/>
                <w:rtl w:val="0"/>
              </w:rPr>
              <w:t xml:space="preserve">NDVI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color w:val="ff0000"/>
              </w:rPr>
            </w:pPr>
            <w:r w:rsidDel="00000000" w:rsidR="00000000" w:rsidRPr="00000000">
              <w:rPr>
                <w:rFonts w:ascii="Palatino Linotype" w:cs="Palatino Linotype" w:eastAsia="Palatino Linotype" w:hAnsi="Palatino Linotype"/>
                <w:color w:val="ff0000"/>
                <w:rtl w:val="0"/>
              </w:rPr>
              <w:t xml:space="preserve">GNDVI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color w:val="ff0000"/>
              </w:rPr>
            </w:pPr>
            <w:r w:rsidDel="00000000" w:rsidR="00000000" w:rsidRPr="00000000">
              <w:rPr>
                <w:rFonts w:ascii="Palatino Linotype" w:cs="Palatino Linotype" w:eastAsia="Palatino Linotype" w:hAnsi="Palatino Linotype"/>
                <w:color w:val="ff0000"/>
                <w:rtl w:val="0"/>
              </w:rPr>
              <w:t xml:space="preserve">SAVI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color w:val="ff0000"/>
              </w:rPr>
            </w:pPr>
            <w:r w:rsidDel="00000000" w:rsidR="00000000" w:rsidRPr="00000000">
              <w:rPr>
                <w:rFonts w:ascii="Palatino Linotype" w:cs="Palatino Linotype" w:eastAsia="Palatino Linotype" w:hAnsi="Palatino Linotype"/>
                <w:color w:val="ff0000"/>
                <w:rtl w:val="0"/>
              </w:rPr>
              <w:t xml:space="preserve">NDII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color w:val="ff0000"/>
              </w:rPr>
            </w:pPr>
            <w:r w:rsidDel="00000000" w:rsidR="00000000" w:rsidRPr="00000000">
              <w:rPr>
                <w:rtl w:val="0"/>
              </w:rPr>
            </w:r>
          </w:p>
        </w:tc>
      </w:tr>
    </w:tbl>
    <w:p w:rsidR="00000000" w:rsidDel="00000000" w:rsidP="00000000" w:rsidRDefault="00000000" w:rsidRPr="00000000" w14:paraId="00000054">
      <w:pPr>
        <w:ind w:left="0" w:firstLine="0"/>
        <w:rPr>
          <w:rFonts w:ascii="Palatino Linotype" w:cs="Palatino Linotype" w:eastAsia="Palatino Linotype" w:hAnsi="Palatino Linotype"/>
          <w:b w:val="1"/>
          <w:sz w:val="24"/>
          <w:szCs w:val="24"/>
        </w:rPr>
      </w:pPr>
      <w:r w:rsidDel="00000000" w:rsidR="00000000" w:rsidRPr="00000000">
        <w:rPr>
          <w:rtl w:val="0"/>
        </w:rPr>
      </w:r>
    </w:p>
    <w:p w:rsidR="00000000" w:rsidDel="00000000" w:rsidP="00000000" w:rsidRDefault="00000000" w:rsidRPr="00000000" w14:paraId="00000055">
      <w:pPr>
        <w:ind w:left="0" w:firstLine="0"/>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b w:val="1"/>
          <w:sz w:val="24"/>
          <w:szCs w:val="24"/>
          <w:rtl w:val="0"/>
        </w:rPr>
        <w:t xml:space="preserve">2.2.2 Field Inventory data </w:t>
      </w:r>
      <w:r w:rsidDel="00000000" w:rsidR="00000000" w:rsidRPr="00000000">
        <w:rPr>
          <w:rtl w:val="0"/>
        </w:rPr>
      </w:r>
    </w:p>
    <w:p w:rsidR="00000000" w:rsidDel="00000000" w:rsidP="00000000" w:rsidRDefault="00000000" w:rsidRPr="00000000" w14:paraId="00000056">
      <w:pPr>
        <w:ind w:left="0" w:firstLine="0"/>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To achieve landscape scale species </w:t>
      </w:r>
      <w:r w:rsidDel="00000000" w:rsidR="00000000" w:rsidRPr="00000000">
        <w:rPr>
          <w:rFonts w:ascii="Palatino Linotype" w:cs="Palatino Linotype" w:eastAsia="Palatino Linotype" w:hAnsi="Palatino Linotype"/>
          <w:sz w:val="24"/>
          <w:szCs w:val="24"/>
          <w:rtl w:val="0"/>
        </w:rPr>
        <w:t xml:space="preserve">heterogeneity areas, a stratified random sampling approach was used. In total, 257 plots were collected across the landscape, including  three transects perpendicular to sea to land gradient.  In addition, microtopography was also being recorded across these transects using a total station survey method.  </w:t>
      </w:r>
    </w:p>
    <w:p w:rsidR="00000000" w:rsidDel="00000000" w:rsidP="00000000" w:rsidRDefault="00000000" w:rsidRPr="00000000" w14:paraId="00000057">
      <w:pPr>
        <w:spacing w:after="200" w:lineRule="auto"/>
        <w:ind w:left="0" w:firstLine="0"/>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All data collection was performed at 10 x 10 m plot size, where </w:t>
      </w:r>
      <w:r w:rsidDel="00000000" w:rsidR="00000000" w:rsidRPr="00000000">
        <w:rPr>
          <w:rFonts w:ascii="Palatino Linotype" w:cs="Palatino Linotype" w:eastAsia="Palatino Linotype" w:hAnsi="Palatino Linotype"/>
          <w:sz w:val="24"/>
          <w:szCs w:val="24"/>
          <w:rtl w:val="0"/>
        </w:rPr>
        <w:t xml:space="preserve"> species diameter at breast height (DBH), height, and tree count were recorded using tapes and a clinometer </w:t>
      </w:r>
      <w:hyperlink r:id="rId42">
        <w:r w:rsidDel="00000000" w:rsidR="00000000" w:rsidRPr="00000000">
          <w:rPr>
            <w:rFonts w:ascii="Palatino Linotype" w:cs="Palatino Linotype" w:eastAsia="Palatino Linotype" w:hAnsi="Palatino Linotype"/>
            <w:sz w:val="24"/>
            <w:szCs w:val="24"/>
            <w:rtl w:val="0"/>
          </w:rPr>
          <w:t xml:space="preserve">(Pimple et al., 2025, 2022a)</w:t>
        </w:r>
      </w:hyperlink>
      <w:r w:rsidDel="00000000" w:rsidR="00000000" w:rsidRPr="00000000">
        <w:rPr>
          <w:rFonts w:ascii="Palatino Linotype" w:cs="Palatino Linotype" w:eastAsia="Palatino Linotype" w:hAnsi="Palatino Linotype"/>
          <w:sz w:val="24"/>
          <w:szCs w:val="24"/>
          <w:rtl w:val="0"/>
        </w:rPr>
        <w:t xml:space="preserve">.</w:t>
      </w:r>
      <w:r w:rsidDel="00000000" w:rsidR="00000000" w:rsidRPr="00000000">
        <w:rPr>
          <w:rtl w:val="0"/>
        </w:rPr>
      </w:r>
    </w:p>
    <w:p w:rsidR="00000000" w:rsidDel="00000000" w:rsidP="00000000" w:rsidRDefault="00000000" w:rsidRPr="00000000" w14:paraId="00000058">
      <w:pPr>
        <w:ind w:left="0" w:firstLine="0"/>
        <w:rPr>
          <w:rFonts w:ascii="Palatino Linotype" w:cs="Palatino Linotype" w:eastAsia="Palatino Linotype" w:hAnsi="Palatino Linotype"/>
          <w:b w:val="1"/>
          <w:sz w:val="24"/>
          <w:szCs w:val="24"/>
        </w:rPr>
      </w:pPr>
      <w:r w:rsidDel="00000000" w:rsidR="00000000" w:rsidRPr="00000000">
        <w:rPr>
          <w:rFonts w:ascii="Palatino Linotype" w:cs="Palatino Linotype" w:eastAsia="Palatino Linotype" w:hAnsi="Palatino Linotype"/>
          <w:b w:val="1"/>
          <w:sz w:val="24"/>
          <w:szCs w:val="24"/>
          <w:rtl w:val="0"/>
        </w:rPr>
        <w:t xml:space="preserve">2.2.3 Species</w:t>
      </w:r>
      <w:hyperlink r:id="rId43">
        <w:r w:rsidDel="00000000" w:rsidR="00000000" w:rsidRPr="00000000">
          <w:rPr>
            <w:rFonts w:ascii="Palatino Linotype" w:cs="Palatino Linotype" w:eastAsia="Palatino Linotype" w:hAnsi="Palatino Linotype"/>
            <w:b w:val="1"/>
            <w:sz w:val="24"/>
            <w:szCs w:val="24"/>
            <w:rtl w:val="0"/>
          </w:rPr>
          <w:t xml:space="preserve"> distribution and rehabilitation</w:t>
        </w:r>
      </w:hyperlink>
      <w:r w:rsidDel="00000000" w:rsidR="00000000" w:rsidRPr="00000000">
        <w:rPr>
          <w:rFonts w:ascii="Palatino Linotype" w:cs="Palatino Linotype" w:eastAsia="Palatino Linotype" w:hAnsi="Palatino Linotype"/>
          <w:b w:val="1"/>
          <w:sz w:val="24"/>
          <w:szCs w:val="24"/>
          <w:rtl w:val="0"/>
        </w:rPr>
        <w:t xml:space="preserve"> baseline data </w:t>
      </w:r>
      <w:r w:rsidDel="00000000" w:rsidR="00000000" w:rsidRPr="00000000">
        <w:rPr>
          <w:rtl w:val="0"/>
        </w:rPr>
      </w:r>
    </w:p>
    <w:p w:rsidR="00000000" w:rsidDel="00000000" w:rsidP="00000000" w:rsidRDefault="00000000" w:rsidRPr="00000000" w14:paraId="00000059">
      <w:pPr>
        <w:ind w:left="0" w:firstLine="0"/>
        <w:rPr>
          <w:rFonts w:ascii="Palatino Linotype" w:cs="Palatino Linotype" w:eastAsia="Palatino Linotype" w:hAnsi="Palatino Linotype"/>
          <w:sz w:val="24"/>
          <w:szCs w:val="24"/>
        </w:rPr>
      </w:pPr>
      <w:r w:rsidDel="00000000" w:rsidR="00000000" w:rsidRPr="00000000">
        <w:rPr>
          <w:rtl w:val="0"/>
        </w:rPr>
      </w:r>
    </w:p>
    <w:p w:rsidR="00000000" w:rsidDel="00000000" w:rsidP="00000000" w:rsidRDefault="00000000" w:rsidRPr="00000000" w14:paraId="0000005A">
      <w:pPr>
        <w:ind w:left="0" w:firstLine="0"/>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Species distribution and </w:t>
      </w:r>
      <w:hyperlink r:id="rId44">
        <w:r w:rsidDel="00000000" w:rsidR="00000000" w:rsidRPr="00000000">
          <w:rPr>
            <w:rtl w:val="0"/>
          </w:rPr>
          <w:t xml:space="preserve">rehabilitation</w:t>
        </w:r>
      </w:hyperlink>
      <w:r w:rsidDel="00000000" w:rsidR="00000000" w:rsidRPr="00000000">
        <w:rPr>
          <w:rFonts w:ascii="Palatino Linotype" w:cs="Palatino Linotype" w:eastAsia="Palatino Linotype" w:hAnsi="Palatino Linotype"/>
          <w:sz w:val="24"/>
          <w:szCs w:val="24"/>
          <w:rtl w:val="0"/>
        </w:rPr>
        <w:t xml:space="preserve"> baseline was derived from</w:t>
      </w:r>
      <w:r w:rsidDel="00000000" w:rsidR="00000000" w:rsidRPr="00000000">
        <w:rPr>
          <w:rFonts w:ascii="Palatino Linotype" w:cs="Palatino Linotype" w:eastAsia="Palatino Linotype" w:hAnsi="Palatino Linotype"/>
          <w:sz w:val="24"/>
          <w:szCs w:val="24"/>
          <w:rtl w:val="0"/>
        </w:rPr>
        <w:t xml:space="preserve"> </w:t>
      </w:r>
      <w:hyperlink r:id="rId45">
        <w:r w:rsidDel="00000000" w:rsidR="00000000" w:rsidRPr="00000000">
          <w:rPr>
            <w:rFonts w:ascii="Palatino Linotype" w:cs="Palatino Linotype" w:eastAsia="Palatino Linotype" w:hAnsi="Palatino Linotype"/>
            <w:color w:val="cc2936"/>
            <w:sz w:val="24"/>
            <w:szCs w:val="24"/>
            <w:rtl w:val="0"/>
          </w:rPr>
          <w:t xml:space="preserve">Pimple et al. (2025)</w:t>
        </w:r>
      </w:hyperlink>
      <w:r w:rsidDel="00000000" w:rsidR="00000000" w:rsidRPr="00000000">
        <w:rPr>
          <w:rFonts w:ascii="Palatino Linotype" w:cs="Palatino Linotype" w:eastAsia="Palatino Linotype" w:hAnsi="Palatino Linotype"/>
          <w:sz w:val="24"/>
          <w:szCs w:val="24"/>
          <w:rtl w:val="0"/>
        </w:rPr>
        <w:t xml:space="preserve">, which provides spatially explicit data on mangrove species composition, restoration history, and stand development stages across Trat Province, Thailand. The dataset was developed using a combination of Landsat (1987–2022), Sentinel-1 SAR, and Sentinel-2 MSI imagery integrated SARMA framework. This dataset served as the foundation for linking canopy height variation to species composition and rehabilitation type.</w:t>
      </w:r>
    </w:p>
    <w:p w:rsidR="00000000" w:rsidDel="00000000" w:rsidP="00000000" w:rsidRDefault="00000000" w:rsidRPr="00000000" w14:paraId="0000005B">
      <w:pPr>
        <w:ind w:left="0" w:firstLine="0"/>
        <w:rPr>
          <w:rFonts w:ascii="Palatino Linotype" w:cs="Palatino Linotype" w:eastAsia="Palatino Linotype" w:hAnsi="Palatino Linotype"/>
          <w:sz w:val="24"/>
          <w:szCs w:val="24"/>
        </w:rPr>
      </w:pPr>
      <w:r w:rsidDel="00000000" w:rsidR="00000000" w:rsidRPr="00000000">
        <w:rPr>
          <w:rtl w:val="0"/>
        </w:rPr>
      </w:r>
    </w:p>
    <w:p w:rsidR="00000000" w:rsidDel="00000000" w:rsidP="00000000" w:rsidRDefault="00000000" w:rsidRPr="00000000" w14:paraId="0000005C">
      <w:pPr>
        <w:ind w:left="0" w:firstLine="0"/>
        <w:rPr>
          <w:rFonts w:ascii="Palatino Linotype" w:cs="Palatino Linotype" w:eastAsia="Palatino Linotype" w:hAnsi="Palatino Linotype"/>
          <w:b w:val="1"/>
          <w:sz w:val="24"/>
          <w:szCs w:val="24"/>
        </w:rPr>
      </w:pPr>
      <w:commentRangeStart w:id="3"/>
      <w:r w:rsidDel="00000000" w:rsidR="00000000" w:rsidRPr="00000000">
        <w:rPr>
          <w:rFonts w:ascii="Palatino Linotype" w:cs="Palatino Linotype" w:eastAsia="Palatino Linotype" w:hAnsi="Palatino Linotype"/>
          <w:b w:val="1"/>
          <w:sz w:val="24"/>
          <w:szCs w:val="24"/>
          <w:rtl w:val="0"/>
        </w:rPr>
        <w:t xml:space="preserve">2.2.4 ICESat-2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5D">
      <w:pPr>
        <w:spacing w:after="160" w:line="276" w:lineRule="auto"/>
        <w:jc w:val="both"/>
        <w:rPr>
          <w:rFonts w:ascii="Palatino Linotype" w:cs="Palatino Linotype" w:eastAsia="Palatino Linotype" w:hAnsi="Palatino Linotype"/>
          <w:sz w:val="24"/>
          <w:szCs w:val="24"/>
          <w:highlight w:val="white"/>
        </w:rPr>
      </w:pPr>
      <w:r w:rsidDel="00000000" w:rsidR="00000000" w:rsidRPr="00000000">
        <w:rPr>
          <w:rFonts w:ascii="Palatino Linotype" w:cs="Palatino Linotype" w:eastAsia="Palatino Linotype" w:hAnsi="Palatino Linotype"/>
          <w:sz w:val="24"/>
          <w:szCs w:val="24"/>
          <w:highlight w:val="white"/>
          <w:rtl w:val="0"/>
        </w:rPr>
        <w:t xml:space="preserve">The Ice, Cloud, and Land Elevation Satellite-2 (ICESat-2) is a second-generation spaceborne laser altimeter that uses multibeam photon-counting LiDAR technology.  Unlike traditional altimeters operating in </w:t>
      </w:r>
      <w:r w:rsidDel="00000000" w:rsidR="00000000" w:rsidRPr="00000000">
        <w:rPr>
          <w:rFonts w:ascii="Palatino Linotype" w:cs="Palatino Linotype" w:eastAsia="Palatino Linotype" w:hAnsi="Palatino Linotype"/>
          <w:sz w:val="24"/>
          <w:szCs w:val="24"/>
          <w:highlight w:val="white"/>
          <w:rtl w:val="0"/>
        </w:rPr>
        <w:t xml:space="preserve">Near Infrared wavelength (1064 nm)</w:t>
      </w:r>
      <w:r w:rsidDel="00000000" w:rsidR="00000000" w:rsidRPr="00000000">
        <w:rPr>
          <w:rFonts w:ascii="Palatino Linotype" w:cs="Palatino Linotype" w:eastAsia="Palatino Linotype" w:hAnsi="Palatino Linotype"/>
          <w:sz w:val="24"/>
          <w:szCs w:val="24"/>
          <w:highlight w:val="white"/>
          <w:rtl w:val="0"/>
        </w:rPr>
        <w:t xml:space="preserve"> range, the ICESat-2 operates at green wavelength (532 nm), allowing it to penetrate </w:t>
      </w:r>
      <w:r w:rsidDel="00000000" w:rsidR="00000000" w:rsidRPr="00000000">
        <w:rPr>
          <w:rFonts w:ascii="Palatino Linotype" w:cs="Palatino Linotype" w:eastAsia="Palatino Linotype" w:hAnsi="Palatino Linotype"/>
          <w:sz w:val="24"/>
          <w:szCs w:val="24"/>
          <w:highlight w:val="white"/>
          <w:rtl w:val="0"/>
        </w:rPr>
        <w:t xml:space="preserve">shallow water surfaces </w:t>
      </w:r>
      <w:hyperlink r:id="rId46">
        <w:r w:rsidDel="00000000" w:rsidR="00000000" w:rsidRPr="00000000">
          <w:rPr>
            <w:rFonts w:ascii="Palatino Linotype" w:cs="Palatino Linotype" w:eastAsia="Palatino Linotype" w:hAnsi="Palatino Linotype"/>
            <w:sz w:val="24"/>
            <w:szCs w:val="24"/>
            <w:rtl w:val="0"/>
          </w:rPr>
          <w:t xml:space="preserve">(Mandlburger et al., 2013; Parrish et al., 2019; Studinger et al., 2024)</w:t>
        </w:r>
      </w:hyperlink>
      <w:r w:rsidDel="00000000" w:rsidR="00000000" w:rsidRPr="00000000">
        <w:rPr>
          <w:rFonts w:ascii="Palatino Linotype" w:cs="Palatino Linotype" w:eastAsia="Palatino Linotype" w:hAnsi="Palatino Linotype"/>
          <w:sz w:val="24"/>
          <w:szCs w:val="24"/>
          <w:highlight w:val="white"/>
          <w:rtl w:val="0"/>
        </w:rPr>
        <w:t xml:space="preserve">  </w:t>
      </w:r>
      <w:r w:rsidDel="00000000" w:rsidR="00000000" w:rsidRPr="00000000">
        <w:rPr>
          <w:rFonts w:ascii="Palatino Linotype" w:cs="Palatino Linotype" w:eastAsia="Palatino Linotype" w:hAnsi="Palatino Linotype"/>
          <w:sz w:val="24"/>
          <w:szCs w:val="24"/>
          <w:highlight w:val="white"/>
          <w:rtl w:val="0"/>
        </w:rPr>
        <w:t xml:space="preserve">and capture both vegetation and terrain elevations, a specification particularly useful for mangrove tidal conditions. </w:t>
      </w:r>
    </w:p>
    <w:p w:rsidR="00000000" w:rsidDel="00000000" w:rsidP="00000000" w:rsidRDefault="00000000" w:rsidRPr="00000000" w14:paraId="0000005E">
      <w:pPr>
        <w:spacing w:after="160" w:line="276" w:lineRule="auto"/>
        <w:jc w:val="both"/>
        <w:rPr>
          <w:rFonts w:ascii="Palatino Linotype" w:cs="Palatino Linotype" w:eastAsia="Palatino Linotype" w:hAnsi="Palatino Linotype"/>
          <w:sz w:val="24"/>
          <w:szCs w:val="24"/>
          <w:highlight w:val="white"/>
        </w:rPr>
      </w:pPr>
      <w:r w:rsidDel="00000000" w:rsidR="00000000" w:rsidRPr="00000000">
        <w:rPr>
          <w:rFonts w:ascii="Palatino Linotype" w:cs="Palatino Linotype" w:eastAsia="Palatino Linotype" w:hAnsi="Palatino Linotype"/>
          <w:sz w:val="24"/>
          <w:szCs w:val="24"/>
          <w:highlight w:val="white"/>
          <w:rtl w:val="0"/>
        </w:rPr>
        <w:t xml:space="preserve">ICESat-2 provides 21 standard data products (ATL00–ATL21) derived from its Advanced Topographic Laser Altimeter System (ATLAS). For this study, the </w:t>
      </w:r>
      <w:r w:rsidDel="00000000" w:rsidR="00000000" w:rsidRPr="00000000">
        <w:rPr>
          <w:rFonts w:ascii="Palatino Linotype" w:cs="Palatino Linotype" w:eastAsia="Palatino Linotype" w:hAnsi="Palatino Linotype"/>
          <w:sz w:val="24"/>
          <w:szCs w:val="24"/>
          <w:highlight w:val="white"/>
          <w:rtl w:val="0"/>
        </w:rPr>
        <w:t xml:space="preserve">ATL0</w:t>
      </w:r>
      <w:r w:rsidDel="00000000" w:rsidR="00000000" w:rsidRPr="00000000">
        <w:rPr>
          <w:rFonts w:ascii="Palatino Linotype" w:cs="Palatino Linotype" w:eastAsia="Palatino Linotype" w:hAnsi="Palatino Linotype"/>
          <w:sz w:val="24"/>
          <w:szCs w:val="24"/>
          <w:highlight w:val="white"/>
          <w:rtl w:val="0"/>
        </w:rPr>
        <w:t xml:space="preserve">8 product was used, containing precise measurements of latitude, longitude, terrain, and vegetarian height.</w:t>
      </w:r>
      <w:r w:rsidDel="00000000" w:rsidR="00000000" w:rsidRPr="00000000">
        <w:rPr>
          <w:rFonts w:ascii="Palatino Linotype" w:cs="Palatino Linotype" w:eastAsia="Palatino Linotype" w:hAnsi="Palatino Linotype"/>
          <w:sz w:val="24"/>
          <w:szCs w:val="24"/>
          <w:highlight w:val="white"/>
          <w:rtl w:val="0"/>
        </w:rPr>
        <w:t xml:space="preserve"> </w:t>
      </w:r>
    </w:p>
    <w:p w:rsidR="00000000" w:rsidDel="00000000" w:rsidP="00000000" w:rsidRDefault="00000000" w:rsidRPr="00000000" w14:paraId="0000005F">
      <w:pPr>
        <w:spacing w:after="160" w:line="276" w:lineRule="auto"/>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Further processing was carried out using the SlideRule API, a public web service processing framework that enables on-demand extraction and filtering of ICESat-2 data. Photon-level information was processed through </w:t>
      </w:r>
      <w:r w:rsidDel="00000000" w:rsidR="00000000" w:rsidRPr="00000000">
        <w:rPr>
          <w:rFonts w:ascii="Palatino Linotype" w:cs="Palatino Linotype" w:eastAsia="Palatino Linotype" w:hAnsi="Palatino Linotype"/>
          <w:sz w:val="24"/>
          <w:szCs w:val="24"/>
          <w:rtl w:val="0"/>
        </w:rPr>
        <w:t xml:space="preserve">Photon Research and Analysis Library (PhoREAL) tools</w:t>
      </w:r>
      <w:r w:rsidDel="00000000" w:rsidR="00000000" w:rsidRPr="00000000">
        <w:rPr>
          <w:rFonts w:ascii="Palatino Linotype" w:cs="Palatino Linotype" w:eastAsia="Palatino Linotype" w:hAnsi="Palatino Linotype"/>
          <w:sz w:val="24"/>
          <w:szCs w:val="24"/>
          <w:rtl w:val="0"/>
        </w:rPr>
        <w:t xml:space="preserve"> </w:t>
      </w:r>
      <w:hyperlink r:id="rId47">
        <w:r w:rsidDel="00000000" w:rsidR="00000000" w:rsidRPr="00000000">
          <w:rPr>
            <w:rFonts w:ascii="Palatino Linotype" w:cs="Palatino Linotype" w:eastAsia="Palatino Linotype" w:hAnsi="Palatino Linotype"/>
            <w:sz w:val="24"/>
            <w:szCs w:val="24"/>
            <w:rtl w:val="0"/>
          </w:rPr>
          <w:t xml:space="preserve">(Amy L. Neuenschwander and Lori A. Magruder, 2023)</w:t>
        </w:r>
      </w:hyperlink>
      <w:r w:rsidDel="00000000" w:rsidR="00000000" w:rsidRPr="00000000">
        <w:rPr>
          <w:rFonts w:ascii="Palatino Linotype" w:cs="Palatino Linotype" w:eastAsia="Palatino Linotype" w:hAnsi="Palatino Linotype"/>
          <w:sz w:val="24"/>
          <w:szCs w:val="24"/>
          <w:rtl w:val="0"/>
        </w:rPr>
        <w:t xml:space="preserve"> to classify terrain and vegetation photons and </w:t>
      </w:r>
      <w:r w:rsidDel="00000000" w:rsidR="00000000" w:rsidRPr="00000000">
        <w:rPr>
          <w:rFonts w:ascii="Palatino Linotype" w:cs="Palatino Linotype" w:eastAsia="Palatino Linotype" w:hAnsi="Palatino Linotype"/>
          <w:sz w:val="24"/>
          <w:szCs w:val="24"/>
          <w:rtl w:val="0"/>
        </w:rPr>
        <w:t xml:space="preserve">converted to common geospatial data formats.</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highlight w:val="white"/>
          <w:rtl w:val="0"/>
        </w:rPr>
        <w:t xml:space="preserve">For this study, the </w:t>
      </w:r>
      <w:r w:rsidDel="00000000" w:rsidR="00000000" w:rsidRPr="00000000">
        <w:rPr>
          <w:rFonts w:ascii="Palatino Linotype" w:cs="Palatino Linotype" w:eastAsia="Palatino Linotype" w:hAnsi="Palatino Linotype"/>
          <w:sz w:val="24"/>
          <w:szCs w:val="24"/>
          <w:highlight w:val="white"/>
          <w:rtl w:val="0"/>
        </w:rPr>
        <w:t xml:space="preserve">ATL0</w:t>
      </w:r>
      <w:r w:rsidDel="00000000" w:rsidR="00000000" w:rsidRPr="00000000">
        <w:rPr>
          <w:rFonts w:ascii="Palatino Linotype" w:cs="Palatino Linotype" w:eastAsia="Palatino Linotype" w:hAnsi="Palatino Linotype"/>
          <w:sz w:val="24"/>
          <w:szCs w:val="24"/>
          <w:highlight w:val="white"/>
          <w:rtl w:val="0"/>
        </w:rPr>
        <w:t xml:space="preserve">8 product was used, containing precise measurements of latitude, longitude, terrain, and vegetation height metrics.</w:t>
      </w:r>
      <w:r w:rsidDel="00000000" w:rsidR="00000000" w:rsidRPr="00000000">
        <w:rPr>
          <w:rFonts w:ascii="Palatino Linotype" w:cs="Palatino Linotype" w:eastAsia="Palatino Linotype" w:hAnsi="Palatino Linotype"/>
          <w:sz w:val="24"/>
          <w:szCs w:val="24"/>
          <w:highlight w:val="white"/>
          <w:rtl w:val="0"/>
        </w:rPr>
        <w:t xml:space="preserve"> </w:t>
      </w:r>
      <w:r w:rsidDel="00000000" w:rsidR="00000000" w:rsidRPr="00000000">
        <w:rPr>
          <w:rFonts w:ascii="Palatino Linotype" w:cs="Palatino Linotype" w:eastAsia="Palatino Linotype" w:hAnsi="Palatino Linotype"/>
          <w:sz w:val="24"/>
          <w:szCs w:val="24"/>
          <w:rtl w:val="0"/>
        </w:rPr>
        <w:t xml:space="preserve">P</w:t>
      </w:r>
      <w:r w:rsidDel="00000000" w:rsidR="00000000" w:rsidRPr="00000000">
        <w:rPr>
          <w:rFonts w:ascii="Palatino Linotype" w:cs="Palatino Linotype" w:eastAsia="Palatino Linotype" w:hAnsi="Palatino Linotype"/>
          <w:sz w:val="24"/>
          <w:szCs w:val="24"/>
          <w:rtl w:val="0"/>
        </w:rPr>
        <w:t xml:space="preserve">rocessing was carried out using the SlideRule API, a public web service processing framework that enables on-demand extraction, data filtering, and conversion</w:t>
      </w:r>
      <w:r w:rsidDel="00000000" w:rsidR="00000000" w:rsidRPr="00000000">
        <w:rPr>
          <w:rFonts w:ascii="Palatino Linotype" w:cs="Palatino Linotype" w:eastAsia="Palatino Linotype" w:hAnsi="Palatino Linotype"/>
          <w:sz w:val="24"/>
          <w:szCs w:val="24"/>
          <w:rtl w:val="0"/>
        </w:rPr>
        <w:t xml:space="preserve"> to common geospatial data formats.</w:t>
      </w:r>
      <w:r w:rsidDel="00000000" w:rsidR="00000000" w:rsidRPr="00000000">
        <w:rPr>
          <w:rtl w:val="0"/>
        </w:rPr>
      </w:r>
    </w:p>
    <w:p w:rsidR="00000000" w:rsidDel="00000000" w:rsidP="00000000" w:rsidRDefault="00000000" w:rsidRPr="00000000" w14:paraId="00000060">
      <w:pPr>
        <w:ind w:left="0" w:firstLine="0"/>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Then, we apply filter to ensure the data quality based on the photon confidence parameter (parameter </w:t>
      </w:r>
      <w:r w:rsidDel="00000000" w:rsidR="00000000" w:rsidRPr="00000000">
        <w:rPr>
          <w:rFonts w:ascii="Palatino Linotype" w:cs="Palatino Linotype" w:eastAsia="Palatino Linotype" w:hAnsi="Palatino Linotype"/>
          <w:i w:val="1"/>
          <w:sz w:val="24"/>
          <w:szCs w:val="24"/>
          <w:rtl w:val="0"/>
        </w:rPr>
        <w:t xml:space="preserve">cnf</w:t>
      </w:r>
      <w:r w:rsidDel="00000000" w:rsidR="00000000" w:rsidRPr="00000000">
        <w:rPr>
          <w:rFonts w:ascii="Palatino Linotype" w:cs="Palatino Linotype" w:eastAsia="Palatino Linotype" w:hAnsi="Palatino Linotype"/>
          <w:sz w:val="24"/>
          <w:szCs w:val="24"/>
          <w:rtl w:val="0"/>
        </w:rPr>
        <w:t xml:space="preserve">) and photon quality indicator (paratemer </w:t>
      </w:r>
      <w:r w:rsidDel="00000000" w:rsidR="00000000" w:rsidRPr="00000000">
        <w:rPr>
          <w:rFonts w:ascii="Palatino Linotype" w:cs="Palatino Linotype" w:eastAsia="Palatino Linotype" w:hAnsi="Palatino Linotype"/>
          <w:i w:val="1"/>
          <w:sz w:val="24"/>
          <w:szCs w:val="24"/>
          <w:rtl w:val="0"/>
        </w:rPr>
        <w:t xml:space="preserve">quality_ph) </w:t>
      </w:r>
      <w:r w:rsidDel="00000000" w:rsidR="00000000" w:rsidRPr="00000000">
        <w:rPr>
          <w:rFonts w:ascii="Palatino Linotype" w:cs="Palatino Linotype" w:eastAsia="Palatino Linotype" w:hAnsi="Palatino Linotype"/>
          <w:sz w:val="24"/>
          <w:szCs w:val="24"/>
          <w:rtl w:val="0"/>
        </w:rPr>
        <w:t xml:space="preserve">that determine photon shots quality based on possible saturated conditions and/or instrument effect. We set the the parameters to high (4) and nominal (0) respectively to get the highest quality photon shots. Last, w</w:t>
      </w:r>
      <w:r w:rsidDel="00000000" w:rsidR="00000000" w:rsidRPr="00000000">
        <w:rPr>
          <w:rFonts w:ascii="Palatino Linotype" w:cs="Palatino Linotype" w:eastAsia="Palatino Linotype" w:hAnsi="Palatino Linotype"/>
          <w:sz w:val="24"/>
          <w:szCs w:val="24"/>
          <w:rtl w:val="0"/>
        </w:rPr>
        <w:t xml:space="preserve">e ensure only vegetation object was in our dataset by filtering out points with height below 2 meter and above 25 meter.</w:t>
      </w:r>
    </w:p>
    <w:p w:rsidR="00000000" w:rsidDel="00000000" w:rsidP="00000000" w:rsidRDefault="00000000" w:rsidRPr="00000000" w14:paraId="00000061">
      <w:pPr>
        <w:ind w:left="0" w:firstLine="0"/>
        <w:jc w:val="both"/>
        <w:rPr>
          <w:rFonts w:ascii="Palatino Linotype" w:cs="Palatino Linotype" w:eastAsia="Palatino Linotype" w:hAnsi="Palatino Linotype"/>
          <w:sz w:val="24"/>
          <w:szCs w:val="24"/>
        </w:rPr>
      </w:pPr>
      <w:r w:rsidDel="00000000" w:rsidR="00000000" w:rsidRPr="00000000">
        <w:rPr>
          <w:rtl w:val="0"/>
        </w:rPr>
      </w:r>
    </w:p>
    <w:p w:rsidR="00000000" w:rsidDel="00000000" w:rsidP="00000000" w:rsidRDefault="00000000" w:rsidRPr="00000000" w14:paraId="00000062">
      <w:pPr>
        <w:ind w:left="0" w:firstLine="0"/>
        <w:jc w:val="both"/>
        <w:rPr>
          <w:rFonts w:ascii="Palatino Linotype" w:cs="Palatino Linotype" w:eastAsia="Palatino Linotype" w:hAnsi="Palatino Linotype"/>
          <w:sz w:val="24"/>
          <w:szCs w:val="24"/>
          <w:highlight w:val="red"/>
        </w:rPr>
      </w:pPr>
      <w:commentRangeStart w:id="4"/>
      <w:r w:rsidDel="00000000" w:rsidR="00000000" w:rsidRPr="00000000">
        <w:rPr>
          <w:rFonts w:ascii="Palatino Linotype" w:cs="Palatino Linotype" w:eastAsia="Palatino Linotype" w:hAnsi="Palatino Linotype"/>
          <w:sz w:val="24"/>
          <w:szCs w:val="24"/>
          <w:highlight w:val="red"/>
          <w:rtl w:val="0"/>
        </w:rPr>
        <w:t xml:space="preserve">Last filter of the data is to ensure the ICESat-2 data have values aligned with the benchmark global mangrove height </w:t>
      </w:r>
      <w:hyperlink r:id="rId48">
        <w:r w:rsidDel="00000000" w:rsidR="00000000" w:rsidRPr="00000000">
          <w:rPr>
            <w:highlight w:val="red"/>
            <w:rtl w:val="0"/>
          </w:rPr>
          <w:t xml:space="preserve">(Tolan et al., 2024)</w:t>
        </w:r>
      </w:hyperlink>
      <w:r w:rsidDel="00000000" w:rsidR="00000000" w:rsidRPr="00000000">
        <w:rPr>
          <w:rFonts w:ascii="Palatino Linotype" w:cs="Palatino Linotype" w:eastAsia="Palatino Linotype" w:hAnsi="Palatino Linotype"/>
          <w:sz w:val="24"/>
          <w:szCs w:val="24"/>
          <w:highlight w:val="red"/>
          <w:rtl w:val="0"/>
        </w:rPr>
        <w:t xml:space="preserve">. This step is done to ensure the dataset is free from systematic errors from the acquisition process by spaceborne lidar. We filter out data with benchmark CHM that has height below 2 meter and difference with ICESat canopy height more than 5 meter. </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63">
      <w:pPr>
        <w:spacing w:after="160" w:line="276" w:lineRule="auto"/>
        <w:jc w:val="both"/>
        <w:rPr>
          <w:rFonts w:ascii="Palatino Linotype" w:cs="Palatino Linotype" w:eastAsia="Palatino Linotype" w:hAnsi="Palatino Linotype"/>
          <w:sz w:val="24"/>
          <w:szCs w:val="24"/>
        </w:rPr>
      </w:pPr>
      <w:r w:rsidDel="00000000" w:rsidR="00000000" w:rsidRPr="00000000">
        <w:rPr>
          <w:rtl w:val="0"/>
        </w:rPr>
      </w:r>
    </w:p>
    <w:p w:rsidR="00000000" w:rsidDel="00000000" w:rsidP="00000000" w:rsidRDefault="00000000" w:rsidRPr="00000000" w14:paraId="00000064">
      <w:pPr>
        <w:ind w:left="0" w:firstLine="0"/>
        <w:jc w:val="both"/>
        <w:rPr>
          <w:b w:val="1"/>
          <w:sz w:val="24"/>
          <w:szCs w:val="24"/>
        </w:rPr>
      </w:pPr>
      <w:commentRangeStart w:id="5"/>
      <w:r w:rsidDel="00000000" w:rsidR="00000000" w:rsidRPr="00000000">
        <w:rPr>
          <w:b w:val="1"/>
          <w:sz w:val="24"/>
          <w:szCs w:val="24"/>
          <w:rtl w:val="0"/>
        </w:rPr>
        <w:t xml:space="preserve">3. Methodology</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65">
      <w:pPr>
        <w:ind w:left="0" w:firstLine="0"/>
        <w:jc w:val="both"/>
        <w:rPr>
          <w:b w:val="1"/>
          <w:sz w:val="24"/>
          <w:szCs w:val="24"/>
        </w:rPr>
      </w:pPr>
      <w:r w:rsidDel="00000000" w:rsidR="00000000" w:rsidRPr="00000000">
        <w:rPr>
          <w:rtl w:val="0"/>
        </w:rPr>
      </w:r>
    </w:p>
    <w:p w:rsidR="00000000" w:rsidDel="00000000" w:rsidP="00000000" w:rsidRDefault="00000000" w:rsidRPr="00000000" w14:paraId="00000066">
      <w:pPr>
        <w:ind w:left="0" w:firstLine="0"/>
        <w:jc w:val="both"/>
        <w:rPr>
          <w:b w:val="1"/>
          <w:sz w:val="24"/>
          <w:szCs w:val="24"/>
        </w:rPr>
      </w:pPr>
      <w:r w:rsidDel="00000000" w:rsidR="00000000" w:rsidRPr="00000000">
        <w:rPr>
          <w:rtl w:val="0"/>
        </w:rPr>
      </w:r>
    </w:p>
    <w:p w:rsidR="00000000" w:rsidDel="00000000" w:rsidP="00000000" w:rsidRDefault="00000000" w:rsidRPr="00000000" w14:paraId="00000067">
      <w:pPr>
        <w:ind w:left="1440" w:firstLine="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304800</wp:posOffset>
            </wp:positionH>
            <wp:positionV relativeFrom="paragraph">
              <wp:posOffset>115968</wp:posOffset>
            </wp:positionV>
            <wp:extent cx="5731200" cy="3225800"/>
            <wp:effectExtent b="0" l="0" r="0" t="0"/>
            <wp:wrapNone/>
            <wp:docPr id="1" name="image1.png"/>
            <a:graphic>
              <a:graphicData uri="http://schemas.openxmlformats.org/drawingml/2006/picture">
                <pic:pic>
                  <pic:nvPicPr>
                    <pic:cNvPr id="0" name="image1.png"/>
                    <pic:cNvPicPr preferRelativeResize="0"/>
                  </pic:nvPicPr>
                  <pic:blipFill>
                    <a:blip r:embed="rId49"/>
                    <a:srcRect b="0" l="0" r="0" t="0"/>
                    <a:stretch>
                      <a:fillRect/>
                    </a:stretch>
                  </pic:blipFill>
                  <pic:spPr>
                    <a:xfrm>
                      <a:off x="0" y="0"/>
                      <a:ext cx="5731200" cy="3225800"/>
                    </a:xfrm>
                    <a:prstGeom prst="rect"/>
                    <a:ln/>
                  </pic:spPr>
                </pic:pic>
              </a:graphicData>
            </a:graphic>
          </wp:anchor>
        </w:drawing>
      </w:r>
    </w:p>
    <w:p w:rsidR="00000000" w:rsidDel="00000000" w:rsidP="00000000" w:rsidRDefault="00000000" w:rsidRPr="00000000" w14:paraId="00000068">
      <w:pPr>
        <w:ind w:left="1440" w:firstLine="0"/>
        <w:rPr/>
      </w:pPr>
      <w:r w:rsidDel="00000000" w:rsidR="00000000" w:rsidRPr="00000000">
        <w:rPr>
          <w:rtl w:val="0"/>
        </w:rPr>
      </w:r>
    </w:p>
    <w:p w:rsidR="00000000" w:rsidDel="00000000" w:rsidP="00000000" w:rsidRDefault="00000000" w:rsidRPr="00000000" w14:paraId="00000069">
      <w:pPr>
        <w:ind w:left="1440" w:firstLine="0"/>
        <w:rPr/>
      </w:pPr>
      <w:r w:rsidDel="00000000" w:rsidR="00000000" w:rsidRPr="00000000">
        <w:rPr>
          <w:rtl w:val="0"/>
        </w:rPr>
      </w:r>
    </w:p>
    <w:p w:rsidR="00000000" w:rsidDel="00000000" w:rsidP="00000000" w:rsidRDefault="00000000" w:rsidRPr="00000000" w14:paraId="0000006A">
      <w:pPr>
        <w:ind w:left="1440" w:firstLine="0"/>
        <w:rPr/>
      </w:pPr>
      <w:r w:rsidDel="00000000" w:rsidR="00000000" w:rsidRPr="00000000">
        <w:rPr>
          <w:rtl w:val="0"/>
        </w:rPr>
      </w:r>
    </w:p>
    <w:p w:rsidR="00000000" w:rsidDel="00000000" w:rsidP="00000000" w:rsidRDefault="00000000" w:rsidRPr="00000000" w14:paraId="0000006B">
      <w:pPr>
        <w:ind w:left="1440" w:firstLine="0"/>
        <w:rPr/>
      </w:pPr>
      <w:r w:rsidDel="00000000" w:rsidR="00000000" w:rsidRPr="00000000">
        <w:rPr>
          <w:rtl w:val="0"/>
        </w:rPr>
      </w:r>
    </w:p>
    <w:p w:rsidR="00000000" w:rsidDel="00000000" w:rsidP="00000000" w:rsidRDefault="00000000" w:rsidRPr="00000000" w14:paraId="0000006C">
      <w:pPr>
        <w:ind w:left="1440" w:firstLine="0"/>
        <w:rPr/>
      </w:pPr>
      <w:r w:rsidDel="00000000" w:rsidR="00000000" w:rsidRPr="00000000">
        <w:rPr>
          <w:rtl w:val="0"/>
        </w:rPr>
      </w:r>
    </w:p>
    <w:p w:rsidR="00000000" w:rsidDel="00000000" w:rsidP="00000000" w:rsidRDefault="00000000" w:rsidRPr="00000000" w14:paraId="0000006D">
      <w:pPr>
        <w:ind w:left="1440" w:firstLine="0"/>
        <w:rPr/>
      </w:pPr>
      <w:r w:rsidDel="00000000" w:rsidR="00000000" w:rsidRPr="00000000">
        <w:rPr>
          <w:rtl w:val="0"/>
        </w:rPr>
      </w:r>
    </w:p>
    <w:p w:rsidR="00000000" w:rsidDel="00000000" w:rsidP="00000000" w:rsidRDefault="00000000" w:rsidRPr="00000000" w14:paraId="0000006E">
      <w:pPr>
        <w:ind w:left="1440" w:firstLine="0"/>
        <w:rPr/>
      </w:pPr>
      <w:r w:rsidDel="00000000" w:rsidR="00000000" w:rsidRPr="00000000">
        <w:rPr>
          <w:rtl w:val="0"/>
        </w:rPr>
      </w:r>
    </w:p>
    <w:p w:rsidR="00000000" w:rsidDel="00000000" w:rsidP="00000000" w:rsidRDefault="00000000" w:rsidRPr="00000000" w14:paraId="0000006F">
      <w:pPr>
        <w:ind w:left="1440" w:firstLine="0"/>
        <w:rPr/>
      </w:pPr>
      <w:r w:rsidDel="00000000" w:rsidR="00000000" w:rsidRPr="00000000">
        <w:rPr>
          <w:rtl w:val="0"/>
        </w:rPr>
      </w:r>
    </w:p>
    <w:p w:rsidR="00000000" w:rsidDel="00000000" w:rsidP="00000000" w:rsidRDefault="00000000" w:rsidRPr="00000000" w14:paraId="00000070">
      <w:pPr>
        <w:ind w:left="1440" w:firstLine="0"/>
        <w:rPr/>
      </w:pPr>
      <w:r w:rsidDel="00000000" w:rsidR="00000000" w:rsidRPr="00000000">
        <w:rPr>
          <w:rtl w:val="0"/>
        </w:rPr>
      </w:r>
    </w:p>
    <w:p w:rsidR="00000000" w:rsidDel="00000000" w:rsidP="00000000" w:rsidRDefault="00000000" w:rsidRPr="00000000" w14:paraId="00000071">
      <w:pPr>
        <w:ind w:left="1440" w:firstLine="0"/>
        <w:rPr/>
      </w:pPr>
      <w:r w:rsidDel="00000000" w:rsidR="00000000" w:rsidRPr="00000000">
        <w:rPr>
          <w:rtl w:val="0"/>
        </w:rPr>
      </w:r>
    </w:p>
    <w:p w:rsidR="00000000" w:rsidDel="00000000" w:rsidP="00000000" w:rsidRDefault="00000000" w:rsidRPr="00000000" w14:paraId="00000072">
      <w:pPr>
        <w:ind w:left="1440" w:firstLine="0"/>
        <w:rPr/>
      </w:pPr>
      <w:r w:rsidDel="00000000" w:rsidR="00000000" w:rsidRPr="00000000">
        <w:rPr>
          <w:rtl w:val="0"/>
        </w:rPr>
      </w:r>
    </w:p>
    <w:p w:rsidR="00000000" w:rsidDel="00000000" w:rsidP="00000000" w:rsidRDefault="00000000" w:rsidRPr="00000000" w14:paraId="00000073">
      <w:pPr>
        <w:ind w:left="1440" w:firstLine="0"/>
        <w:rPr/>
      </w:pPr>
      <w:r w:rsidDel="00000000" w:rsidR="00000000" w:rsidRPr="00000000">
        <w:rPr>
          <w:rtl w:val="0"/>
        </w:rPr>
      </w:r>
    </w:p>
    <w:p w:rsidR="00000000" w:rsidDel="00000000" w:rsidP="00000000" w:rsidRDefault="00000000" w:rsidRPr="00000000" w14:paraId="00000074">
      <w:pPr>
        <w:ind w:left="1440" w:firstLine="0"/>
        <w:rPr/>
      </w:pPr>
      <w:r w:rsidDel="00000000" w:rsidR="00000000" w:rsidRPr="00000000">
        <w:rPr>
          <w:rtl w:val="0"/>
        </w:rPr>
      </w:r>
    </w:p>
    <w:p w:rsidR="00000000" w:rsidDel="00000000" w:rsidP="00000000" w:rsidRDefault="00000000" w:rsidRPr="00000000" w14:paraId="00000075">
      <w:pPr>
        <w:ind w:left="1440" w:firstLine="0"/>
        <w:rPr/>
      </w:pPr>
      <w:r w:rsidDel="00000000" w:rsidR="00000000" w:rsidRPr="00000000">
        <w:rPr>
          <w:rtl w:val="0"/>
        </w:rPr>
      </w:r>
    </w:p>
    <w:p w:rsidR="00000000" w:rsidDel="00000000" w:rsidP="00000000" w:rsidRDefault="00000000" w:rsidRPr="00000000" w14:paraId="00000076">
      <w:pPr>
        <w:ind w:left="1440" w:firstLine="0"/>
        <w:rPr/>
      </w:pPr>
      <w:r w:rsidDel="00000000" w:rsidR="00000000" w:rsidRPr="00000000">
        <w:rPr>
          <w:rtl w:val="0"/>
        </w:rPr>
      </w:r>
    </w:p>
    <w:p w:rsidR="00000000" w:rsidDel="00000000" w:rsidP="00000000" w:rsidRDefault="00000000" w:rsidRPr="00000000" w14:paraId="00000077">
      <w:pPr>
        <w:ind w:left="1440" w:firstLine="0"/>
        <w:rPr/>
      </w:pPr>
      <w:r w:rsidDel="00000000" w:rsidR="00000000" w:rsidRPr="00000000">
        <w:rPr>
          <w:rtl w:val="0"/>
        </w:rPr>
      </w:r>
    </w:p>
    <w:p w:rsidR="00000000" w:rsidDel="00000000" w:rsidP="00000000" w:rsidRDefault="00000000" w:rsidRPr="00000000" w14:paraId="00000078">
      <w:pPr>
        <w:ind w:left="1440" w:firstLine="0"/>
        <w:rPr/>
      </w:pPr>
      <w:r w:rsidDel="00000000" w:rsidR="00000000" w:rsidRPr="00000000">
        <w:rPr>
          <w:rtl w:val="0"/>
        </w:rPr>
      </w:r>
    </w:p>
    <w:p w:rsidR="00000000" w:rsidDel="00000000" w:rsidP="00000000" w:rsidRDefault="00000000" w:rsidRPr="00000000" w14:paraId="00000079">
      <w:pPr>
        <w:ind w:left="1440" w:firstLine="0"/>
        <w:rPr/>
      </w:pPr>
      <w:r w:rsidDel="00000000" w:rsidR="00000000" w:rsidRPr="00000000">
        <w:rPr>
          <w:rtl w:val="0"/>
        </w:rPr>
      </w:r>
    </w:p>
    <w:p w:rsidR="00000000" w:rsidDel="00000000" w:rsidP="00000000" w:rsidRDefault="00000000" w:rsidRPr="00000000" w14:paraId="0000007A">
      <w:pPr>
        <w:spacing w:line="259" w:lineRule="auto"/>
        <w:ind w:left="792" w:firstLine="0"/>
        <w:jc w:val="center"/>
        <w:rPr/>
      </w:pPr>
      <w:r w:rsidDel="00000000" w:rsidR="00000000" w:rsidRPr="00000000">
        <w:rPr>
          <w:rFonts w:ascii="Calibri" w:cs="Calibri" w:eastAsia="Calibri" w:hAnsi="Calibri"/>
          <w:rtl w:val="0"/>
        </w:rPr>
        <w:t xml:space="preserve">Figure 2. Diagram of Methodology adapted to map the mangrove canopy height</w:t>
      </w:r>
      <w:r w:rsidDel="00000000" w:rsidR="00000000" w:rsidRPr="00000000">
        <w:rPr>
          <w:rtl w:val="0"/>
        </w:rPr>
      </w:r>
    </w:p>
    <w:p w:rsidR="00000000" w:rsidDel="00000000" w:rsidP="00000000" w:rsidRDefault="00000000" w:rsidRPr="00000000" w14:paraId="0000007B">
      <w:pPr>
        <w:ind w:left="0" w:firstLine="0"/>
        <w:rPr>
          <w:rFonts w:ascii="Palatino Linotype" w:cs="Palatino Linotype" w:eastAsia="Palatino Linotype" w:hAnsi="Palatino Linotype"/>
          <w:sz w:val="24"/>
          <w:szCs w:val="24"/>
        </w:rPr>
      </w:pPr>
      <w:r w:rsidDel="00000000" w:rsidR="00000000" w:rsidRPr="00000000">
        <w:rPr>
          <w:rtl w:val="0"/>
        </w:rPr>
      </w:r>
    </w:p>
    <w:p w:rsidR="00000000" w:rsidDel="00000000" w:rsidP="00000000" w:rsidRDefault="00000000" w:rsidRPr="00000000" w14:paraId="0000007C">
      <w:pPr>
        <w:numPr>
          <w:ilvl w:val="1"/>
          <w:numId w:val="2"/>
        </w:numPr>
        <w:ind w:left="141.73228346456688" w:firstLine="0"/>
        <w:rPr>
          <w:rFonts w:ascii="Palatino Linotype" w:cs="Palatino Linotype" w:eastAsia="Palatino Linotype" w:hAnsi="Palatino Linotype"/>
          <w:sz w:val="24"/>
          <w:szCs w:val="24"/>
        </w:rPr>
      </w:pPr>
      <w:commentRangeStart w:id="6"/>
      <w:r w:rsidDel="00000000" w:rsidR="00000000" w:rsidRPr="00000000">
        <w:rPr>
          <w:rFonts w:ascii="Palatino Linotype" w:cs="Palatino Linotype" w:eastAsia="Palatino Linotype" w:hAnsi="Palatino Linotype"/>
          <w:sz w:val="24"/>
          <w:szCs w:val="24"/>
          <w:rtl w:val="0"/>
        </w:rPr>
        <w:t xml:space="preserve">Machine Learning </w:t>
      </w:r>
      <w:commentRangeStart w:id="7"/>
      <w:r w:rsidDel="00000000" w:rsidR="00000000" w:rsidRPr="00000000">
        <w:rPr>
          <w:rFonts w:ascii="Palatino Linotype" w:cs="Palatino Linotype" w:eastAsia="Palatino Linotype" w:hAnsi="Palatino Linotype"/>
          <w:sz w:val="24"/>
          <w:szCs w:val="24"/>
          <w:rtl w:val="0"/>
        </w:rPr>
        <w:t xml:space="preserve"> modelling</w:t>
      </w:r>
      <w:commentRangeEnd w:id="7"/>
      <w:r w:rsidDel="00000000" w:rsidR="00000000" w:rsidRPr="00000000">
        <w:commentReference w:id="7"/>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7D">
      <w:pPr>
        <w:ind w:left="-141.73228346456688" w:firstLine="0"/>
        <w:jc w:val="both"/>
        <w:rPr>
          <w:rFonts w:ascii="Palatino Linotype" w:cs="Palatino Linotype" w:eastAsia="Palatino Linotype" w:hAnsi="Palatino Linotype"/>
          <w:sz w:val="24"/>
          <w:szCs w:val="24"/>
        </w:rPr>
      </w:pPr>
      <w:commentRangeStart w:id="8"/>
      <w:r w:rsidDel="00000000" w:rsidR="00000000" w:rsidRPr="00000000">
        <w:rPr>
          <w:rFonts w:ascii="Palatino Linotype" w:cs="Palatino Linotype" w:eastAsia="Palatino Linotype" w:hAnsi="Palatino Linotype"/>
          <w:sz w:val="24"/>
          <w:szCs w:val="24"/>
          <w:rtl w:val="0"/>
        </w:rPr>
        <w:t xml:space="preserve">Dataset was splitted with 70:30 proportion for training and testing dataset.</w:t>
      </w:r>
      <w:commentRangeEnd w:id="8"/>
      <w:r w:rsidDel="00000000" w:rsidR="00000000" w:rsidRPr="00000000">
        <w:commentReference w:id="8"/>
      </w:r>
      <w:r w:rsidDel="00000000" w:rsidR="00000000" w:rsidRPr="00000000">
        <w:rPr>
          <w:rFonts w:ascii="Palatino Linotype" w:cs="Palatino Linotype" w:eastAsia="Palatino Linotype" w:hAnsi="Palatino Linotype"/>
          <w:sz w:val="24"/>
          <w:szCs w:val="24"/>
          <w:rtl w:val="0"/>
        </w:rPr>
        <w:t xml:space="preserve"> </w:t>
      </w:r>
      <w:commentRangeStart w:id="9"/>
      <w:r w:rsidDel="00000000" w:rsidR="00000000" w:rsidRPr="00000000">
        <w:rPr>
          <w:rFonts w:ascii="Palatino Linotype" w:cs="Palatino Linotype" w:eastAsia="Palatino Linotype" w:hAnsi="Palatino Linotype"/>
          <w:sz w:val="24"/>
          <w:szCs w:val="24"/>
          <w:rtl w:val="0"/>
        </w:rPr>
        <w:t xml:space="preserve">The splitting was done by using stratified random sampling. Stratified random sampling was done to ensure well-balanced representative sample from each species community.</w:t>
      </w:r>
      <w:commentRangeEnd w:id="9"/>
      <w:r w:rsidDel="00000000" w:rsidR="00000000" w:rsidRPr="00000000">
        <w:commentReference w:id="9"/>
      </w:r>
      <w:r w:rsidDel="00000000" w:rsidR="00000000" w:rsidRPr="00000000">
        <w:rPr>
          <w:rFonts w:ascii="Palatino Linotype" w:cs="Palatino Linotype" w:eastAsia="Palatino Linotype" w:hAnsi="Palatino Linotype"/>
          <w:sz w:val="24"/>
          <w:szCs w:val="24"/>
          <w:rtl w:val="0"/>
        </w:rPr>
        <w:t xml:space="preserve"> This sampling method was done by preserving the same proportion of each species association in the train-test data set (70% training, 30% testing). </w:t>
      </w:r>
      <w:r w:rsidDel="00000000" w:rsidR="00000000" w:rsidRPr="00000000">
        <w:rPr>
          <w:rtl w:val="0"/>
        </w:rPr>
      </w:r>
    </w:p>
    <w:p w:rsidR="00000000" w:rsidDel="00000000" w:rsidP="00000000" w:rsidRDefault="00000000" w:rsidRPr="00000000" w14:paraId="0000007E">
      <w:pPr>
        <w:ind w:left="-141.73228346456688" w:firstLine="0"/>
        <w:jc w:val="both"/>
        <w:rPr>
          <w:rFonts w:ascii="Palatino Linotype" w:cs="Palatino Linotype" w:eastAsia="Palatino Linotype" w:hAnsi="Palatino Linotype"/>
          <w:sz w:val="24"/>
          <w:szCs w:val="24"/>
        </w:rPr>
      </w:pPr>
      <w:r w:rsidDel="00000000" w:rsidR="00000000" w:rsidRPr="00000000">
        <w:rPr>
          <w:rtl w:val="0"/>
        </w:rPr>
      </w:r>
    </w:p>
    <w:p w:rsidR="00000000" w:rsidDel="00000000" w:rsidP="00000000" w:rsidRDefault="00000000" w:rsidRPr="00000000" w14:paraId="0000007F">
      <w:pPr>
        <w:ind w:left="-141.73228346456688" w:firstLine="0"/>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Predictive Modelling was done by using random forest algorithm. The process was done using caret package in R so that we can have a model with the best tuning parameter. The model was then tested to predict the test dataset (30%) to know the model's performance. The model performance was evaluated based on root mean square error (RMSE), Mean Absolute Error (MAE), and Mean Absolute Percentage Error (MAPE) metrics. </w:t>
      </w:r>
    </w:p>
    <w:p w:rsidR="00000000" w:rsidDel="00000000" w:rsidP="00000000" w:rsidRDefault="00000000" w:rsidRPr="00000000" w14:paraId="00000080">
      <w:pPr>
        <w:ind w:left="2880" w:firstLine="0"/>
        <w:rPr>
          <w:rFonts w:ascii="Palatino Linotype" w:cs="Palatino Linotype" w:eastAsia="Palatino Linotype" w:hAnsi="Palatino Linotype"/>
          <w:color w:val="ff0000"/>
          <w:sz w:val="24"/>
          <w:szCs w:val="24"/>
        </w:rPr>
      </w:pPr>
      <w:r w:rsidDel="00000000" w:rsidR="00000000" w:rsidRPr="00000000">
        <w:rPr>
          <w:rtl w:val="0"/>
        </w:rPr>
      </w:r>
    </w:p>
    <w:p w:rsidR="00000000" w:rsidDel="00000000" w:rsidP="00000000" w:rsidRDefault="00000000" w:rsidRPr="00000000" w14:paraId="00000081">
      <w:pPr>
        <w:numPr>
          <w:ilvl w:val="3"/>
          <w:numId w:val="2"/>
        </w:numPr>
        <w:ind w:left="566.9291338582675" w:firstLine="3.070866141732438"/>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 Full Coverage Prediction</w:t>
      </w:r>
      <w:r w:rsidDel="00000000" w:rsidR="00000000" w:rsidRPr="00000000">
        <w:rPr>
          <w:rtl w:val="0"/>
        </w:rPr>
      </w:r>
    </w:p>
    <w:p w:rsidR="00000000" w:rsidDel="00000000" w:rsidP="00000000" w:rsidRDefault="00000000" w:rsidRPr="00000000" w14:paraId="00000082">
      <w:pPr>
        <w:ind w:left="-141.73228346456688" w:firstLine="0"/>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The predictive model was then used to predict the full coverage of the mangrove extent in the study area. </w:t>
      </w:r>
      <w:r w:rsidDel="00000000" w:rsidR="00000000" w:rsidRPr="00000000">
        <w:rPr>
          <w:rtl w:val="0"/>
        </w:rPr>
      </w:r>
    </w:p>
    <w:p w:rsidR="00000000" w:rsidDel="00000000" w:rsidP="00000000" w:rsidRDefault="00000000" w:rsidRPr="00000000" w14:paraId="00000083">
      <w:pPr>
        <w:ind w:left="2880" w:firstLine="0"/>
        <w:rPr>
          <w:rFonts w:ascii="Palatino Linotype" w:cs="Palatino Linotype" w:eastAsia="Palatino Linotype" w:hAnsi="Palatino Linotype"/>
          <w:color w:val="ff0000"/>
          <w:sz w:val="24"/>
          <w:szCs w:val="24"/>
        </w:rPr>
      </w:pPr>
      <w:commentRangeStart w:id="10"/>
      <w:r w:rsidDel="00000000" w:rsidR="00000000" w:rsidRPr="00000000">
        <w:rPr>
          <w:rtl w:val="0"/>
        </w:rPr>
      </w:r>
    </w:p>
    <w:p w:rsidR="00000000" w:rsidDel="00000000" w:rsidP="00000000" w:rsidRDefault="00000000" w:rsidRPr="00000000" w14:paraId="00000084">
      <w:pPr>
        <w:numPr>
          <w:ilvl w:val="3"/>
          <w:numId w:val="2"/>
        </w:numPr>
        <w:ind w:left="566.9291338582675" w:firstLine="3.070866141732438"/>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Model Validation</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85">
      <w:pPr>
        <w:ind w:left="-141.73228346456688" w:firstLine="0"/>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Model validation was done by comparing the data to ground measurement data. This validation gives the final model accuracy. The same as evaluating model performance, we use root mean square error (RMSE), Mean Absolute Error (MAE), and Mean Absolute Percentage Error (MAPE) metrics.</w:t>
      </w:r>
      <w:r w:rsidDel="00000000" w:rsidR="00000000" w:rsidRPr="00000000">
        <w:rPr>
          <w:rFonts w:ascii="Palatino Linotype" w:cs="Palatino Linotype" w:eastAsia="Palatino Linotype" w:hAnsi="Palatino Linotype"/>
          <w:color w:val="ff0000"/>
          <w:sz w:val="24"/>
          <w:szCs w:val="24"/>
          <w:rtl w:val="0"/>
        </w:rPr>
        <w:t xml:space="preserve">  If needed we also can do model validation against other canopy height model (Tolan’s, Simard’s, Krause’s).</w:t>
      </w:r>
      <w:r w:rsidDel="00000000" w:rsidR="00000000" w:rsidRPr="00000000">
        <w:rPr>
          <w:rtl w:val="0"/>
        </w:rPr>
      </w:r>
    </w:p>
    <w:p w:rsidR="00000000" w:rsidDel="00000000" w:rsidP="00000000" w:rsidRDefault="00000000" w:rsidRPr="00000000" w14:paraId="00000086">
      <w:pPr>
        <w:ind w:left="1440" w:firstLine="0"/>
        <w:rPr/>
      </w:pPr>
      <w:r w:rsidDel="00000000" w:rsidR="00000000" w:rsidRPr="00000000">
        <w:rPr>
          <w:rtl w:val="0"/>
        </w:rPr>
      </w:r>
    </w:p>
    <w:p w:rsidR="00000000" w:rsidDel="00000000" w:rsidP="00000000" w:rsidRDefault="00000000" w:rsidRPr="00000000" w14:paraId="00000087">
      <w:pPr>
        <w:pStyle w:val="Heading1"/>
        <w:numPr>
          <w:ilvl w:val="0"/>
          <w:numId w:val="2"/>
        </w:numPr>
        <w:spacing w:after="0" w:afterAutospacing="0"/>
        <w:ind w:left="0" w:firstLine="0"/>
        <w:rPr>
          <w:b w:val="1"/>
          <w:sz w:val="24"/>
          <w:szCs w:val="24"/>
        </w:rPr>
      </w:pPr>
      <w:bookmarkStart w:colFirst="0" w:colLast="0" w:name="_hxu2sdrlp5g1" w:id="4"/>
      <w:bookmarkEnd w:id="4"/>
      <w:r w:rsidDel="00000000" w:rsidR="00000000" w:rsidRPr="00000000">
        <w:rPr>
          <w:b w:val="1"/>
          <w:sz w:val="24"/>
          <w:szCs w:val="24"/>
          <w:rtl w:val="0"/>
        </w:rPr>
        <w:t xml:space="preserve">Results</w:t>
      </w:r>
    </w:p>
    <w:p w:rsidR="00000000" w:rsidDel="00000000" w:rsidP="00000000" w:rsidRDefault="00000000" w:rsidRPr="00000000" w14:paraId="00000088">
      <w:pPr>
        <w:numPr>
          <w:ilvl w:val="1"/>
          <w:numId w:val="2"/>
        </w:numPr>
        <w:ind w:left="141.73228346456688" w:firstLine="0"/>
      </w:pPr>
      <w:r w:rsidDel="00000000" w:rsidR="00000000" w:rsidRPr="00000000">
        <w:rPr>
          <w:rtl w:val="0"/>
        </w:rPr>
        <w:t xml:space="preserve">Height Model Development</w:t>
      </w:r>
    </w:p>
    <w:p w:rsidR="00000000" w:rsidDel="00000000" w:rsidP="00000000" w:rsidRDefault="00000000" w:rsidRPr="00000000" w14:paraId="00000089">
      <w:pPr>
        <w:ind w:left="141.73228346456688" w:firstLine="0"/>
        <w:rPr/>
      </w:pPr>
      <w:r w:rsidDel="00000000" w:rsidR="00000000" w:rsidRPr="00000000">
        <w:rPr>
          <w:rtl w:val="0"/>
        </w:rPr>
      </w:r>
    </w:p>
    <w:p w:rsidR="00000000" w:rsidDel="00000000" w:rsidP="00000000" w:rsidRDefault="00000000" w:rsidRPr="00000000" w14:paraId="0000008A">
      <w:pPr>
        <w:numPr>
          <w:ilvl w:val="1"/>
          <w:numId w:val="2"/>
        </w:numPr>
        <w:spacing w:after="0" w:afterAutospacing="0"/>
        <w:ind w:left="141.73228346456688" w:firstLine="0"/>
        <w:rPr>
          <w:u w:val="none"/>
        </w:rPr>
      </w:pPr>
      <w:r w:rsidDel="00000000" w:rsidR="00000000" w:rsidRPr="00000000">
        <w:rPr>
          <w:rtl w:val="0"/>
        </w:rPr>
        <w:t xml:space="preserve">Accuracy Check against ground truth data and benchmark model</w:t>
      </w:r>
      <w:r w:rsidDel="00000000" w:rsidR="00000000" w:rsidRPr="00000000">
        <w:rPr>
          <w:rtl w:val="0"/>
        </w:rPr>
      </w:r>
    </w:p>
    <w:p w:rsidR="00000000" w:rsidDel="00000000" w:rsidP="00000000" w:rsidRDefault="00000000" w:rsidRPr="00000000" w14:paraId="0000008B">
      <w:pPr>
        <w:pStyle w:val="Heading1"/>
        <w:numPr>
          <w:ilvl w:val="0"/>
          <w:numId w:val="2"/>
        </w:numPr>
        <w:spacing w:before="0" w:beforeAutospacing="0"/>
        <w:ind w:left="720" w:hanging="360"/>
        <w:rPr>
          <w:b w:val="1"/>
          <w:sz w:val="24"/>
          <w:szCs w:val="24"/>
        </w:rPr>
      </w:pPr>
      <w:bookmarkStart w:colFirst="0" w:colLast="0" w:name="_t03wzi4g2azo" w:id="5"/>
      <w:bookmarkEnd w:id="5"/>
      <w:r w:rsidDel="00000000" w:rsidR="00000000" w:rsidRPr="00000000">
        <w:rPr>
          <w:b w:val="1"/>
          <w:sz w:val="24"/>
          <w:szCs w:val="24"/>
          <w:rtl w:val="0"/>
        </w:rPr>
        <w:t xml:space="preserve">Discussion</w:t>
      </w:r>
    </w:p>
    <w:p w:rsidR="00000000" w:rsidDel="00000000" w:rsidP="00000000" w:rsidRDefault="00000000" w:rsidRPr="00000000" w14:paraId="0000008C">
      <w:pPr>
        <w:spacing w:after="160" w:line="276" w:lineRule="auto"/>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However, ICESat-2 data also have their own limitations. The main limitation is the discrete availability of the data as the ICESat-2 mission is a sampling mission </w:t>
      </w:r>
      <w:hyperlink r:id="rId50">
        <w:r w:rsidDel="00000000" w:rsidR="00000000" w:rsidRPr="00000000">
          <w:rPr>
            <w:sz w:val="24"/>
            <w:szCs w:val="24"/>
            <w:rtl w:val="0"/>
          </w:rPr>
          <w:t xml:space="preserve">(Markus et al., 2017)</w:t>
        </w:r>
      </w:hyperlink>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sz w:val="24"/>
          <w:szCs w:val="24"/>
          <w:rtl w:val="0"/>
        </w:rPr>
        <w:t xml:space="preserve">thus it does not provide a full coverage data. </w:t>
      </w:r>
      <w:r w:rsidDel="00000000" w:rsidR="00000000" w:rsidRPr="00000000">
        <w:rPr>
          <w:rtl w:val="0"/>
        </w:rPr>
      </w:r>
    </w:p>
    <w:p w:rsidR="00000000" w:rsidDel="00000000" w:rsidP="00000000" w:rsidRDefault="00000000" w:rsidRPr="00000000" w14:paraId="0000008D">
      <w:pPr>
        <w:rPr>
          <w:rFonts w:ascii="Palatino Linotype" w:cs="Palatino Linotype" w:eastAsia="Palatino Linotype" w:hAnsi="Palatino Linotype"/>
          <w:sz w:val="24"/>
          <w:szCs w:val="24"/>
        </w:rPr>
      </w:pPr>
      <w:r w:rsidDel="00000000" w:rsidR="00000000" w:rsidRPr="00000000">
        <w:rPr>
          <w:rtl w:val="0"/>
        </w:rPr>
      </w:r>
    </w:p>
    <w:p w:rsidR="00000000" w:rsidDel="00000000" w:rsidP="00000000" w:rsidRDefault="00000000" w:rsidRPr="00000000" w14:paraId="0000008E">
      <w:pPr>
        <w:rPr>
          <w:rFonts w:ascii="Palatino Linotype" w:cs="Palatino Linotype" w:eastAsia="Palatino Linotype" w:hAnsi="Palatino Linotype"/>
          <w:sz w:val="24"/>
          <w:szCs w:val="24"/>
        </w:rPr>
      </w:pPr>
      <w:commentRangeStart w:id="11"/>
      <w:commentRangeStart w:id="12"/>
      <w:r w:rsidDel="00000000" w:rsidR="00000000" w:rsidRPr="00000000">
        <w:rPr>
          <w:rFonts w:ascii="Palatino Linotype" w:cs="Palatino Linotype" w:eastAsia="Palatino Linotype" w:hAnsi="Palatino Linotype"/>
          <w:sz w:val="24"/>
          <w:szCs w:val="24"/>
          <w:rtl w:val="0"/>
        </w:rPr>
        <w:t xml:space="preserve">2.2.4 Global Forest Canopy Height Model</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8F">
      <w:pPr>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Global forest canopy height was used as both a predictor and a baseline for this study. The global canopy height used was produced from </w:t>
      </w:r>
      <w:hyperlink r:id="rId51">
        <w:r w:rsidDel="00000000" w:rsidR="00000000" w:rsidRPr="00000000">
          <w:rPr>
            <w:rFonts w:ascii="Palatino Linotype" w:cs="Palatino Linotype" w:eastAsia="Palatino Linotype" w:hAnsi="Palatino Linotype"/>
            <w:sz w:val="24"/>
            <w:szCs w:val="24"/>
            <w:rtl w:val="0"/>
          </w:rPr>
          <w:t xml:space="preserve">(Tolan et al., 2024)</w:t>
        </w:r>
      </w:hyperlink>
      <w:r w:rsidDel="00000000" w:rsidR="00000000" w:rsidRPr="00000000">
        <w:rPr>
          <w:rFonts w:ascii="Palatino Linotype" w:cs="Palatino Linotype" w:eastAsia="Palatino Linotype" w:hAnsi="Palatino Linotype"/>
          <w:sz w:val="24"/>
          <w:szCs w:val="24"/>
          <w:rtl w:val="0"/>
        </w:rPr>
        <w:t xml:space="preserve">, which utilized very high resolution RGB imagery that was trained into LiDAR data (aerial and spaceborne) using </w:t>
      </w:r>
      <w:commentRangeStart w:id="13"/>
      <w:r w:rsidDel="00000000" w:rsidR="00000000" w:rsidRPr="00000000">
        <w:rPr>
          <w:rFonts w:ascii="Palatino Linotype" w:cs="Palatino Linotype" w:eastAsia="Palatino Linotype" w:hAnsi="Palatino Linotype"/>
          <w:sz w:val="24"/>
          <w:szCs w:val="24"/>
          <w:rtl w:val="0"/>
        </w:rPr>
        <w:t xml:space="preserve">self-supervised model and convolutional network.</w:t>
      </w:r>
      <w:commentRangeEnd w:id="13"/>
      <w:r w:rsidDel="00000000" w:rsidR="00000000" w:rsidRPr="00000000">
        <w:commentReference w:id="13"/>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90">
      <w:pPr>
        <w:pStyle w:val="Heading1"/>
        <w:numPr>
          <w:ilvl w:val="0"/>
          <w:numId w:val="2"/>
        </w:numPr>
        <w:ind w:left="720" w:hanging="360"/>
        <w:rPr>
          <w:b w:val="1"/>
          <w:sz w:val="24"/>
          <w:szCs w:val="24"/>
        </w:rPr>
      </w:pPr>
      <w:bookmarkStart w:colFirst="0" w:colLast="0" w:name="_z69ig31yh336" w:id="6"/>
      <w:bookmarkEnd w:id="6"/>
      <w:r w:rsidDel="00000000" w:rsidR="00000000" w:rsidRPr="00000000">
        <w:rPr>
          <w:b w:val="1"/>
          <w:sz w:val="24"/>
          <w:szCs w:val="24"/>
          <w:rtl w:val="0"/>
        </w:rPr>
        <w:t xml:space="preserve">Conclusion</w:t>
      </w:r>
    </w:p>
    <w:p w:rsidR="00000000" w:rsidDel="00000000" w:rsidP="00000000" w:rsidRDefault="00000000" w:rsidRPr="00000000" w14:paraId="00000091">
      <w:pPr>
        <w:jc w:val="both"/>
        <w:rPr>
          <w:rFonts w:ascii="Palatino Linotype" w:cs="Palatino Linotype" w:eastAsia="Palatino Linotype" w:hAnsi="Palatino Linotype"/>
          <w:b w:val="1"/>
          <w:sz w:val="24"/>
          <w:szCs w:val="24"/>
        </w:rPr>
      </w:pPr>
      <w:r w:rsidDel="00000000" w:rsidR="00000000" w:rsidRPr="00000000">
        <w:rPr>
          <w:rtl w:val="0"/>
        </w:rPr>
      </w:r>
    </w:p>
    <w:p w:rsidR="00000000" w:rsidDel="00000000" w:rsidP="00000000" w:rsidRDefault="00000000" w:rsidRPr="00000000" w14:paraId="00000092">
      <w:pPr>
        <w:jc w:val="both"/>
        <w:rPr>
          <w:rFonts w:ascii="Palatino Linotype" w:cs="Palatino Linotype" w:eastAsia="Palatino Linotype" w:hAnsi="Palatino Linotype"/>
          <w:b w:val="1"/>
          <w:sz w:val="24"/>
          <w:szCs w:val="24"/>
        </w:rPr>
      </w:pPr>
      <w:r w:rsidDel="00000000" w:rsidR="00000000" w:rsidRPr="00000000">
        <w:rPr>
          <w:rFonts w:ascii="Palatino Linotype" w:cs="Palatino Linotype" w:eastAsia="Palatino Linotype" w:hAnsi="Palatino Linotype"/>
          <w:b w:val="1"/>
          <w:sz w:val="24"/>
          <w:szCs w:val="24"/>
          <w:rtl w:val="0"/>
        </w:rPr>
        <w:t xml:space="preserve">Acknowledgments</w:t>
      </w:r>
    </w:p>
    <w:p w:rsidR="00000000" w:rsidDel="00000000" w:rsidP="00000000" w:rsidRDefault="00000000" w:rsidRPr="00000000" w14:paraId="00000093">
      <w:pPr>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We would like to express our sincere gratitude to the Department of Marine and Coastal Resources, Trat office staff Mr. Anuchit Jaikuea, Mr. Ruchakorn Tanasomboonpan, and Mr. Thanakrit Bunkoed for their support and active participation during the all-species diversity field surveys for this project. </w:t>
      </w:r>
    </w:p>
    <w:p w:rsidR="00000000" w:rsidDel="00000000" w:rsidP="00000000" w:rsidRDefault="00000000" w:rsidRPr="00000000" w14:paraId="00000094">
      <w:pPr>
        <w:jc w:val="both"/>
        <w:rPr>
          <w:rFonts w:ascii="Palatino Linotype" w:cs="Palatino Linotype" w:eastAsia="Palatino Linotype" w:hAnsi="Palatino Linotype"/>
          <w:color w:val="ff0000"/>
          <w:sz w:val="24"/>
          <w:szCs w:val="24"/>
        </w:rPr>
      </w:pPr>
      <w:r w:rsidDel="00000000" w:rsidR="00000000" w:rsidRPr="00000000">
        <w:rPr>
          <w:rFonts w:ascii="Palatino Linotype" w:cs="Palatino Linotype" w:eastAsia="Palatino Linotype" w:hAnsi="Palatino Linotype"/>
          <w:sz w:val="24"/>
          <w:szCs w:val="24"/>
          <w:rtl w:val="0"/>
        </w:rPr>
        <w:t xml:space="preserve">Our thanks extend to the Royal Forest Department staff Mr. Kraiwut Siri-on, Ms. Napaporn Kao-min, Ms. Radklao Au-ngern, Mr. Ridthichi Namsri, Mr. Nitiwut Nilawong, and Mr. Surasit Maneetab for their valuable assistance during the ground elevation surveys. </w:t>
      </w:r>
      <w:r w:rsidDel="00000000" w:rsidR="00000000" w:rsidRPr="00000000">
        <w:rPr>
          <w:rFonts w:ascii="Palatino Linotype" w:cs="Palatino Linotype" w:eastAsia="Palatino Linotype" w:hAnsi="Palatino Linotype"/>
          <w:color w:val="ff0000"/>
          <w:sz w:val="24"/>
          <w:szCs w:val="24"/>
          <w:rtl w:val="0"/>
        </w:rPr>
        <w:t xml:space="preserve">Need to add more names </w:t>
      </w:r>
    </w:p>
    <w:p w:rsidR="00000000" w:rsidDel="00000000" w:rsidP="00000000" w:rsidRDefault="00000000" w:rsidRPr="00000000" w14:paraId="00000095">
      <w:pPr>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We thank the Marine Department (Bangkok office), Ministry of Transport, Thailand, for providing essential tidal data.</w:t>
      </w:r>
    </w:p>
    <w:p w:rsidR="00000000" w:rsidDel="00000000" w:rsidP="00000000" w:rsidRDefault="00000000" w:rsidRPr="00000000" w14:paraId="00000096">
      <w:pPr>
        <w:jc w:val="both"/>
        <w:rPr>
          <w:rFonts w:ascii="Palatino Linotype" w:cs="Palatino Linotype" w:eastAsia="Palatino Linotype" w:hAnsi="Palatino Linotype"/>
          <w:sz w:val="24"/>
          <w:szCs w:val="24"/>
        </w:rPr>
      </w:pPr>
      <w:r w:rsidDel="00000000" w:rsidR="00000000" w:rsidRPr="00000000">
        <w:rPr>
          <w:rtl w:val="0"/>
        </w:rPr>
      </w:r>
    </w:p>
    <w:p w:rsidR="00000000" w:rsidDel="00000000" w:rsidP="00000000" w:rsidRDefault="00000000" w:rsidRPr="00000000" w14:paraId="00000097">
      <w:pPr>
        <w:jc w:val="both"/>
        <w:rPr>
          <w:rFonts w:ascii="Palatino Linotype" w:cs="Palatino Linotype" w:eastAsia="Palatino Linotype" w:hAnsi="Palatino Linotype"/>
          <w:b w:val="1"/>
          <w:sz w:val="24"/>
          <w:szCs w:val="24"/>
        </w:rPr>
      </w:pPr>
      <w:r w:rsidDel="00000000" w:rsidR="00000000" w:rsidRPr="00000000">
        <w:rPr>
          <w:rFonts w:ascii="Palatino Linotype" w:cs="Palatino Linotype" w:eastAsia="Palatino Linotype" w:hAnsi="Palatino Linotype"/>
          <w:b w:val="1"/>
          <w:sz w:val="24"/>
          <w:szCs w:val="24"/>
          <w:rtl w:val="0"/>
        </w:rPr>
        <w:t xml:space="preserve">Funding</w:t>
      </w:r>
    </w:p>
    <w:p w:rsidR="00000000" w:rsidDel="00000000" w:rsidP="00000000" w:rsidRDefault="00000000" w:rsidRPr="00000000" w14:paraId="00000098">
      <w:pPr>
        <w:spacing w:after="0" w:line="240" w:lineRule="auto"/>
        <w:ind w:left="720"/>
        <w:jc w:val="both"/>
        <w:rPr>
          <w:rFonts w:ascii="Palatino Linotype" w:cs="Palatino Linotype" w:eastAsia="Palatino Linotype" w:hAnsi="Palatino Linotype"/>
          <w:color w:val="1f1f1f"/>
          <w:sz w:val="24"/>
          <w:szCs w:val="24"/>
          <w:highlight w:val="white"/>
        </w:rPr>
      </w:pPr>
      <w:r w:rsidDel="00000000" w:rsidR="00000000" w:rsidRPr="00000000">
        <w:rPr>
          <w:rtl w:val="0"/>
        </w:rPr>
      </w:r>
    </w:p>
    <w:p w:rsidR="00000000" w:rsidDel="00000000" w:rsidP="00000000" w:rsidRDefault="00000000" w:rsidRPr="00000000" w14:paraId="00000099">
      <w:pPr>
        <w:spacing w:after="240" w:lineRule="auto"/>
        <w:jc w:val="both"/>
        <w:rPr>
          <w:rFonts w:ascii="Palatino Linotype" w:cs="Palatino Linotype" w:eastAsia="Palatino Linotype" w:hAnsi="Palatino Linotype"/>
          <w:color w:val="1f1f1f"/>
          <w:sz w:val="24"/>
          <w:szCs w:val="24"/>
          <w:highlight w:val="white"/>
        </w:rPr>
      </w:pPr>
      <w:r w:rsidDel="00000000" w:rsidR="00000000" w:rsidRPr="00000000">
        <w:rPr>
          <w:rFonts w:ascii="Palatino Linotype" w:cs="Palatino Linotype" w:eastAsia="Palatino Linotype" w:hAnsi="Palatino Linotype"/>
          <w:color w:val="1f1f1f"/>
          <w:sz w:val="24"/>
          <w:szCs w:val="24"/>
          <w:highlight w:val="white"/>
          <w:rtl w:val="0"/>
        </w:rPr>
        <w:t xml:space="preserve">This research was funded by the Southeast Asia-Europe Joint Funding Scheme for Research and Innovation, 2018–2022 as a part of a project entitled, “Monitoring and optimizing the design quality of mangrove restoration towards a sustainable coastal ecosystem management in Thailand and Mekong Delta of Vietnam” [Project code:- Thailand (NSTDA): P-18–51184, France (ANR): N0 ANR-17-ASIE-0003–01, Germany (BMBF): 01DQ18004] and “Monitoring and optimization of mangrove restoration for sustainable management of coastal ecosystems in Southeast Asia (2023–2026)” [the National Science, Research and Innovation Fund (NSRF) via the Program Management Unit for Human Resources &amp; Institutional Development, Research and Innovation (PMU-B), Thailand: </w:t>
      </w:r>
      <w:hyperlink r:id="rId52">
        <w:r w:rsidDel="00000000" w:rsidR="00000000" w:rsidRPr="00000000">
          <w:rPr>
            <w:rFonts w:ascii="Palatino Linotype" w:cs="Palatino Linotype" w:eastAsia="Palatino Linotype" w:hAnsi="Palatino Linotype"/>
            <w:color w:val="0272b1"/>
            <w:sz w:val="24"/>
            <w:szCs w:val="24"/>
            <w:highlight w:val="white"/>
            <w:rtl w:val="0"/>
          </w:rPr>
          <w:t xml:space="preserve">B48G660110</w:t>
        </w:r>
      </w:hyperlink>
      <w:r w:rsidDel="00000000" w:rsidR="00000000" w:rsidRPr="00000000">
        <w:rPr>
          <w:rFonts w:ascii="Palatino Linotype" w:cs="Palatino Linotype" w:eastAsia="Palatino Linotype" w:hAnsi="Palatino Linotype"/>
          <w:color w:val="1f1f1f"/>
          <w:sz w:val="24"/>
          <w:szCs w:val="24"/>
          <w:highlight w:val="white"/>
          <w:rtl w:val="0"/>
        </w:rPr>
        <w:t xml:space="preserve"> and Germany (BMBF): </w:t>
      </w:r>
      <w:hyperlink r:id="rId53">
        <w:r w:rsidDel="00000000" w:rsidR="00000000" w:rsidRPr="00000000">
          <w:rPr>
            <w:rFonts w:ascii="Palatino Linotype" w:cs="Palatino Linotype" w:eastAsia="Palatino Linotype" w:hAnsi="Palatino Linotype"/>
            <w:color w:val="0272b1"/>
            <w:sz w:val="24"/>
            <w:szCs w:val="24"/>
            <w:highlight w:val="white"/>
            <w:rtl w:val="0"/>
          </w:rPr>
          <w:t xml:space="preserve">01DP23002</w:t>
        </w:r>
      </w:hyperlink>
      <w:r w:rsidDel="00000000" w:rsidR="00000000" w:rsidRPr="00000000">
        <w:rPr>
          <w:rFonts w:ascii="Palatino Linotype" w:cs="Palatino Linotype" w:eastAsia="Palatino Linotype" w:hAnsi="Palatino Linotype"/>
          <w:color w:val="1f1f1f"/>
          <w:sz w:val="24"/>
          <w:szCs w:val="24"/>
          <w:highlight w:val="white"/>
          <w:rtl w:val="0"/>
        </w:rPr>
        <w:t xml:space="preserve">].</w:t>
      </w:r>
    </w:p>
    <w:p w:rsidR="00000000" w:rsidDel="00000000" w:rsidP="00000000" w:rsidRDefault="00000000" w:rsidRPr="00000000" w14:paraId="0000009A">
      <w:pPr>
        <w:spacing w:after="0" w:line="240" w:lineRule="auto"/>
        <w:ind w:left="720"/>
        <w:jc w:val="both"/>
        <w:rPr>
          <w:rFonts w:ascii="Palatino Linotype" w:cs="Palatino Linotype" w:eastAsia="Palatino Linotype" w:hAnsi="Palatino Linotype"/>
          <w:color w:val="1f1f1f"/>
          <w:sz w:val="24"/>
          <w:szCs w:val="24"/>
          <w:highlight w:val="white"/>
        </w:rPr>
      </w:pPr>
      <w:r w:rsidDel="00000000" w:rsidR="00000000" w:rsidRPr="00000000">
        <w:rPr>
          <w:rtl w:val="0"/>
        </w:rPr>
      </w:r>
    </w:p>
    <w:p w:rsidR="00000000" w:rsidDel="00000000" w:rsidP="00000000" w:rsidRDefault="00000000" w:rsidRPr="00000000" w14:paraId="0000009B">
      <w:pPr>
        <w:spacing w:after="0" w:line="240" w:lineRule="auto"/>
        <w:ind w:left="0" w:firstLine="0"/>
        <w:jc w:val="both"/>
        <w:rPr>
          <w:rFonts w:ascii="Palatino Linotype" w:cs="Palatino Linotype" w:eastAsia="Palatino Linotype" w:hAnsi="Palatino Linotype"/>
          <w:color w:val="1f1f1f"/>
          <w:sz w:val="24"/>
          <w:szCs w:val="24"/>
          <w:highlight w:val="white"/>
        </w:rPr>
      </w:pPr>
      <w:r w:rsidDel="00000000" w:rsidR="00000000" w:rsidRPr="00000000">
        <w:rPr>
          <w:rtl w:val="0"/>
        </w:rPr>
      </w:r>
    </w:p>
    <w:p w:rsidR="00000000" w:rsidDel="00000000" w:rsidP="00000000" w:rsidRDefault="00000000" w:rsidRPr="00000000" w14:paraId="0000009C">
      <w:pPr>
        <w:spacing w:after="0" w:line="240" w:lineRule="auto"/>
        <w:ind w:left="720"/>
        <w:jc w:val="both"/>
        <w:rPr>
          <w:rFonts w:ascii="Palatino Linotype" w:cs="Palatino Linotype" w:eastAsia="Palatino Linotype" w:hAnsi="Palatino Linotype"/>
          <w:color w:val="1f1f1f"/>
          <w:sz w:val="24"/>
          <w:szCs w:val="24"/>
          <w:highlight w:val="white"/>
        </w:rPr>
      </w:pPr>
      <w:r w:rsidDel="00000000" w:rsidR="00000000" w:rsidRPr="00000000">
        <w:rPr>
          <w:rtl w:val="0"/>
        </w:rPr>
      </w:r>
    </w:p>
    <w:p w:rsidR="00000000" w:rsidDel="00000000" w:rsidP="00000000" w:rsidRDefault="00000000" w:rsidRPr="00000000" w14:paraId="0000009D">
      <w:pPr>
        <w:spacing w:after="0" w:line="240" w:lineRule="auto"/>
        <w:ind w:left="0" w:firstLine="0"/>
        <w:jc w:val="both"/>
        <w:rPr>
          <w:rFonts w:ascii="Palatino Linotype" w:cs="Palatino Linotype" w:eastAsia="Palatino Linotype" w:hAnsi="Palatino Linotype"/>
          <w:color w:val="1f1f1f"/>
          <w:sz w:val="24"/>
          <w:szCs w:val="24"/>
          <w:highlight w:val="white"/>
        </w:rPr>
      </w:pPr>
      <w:r w:rsidDel="00000000" w:rsidR="00000000" w:rsidRPr="00000000">
        <w:rPr>
          <w:rFonts w:ascii="Palatino Linotype" w:cs="Palatino Linotype" w:eastAsia="Palatino Linotype" w:hAnsi="Palatino Linotype"/>
          <w:color w:val="1f1f1f"/>
          <w:sz w:val="24"/>
          <w:szCs w:val="24"/>
          <w:highlight w:val="white"/>
          <w:rtl w:val="0"/>
        </w:rPr>
        <w:t xml:space="preserve">References</w:t>
      </w:r>
    </w:p>
    <w:p w:rsidR="00000000" w:rsidDel="00000000" w:rsidP="00000000" w:rsidRDefault="00000000" w:rsidRPr="00000000" w14:paraId="0000009E">
      <w:pPr>
        <w:spacing w:after="0" w:line="240" w:lineRule="auto"/>
        <w:ind w:left="0" w:firstLine="0"/>
        <w:jc w:val="both"/>
        <w:rPr>
          <w:rFonts w:ascii="Palatino Linotype" w:cs="Palatino Linotype" w:eastAsia="Palatino Linotype" w:hAnsi="Palatino Linotype"/>
          <w:color w:val="1f1f1f"/>
          <w:highlight w:val="white"/>
        </w:rPr>
      </w:pPr>
      <w:r w:rsidDel="00000000" w:rsidR="00000000" w:rsidRPr="00000000">
        <w:rPr>
          <w:rtl w:val="0"/>
        </w:rPr>
      </w:r>
    </w:p>
    <w:p w:rsidR="00000000" w:rsidDel="00000000" w:rsidP="00000000" w:rsidRDefault="00000000" w:rsidRPr="00000000" w14:paraId="0000009F">
      <w:pPr>
        <w:spacing w:after="0" w:line="240" w:lineRule="auto"/>
        <w:ind w:left="720"/>
        <w:jc w:val="both"/>
        <w:rPr/>
      </w:pPr>
      <w:hyperlink r:id="rId54">
        <w:r w:rsidDel="00000000" w:rsidR="00000000" w:rsidRPr="00000000">
          <w:rPr>
            <w:rtl w:val="0"/>
          </w:rPr>
          <w:t xml:space="preserve">Alongi, D.M., 2012. Carbon sequestration in mangrove forests. Carbon Manag. 3, 313–322. https://doi.org/10.4155/cmt.12.20 </w:t>
        </w:r>
      </w:hyperlink>
      <w:r w:rsidDel="00000000" w:rsidR="00000000" w:rsidRPr="00000000">
        <w:rPr>
          <w:rtl w:val="0"/>
        </w:rPr>
      </w:r>
    </w:p>
    <w:p w:rsidR="00000000" w:rsidDel="00000000" w:rsidP="00000000" w:rsidRDefault="00000000" w:rsidRPr="00000000" w14:paraId="000000A0">
      <w:pPr>
        <w:spacing w:after="0" w:line="240" w:lineRule="auto"/>
        <w:ind w:left="720"/>
        <w:jc w:val="both"/>
        <w:rPr/>
      </w:pPr>
      <w:hyperlink r:id="rId55">
        <w:r w:rsidDel="00000000" w:rsidR="00000000" w:rsidRPr="00000000">
          <w:rPr>
            <w:rtl w:val="0"/>
          </w:rPr>
          <w:t xml:space="preserve">Amy L. Neuenschwander, Lori A. Magruder, 2023. PhoREAL: increasing spatial and temporal data accessibly of ICESat-2 through open-source Python repository. Presented at the Proc.SPIE, p. 125370E. https://doi.org/10.1117/12.2667098 </w:t>
        </w:r>
      </w:hyperlink>
      <w:r w:rsidDel="00000000" w:rsidR="00000000" w:rsidRPr="00000000">
        <w:rPr>
          <w:rtl w:val="0"/>
        </w:rPr>
      </w:r>
    </w:p>
    <w:p w:rsidR="00000000" w:rsidDel="00000000" w:rsidP="00000000" w:rsidRDefault="00000000" w:rsidRPr="00000000" w14:paraId="000000A1">
      <w:pPr>
        <w:spacing w:after="0" w:line="240" w:lineRule="auto"/>
        <w:ind w:left="720"/>
        <w:jc w:val="both"/>
        <w:rPr/>
      </w:pPr>
      <w:hyperlink r:id="rId56">
        <w:r w:rsidDel="00000000" w:rsidR="00000000" w:rsidRPr="00000000">
          <w:rPr>
            <w:rtl w:val="0"/>
          </w:rPr>
          <w:t xml:space="preserve">Asaeda, T., Barnuevo, A., Sanjaya, K., Fortes, M.D., Kanesaka, Y., Wolanski, E., 2016. Mangrove plantation over a limestone reef - Good for the ecology? Estuar. Coast. Shelf Sci. 173, 57–64. https://doi.org/10.1016/j.ecss.2016.02.017 </w:t>
        </w:r>
      </w:hyperlink>
      <w:r w:rsidDel="00000000" w:rsidR="00000000" w:rsidRPr="00000000">
        <w:rPr>
          <w:rtl w:val="0"/>
        </w:rPr>
      </w:r>
    </w:p>
    <w:p w:rsidR="00000000" w:rsidDel="00000000" w:rsidP="00000000" w:rsidRDefault="00000000" w:rsidRPr="00000000" w14:paraId="000000A2">
      <w:pPr>
        <w:spacing w:after="0" w:line="240" w:lineRule="auto"/>
        <w:ind w:left="720"/>
        <w:jc w:val="both"/>
        <w:rPr/>
      </w:pPr>
      <w:hyperlink r:id="rId57">
        <w:r w:rsidDel="00000000" w:rsidR="00000000" w:rsidRPr="00000000">
          <w:rPr>
            <w:rtl w:val="0"/>
          </w:rPr>
          <w:t xml:space="preserve">Bunting, P., Hilarides, L., Rosenqvist, A., Lucas, R.M., Kuto, E., Gueye, Y., Ndiaye, L., 2023. Global Mangrove Watch: Monthly Alerts of Mangrove Loss for Africa. Remote Sens. 15, 2050. https://doi.org/10.3390/rs15082050 </w:t>
        </w:r>
      </w:hyperlink>
      <w:r w:rsidDel="00000000" w:rsidR="00000000" w:rsidRPr="00000000">
        <w:rPr>
          <w:rtl w:val="0"/>
        </w:rPr>
      </w:r>
    </w:p>
    <w:p w:rsidR="00000000" w:rsidDel="00000000" w:rsidP="00000000" w:rsidRDefault="00000000" w:rsidRPr="00000000" w14:paraId="000000A3">
      <w:pPr>
        <w:spacing w:after="0" w:line="240" w:lineRule="auto"/>
        <w:ind w:left="720"/>
        <w:jc w:val="both"/>
        <w:rPr/>
      </w:pPr>
      <w:hyperlink r:id="rId58">
        <w:r w:rsidDel="00000000" w:rsidR="00000000" w:rsidRPr="00000000">
          <w:rPr>
            <w:rtl w:val="0"/>
          </w:rPr>
          <w:t xml:space="preserve">Duke, N.C., Ball, M.C., Ellison, J.C., 1998. Factors influencing biodiversity and distributional gradients in mangroves. Glob. Ecol. Biogeogr. Lett. 7, 27–47. https://doi.org/10.2307/2997695 </w:t>
        </w:r>
      </w:hyperlink>
      <w:r w:rsidDel="00000000" w:rsidR="00000000" w:rsidRPr="00000000">
        <w:rPr>
          <w:rtl w:val="0"/>
        </w:rPr>
      </w:r>
    </w:p>
    <w:p w:rsidR="00000000" w:rsidDel="00000000" w:rsidP="00000000" w:rsidRDefault="00000000" w:rsidRPr="00000000" w14:paraId="000000A4">
      <w:pPr>
        <w:spacing w:after="0" w:line="240" w:lineRule="auto"/>
        <w:ind w:left="720"/>
        <w:jc w:val="both"/>
        <w:rPr/>
      </w:pPr>
      <w:hyperlink r:id="rId59">
        <w:r w:rsidDel="00000000" w:rsidR="00000000" w:rsidRPr="00000000">
          <w:rPr>
            <w:rtl w:val="0"/>
          </w:rPr>
          <w:t xml:space="preserve">Friess, D.A., Rogers, K., Lovelock, C.E., Krauss, K.W., Hamilton, S.E., Lee, S.Y., Lucas, R., Primavera, J., Rajkaran, A., Shi, S., 2019. The State of the World’s Mangrove Forests: Past, Present, and Future. Annu. Rev. Environ. Resour. 44, 89–115. https://doi.org/10.1146/annurev-environ-101718-033302 </w:t>
        </w:r>
      </w:hyperlink>
      <w:r w:rsidDel="00000000" w:rsidR="00000000" w:rsidRPr="00000000">
        <w:rPr>
          <w:rtl w:val="0"/>
        </w:rPr>
      </w:r>
    </w:p>
    <w:p w:rsidR="00000000" w:rsidDel="00000000" w:rsidP="00000000" w:rsidRDefault="00000000" w:rsidRPr="00000000" w14:paraId="000000A5">
      <w:pPr>
        <w:spacing w:after="0" w:line="240" w:lineRule="auto"/>
        <w:ind w:left="720"/>
        <w:jc w:val="both"/>
        <w:rPr/>
      </w:pPr>
      <w:hyperlink r:id="rId60">
        <w:r w:rsidDel="00000000" w:rsidR="00000000" w:rsidRPr="00000000">
          <w:rPr>
            <w:rtl w:val="0"/>
          </w:rPr>
          <w:t xml:space="preserve">Gandhi, S., Jones, T.G., 2019. Identifying Mangrove Deforestation Hotspots in South Asia, Southeast Asia and Asia-Pacific. Remote Sens. 11, 728. https://doi.org/10.3390/rs11060728 </w:t>
        </w:r>
      </w:hyperlink>
      <w:r w:rsidDel="00000000" w:rsidR="00000000" w:rsidRPr="00000000">
        <w:rPr>
          <w:rtl w:val="0"/>
        </w:rPr>
      </w:r>
    </w:p>
    <w:p w:rsidR="00000000" w:rsidDel="00000000" w:rsidP="00000000" w:rsidRDefault="00000000" w:rsidRPr="00000000" w14:paraId="000000A6">
      <w:pPr>
        <w:spacing w:after="0" w:line="240" w:lineRule="auto"/>
        <w:ind w:left="720"/>
        <w:jc w:val="both"/>
        <w:rPr/>
      </w:pPr>
      <w:hyperlink r:id="rId61">
        <w:r w:rsidDel="00000000" w:rsidR="00000000" w:rsidRPr="00000000">
          <w:rPr>
            <w:rtl w:val="0"/>
          </w:rPr>
          <w:t xml:space="preserve">Goldberg, L., Lagomasino, D., Thomas, N., Fatoyinbo, T., 2020. Global declines in human‐driven mangrove loss. Glob. Change Biol. 26, 5844–5855. https://doi.org/10.1111/gcb.15275 </w:t>
        </w:r>
      </w:hyperlink>
      <w:r w:rsidDel="00000000" w:rsidR="00000000" w:rsidRPr="00000000">
        <w:rPr>
          <w:rtl w:val="0"/>
        </w:rPr>
      </w:r>
    </w:p>
    <w:p w:rsidR="00000000" w:rsidDel="00000000" w:rsidP="00000000" w:rsidRDefault="00000000" w:rsidRPr="00000000" w14:paraId="000000A7">
      <w:pPr>
        <w:spacing w:after="0" w:line="240" w:lineRule="auto"/>
        <w:ind w:left="720"/>
        <w:jc w:val="both"/>
        <w:rPr/>
      </w:pPr>
      <w:hyperlink r:id="rId62">
        <w:r w:rsidDel="00000000" w:rsidR="00000000" w:rsidRPr="00000000">
          <w:rPr>
            <w:rtl w:val="0"/>
          </w:rPr>
          <w:t xml:space="preserve">Jia, M., Zhang, R., Zhao, C., Zhou, Y., Ren, C., Mao, D., Li, H., Sun, G., Zhang, H., Yu, W., Wang, Z., Wang, Y., 2025. Synergistic estimation of mangrove canopy height across coastal China: Integrating SDGSAT-1 multispectral data with Sentinel-1/2 time-series imagery. Remote Sens. Environ. 323, 114719. https://doi.org/10.1016/j.rse.2025.114719 </w:t>
        </w:r>
      </w:hyperlink>
      <w:r w:rsidDel="00000000" w:rsidR="00000000" w:rsidRPr="00000000">
        <w:rPr>
          <w:rtl w:val="0"/>
        </w:rPr>
      </w:r>
    </w:p>
    <w:p w:rsidR="00000000" w:rsidDel="00000000" w:rsidP="00000000" w:rsidRDefault="00000000" w:rsidRPr="00000000" w14:paraId="000000A8">
      <w:pPr>
        <w:spacing w:after="0" w:line="240" w:lineRule="auto"/>
        <w:ind w:left="720"/>
        <w:jc w:val="both"/>
        <w:rPr/>
      </w:pPr>
      <w:hyperlink r:id="rId63">
        <w:r w:rsidDel="00000000" w:rsidR="00000000" w:rsidRPr="00000000">
          <w:rPr>
            <w:rtl w:val="0"/>
          </w:rPr>
          <w:t xml:space="preserve">Mandlburger, G., Pfennigbauer, M., Pfeifer, N., 2013. Analyzing near water surface penetration in laser bathymetry – A case study at the River Pielach. ISPRS Ann. Photogramm. Remote Sens. Spat. Inf. Sci. II-5/W2, 175–180. https://doi.org/10.5194/isprsannals-II-5-W2-175-2013 </w:t>
        </w:r>
      </w:hyperlink>
      <w:r w:rsidDel="00000000" w:rsidR="00000000" w:rsidRPr="00000000">
        <w:rPr>
          <w:rtl w:val="0"/>
        </w:rPr>
      </w:r>
    </w:p>
    <w:p w:rsidR="00000000" w:rsidDel="00000000" w:rsidP="00000000" w:rsidRDefault="00000000" w:rsidRPr="00000000" w14:paraId="000000A9">
      <w:pPr>
        <w:spacing w:after="0" w:line="240" w:lineRule="auto"/>
        <w:ind w:left="720"/>
        <w:jc w:val="both"/>
        <w:rPr/>
      </w:pPr>
      <w:hyperlink r:id="rId64">
        <w:r w:rsidDel="00000000" w:rsidR="00000000" w:rsidRPr="00000000">
          <w:rPr>
            <w:rtl w:val="0"/>
          </w:rPr>
          <w:t xml:space="preserve">Mullissa, A., Vollrath, A., Odongo-Braun, C., Slagter, B., Balling, J., Gou, Y., Gorelick, N., Reiche, J., 2021. Sentinel-1 SAR Backscatter Analysis Ready Data Preparation in Google Earth Engine. Remote Sens. 13, 1954. https://doi.org/10.3390/rs13101954 </w:t>
        </w:r>
      </w:hyperlink>
      <w:r w:rsidDel="00000000" w:rsidR="00000000" w:rsidRPr="00000000">
        <w:rPr>
          <w:rtl w:val="0"/>
        </w:rPr>
      </w:r>
    </w:p>
    <w:p w:rsidR="00000000" w:rsidDel="00000000" w:rsidP="00000000" w:rsidRDefault="00000000" w:rsidRPr="00000000" w14:paraId="000000AA">
      <w:pPr>
        <w:spacing w:after="0" w:line="240" w:lineRule="auto"/>
        <w:ind w:left="720"/>
        <w:jc w:val="both"/>
        <w:rPr/>
      </w:pPr>
      <w:hyperlink r:id="rId65">
        <w:r w:rsidDel="00000000" w:rsidR="00000000" w:rsidRPr="00000000">
          <w:rPr>
            <w:rtl w:val="0"/>
          </w:rPr>
          <w:t xml:space="preserve">Otero, V., Van De Kerchove, R., Satyanarayana, B., Mohd-Lokman, H., Lucas, R., Dahdouh-Guebas, F., 2019. An analysis of the early regeneration of mangrove forests using Landsat time series in the matang mangrove forest reserve, Peninsular Malaysia. Remote Sens. 11, 1–18. https://doi.org/10.3390/rs11070774 </w:t>
        </w:r>
      </w:hyperlink>
      <w:r w:rsidDel="00000000" w:rsidR="00000000" w:rsidRPr="00000000">
        <w:rPr>
          <w:rtl w:val="0"/>
        </w:rPr>
      </w:r>
    </w:p>
    <w:p w:rsidR="00000000" w:rsidDel="00000000" w:rsidP="00000000" w:rsidRDefault="00000000" w:rsidRPr="00000000" w14:paraId="000000AB">
      <w:pPr>
        <w:spacing w:after="0" w:line="240" w:lineRule="auto"/>
        <w:ind w:left="720"/>
        <w:jc w:val="both"/>
        <w:rPr/>
      </w:pPr>
      <w:hyperlink r:id="rId66">
        <w:r w:rsidDel="00000000" w:rsidR="00000000" w:rsidRPr="00000000">
          <w:rPr>
            <w:rtl w:val="0"/>
          </w:rPr>
          <w:t xml:space="preserve">Parrish, C., Magruder, L., Neuenschwander, A., Forfinski-Sarkozi, N., Alonzo, M., Jasinski, M., 2019. Validation of ICESat-2 ATLAS Bathymetry and Analysis of ATLAS’s Bathymetric Mapping Performance. Remote Sens. 11, 1634. https://doi.org/10.3390/rs11141634 </w:t>
        </w:r>
      </w:hyperlink>
      <w:r w:rsidDel="00000000" w:rsidR="00000000" w:rsidRPr="00000000">
        <w:rPr>
          <w:rtl w:val="0"/>
        </w:rPr>
      </w:r>
    </w:p>
    <w:p w:rsidR="00000000" w:rsidDel="00000000" w:rsidP="00000000" w:rsidRDefault="00000000" w:rsidRPr="00000000" w14:paraId="000000AC">
      <w:pPr>
        <w:spacing w:after="0" w:line="240" w:lineRule="auto"/>
        <w:ind w:left="720"/>
        <w:jc w:val="both"/>
        <w:rPr/>
      </w:pPr>
      <w:hyperlink r:id="rId67">
        <w:r w:rsidDel="00000000" w:rsidR="00000000" w:rsidRPr="00000000">
          <w:rPr>
            <w:rtl w:val="0"/>
          </w:rPr>
          <w:t xml:space="preserve">Pimple, U., Leadprathom, K., Simonetti, D., Sitthi, A., Peters, R., Pungkul, S., Pravinvongvuthi, T., Dessard, H., Berger, U., Siri-on, K., Kemacheevakul, P., Gond, V., 2022a. Assessing mangrove species diversity, zonation and functional indicators in response to natural, regenerated, and rehabilitated succession. J. Environ. Manage. 318, 115507. https://doi.org/10.1016/j.jenvman.2022.115507 </w:t>
        </w:r>
      </w:hyperlink>
      <w:r w:rsidDel="00000000" w:rsidR="00000000" w:rsidRPr="00000000">
        <w:rPr>
          <w:rtl w:val="0"/>
        </w:rPr>
      </w:r>
    </w:p>
    <w:p w:rsidR="00000000" w:rsidDel="00000000" w:rsidP="00000000" w:rsidRDefault="00000000" w:rsidRPr="00000000" w14:paraId="000000AD">
      <w:pPr>
        <w:spacing w:after="0" w:line="240" w:lineRule="auto"/>
        <w:ind w:left="720"/>
        <w:jc w:val="both"/>
        <w:rPr/>
      </w:pPr>
      <w:hyperlink r:id="rId68">
        <w:r w:rsidDel="00000000" w:rsidR="00000000" w:rsidRPr="00000000">
          <w:rPr>
            <w:rtl w:val="0"/>
          </w:rPr>
          <w:t xml:space="preserve">Pimple, U., Simonetti, D., Hinks, I., Oszwald, J., Berger, U., Pungkul, S., Leadprathom, K., Pravinvongvuthi, T., Maprasoap, P., Gond, V., 2020. A history of the rehabilitation of mangroves and an assessment of their diversity and structure using Landsat annual composites (1987–2019) and transect plot inventories. For. Ecol. Manag. 462, 118007. https://doi.org/10.1016/j.foreco.2020.118007 </w:t>
        </w:r>
      </w:hyperlink>
      <w:r w:rsidDel="00000000" w:rsidR="00000000" w:rsidRPr="00000000">
        <w:rPr>
          <w:rtl w:val="0"/>
        </w:rPr>
      </w:r>
    </w:p>
    <w:p w:rsidR="00000000" w:rsidDel="00000000" w:rsidP="00000000" w:rsidRDefault="00000000" w:rsidRPr="00000000" w14:paraId="000000AE">
      <w:pPr>
        <w:spacing w:after="0" w:line="240" w:lineRule="auto"/>
        <w:ind w:left="720"/>
        <w:jc w:val="both"/>
        <w:rPr/>
      </w:pPr>
      <w:hyperlink r:id="rId69">
        <w:r w:rsidDel="00000000" w:rsidR="00000000" w:rsidRPr="00000000">
          <w:rPr>
            <w:rtl w:val="0"/>
          </w:rPr>
          <w:t xml:space="preserve">Pimple, U., Simonetti, D., Leadprathom, K., Pungkul, S., Pravinvongvuthi, T., Berger, U., Gond, V., 2025. Tracking Mangrove Ecosystem Dynamics: A Remote Sensing Approach for Species Classification and Conservation Assessment. Glob. Ecol. Conserv. e03865. https://doi.org/10.1016/j.gecco.2025.e03865 </w:t>
        </w:r>
      </w:hyperlink>
      <w:r w:rsidDel="00000000" w:rsidR="00000000" w:rsidRPr="00000000">
        <w:rPr>
          <w:rtl w:val="0"/>
        </w:rPr>
      </w:r>
    </w:p>
    <w:p w:rsidR="00000000" w:rsidDel="00000000" w:rsidP="00000000" w:rsidRDefault="00000000" w:rsidRPr="00000000" w14:paraId="000000AF">
      <w:pPr>
        <w:spacing w:after="0" w:line="240" w:lineRule="auto"/>
        <w:ind w:left="720"/>
        <w:jc w:val="both"/>
        <w:rPr/>
      </w:pPr>
      <w:hyperlink r:id="rId70">
        <w:r w:rsidDel="00000000" w:rsidR="00000000" w:rsidRPr="00000000">
          <w:rPr>
            <w:rtl w:val="0"/>
          </w:rPr>
          <w:t xml:space="preserve">Pimple, U., Simonetti, D., Peters, R., Berger, U., Podest, E., Gond, V., 2023. Enhancing monitoring of mangrove spatiotemporal tree diversity and distribution patterns. Land Degrad. Dev. 34, 1265–1282. https://doi.org/10.1002/ldr.4537 </w:t>
        </w:r>
      </w:hyperlink>
      <w:r w:rsidDel="00000000" w:rsidR="00000000" w:rsidRPr="00000000">
        <w:rPr>
          <w:rtl w:val="0"/>
        </w:rPr>
      </w:r>
    </w:p>
    <w:p w:rsidR="00000000" w:rsidDel="00000000" w:rsidP="00000000" w:rsidRDefault="00000000" w:rsidRPr="00000000" w14:paraId="000000B0">
      <w:pPr>
        <w:spacing w:after="0" w:line="240" w:lineRule="auto"/>
        <w:ind w:left="720"/>
        <w:jc w:val="both"/>
        <w:rPr/>
      </w:pPr>
      <w:hyperlink r:id="rId71">
        <w:r w:rsidDel="00000000" w:rsidR="00000000" w:rsidRPr="00000000">
          <w:rPr>
            <w:rtl w:val="0"/>
          </w:rPr>
          <w:t xml:space="preserve">Pimple, U., Simonetti, D., Peters, R., Berger, U., Podest, E., Gond, V., 2022b. Enhancing monitoring of mangrove spatiotemporal tree diversity and distribution patterns. Land Degrad. Dev. 1–18. https://doi.org/10.1002/ldr.4537 </w:t>
        </w:r>
      </w:hyperlink>
      <w:r w:rsidDel="00000000" w:rsidR="00000000" w:rsidRPr="00000000">
        <w:rPr>
          <w:rtl w:val="0"/>
        </w:rPr>
      </w:r>
    </w:p>
    <w:p w:rsidR="00000000" w:rsidDel="00000000" w:rsidP="00000000" w:rsidRDefault="00000000" w:rsidRPr="00000000" w14:paraId="000000B1">
      <w:pPr>
        <w:spacing w:after="0" w:line="240" w:lineRule="auto"/>
        <w:ind w:left="720"/>
        <w:jc w:val="both"/>
        <w:rPr/>
      </w:pPr>
      <w:hyperlink r:id="rId72">
        <w:r w:rsidDel="00000000" w:rsidR="00000000" w:rsidRPr="00000000">
          <w:rPr>
            <w:rtl w:val="0"/>
          </w:rPr>
          <w:t xml:space="preserve">Simard, M., Fatoyinbo, L., Smetanka, C., Rivera-Monroy, V.H., Castañeda-Moya, E., Thomas, N., Van Der Stocken, T., 2019. Mangrove canopy height globally related to precipitation, temperature and cyclone frequency. Nat. Geosci. 12, 40–45. https://doi.org/10.1038/s41561-018-0279-1 </w:t>
        </w:r>
      </w:hyperlink>
      <w:r w:rsidDel="00000000" w:rsidR="00000000" w:rsidRPr="00000000">
        <w:rPr>
          <w:rtl w:val="0"/>
        </w:rPr>
      </w:r>
    </w:p>
    <w:p w:rsidR="00000000" w:rsidDel="00000000" w:rsidP="00000000" w:rsidRDefault="00000000" w:rsidRPr="00000000" w14:paraId="000000B2">
      <w:pPr>
        <w:spacing w:after="0" w:line="240" w:lineRule="auto"/>
        <w:ind w:left="720"/>
        <w:jc w:val="both"/>
        <w:rPr/>
      </w:pPr>
      <w:hyperlink r:id="rId73">
        <w:r w:rsidDel="00000000" w:rsidR="00000000" w:rsidRPr="00000000">
          <w:rPr>
            <w:rtl w:val="0"/>
          </w:rPr>
          <w:t xml:space="preserve">Simonetti, D., Pimple, U., Langner, A., Marelli, A., 2021. Pan-tropical Sentinel-2 cloud-free annual composite datasets. Data Brief 39, 107488. https://doi.org/10.1016/j.dib.2021.107488 </w:t>
        </w:r>
      </w:hyperlink>
      <w:r w:rsidDel="00000000" w:rsidR="00000000" w:rsidRPr="00000000">
        <w:rPr>
          <w:rtl w:val="0"/>
        </w:rPr>
      </w:r>
    </w:p>
    <w:p w:rsidR="00000000" w:rsidDel="00000000" w:rsidP="00000000" w:rsidRDefault="00000000" w:rsidRPr="00000000" w14:paraId="000000B3">
      <w:pPr>
        <w:spacing w:after="0" w:line="240" w:lineRule="auto"/>
        <w:ind w:left="720"/>
        <w:jc w:val="both"/>
        <w:rPr/>
      </w:pPr>
      <w:hyperlink r:id="rId74">
        <w:r w:rsidDel="00000000" w:rsidR="00000000" w:rsidRPr="00000000">
          <w:rPr>
            <w:rtl w:val="0"/>
          </w:rPr>
          <w:t xml:space="preserve">Sitthi, A., Pimple, U., Piponiot, C., Gond, V., 2025. Assessing the effectiveness of mangrove rehabilitation using above-ground biomass and structural diversity. Sci. Rep. 15, 7839. https://doi.org/10.1038/s41598-025-92514-7 </w:t>
        </w:r>
      </w:hyperlink>
      <w:r w:rsidDel="00000000" w:rsidR="00000000" w:rsidRPr="00000000">
        <w:rPr>
          <w:rtl w:val="0"/>
        </w:rPr>
      </w:r>
    </w:p>
    <w:p w:rsidR="00000000" w:rsidDel="00000000" w:rsidP="00000000" w:rsidRDefault="00000000" w:rsidRPr="00000000" w14:paraId="000000B4">
      <w:pPr>
        <w:spacing w:after="0" w:line="240" w:lineRule="auto"/>
        <w:ind w:left="720"/>
        <w:jc w:val="both"/>
        <w:rPr/>
      </w:pPr>
      <w:hyperlink r:id="rId75">
        <w:r w:rsidDel="00000000" w:rsidR="00000000" w:rsidRPr="00000000">
          <w:rPr>
            <w:rtl w:val="0"/>
          </w:rPr>
          <w:t xml:space="preserve">Slagter, B., Tsendbazar, N.-E., Vollrath, A., Reiche, J., 2020. Mapping wetland characteristics using temporally dense Sentinel-1 and Sentinel-2 data: A case study in the St. Lucia wetlands, South Africa. Int. J. Appl. Earth Obs. Geoinformation 86, 102009. https://doi.org/10.1016/j.jag.2019.102009 </w:t>
        </w:r>
      </w:hyperlink>
      <w:r w:rsidDel="00000000" w:rsidR="00000000" w:rsidRPr="00000000">
        <w:rPr>
          <w:rtl w:val="0"/>
        </w:rPr>
      </w:r>
    </w:p>
    <w:p w:rsidR="00000000" w:rsidDel="00000000" w:rsidP="00000000" w:rsidRDefault="00000000" w:rsidRPr="00000000" w14:paraId="000000B5">
      <w:pPr>
        <w:spacing w:after="0" w:line="240" w:lineRule="auto"/>
        <w:ind w:left="720"/>
        <w:jc w:val="both"/>
        <w:rPr/>
      </w:pPr>
      <w:hyperlink r:id="rId76">
        <w:r w:rsidDel="00000000" w:rsidR="00000000" w:rsidRPr="00000000">
          <w:rPr>
            <w:rtl w:val="0"/>
          </w:rPr>
          <w:t xml:space="preserve">Song, S., Ding, Y., Li, W., Meng, Y., Zhou, J., Gou, R., Zhang, C., Ye, S., Saintilan, N., Krauss, K.W., Crooks, S., Lv, S., Lin, G., 2023. Mangrove reforestation provides greater blue carbon benefit than afforestation for mitigating global climate change. Nat. Commun. 14. https://doi.org/10.1038/s41467-023-36477-1 </w:t>
        </w:r>
      </w:hyperlink>
      <w:r w:rsidDel="00000000" w:rsidR="00000000" w:rsidRPr="00000000">
        <w:rPr>
          <w:rtl w:val="0"/>
        </w:rPr>
      </w:r>
    </w:p>
    <w:p w:rsidR="00000000" w:rsidDel="00000000" w:rsidP="00000000" w:rsidRDefault="00000000" w:rsidRPr="00000000" w14:paraId="000000B6">
      <w:pPr>
        <w:spacing w:after="0" w:line="240" w:lineRule="auto"/>
        <w:ind w:left="720"/>
        <w:jc w:val="both"/>
        <w:rPr/>
      </w:pPr>
      <w:hyperlink r:id="rId77">
        <w:r w:rsidDel="00000000" w:rsidR="00000000" w:rsidRPr="00000000">
          <w:rPr>
            <w:rtl w:val="0"/>
          </w:rPr>
          <w:t xml:space="preserve">Spalding,M., Kainuma,M., Collins,L, 2010. World Atlas of Mangroves, 1st ed. ed. </w:t>
        </w:r>
      </w:hyperlink>
      <w:r w:rsidDel="00000000" w:rsidR="00000000" w:rsidRPr="00000000">
        <w:rPr>
          <w:rtl w:val="0"/>
        </w:rPr>
      </w:r>
    </w:p>
    <w:p w:rsidR="00000000" w:rsidDel="00000000" w:rsidP="00000000" w:rsidRDefault="00000000" w:rsidRPr="00000000" w14:paraId="000000B7">
      <w:pPr>
        <w:spacing w:after="0" w:line="240" w:lineRule="auto"/>
        <w:ind w:left="720"/>
        <w:jc w:val="both"/>
        <w:rPr/>
      </w:pPr>
      <w:hyperlink r:id="rId78">
        <w:r w:rsidDel="00000000" w:rsidR="00000000" w:rsidRPr="00000000">
          <w:rPr>
            <w:rtl w:val="0"/>
          </w:rPr>
          <w:t xml:space="preserve">Studinger, M., Smith, B.E., Kurtz, N., Petty, A., Sutterley, T., Tilling, R., 2024. Estimating differential penetration of green (532 nm) laser light over sea ice with NASA’s Airborne Topographic Mapper: observations and models. The Cryosphere 18, 2625–2652. https://doi.org/10.5194/tc-18-2625-2024 </w:t>
        </w:r>
      </w:hyperlink>
      <w:r w:rsidDel="00000000" w:rsidR="00000000" w:rsidRPr="00000000">
        <w:rPr>
          <w:rtl w:val="0"/>
        </w:rPr>
      </w:r>
    </w:p>
    <w:p w:rsidR="00000000" w:rsidDel="00000000" w:rsidP="00000000" w:rsidRDefault="00000000" w:rsidRPr="00000000" w14:paraId="000000B8">
      <w:pPr>
        <w:spacing w:after="0" w:line="240" w:lineRule="auto"/>
        <w:ind w:left="720"/>
        <w:jc w:val="both"/>
        <w:rPr/>
      </w:pPr>
      <w:hyperlink r:id="rId79">
        <w:r w:rsidDel="00000000" w:rsidR="00000000" w:rsidRPr="00000000">
          <w:rPr>
            <w:rtl w:val="0"/>
          </w:rPr>
          <w:t xml:space="preserve">Tolan, J., Yang, H.-I., Nosarzewski, B., Couairon, G., Vo, H., Brandt, J., Spore, J., Majumdar, S., Haziza, D., Vamaraju, J., Moutakanni, T., Bojanowski, P., Johns, T., White, B., Tiecke, T., Couprie, C., 2024. Very high resolution canopy height maps from RGB imagery using self-supervised vision transformer and convolutional decoder trained on Aerial Lidar. Remote Sens. Environ. 300, 113888. https://doi.org/10.1016/j.rse.2023.113888 </w:t>
        </w:r>
      </w:hyperlink>
      <w:r w:rsidDel="00000000" w:rsidR="00000000" w:rsidRPr="00000000">
        <w:rPr>
          <w:rtl w:val="0"/>
        </w:rPr>
      </w:r>
    </w:p>
    <w:p w:rsidR="00000000" w:rsidDel="00000000" w:rsidP="00000000" w:rsidRDefault="00000000" w:rsidRPr="00000000" w14:paraId="000000B9">
      <w:pPr>
        <w:spacing w:after="0" w:line="240" w:lineRule="auto"/>
        <w:ind w:left="720"/>
        <w:jc w:val="both"/>
        <w:rPr/>
      </w:pPr>
      <w:hyperlink r:id="rId80">
        <w:r w:rsidDel="00000000" w:rsidR="00000000" w:rsidRPr="00000000">
          <w:rPr>
            <w:rtl w:val="0"/>
          </w:rPr>
          <w:t xml:space="preserve">Tomlinson, P., 2016. The Botany of Mangroves, 2nd ed. Cambridge University Press. https://doi.org/10.1017/CBO9781139946575 </w:t>
        </w:r>
      </w:hyperlink>
      <w:r w:rsidDel="00000000" w:rsidR="00000000" w:rsidRPr="00000000">
        <w:rPr>
          <w:rtl w:val="0"/>
        </w:rPr>
      </w:r>
    </w:p>
    <w:p w:rsidR="00000000" w:rsidDel="00000000" w:rsidP="00000000" w:rsidRDefault="00000000" w:rsidRPr="00000000" w14:paraId="000000BA">
      <w:pPr>
        <w:spacing w:after="0" w:line="240" w:lineRule="auto"/>
        <w:ind w:left="720"/>
        <w:jc w:val="both"/>
        <w:rPr/>
      </w:pPr>
      <w:hyperlink r:id="rId81">
        <w:r w:rsidDel="00000000" w:rsidR="00000000" w:rsidRPr="00000000">
          <w:rPr>
            <w:rtl w:val="0"/>
          </w:rPr>
          <w:t xml:space="preserve">Zhang, H.K., Roy, D.P., Yan, L., Li, Z., Huang, H., Vermote, E., Skakun, S., Roger, J.C., 2018. Characterization of Sentinel-2A and Landsat-8 top of atmosphere, surface, and nadir BRDF adjusted reflectance and NDVI differences. Remote Sens. Environ. 215, 482–494. https://doi.org/10.1016/j.rse.2018.04.031 </w:t>
        </w:r>
      </w:hyperlink>
      <w:r w:rsidDel="00000000" w:rsidR="00000000" w:rsidRPr="00000000">
        <w:rPr>
          <w:rtl w:val="0"/>
        </w:rPr>
      </w:r>
    </w:p>
    <w:p w:rsidR="00000000" w:rsidDel="00000000" w:rsidP="00000000" w:rsidRDefault="00000000" w:rsidRPr="00000000" w14:paraId="000000BB">
      <w:pPr>
        <w:spacing w:after="0" w:line="240" w:lineRule="auto"/>
        <w:ind w:left="720"/>
        <w:jc w:val="both"/>
        <w:rPr/>
      </w:pPr>
      <w:hyperlink r:id="rId82">
        <w:r w:rsidDel="00000000" w:rsidR="00000000" w:rsidRPr="00000000">
          <w:rPr>
            <w:rtl w:val="0"/>
          </w:rPr>
          <w:t xml:space="preserve">Zhen, J., Mao, D., Shen, Z., Zhao, D., Xu, Y., Wang, J., Jia, M., Wang, Z., Ren, C., 2024. Performance of XGBoost Ensemble Learning Algorithm for Mangrove Species Classification with Multisource Spaceborne Remote Sensing Data. J. Remote Sens. 4, 0146. https://doi.org/10.34133/remotesensing.0146 </w:t>
        </w:r>
      </w:hyperlink>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Other publications: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spacing w:line="480" w:lineRule="auto"/>
        <w:ind w:left="720"/>
        <w:rPr>
          <w:color w:val="cc2936"/>
        </w:rPr>
      </w:pPr>
      <w:hyperlink r:id="rId83">
        <w:r w:rsidDel="00000000" w:rsidR="00000000" w:rsidRPr="00000000">
          <w:rPr>
            <w:color w:val="cc2936"/>
            <w:rtl w:val="0"/>
          </w:rPr>
          <w:t xml:space="preserve">Adrah, E., Wan Mohd Jaafar, W. S., Omar, H., Bajaj, S., Leite, R. V., Mazlan, S. M., Silva, C. A., Chel Gee Ooi, M., Mohd Said, M. N., Abdul Maulud, K. N., Cardil, A., &amp; Mohan, M. (2022). Analyzing Canopy Height Patterns and Environmental Landscape Drivers in Tropical Forests Using NASA’s GEDI Spaceborne LiDAR. </w:t>
        </w:r>
      </w:hyperlink>
      <w:hyperlink r:id="rId84">
        <w:r w:rsidDel="00000000" w:rsidR="00000000" w:rsidRPr="00000000">
          <w:rPr>
            <w:color w:val="cc2936"/>
            <w:rtl w:val="0"/>
          </w:rPr>
          <w:t xml:space="preserve">Remote Sensing</w:t>
        </w:r>
      </w:hyperlink>
      <w:hyperlink r:id="rId85">
        <w:r w:rsidDel="00000000" w:rsidR="00000000" w:rsidRPr="00000000">
          <w:rPr>
            <w:color w:val="cc2936"/>
            <w:rtl w:val="0"/>
          </w:rPr>
          <w:t xml:space="preserve">, </w:t>
        </w:r>
      </w:hyperlink>
      <w:hyperlink r:id="rId86">
        <w:r w:rsidDel="00000000" w:rsidR="00000000" w:rsidRPr="00000000">
          <w:rPr>
            <w:color w:val="cc2936"/>
            <w:rtl w:val="0"/>
          </w:rPr>
          <w:t xml:space="preserve">14</w:t>
        </w:r>
      </w:hyperlink>
      <w:hyperlink r:id="rId87">
        <w:r w:rsidDel="00000000" w:rsidR="00000000" w:rsidRPr="00000000">
          <w:rPr>
            <w:color w:val="cc2936"/>
            <w:rtl w:val="0"/>
          </w:rPr>
          <w:t xml:space="preserve">(13), 3172. https://doi.org/10.3390/rs14133172 </w:t>
        </w:r>
      </w:hyperlink>
      <w:r w:rsidDel="00000000" w:rsidR="00000000" w:rsidRPr="00000000">
        <w:rPr>
          <w:rtl w:val="0"/>
        </w:rPr>
      </w:r>
    </w:p>
    <w:p w:rsidR="00000000" w:rsidDel="00000000" w:rsidP="00000000" w:rsidRDefault="00000000" w:rsidRPr="00000000" w14:paraId="000000C1">
      <w:pPr>
        <w:spacing w:line="480" w:lineRule="auto"/>
        <w:ind w:left="720"/>
        <w:rPr>
          <w:color w:val="cc2936"/>
        </w:rPr>
      </w:pPr>
      <w:hyperlink r:id="rId88">
        <w:r w:rsidDel="00000000" w:rsidR="00000000" w:rsidRPr="00000000">
          <w:rPr>
            <w:color w:val="cc2936"/>
            <w:rtl w:val="0"/>
          </w:rPr>
          <w:t xml:space="preserve">Crockett, E. T. H., Atkins, J. W., Guo, Q., Sun, G., Potter, K. M., Ollinger, S., Silva, C. A., Tang, H., Woodall, C. W., Holgerson, J., &amp; Xiao, J. (2023). Structural and species diversity explain aboveground carbon storage in forests across the United States: Evidence from GEDI and forest inventory data. </w:t>
        </w:r>
      </w:hyperlink>
      <w:hyperlink r:id="rId89">
        <w:r w:rsidDel="00000000" w:rsidR="00000000" w:rsidRPr="00000000">
          <w:rPr>
            <w:color w:val="cc2936"/>
            <w:rtl w:val="0"/>
          </w:rPr>
          <w:t xml:space="preserve">Remote Sensing of Environment</w:t>
        </w:r>
      </w:hyperlink>
      <w:hyperlink r:id="rId90">
        <w:r w:rsidDel="00000000" w:rsidR="00000000" w:rsidRPr="00000000">
          <w:rPr>
            <w:color w:val="cc2936"/>
            <w:rtl w:val="0"/>
          </w:rPr>
          <w:t xml:space="preserve">, </w:t>
        </w:r>
      </w:hyperlink>
      <w:hyperlink r:id="rId91">
        <w:r w:rsidDel="00000000" w:rsidR="00000000" w:rsidRPr="00000000">
          <w:rPr>
            <w:color w:val="cc2936"/>
            <w:rtl w:val="0"/>
          </w:rPr>
          <w:t xml:space="preserve">295</w:t>
        </w:r>
      </w:hyperlink>
      <w:hyperlink r:id="rId92">
        <w:r w:rsidDel="00000000" w:rsidR="00000000" w:rsidRPr="00000000">
          <w:rPr>
            <w:color w:val="cc2936"/>
            <w:rtl w:val="0"/>
          </w:rPr>
          <w:t xml:space="preserve">, 113703. https://doi.org/10.1016/j.rse.2023.113703 </w:t>
        </w:r>
      </w:hyperlink>
      <w:r w:rsidDel="00000000" w:rsidR="00000000" w:rsidRPr="00000000">
        <w:rPr>
          <w:rtl w:val="0"/>
        </w:rPr>
      </w:r>
    </w:p>
    <w:p w:rsidR="00000000" w:rsidDel="00000000" w:rsidP="00000000" w:rsidRDefault="00000000" w:rsidRPr="00000000" w14:paraId="000000C2">
      <w:pPr>
        <w:spacing w:line="480" w:lineRule="auto"/>
        <w:ind w:left="720"/>
        <w:rPr>
          <w:color w:val="cc2936"/>
        </w:rPr>
      </w:pPr>
      <w:hyperlink r:id="rId93">
        <w:r w:rsidDel="00000000" w:rsidR="00000000" w:rsidRPr="00000000">
          <w:rPr>
            <w:color w:val="cc2936"/>
            <w:rtl w:val="0"/>
          </w:rPr>
          <w:t xml:space="preserve">Fu, L., Shu, Q., Yang, Z., Xia, C., Zhang, X., Zhang, Y., Li, Z., &amp; Li, S. (2025). Accuracy assessment of topography and forest canopy height in complex terrain conditions of Southern China using ICESat-2 and GEDI data. </w:t>
        </w:r>
      </w:hyperlink>
      <w:hyperlink r:id="rId94">
        <w:r w:rsidDel="00000000" w:rsidR="00000000" w:rsidRPr="00000000">
          <w:rPr>
            <w:color w:val="cc2936"/>
            <w:rtl w:val="0"/>
          </w:rPr>
          <w:t xml:space="preserve">Frontiers in Plant Science</w:t>
        </w:r>
      </w:hyperlink>
      <w:hyperlink r:id="rId95">
        <w:r w:rsidDel="00000000" w:rsidR="00000000" w:rsidRPr="00000000">
          <w:rPr>
            <w:color w:val="cc2936"/>
            <w:rtl w:val="0"/>
          </w:rPr>
          <w:t xml:space="preserve">, </w:t>
        </w:r>
      </w:hyperlink>
      <w:hyperlink r:id="rId96">
        <w:r w:rsidDel="00000000" w:rsidR="00000000" w:rsidRPr="00000000">
          <w:rPr>
            <w:color w:val="cc2936"/>
            <w:rtl w:val="0"/>
          </w:rPr>
          <w:t xml:space="preserve">16</w:t>
        </w:r>
      </w:hyperlink>
      <w:hyperlink r:id="rId97">
        <w:r w:rsidDel="00000000" w:rsidR="00000000" w:rsidRPr="00000000">
          <w:rPr>
            <w:color w:val="cc2936"/>
            <w:rtl w:val="0"/>
          </w:rPr>
          <w:t xml:space="preserve">, 1547688. https://doi.org/10.3389/fpls.2025.1547688 </w:t>
        </w:r>
      </w:hyperlink>
      <w:r w:rsidDel="00000000" w:rsidR="00000000" w:rsidRPr="00000000">
        <w:rPr>
          <w:rtl w:val="0"/>
        </w:rPr>
      </w:r>
    </w:p>
    <w:p w:rsidR="00000000" w:rsidDel="00000000" w:rsidP="00000000" w:rsidRDefault="00000000" w:rsidRPr="00000000" w14:paraId="000000C3">
      <w:pPr>
        <w:spacing w:line="480" w:lineRule="auto"/>
        <w:ind w:left="720"/>
        <w:rPr>
          <w:color w:val="cc2936"/>
        </w:rPr>
      </w:pPr>
      <w:hyperlink r:id="rId98">
        <w:r w:rsidDel="00000000" w:rsidR="00000000" w:rsidRPr="00000000">
          <w:rPr>
            <w:color w:val="cc2936"/>
            <w:rtl w:val="0"/>
          </w:rPr>
          <w:t xml:space="preserve">Jia, M., Zhang, R., Zhao, C., Zhou, Y., Ren, C., Mao, D., Li, H., Sun, G., Zhang, H., Yu, W., Wang, Z., &amp; Wang, Y. (2025). Synergistic estimation of mangrove canopy height across coastal China: Integrating SDGSAT-1 multispectral data with Sentinel-1/2 time-series imagery. </w:t>
        </w:r>
      </w:hyperlink>
      <w:hyperlink r:id="rId99">
        <w:r w:rsidDel="00000000" w:rsidR="00000000" w:rsidRPr="00000000">
          <w:rPr>
            <w:color w:val="cc2936"/>
            <w:rtl w:val="0"/>
          </w:rPr>
          <w:t xml:space="preserve">Remote Sensing of Environment</w:t>
        </w:r>
      </w:hyperlink>
      <w:hyperlink r:id="rId100">
        <w:r w:rsidDel="00000000" w:rsidR="00000000" w:rsidRPr="00000000">
          <w:rPr>
            <w:color w:val="cc2936"/>
            <w:rtl w:val="0"/>
          </w:rPr>
          <w:t xml:space="preserve">, </w:t>
        </w:r>
      </w:hyperlink>
      <w:hyperlink r:id="rId101">
        <w:r w:rsidDel="00000000" w:rsidR="00000000" w:rsidRPr="00000000">
          <w:rPr>
            <w:color w:val="cc2936"/>
            <w:rtl w:val="0"/>
          </w:rPr>
          <w:t xml:space="preserve">323</w:t>
        </w:r>
      </w:hyperlink>
      <w:hyperlink r:id="rId102">
        <w:r w:rsidDel="00000000" w:rsidR="00000000" w:rsidRPr="00000000">
          <w:rPr>
            <w:color w:val="cc2936"/>
            <w:rtl w:val="0"/>
          </w:rPr>
          <w:t xml:space="preserve">, 114719. https://doi.org/10.1016/j.rse.2025.114719 </w:t>
        </w:r>
      </w:hyperlink>
      <w:r w:rsidDel="00000000" w:rsidR="00000000" w:rsidRPr="00000000">
        <w:rPr>
          <w:rtl w:val="0"/>
        </w:rPr>
      </w:r>
    </w:p>
    <w:p w:rsidR="00000000" w:rsidDel="00000000" w:rsidP="00000000" w:rsidRDefault="00000000" w:rsidRPr="00000000" w14:paraId="000000C4">
      <w:pPr>
        <w:spacing w:line="480" w:lineRule="auto"/>
        <w:ind w:left="720"/>
        <w:rPr>
          <w:color w:val="cc2936"/>
        </w:rPr>
      </w:pPr>
      <w:hyperlink r:id="rId103">
        <w:r w:rsidDel="00000000" w:rsidR="00000000" w:rsidRPr="00000000">
          <w:rPr>
            <w:color w:val="cc2936"/>
            <w:rtl w:val="0"/>
          </w:rPr>
          <w:t xml:space="preserve">Lang, N., Jetz, W., Schindler, K., &amp; Wegner, J. D. (2023). A high-resolution canopy height model of the Earth. </w:t>
        </w:r>
      </w:hyperlink>
      <w:hyperlink r:id="rId104">
        <w:r w:rsidDel="00000000" w:rsidR="00000000" w:rsidRPr="00000000">
          <w:rPr>
            <w:color w:val="cc2936"/>
            <w:rtl w:val="0"/>
          </w:rPr>
          <w:t xml:space="preserve">Nature Ecology &amp; Evolution</w:t>
        </w:r>
      </w:hyperlink>
      <w:hyperlink r:id="rId105">
        <w:r w:rsidDel="00000000" w:rsidR="00000000" w:rsidRPr="00000000">
          <w:rPr>
            <w:color w:val="cc2936"/>
            <w:rtl w:val="0"/>
          </w:rPr>
          <w:t xml:space="preserve">, </w:t>
        </w:r>
      </w:hyperlink>
      <w:hyperlink r:id="rId106">
        <w:r w:rsidDel="00000000" w:rsidR="00000000" w:rsidRPr="00000000">
          <w:rPr>
            <w:color w:val="cc2936"/>
            <w:rtl w:val="0"/>
          </w:rPr>
          <w:t xml:space="preserve">7</w:t>
        </w:r>
      </w:hyperlink>
      <w:hyperlink r:id="rId107">
        <w:r w:rsidDel="00000000" w:rsidR="00000000" w:rsidRPr="00000000">
          <w:rPr>
            <w:color w:val="cc2936"/>
            <w:rtl w:val="0"/>
          </w:rPr>
          <w:t xml:space="preserve">(11), 1778–1789. https://doi.org/10.1038/s41559-023-02206-6 </w:t>
        </w:r>
      </w:hyperlink>
      <w:r w:rsidDel="00000000" w:rsidR="00000000" w:rsidRPr="00000000">
        <w:rPr>
          <w:rtl w:val="0"/>
        </w:rPr>
      </w:r>
    </w:p>
    <w:p w:rsidR="00000000" w:rsidDel="00000000" w:rsidP="00000000" w:rsidRDefault="00000000" w:rsidRPr="00000000" w14:paraId="000000C5">
      <w:pPr>
        <w:spacing w:line="480" w:lineRule="auto"/>
        <w:ind w:left="720"/>
        <w:rPr>
          <w:color w:val="cc2936"/>
        </w:rPr>
      </w:pPr>
      <w:hyperlink r:id="rId108">
        <w:r w:rsidDel="00000000" w:rsidR="00000000" w:rsidRPr="00000000">
          <w:rPr>
            <w:color w:val="cc2936"/>
            <w:rtl w:val="0"/>
          </w:rPr>
          <w:t xml:space="preserve">Lefsky, M. A., Harding, D. J., Keller, M., Cohen, W. B., Carabajal, C. C., Del Bom Espirito‐Santo, F., Hunter, M. O., &amp; De Oliveira, R. (2005). Estimates of forest canopy height and aboveground biomass using ICESat. </w:t>
        </w:r>
      </w:hyperlink>
      <w:hyperlink r:id="rId109">
        <w:r w:rsidDel="00000000" w:rsidR="00000000" w:rsidRPr="00000000">
          <w:rPr>
            <w:color w:val="cc2936"/>
            <w:rtl w:val="0"/>
          </w:rPr>
          <w:t xml:space="preserve">Geophysical Research Letters</w:t>
        </w:r>
      </w:hyperlink>
      <w:hyperlink r:id="rId110">
        <w:r w:rsidDel="00000000" w:rsidR="00000000" w:rsidRPr="00000000">
          <w:rPr>
            <w:color w:val="cc2936"/>
            <w:rtl w:val="0"/>
          </w:rPr>
          <w:t xml:space="preserve">, </w:t>
        </w:r>
      </w:hyperlink>
      <w:hyperlink r:id="rId111">
        <w:r w:rsidDel="00000000" w:rsidR="00000000" w:rsidRPr="00000000">
          <w:rPr>
            <w:color w:val="cc2936"/>
            <w:rtl w:val="0"/>
          </w:rPr>
          <w:t xml:space="preserve">32</w:t>
        </w:r>
      </w:hyperlink>
      <w:hyperlink r:id="rId112">
        <w:r w:rsidDel="00000000" w:rsidR="00000000" w:rsidRPr="00000000">
          <w:rPr>
            <w:color w:val="cc2936"/>
            <w:rtl w:val="0"/>
          </w:rPr>
          <w:t xml:space="preserve">(22), 2005GL023971. https://doi.org/10.1029/2005GL023971 </w:t>
        </w:r>
      </w:hyperlink>
      <w:r w:rsidDel="00000000" w:rsidR="00000000" w:rsidRPr="00000000">
        <w:rPr>
          <w:rtl w:val="0"/>
        </w:rPr>
      </w:r>
    </w:p>
    <w:p w:rsidR="00000000" w:rsidDel="00000000" w:rsidP="00000000" w:rsidRDefault="00000000" w:rsidRPr="00000000" w14:paraId="000000C6">
      <w:pPr>
        <w:spacing w:line="480" w:lineRule="auto"/>
        <w:ind w:left="720"/>
        <w:rPr>
          <w:color w:val="cc2936"/>
        </w:rPr>
      </w:pPr>
      <w:hyperlink r:id="rId113">
        <w:r w:rsidDel="00000000" w:rsidR="00000000" w:rsidRPr="00000000">
          <w:rPr>
            <w:color w:val="cc2936"/>
            <w:rtl w:val="0"/>
          </w:rPr>
          <w:t xml:space="preserve">Maeda, E. E., Brede, B., Calders, K., Disney, M., Herold, M., Lines, E. R., Nunes, M. H., Raumonen, P., Rautiainen, M., Saarinen, N., Starck, I., Su, Y., Terschanski, J., &amp; Terryn, L. (2025). Expanding forest research with terrestrial LiDAR technology. </w:t>
        </w:r>
      </w:hyperlink>
      <w:hyperlink r:id="rId114">
        <w:r w:rsidDel="00000000" w:rsidR="00000000" w:rsidRPr="00000000">
          <w:rPr>
            <w:color w:val="cc2936"/>
            <w:rtl w:val="0"/>
          </w:rPr>
          <w:t xml:space="preserve">Nature Communications</w:t>
        </w:r>
      </w:hyperlink>
      <w:hyperlink r:id="rId115">
        <w:r w:rsidDel="00000000" w:rsidR="00000000" w:rsidRPr="00000000">
          <w:rPr>
            <w:color w:val="cc2936"/>
            <w:rtl w:val="0"/>
          </w:rPr>
          <w:t xml:space="preserve">, </w:t>
        </w:r>
      </w:hyperlink>
      <w:hyperlink r:id="rId116">
        <w:r w:rsidDel="00000000" w:rsidR="00000000" w:rsidRPr="00000000">
          <w:rPr>
            <w:color w:val="cc2936"/>
            <w:rtl w:val="0"/>
          </w:rPr>
          <w:t xml:space="preserve">16</w:t>
        </w:r>
      </w:hyperlink>
      <w:hyperlink r:id="rId117">
        <w:r w:rsidDel="00000000" w:rsidR="00000000" w:rsidRPr="00000000">
          <w:rPr>
            <w:color w:val="cc2936"/>
            <w:rtl w:val="0"/>
          </w:rPr>
          <w:t xml:space="preserve">(1), 8853. https://doi.org/10.1038/s41467-025-63946-6 </w:t>
        </w:r>
      </w:hyperlink>
      <w:r w:rsidDel="00000000" w:rsidR="00000000" w:rsidRPr="00000000">
        <w:rPr>
          <w:rtl w:val="0"/>
        </w:rPr>
      </w:r>
    </w:p>
    <w:p w:rsidR="00000000" w:rsidDel="00000000" w:rsidP="00000000" w:rsidRDefault="00000000" w:rsidRPr="00000000" w14:paraId="000000C7">
      <w:pPr>
        <w:spacing w:line="480" w:lineRule="auto"/>
        <w:ind w:left="720"/>
        <w:rPr>
          <w:color w:val="cc2936"/>
        </w:rPr>
      </w:pPr>
      <w:hyperlink r:id="rId118">
        <w:r w:rsidDel="00000000" w:rsidR="00000000" w:rsidRPr="00000000">
          <w:rPr>
            <w:color w:val="cc2936"/>
            <w:rtl w:val="0"/>
          </w:rPr>
          <w:t xml:space="preserve">Nandy, S., Srinet, R., &amp; Padalia, H. (2021). Mapping Forest Height and Aboveground Biomass by Integrating ICESat‐2, Sentinel‐1 and Sentinel‐2 Data Using Random Forest Algorithm in Northwest Himalayan Foothills of India. </w:t>
        </w:r>
      </w:hyperlink>
      <w:hyperlink r:id="rId119">
        <w:r w:rsidDel="00000000" w:rsidR="00000000" w:rsidRPr="00000000">
          <w:rPr>
            <w:color w:val="cc2936"/>
            <w:rtl w:val="0"/>
          </w:rPr>
          <w:t xml:space="preserve">Geophysical Research Letters</w:t>
        </w:r>
      </w:hyperlink>
      <w:hyperlink r:id="rId120">
        <w:r w:rsidDel="00000000" w:rsidR="00000000" w:rsidRPr="00000000">
          <w:rPr>
            <w:color w:val="cc2936"/>
            <w:rtl w:val="0"/>
          </w:rPr>
          <w:t xml:space="preserve">, </w:t>
        </w:r>
      </w:hyperlink>
      <w:hyperlink r:id="rId121">
        <w:r w:rsidDel="00000000" w:rsidR="00000000" w:rsidRPr="00000000">
          <w:rPr>
            <w:color w:val="cc2936"/>
            <w:rtl w:val="0"/>
          </w:rPr>
          <w:t xml:space="preserve">48</w:t>
        </w:r>
      </w:hyperlink>
      <w:hyperlink r:id="rId122">
        <w:r w:rsidDel="00000000" w:rsidR="00000000" w:rsidRPr="00000000">
          <w:rPr>
            <w:color w:val="cc2936"/>
            <w:rtl w:val="0"/>
          </w:rPr>
          <w:t xml:space="preserve">(14), e2021GL093799. https://doi.org/10.1029/2021GL093799 </w:t>
        </w:r>
      </w:hyperlink>
      <w:r w:rsidDel="00000000" w:rsidR="00000000" w:rsidRPr="00000000">
        <w:rPr>
          <w:rtl w:val="0"/>
        </w:rPr>
      </w:r>
    </w:p>
    <w:p w:rsidR="00000000" w:rsidDel="00000000" w:rsidP="00000000" w:rsidRDefault="00000000" w:rsidRPr="00000000" w14:paraId="000000C8">
      <w:pPr>
        <w:spacing w:line="480" w:lineRule="auto"/>
        <w:ind w:left="720"/>
        <w:rPr>
          <w:color w:val="cc2936"/>
        </w:rPr>
      </w:pPr>
      <w:hyperlink r:id="rId123">
        <w:r w:rsidDel="00000000" w:rsidR="00000000" w:rsidRPr="00000000">
          <w:rPr>
            <w:color w:val="cc2936"/>
            <w:rtl w:val="0"/>
          </w:rPr>
          <w:t xml:space="preserve">Rai, N., Ma, Q., Poudel, K. P., Himes, A., &amp; Meng, Q. (2024). Evaluating the Uncertainties in Forest Canopy Height Measurements Using ICESat-2 Data. </w:t>
        </w:r>
      </w:hyperlink>
      <w:hyperlink r:id="rId124">
        <w:r w:rsidDel="00000000" w:rsidR="00000000" w:rsidRPr="00000000">
          <w:rPr>
            <w:color w:val="cc2936"/>
            <w:rtl w:val="0"/>
          </w:rPr>
          <w:t xml:space="preserve">Journal of Remote Sensing</w:t>
        </w:r>
      </w:hyperlink>
      <w:hyperlink r:id="rId125">
        <w:r w:rsidDel="00000000" w:rsidR="00000000" w:rsidRPr="00000000">
          <w:rPr>
            <w:color w:val="cc2936"/>
            <w:rtl w:val="0"/>
          </w:rPr>
          <w:t xml:space="preserve">, </w:t>
        </w:r>
      </w:hyperlink>
      <w:hyperlink r:id="rId126">
        <w:r w:rsidDel="00000000" w:rsidR="00000000" w:rsidRPr="00000000">
          <w:rPr>
            <w:color w:val="cc2936"/>
            <w:rtl w:val="0"/>
          </w:rPr>
          <w:t xml:space="preserve">4</w:t>
        </w:r>
      </w:hyperlink>
      <w:hyperlink r:id="rId127">
        <w:r w:rsidDel="00000000" w:rsidR="00000000" w:rsidRPr="00000000">
          <w:rPr>
            <w:color w:val="cc2936"/>
            <w:rtl w:val="0"/>
          </w:rPr>
          <w:t xml:space="preserve">, 0160. https://doi.org/10.34133/remotesensing.0160 </w:t>
        </w:r>
      </w:hyperlink>
      <w:r w:rsidDel="00000000" w:rsidR="00000000" w:rsidRPr="00000000">
        <w:rPr>
          <w:rtl w:val="0"/>
        </w:rPr>
      </w:r>
    </w:p>
    <w:p w:rsidR="00000000" w:rsidDel="00000000" w:rsidP="00000000" w:rsidRDefault="00000000" w:rsidRPr="00000000" w14:paraId="000000C9">
      <w:pPr>
        <w:spacing w:line="480" w:lineRule="auto"/>
        <w:ind w:left="720"/>
        <w:rPr>
          <w:color w:val="cc2936"/>
        </w:rPr>
      </w:pPr>
      <w:hyperlink r:id="rId128">
        <w:r w:rsidDel="00000000" w:rsidR="00000000" w:rsidRPr="00000000">
          <w:rPr>
            <w:color w:val="cc2936"/>
            <w:rtl w:val="0"/>
          </w:rPr>
          <w:t xml:space="preserve">Simard, M., Fatoyinbo, L., Smetanka, C., Rivera-Monroy, V. H., Castañeda-Moya, E., Thomas, N., &amp; Van Der Stocken, T. (2019). Mangrove canopy height globally related to precipitation, temperature and cyclone frequency. </w:t>
        </w:r>
      </w:hyperlink>
      <w:hyperlink r:id="rId129">
        <w:r w:rsidDel="00000000" w:rsidR="00000000" w:rsidRPr="00000000">
          <w:rPr>
            <w:color w:val="cc2936"/>
            <w:rtl w:val="0"/>
          </w:rPr>
          <w:t xml:space="preserve">Nature Geoscience</w:t>
        </w:r>
      </w:hyperlink>
      <w:hyperlink r:id="rId130">
        <w:r w:rsidDel="00000000" w:rsidR="00000000" w:rsidRPr="00000000">
          <w:rPr>
            <w:color w:val="cc2936"/>
            <w:rtl w:val="0"/>
          </w:rPr>
          <w:t xml:space="preserve">, </w:t>
        </w:r>
      </w:hyperlink>
      <w:hyperlink r:id="rId131">
        <w:r w:rsidDel="00000000" w:rsidR="00000000" w:rsidRPr="00000000">
          <w:rPr>
            <w:color w:val="cc2936"/>
            <w:rtl w:val="0"/>
          </w:rPr>
          <w:t xml:space="preserve">12</w:t>
        </w:r>
      </w:hyperlink>
      <w:hyperlink r:id="rId132">
        <w:r w:rsidDel="00000000" w:rsidR="00000000" w:rsidRPr="00000000">
          <w:rPr>
            <w:color w:val="cc2936"/>
            <w:rtl w:val="0"/>
          </w:rPr>
          <w:t xml:space="preserve">(1), 40–45. https://doi.org/10.1038/s41561-018-0279-1 </w:t>
        </w:r>
      </w:hyperlink>
      <w:r w:rsidDel="00000000" w:rsidR="00000000" w:rsidRPr="00000000">
        <w:rPr>
          <w:rtl w:val="0"/>
        </w:rPr>
      </w:r>
    </w:p>
    <w:p w:rsidR="00000000" w:rsidDel="00000000" w:rsidP="00000000" w:rsidRDefault="00000000" w:rsidRPr="00000000" w14:paraId="000000CA">
      <w:pPr>
        <w:spacing w:line="480" w:lineRule="auto"/>
        <w:ind w:left="720"/>
        <w:rPr>
          <w:color w:val="cc2936"/>
        </w:rPr>
      </w:pPr>
      <w:hyperlink r:id="rId133">
        <w:r w:rsidDel="00000000" w:rsidR="00000000" w:rsidRPr="00000000">
          <w:rPr>
            <w:color w:val="cc2936"/>
            <w:rtl w:val="0"/>
          </w:rPr>
          <w:t xml:space="preserve">Simard, M., Fatoyinbo, L., Thomas, N. M., Stovall, A. E., Parra, A., Barenblitt, A., Bunting, P., &amp; Hajnsek, I. (2025). A New Global Mangrove Height Map with a 12 meter spatial resolution. </w:t>
        </w:r>
      </w:hyperlink>
      <w:hyperlink r:id="rId134">
        <w:r w:rsidDel="00000000" w:rsidR="00000000" w:rsidRPr="00000000">
          <w:rPr>
            <w:color w:val="cc2936"/>
            <w:rtl w:val="0"/>
          </w:rPr>
          <w:t xml:space="preserve">Scientific Data</w:t>
        </w:r>
      </w:hyperlink>
      <w:hyperlink r:id="rId135">
        <w:r w:rsidDel="00000000" w:rsidR="00000000" w:rsidRPr="00000000">
          <w:rPr>
            <w:color w:val="cc2936"/>
            <w:rtl w:val="0"/>
          </w:rPr>
          <w:t xml:space="preserve">, </w:t>
        </w:r>
      </w:hyperlink>
      <w:hyperlink r:id="rId136">
        <w:r w:rsidDel="00000000" w:rsidR="00000000" w:rsidRPr="00000000">
          <w:rPr>
            <w:color w:val="cc2936"/>
            <w:rtl w:val="0"/>
          </w:rPr>
          <w:t xml:space="preserve">12</w:t>
        </w:r>
      </w:hyperlink>
      <w:hyperlink r:id="rId137">
        <w:r w:rsidDel="00000000" w:rsidR="00000000" w:rsidRPr="00000000">
          <w:rPr>
            <w:color w:val="cc2936"/>
            <w:rtl w:val="0"/>
          </w:rPr>
          <w:t xml:space="preserve">(1), 15. https://doi.org/10.1038/s41597-024-04213-z </w:t>
        </w:r>
      </w:hyperlink>
      <w:r w:rsidDel="00000000" w:rsidR="00000000" w:rsidRPr="00000000">
        <w:rPr>
          <w:rtl w:val="0"/>
        </w:rPr>
      </w:r>
    </w:p>
    <w:p w:rsidR="00000000" w:rsidDel="00000000" w:rsidP="00000000" w:rsidRDefault="00000000" w:rsidRPr="00000000" w14:paraId="000000CB">
      <w:pPr>
        <w:spacing w:line="480" w:lineRule="auto"/>
        <w:ind w:left="720"/>
        <w:rPr>
          <w:color w:val="cc2936"/>
        </w:rPr>
      </w:pPr>
      <w:hyperlink r:id="rId138">
        <w:r w:rsidDel="00000000" w:rsidR="00000000" w:rsidRPr="00000000">
          <w:rPr>
            <w:color w:val="cc2936"/>
            <w:rtl w:val="0"/>
          </w:rPr>
          <w:t xml:space="preserve">Tolan, J., Yang, H.-I., Nosarzewski, B., Couairon, G., Vo, H., Brandt, J., Spore, J., Majumdar, S., Haziza, D., Vamaraju, J., Moutakanni, T., Bojanowski, P., Johns, T., White, B., Tiecke, T., &amp; Couprie, C. (2024). Very high resolution canopy height maps from RGB imagery using self-supervised vision transformer and convolutional decoder trained on Aerial Lidar. </w:t>
        </w:r>
      </w:hyperlink>
      <w:hyperlink r:id="rId139">
        <w:r w:rsidDel="00000000" w:rsidR="00000000" w:rsidRPr="00000000">
          <w:rPr>
            <w:color w:val="cc2936"/>
            <w:rtl w:val="0"/>
          </w:rPr>
          <w:t xml:space="preserve">Remote Sensing of Environment</w:t>
        </w:r>
      </w:hyperlink>
      <w:hyperlink r:id="rId140">
        <w:r w:rsidDel="00000000" w:rsidR="00000000" w:rsidRPr="00000000">
          <w:rPr>
            <w:color w:val="cc2936"/>
            <w:rtl w:val="0"/>
          </w:rPr>
          <w:t xml:space="preserve">, </w:t>
        </w:r>
      </w:hyperlink>
      <w:hyperlink r:id="rId141">
        <w:r w:rsidDel="00000000" w:rsidR="00000000" w:rsidRPr="00000000">
          <w:rPr>
            <w:color w:val="cc2936"/>
            <w:rtl w:val="0"/>
          </w:rPr>
          <w:t xml:space="preserve">300</w:t>
        </w:r>
      </w:hyperlink>
      <w:hyperlink r:id="rId142">
        <w:r w:rsidDel="00000000" w:rsidR="00000000" w:rsidRPr="00000000">
          <w:rPr>
            <w:color w:val="cc2936"/>
            <w:rtl w:val="0"/>
          </w:rPr>
          <w:t xml:space="preserve">, 113888. https://doi.org/10.1016/j.rse.2023.113888 </w:t>
        </w:r>
      </w:hyperlink>
      <w:r w:rsidDel="00000000" w:rsidR="00000000" w:rsidRPr="00000000">
        <w:rPr>
          <w:rtl w:val="0"/>
        </w:rPr>
      </w:r>
    </w:p>
    <w:p w:rsidR="00000000" w:rsidDel="00000000" w:rsidP="00000000" w:rsidRDefault="00000000" w:rsidRPr="00000000" w14:paraId="000000CC">
      <w:pPr>
        <w:spacing w:line="480" w:lineRule="auto"/>
        <w:ind w:left="720"/>
        <w:rPr>
          <w:color w:val="cc2936"/>
        </w:rPr>
      </w:pPr>
      <w:hyperlink r:id="rId143">
        <w:r w:rsidDel="00000000" w:rsidR="00000000" w:rsidRPr="00000000">
          <w:rPr>
            <w:color w:val="cc2936"/>
            <w:rtl w:val="0"/>
          </w:rPr>
          <w:t xml:space="preserve">Yu, J., Nie, S., Liu, W., Zhu, X., Lu, D., Wu, W., &amp; Sun, Y. (2022). Accuracy Assessment of ICESat-2 Ground Elevation and Canopy Height Estimates in Mangroves. </w:t>
        </w:r>
      </w:hyperlink>
      <w:hyperlink r:id="rId144">
        <w:r w:rsidDel="00000000" w:rsidR="00000000" w:rsidRPr="00000000">
          <w:rPr>
            <w:color w:val="cc2936"/>
            <w:rtl w:val="0"/>
          </w:rPr>
          <w:t xml:space="preserve">IEEE Geoscience and Remote Sensing Letters</w:t>
        </w:r>
      </w:hyperlink>
      <w:hyperlink r:id="rId145">
        <w:r w:rsidDel="00000000" w:rsidR="00000000" w:rsidRPr="00000000">
          <w:rPr>
            <w:color w:val="cc2936"/>
            <w:rtl w:val="0"/>
          </w:rPr>
          <w:t xml:space="preserve">, </w:t>
        </w:r>
      </w:hyperlink>
      <w:hyperlink r:id="rId146">
        <w:r w:rsidDel="00000000" w:rsidR="00000000" w:rsidRPr="00000000">
          <w:rPr>
            <w:color w:val="cc2936"/>
            <w:rtl w:val="0"/>
          </w:rPr>
          <w:t xml:space="preserve">19</w:t>
        </w:r>
      </w:hyperlink>
      <w:hyperlink r:id="rId147">
        <w:r w:rsidDel="00000000" w:rsidR="00000000" w:rsidRPr="00000000">
          <w:rPr>
            <w:color w:val="cc2936"/>
            <w:rtl w:val="0"/>
          </w:rPr>
          <w:t xml:space="preserve">, 1–5. https://doi.org/10.1109/LGRS.2021.3107440 </w:t>
        </w:r>
      </w:hyperlink>
      <w:r w:rsidDel="00000000" w:rsidR="00000000" w:rsidRPr="00000000">
        <w:rPr>
          <w:rtl w:val="0"/>
        </w:rPr>
      </w:r>
    </w:p>
    <w:p w:rsidR="00000000" w:rsidDel="00000000" w:rsidP="00000000" w:rsidRDefault="00000000" w:rsidRPr="00000000" w14:paraId="000000CD">
      <w:pPr>
        <w:spacing w:line="480" w:lineRule="auto"/>
        <w:ind w:left="720"/>
        <w:rPr>
          <w:color w:val="cc2936"/>
        </w:rPr>
      </w:pPr>
      <w:hyperlink r:id="rId148">
        <w:r w:rsidDel="00000000" w:rsidR="00000000" w:rsidRPr="00000000">
          <w:rPr>
            <w:color w:val="cc2936"/>
            <w:rtl w:val="0"/>
          </w:rPr>
          <w:t xml:space="preserve">Zhang, B., Gann, D., Wdowinski, S., Lin, C., Hestir, E., Lamb-Wotton, L., Ishtiaq, K. S., Smith, K., &amp; Li, Y. (2024). Space-Based Mapping of Pre- and Post-Hurricane Mangrove Canopy Heights Using Machine Learning with Multi-Sensor Observations. </w:t>
        </w:r>
      </w:hyperlink>
      <w:hyperlink r:id="rId149">
        <w:r w:rsidDel="00000000" w:rsidR="00000000" w:rsidRPr="00000000">
          <w:rPr>
            <w:color w:val="cc2936"/>
            <w:rtl w:val="0"/>
          </w:rPr>
          <w:t xml:space="preserve">Remote Sensing</w:t>
        </w:r>
      </w:hyperlink>
      <w:hyperlink r:id="rId150">
        <w:r w:rsidDel="00000000" w:rsidR="00000000" w:rsidRPr="00000000">
          <w:rPr>
            <w:color w:val="cc2936"/>
            <w:rtl w:val="0"/>
          </w:rPr>
          <w:t xml:space="preserve">, </w:t>
        </w:r>
      </w:hyperlink>
      <w:hyperlink r:id="rId151">
        <w:r w:rsidDel="00000000" w:rsidR="00000000" w:rsidRPr="00000000">
          <w:rPr>
            <w:color w:val="cc2936"/>
            <w:rtl w:val="0"/>
          </w:rPr>
          <w:t xml:space="preserve">16</w:t>
        </w:r>
      </w:hyperlink>
      <w:hyperlink r:id="rId152">
        <w:r w:rsidDel="00000000" w:rsidR="00000000" w:rsidRPr="00000000">
          <w:rPr>
            <w:color w:val="cc2936"/>
            <w:rtl w:val="0"/>
          </w:rPr>
          <w:t xml:space="preserve">(21), 3992. https://doi.org/10.3390/rs16213992 </w:t>
        </w:r>
      </w:hyperlink>
      <w:r w:rsidDel="00000000" w:rsidR="00000000" w:rsidRPr="00000000">
        <w:rPr>
          <w:rtl w:val="0"/>
        </w:rPr>
      </w:r>
    </w:p>
    <w:p w:rsidR="00000000" w:rsidDel="00000000" w:rsidP="00000000" w:rsidRDefault="00000000" w:rsidRPr="00000000" w14:paraId="000000CE">
      <w:pPr>
        <w:spacing w:line="480" w:lineRule="auto"/>
        <w:ind w:left="720"/>
        <w:rPr>
          <w:color w:val="cc2936"/>
        </w:rPr>
      </w:pPr>
      <w:hyperlink r:id="rId153">
        <w:r w:rsidDel="00000000" w:rsidR="00000000" w:rsidRPr="00000000">
          <w:rPr>
            <w:color w:val="cc2936"/>
            <w:rtl w:val="0"/>
          </w:rPr>
          <w:t xml:space="preserve">Zhen, J., Mao, D., Shen, Z., Zhao, D., Xu, Y., Wang, J., Jia, M., Wang, Z., &amp; Ren, C. (2024). Performance of XGBoost Ensemble Learning Algorithm for Mangrove Species Classification with Multisource Spaceborne Remote Sensing Data. </w:t>
        </w:r>
      </w:hyperlink>
      <w:hyperlink r:id="rId154">
        <w:r w:rsidDel="00000000" w:rsidR="00000000" w:rsidRPr="00000000">
          <w:rPr>
            <w:color w:val="cc2936"/>
            <w:rtl w:val="0"/>
          </w:rPr>
          <w:t xml:space="preserve">Journal of Remote Sensing</w:t>
        </w:r>
      </w:hyperlink>
      <w:hyperlink r:id="rId155">
        <w:r w:rsidDel="00000000" w:rsidR="00000000" w:rsidRPr="00000000">
          <w:rPr>
            <w:color w:val="cc2936"/>
            <w:rtl w:val="0"/>
          </w:rPr>
          <w:t xml:space="preserve">, </w:t>
        </w:r>
      </w:hyperlink>
      <w:hyperlink r:id="rId156">
        <w:r w:rsidDel="00000000" w:rsidR="00000000" w:rsidRPr="00000000">
          <w:rPr>
            <w:color w:val="cc2936"/>
            <w:rtl w:val="0"/>
          </w:rPr>
          <w:t xml:space="preserve">4</w:t>
        </w:r>
      </w:hyperlink>
      <w:hyperlink r:id="rId157">
        <w:r w:rsidDel="00000000" w:rsidR="00000000" w:rsidRPr="00000000">
          <w:rPr>
            <w:color w:val="cc2936"/>
            <w:rtl w:val="0"/>
          </w:rPr>
          <w:t xml:space="preserve">, 0146. https://doi.org/10.34133/remotesensing.0146 </w:t>
        </w:r>
      </w:hyperlink>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sectPr>
      <w:footerReference r:id="rId158" w:type="default"/>
      <w:footerReference r:id="rId159" w:type="first"/>
      <w:pgSz w:h="16834" w:w="11909"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Uday Pimple" w:id="8" w:date="2025-10-19T16:51:46Z">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accuracy section</w:t>
      </w:r>
    </w:p>
  </w:comment>
  <w:comment w:author="Uday Pimple" w:id="7" w:date="2025-10-19T16:52:21Z">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and which model with detailed analysis and stat</w:t>
      </w:r>
    </w:p>
  </w:comment>
  <w:comment w:author="Uday Pimple" w:id="6" w:date="2025-10-24T03:19:07Z">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Write generalized steps e.g whether the random forest was applied to all Lidar data or not</w:t>
      </w:r>
    </w:p>
  </w:comment>
  <w:comment w:author="Uday Pimple" w:id="11" w:date="2025-10-24T03:06:26Z">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again, what data contains not how it was produced , write e.g resolution, source and reported uncenrtainies</w:t>
      </w:r>
    </w:p>
  </w:comment>
  <w:comment w:author="Uday Pimple" w:id="9" w:date="2025-10-24T03:17:45Z">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teh field data already exists and you mentioned in find inventory section</w:t>
      </w:r>
    </w:p>
  </w:comment>
  <w:comment w:author="Zachary Afif" w:id="4" w:date="2025-11-09T13:34:31Z">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still not needed</w:t>
      </w:r>
    </w:p>
  </w:comment>
  <w:comment w:author="Uday Pimple" w:id="1" w:date="2025-10-24T17:46:44Z">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Lidar citation with the other two</w:t>
      </w:r>
    </w:p>
  </w:comment>
  <w:comment w:author="Uday Pimple" w:id="5" w:date="2025-10-24T05:41:04Z">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write all method section in similar fashion</w:t>
      </w:r>
    </w:p>
  </w:comment>
  <w:comment w:author="Uday Pimple" w:id="2" w:date="2025-10-24T17:48:51Z">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combine them all</w:t>
      </w:r>
    </w:p>
  </w:comment>
  <w:comment w:author="Uday Pimple" w:id="12" w:date="2025-10-24T13:24:05Z">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keep it is for final</w:t>
      </w:r>
    </w:p>
  </w:comment>
  <w:comment w:author="Uday Pimple" w:id="3" w:date="2025-10-24T03:08:44Z">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may want to specify how the Canopy  height model and ICESat was linked to baseline as well, there will be shortcoming on resolution differences</w:t>
      </w:r>
    </w:p>
  </w:comment>
  <w:comment w:author="Uday Pimple" w:id="13" w:date="2025-10-24T03:10:42Z">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who and how it was applied. there os no concept of self-supervised model and convolution network., its better to focus on data then process. please keep in mind your current paper is applied work not a methodological development or technical development</w:t>
      </w:r>
    </w:p>
  </w:comment>
  <w:comment w:author="Uday Pimple" w:id="10" w:date="2025-10-24T03:21:43Z">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model ?</w:t>
      </w:r>
    </w:p>
  </w:comment>
  <w:comment w:author="Uday Pimple" w:id="0" w:date="2025-10-24T18:15:40Z">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merge all these citations and see whether they fits or not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jc w:val="right"/>
      <w:rPr/>
    </w:pPr>
    <w:r w:rsidDel="00000000" w:rsidR="00000000" w:rsidRPr="00000000">
      <w:rPr>
        <w:rFonts w:ascii="Palatino Linotype" w:cs="Palatino Linotype" w:eastAsia="Palatino Linotype" w:hAnsi="Palatino Linotype"/>
        <w:b w:val="1"/>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3"/>
      <w:numFmt w:val="decimal"/>
      <w:lvlText w:val="%1."/>
      <w:lvlJc w:val="right"/>
      <w:pPr>
        <w:ind w:left="720" w:hanging="360"/>
      </w:pPr>
      <w:rPr>
        <w:u w:val="none"/>
      </w:rPr>
    </w:lvl>
    <w:lvl w:ilvl="1">
      <w:start w:val="1"/>
      <w:numFmt w:val="decimal"/>
      <w:lvlText w:val="%1.%2."/>
      <w:lvlJc w:val="right"/>
      <w:pPr>
        <w:ind w:left="141.73228346456688" w:firstLine="0"/>
      </w:pPr>
      <w:rPr>
        <w:u w:val="none"/>
      </w:rPr>
    </w:lvl>
    <w:lvl w:ilvl="2">
      <w:start w:val="1"/>
      <w:numFmt w:val="decimal"/>
      <w:lvlText w:val="%1.%2.%3."/>
      <w:lvlJc w:val="right"/>
      <w:pPr>
        <w:ind w:left="2160" w:hanging="360"/>
      </w:pPr>
      <w:rPr>
        <w:u w:val="none"/>
      </w:rPr>
    </w:lvl>
    <w:lvl w:ilvl="3">
      <w:start w:val="1"/>
      <w:numFmt w:val="decimal"/>
      <w:lvlText w:val="%1.%2.%3.%4."/>
      <w:lvlJc w:val="right"/>
      <w:pPr>
        <w:ind w:left="566.9291338582675" w:firstLine="3.0708661417324947"/>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broken=fznJDo" TargetMode="External"/><Relationship Id="rId42" Type="http://schemas.openxmlformats.org/officeDocument/2006/relationships/hyperlink" Target="https://www.zotero.org/google-docs/?pfKpRm" TargetMode="External"/><Relationship Id="rId41" Type="http://schemas.openxmlformats.org/officeDocument/2006/relationships/hyperlink" Target="https://www.zotero.org/google-docs/?broken=ZqR4s5" TargetMode="External"/><Relationship Id="rId44" Type="http://schemas.openxmlformats.org/officeDocument/2006/relationships/hyperlink" Target="https://www.zotero.org/google-docs/?e9I2RR" TargetMode="External"/><Relationship Id="rId43" Type="http://schemas.openxmlformats.org/officeDocument/2006/relationships/hyperlink" Target="https://www.zotero.org/google-docs/?5IhYi4" TargetMode="External"/><Relationship Id="rId46" Type="http://schemas.openxmlformats.org/officeDocument/2006/relationships/hyperlink" Target="https://www.zotero.org/google-docs/?mrkUnb" TargetMode="External"/><Relationship Id="rId45" Type="http://schemas.openxmlformats.org/officeDocument/2006/relationships/hyperlink" Target="https://www.zotero.org/google-docs/?broken=s5eK2M" TargetMode="External"/><Relationship Id="rId107" Type="http://schemas.openxmlformats.org/officeDocument/2006/relationships/hyperlink" Target="https://www.zotero.org/google-docs/?broken=4pwhBl" TargetMode="External"/><Relationship Id="rId106" Type="http://schemas.openxmlformats.org/officeDocument/2006/relationships/hyperlink" Target="https://www.zotero.org/google-docs/?broken=4pwhBl" TargetMode="External"/><Relationship Id="rId105" Type="http://schemas.openxmlformats.org/officeDocument/2006/relationships/hyperlink" Target="https://www.zotero.org/google-docs/?broken=4pwhBl" TargetMode="External"/><Relationship Id="rId104" Type="http://schemas.openxmlformats.org/officeDocument/2006/relationships/hyperlink" Target="https://www.zotero.org/google-docs/?broken=4pwhBl" TargetMode="External"/><Relationship Id="rId109" Type="http://schemas.openxmlformats.org/officeDocument/2006/relationships/hyperlink" Target="https://www.zotero.org/google-docs/?broken=HJfDr1" TargetMode="External"/><Relationship Id="rId108" Type="http://schemas.openxmlformats.org/officeDocument/2006/relationships/hyperlink" Target="https://www.zotero.org/google-docs/?broken=HJfDr1" TargetMode="External"/><Relationship Id="rId48" Type="http://schemas.openxmlformats.org/officeDocument/2006/relationships/hyperlink" Target="https://www.zotero.org/google-docs/?QnqK3Z" TargetMode="External"/><Relationship Id="rId47" Type="http://schemas.openxmlformats.org/officeDocument/2006/relationships/hyperlink" Target="https://www.zotero.org/google-docs/?wSK26D" TargetMode="External"/><Relationship Id="rId49" Type="http://schemas.openxmlformats.org/officeDocument/2006/relationships/image" Target="media/image1.png"/><Relationship Id="rId103" Type="http://schemas.openxmlformats.org/officeDocument/2006/relationships/hyperlink" Target="https://www.zotero.org/google-docs/?broken=4pwhBl" TargetMode="External"/><Relationship Id="rId102" Type="http://schemas.openxmlformats.org/officeDocument/2006/relationships/hyperlink" Target="https://www.zotero.org/google-docs/?broken=Gj3r8f" TargetMode="External"/><Relationship Id="rId101" Type="http://schemas.openxmlformats.org/officeDocument/2006/relationships/hyperlink" Target="https://www.zotero.org/google-docs/?broken=Gj3r8f" TargetMode="External"/><Relationship Id="rId100" Type="http://schemas.openxmlformats.org/officeDocument/2006/relationships/hyperlink" Target="https://www.zotero.org/google-docs/?broken=Gj3r8f" TargetMode="External"/><Relationship Id="rId31" Type="http://schemas.openxmlformats.org/officeDocument/2006/relationships/hyperlink" Target="https://www.zotero.org/google-docs/?wR5JAJ" TargetMode="External"/><Relationship Id="rId30" Type="http://schemas.openxmlformats.org/officeDocument/2006/relationships/hyperlink" Target="https://www.zotero.org/google-docs/?broken=9W8TFK" TargetMode="External"/><Relationship Id="rId33" Type="http://schemas.openxmlformats.org/officeDocument/2006/relationships/hyperlink" Target="https://www.zotero.org/google-docs/?ifVPbc" TargetMode="External"/><Relationship Id="rId32" Type="http://schemas.openxmlformats.org/officeDocument/2006/relationships/hyperlink" Target="https://www.zotero.org/google-docs/?l6Xj0Z" TargetMode="External"/><Relationship Id="rId35" Type="http://schemas.openxmlformats.org/officeDocument/2006/relationships/image" Target="media/image2.png"/><Relationship Id="rId34" Type="http://schemas.openxmlformats.org/officeDocument/2006/relationships/hyperlink" Target="https://www.zotero.org/google-docs/?06nmlu" TargetMode="External"/><Relationship Id="rId37" Type="http://schemas.openxmlformats.org/officeDocument/2006/relationships/hyperlink" Target="https://www.zotero.org/google-docs/?Ku6PvN" TargetMode="External"/><Relationship Id="rId36" Type="http://schemas.openxmlformats.org/officeDocument/2006/relationships/image" Target="media/image3.png"/><Relationship Id="rId39" Type="http://schemas.openxmlformats.org/officeDocument/2006/relationships/hyperlink" Target="https://www.zotero.org/google-docs/?0heI86" TargetMode="External"/><Relationship Id="rId38" Type="http://schemas.openxmlformats.org/officeDocument/2006/relationships/hyperlink" Target="https://www.zotero.org/google-docs/?dFtfxO" TargetMode="External"/><Relationship Id="rId20" Type="http://schemas.openxmlformats.org/officeDocument/2006/relationships/hyperlink" Target="https://www.zotero.org/google-docs/?broken=IkBPsd" TargetMode="External"/><Relationship Id="rId22" Type="http://schemas.openxmlformats.org/officeDocument/2006/relationships/hyperlink" Target="https://www.zotero.org/google-docs/?hyppJN" TargetMode="External"/><Relationship Id="rId21" Type="http://schemas.openxmlformats.org/officeDocument/2006/relationships/hyperlink" Target="https://www.zotero.org/google-docs/?ZVwGyy" TargetMode="External"/><Relationship Id="rId24" Type="http://schemas.openxmlformats.org/officeDocument/2006/relationships/hyperlink" Target="https://www.zotero.org/google-docs/?hyppJN" TargetMode="External"/><Relationship Id="rId23" Type="http://schemas.openxmlformats.org/officeDocument/2006/relationships/hyperlink" Target="https://www.zotero.org/google-docs/?hyppJN" TargetMode="External"/><Relationship Id="rId129" Type="http://schemas.openxmlformats.org/officeDocument/2006/relationships/hyperlink" Target="https://www.zotero.org/google-docs/?broken=whzjLS" TargetMode="External"/><Relationship Id="rId128" Type="http://schemas.openxmlformats.org/officeDocument/2006/relationships/hyperlink" Target="https://www.zotero.org/google-docs/?broken=whzjLS" TargetMode="External"/><Relationship Id="rId127" Type="http://schemas.openxmlformats.org/officeDocument/2006/relationships/hyperlink" Target="https://www.zotero.org/google-docs/?broken=kqfmyX" TargetMode="External"/><Relationship Id="rId126" Type="http://schemas.openxmlformats.org/officeDocument/2006/relationships/hyperlink" Target="https://www.zotero.org/google-docs/?broken=kqfmyX" TargetMode="External"/><Relationship Id="rId26" Type="http://schemas.openxmlformats.org/officeDocument/2006/relationships/hyperlink" Target="https://www.zotero.org/google-docs/?bp0ALb" TargetMode="External"/><Relationship Id="rId121" Type="http://schemas.openxmlformats.org/officeDocument/2006/relationships/hyperlink" Target="https://www.zotero.org/google-docs/?broken=3dZReo" TargetMode="External"/><Relationship Id="rId25" Type="http://schemas.openxmlformats.org/officeDocument/2006/relationships/hyperlink" Target="https://www.zotero.org/google-docs/?Y13ygK" TargetMode="External"/><Relationship Id="rId120" Type="http://schemas.openxmlformats.org/officeDocument/2006/relationships/hyperlink" Target="https://www.zotero.org/google-docs/?broken=3dZReo" TargetMode="External"/><Relationship Id="rId28" Type="http://schemas.openxmlformats.org/officeDocument/2006/relationships/hyperlink" Target="https://www.zotero.org/google-docs/?broken=gS1v8g" TargetMode="External"/><Relationship Id="rId27" Type="http://schemas.openxmlformats.org/officeDocument/2006/relationships/hyperlink" Target="https://www.zotero.org/google-docs/?broken=7CUMbm" TargetMode="External"/><Relationship Id="rId125" Type="http://schemas.openxmlformats.org/officeDocument/2006/relationships/hyperlink" Target="https://www.zotero.org/google-docs/?broken=kqfmyX" TargetMode="External"/><Relationship Id="rId29" Type="http://schemas.openxmlformats.org/officeDocument/2006/relationships/hyperlink" Target="https://www.zotero.org/google-docs/?broken=xWZXdV" TargetMode="External"/><Relationship Id="rId124" Type="http://schemas.openxmlformats.org/officeDocument/2006/relationships/hyperlink" Target="https://www.zotero.org/google-docs/?broken=kqfmyX" TargetMode="External"/><Relationship Id="rId123" Type="http://schemas.openxmlformats.org/officeDocument/2006/relationships/hyperlink" Target="https://www.zotero.org/google-docs/?broken=kqfmyX" TargetMode="External"/><Relationship Id="rId122" Type="http://schemas.openxmlformats.org/officeDocument/2006/relationships/hyperlink" Target="https://www.zotero.org/google-docs/?broken=3dZReo" TargetMode="External"/><Relationship Id="rId95" Type="http://schemas.openxmlformats.org/officeDocument/2006/relationships/hyperlink" Target="https://www.zotero.org/google-docs/?broken=X9zFCH" TargetMode="External"/><Relationship Id="rId94" Type="http://schemas.openxmlformats.org/officeDocument/2006/relationships/hyperlink" Target="https://www.zotero.org/google-docs/?broken=X9zFCH" TargetMode="External"/><Relationship Id="rId97" Type="http://schemas.openxmlformats.org/officeDocument/2006/relationships/hyperlink" Target="https://www.zotero.org/google-docs/?broken=X9zFCH" TargetMode="External"/><Relationship Id="rId96" Type="http://schemas.openxmlformats.org/officeDocument/2006/relationships/hyperlink" Target="https://www.zotero.org/google-docs/?broken=X9zFCH" TargetMode="External"/><Relationship Id="rId11" Type="http://schemas.openxmlformats.org/officeDocument/2006/relationships/hyperlink" Target="https://www.zotero.org/google-docs/?4lPxaw" TargetMode="External"/><Relationship Id="rId99" Type="http://schemas.openxmlformats.org/officeDocument/2006/relationships/hyperlink" Target="https://www.zotero.org/google-docs/?broken=Gj3r8f" TargetMode="External"/><Relationship Id="rId10" Type="http://schemas.openxmlformats.org/officeDocument/2006/relationships/hyperlink" Target="https://www.zotero.org/google-docs/?XFL23X" TargetMode="External"/><Relationship Id="rId98" Type="http://schemas.openxmlformats.org/officeDocument/2006/relationships/hyperlink" Target="https://www.zotero.org/google-docs/?broken=Gj3r8f" TargetMode="External"/><Relationship Id="rId13" Type="http://schemas.openxmlformats.org/officeDocument/2006/relationships/hyperlink" Target="https://www.zotero.org/google-docs/?b2ls10" TargetMode="External"/><Relationship Id="rId12" Type="http://schemas.openxmlformats.org/officeDocument/2006/relationships/hyperlink" Target="https://www.zotero.org/google-docs/?zMhYdy" TargetMode="External"/><Relationship Id="rId91" Type="http://schemas.openxmlformats.org/officeDocument/2006/relationships/hyperlink" Target="https://www.zotero.org/google-docs/?broken=WsRO8g" TargetMode="External"/><Relationship Id="rId90" Type="http://schemas.openxmlformats.org/officeDocument/2006/relationships/hyperlink" Target="https://www.zotero.org/google-docs/?broken=WsRO8g" TargetMode="External"/><Relationship Id="rId93" Type="http://schemas.openxmlformats.org/officeDocument/2006/relationships/hyperlink" Target="https://www.zotero.org/google-docs/?broken=X9zFCH" TargetMode="External"/><Relationship Id="rId92" Type="http://schemas.openxmlformats.org/officeDocument/2006/relationships/hyperlink" Target="https://www.zotero.org/google-docs/?broken=WsRO8g" TargetMode="External"/><Relationship Id="rId118" Type="http://schemas.openxmlformats.org/officeDocument/2006/relationships/hyperlink" Target="https://www.zotero.org/google-docs/?broken=3dZReo" TargetMode="External"/><Relationship Id="rId117" Type="http://schemas.openxmlformats.org/officeDocument/2006/relationships/hyperlink" Target="https://www.zotero.org/google-docs/?broken=Xi9dzE" TargetMode="External"/><Relationship Id="rId116" Type="http://schemas.openxmlformats.org/officeDocument/2006/relationships/hyperlink" Target="https://www.zotero.org/google-docs/?broken=Xi9dzE" TargetMode="External"/><Relationship Id="rId115" Type="http://schemas.openxmlformats.org/officeDocument/2006/relationships/hyperlink" Target="https://www.zotero.org/google-docs/?broken=Xi9dzE" TargetMode="External"/><Relationship Id="rId119" Type="http://schemas.openxmlformats.org/officeDocument/2006/relationships/hyperlink" Target="https://www.zotero.org/google-docs/?broken=3dZReo" TargetMode="External"/><Relationship Id="rId15" Type="http://schemas.openxmlformats.org/officeDocument/2006/relationships/hyperlink" Target="https://www.zotero.org/google-docs/?Xp0VPU" TargetMode="External"/><Relationship Id="rId110" Type="http://schemas.openxmlformats.org/officeDocument/2006/relationships/hyperlink" Target="https://www.zotero.org/google-docs/?broken=HJfDr1" TargetMode="External"/><Relationship Id="rId14" Type="http://schemas.openxmlformats.org/officeDocument/2006/relationships/hyperlink" Target="https://www.zotero.org/google-docs/?uIOZon" TargetMode="External"/><Relationship Id="rId17" Type="http://schemas.openxmlformats.org/officeDocument/2006/relationships/hyperlink" Target="https://www.zotero.org/google-docs/?ag2JmT" TargetMode="External"/><Relationship Id="rId16" Type="http://schemas.openxmlformats.org/officeDocument/2006/relationships/hyperlink" Target="https://www.zotero.org/google-docs/?3xjozi" TargetMode="External"/><Relationship Id="rId19" Type="http://schemas.openxmlformats.org/officeDocument/2006/relationships/hyperlink" Target="https://www.zotero.org/google-docs/?broken=IkBPsd" TargetMode="External"/><Relationship Id="rId114" Type="http://schemas.openxmlformats.org/officeDocument/2006/relationships/hyperlink" Target="https://www.zotero.org/google-docs/?broken=Xi9dzE" TargetMode="External"/><Relationship Id="rId18" Type="http://schemas.openxmlformats.org/officeDocument/2006/relationships/hyperlink" Target="https://www.zotero.org/google-docs/?TBLysr" TargetMode="External"/><Relationship Id="rId113" Type="http://schemas.openxmlformats.org/officeDocument/2006/relationships/hyperlink" Target="https://www.zotero.org/google-docs/?broken=Xi9dzE" TargetMode="External"/><Relationship Id="rId112" Type="http://schemas.openxmlformats.org/officeDocument/2006/relationships/hyperlink" Target="https://www.zotero.org/google-docs/?broken=HJfDr1" TargetMode="External"/><Relationship Id="rId111" Type="http://schemas.openxmlformats.org/officeDocument/2006/relationships/hyperlink" Target="https://www.zotero.org/google-docs/?broken=HJfDr1" TargetMode="External"/><Relationship Id="rId84" Type="http://schemas.openxmlformats.org/officeDocument/2006/relationships/hyperlink" Target="https://www.zotero.org/google-docs/?broken=zCz1SP" TargetMode="External"/><Relationship Id="rId83" Type="http://schemas.openxmlformats.org/officeDocument/2006/relationships/hyperlink" Target="https://www.zotero.org/google-docs/?broken=zCz1SP" TargetMode="External"/><Relationship Id="rId86" Type="http://schemas.openxmlformats.org/officeDocument/2006/relationships/hyperlink" Target="https://www.zotero.org/google-docs/?broken=zCz1SP" TargetMode="External"/><Relationship Id="rId85" Type="http://schemas.openxmlformats.org/officeDocument/2006/relationships/hyperlink" Target="https://www.zotero.org/google-docs/?broken=zCz1SP" TargetMode="External"/><Relationship Id="rId88" Type="http://schemas.openxmlformats.org/officeDocument/2006/relationships/hyperlink" Target="https://www.zotero.org/google-docs/?broken=WsRO8g" TargetMode="External"/><Relationship Id="rId150" Type="http://schemas.openxmlformats.org/officeDocument/2006/relationships/hyperlink" Target="https://www.zotero.org/google-docs/?broken=qok1py" TargetMode="External"/><Relationship Id="rId87" Type="http://schemas.openxmlformats.org/officeDocument/2006/relationships/hyperlink" Target="https://www.zotero.org/google-docs/?broken=zCz1SP" TargetMode="External"/><Relationship Id="rId89" Type="http://schemas.openxmlformats.org/officeDocument/2006/relationships/hyperlink" Target="https://www.zotero.org/google-docs/?broken=WsRO8g" TargetMode="External"/><Relationship Id="rId80" Type="http://schemas.openxmlformats.org/officeDocument/2006/relationships/hyperlink" Target="https://www.zotero.org/google-docs/?VQNO2x" TargetMode="External"/><Relationship Id="rId82" Type="http://schemas.openxmlformats.org/officeDocument/2006/relationships/hyperlink" Target="https://www.zotero.org/google-docs/?VQNO2x" TargetMode="External"/><Relationship Id="rId81" Type="http://schemas.openxmlformats.org/officeDocument/2006/relationships/hyperlink" Target="https://www.zotero.org/google-docs/?VQNO2x"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www.zotero.org/google-docs/?broken=qok1py" TargetMode="External"/><Relationship Id="rId4" Type="http://schemas.openxmlformats.org/officeDocument/2006/relationships/fontTable" Target="fontTable.xml"/><Relationship Id="rId148" Type="http://schemas.openxmlformats.org/officeDocument/2006/relationships/hyperlink" Target="https://www.zotero.org/google-docs/?broken=qok1py" TargetMode="External"/><Relationship Id="rId9" Type="http://schemas.openxmlformats.org/officeDocument/2006/relationships/hyperlink" Target="mailto:uta.berger@tu-dresden.de" TargetMode="External"/><Relationship Id="rId143" Type="http://schemas.openxmlformats.org/officeDocument/2006/relationships/hyperlink" Target="https://www.zotero.org/google-docs/?broken=5dyHra" TargetMode="External"/><Relationship Id="rId142" Type="http://schemas.openxmlformats.org/officeDocument/2006/relationships/hyperlink" Target="https://www.zotero.org/google-docs/?broken=KW3Vs5" TargetMode="External"/><Relationship Id="rId141" Type="http://schemas.openxmlformats.org/officeDocument/2006/relationships/hyperlink" Target="https://www.zotero.org/google-docs/?broken=KW3Vs5" TargetMode="External"/><Relationship Id="rId140" Type="http://schemas.openxmlformats.org/officeDocument/2006/relationships/hyperlink" Target="https://www.zotero.org/google-docs/?broken=KW3Vs5" TargetMode="External"/><Relationship Id="rId5" Type="http://schemas.openxmlformats.org/officeDocument/2006/relationships/numbering" Target="numbering.xml"/><Relationship Id="rId147" Type="http://schemas.openxmlformats.org/officeDocument/2006/relationships/hyperlink" Target="https://www.zotero.org/google-docs/?broken=5dyHra" TargetMode="External"/><Relationship Id="rId6" Type="http://schemas.openxmlformats.org/officeDocument/2006/relationships/styles" Target="styles.xml"/><Relationship Id="rId146" Type="http://schemas.openxmlformats.org/officeDocument/2006/relationships/hyperlink" Target="https://www.zotero.org/google-docs/?broken=5dyHra" TargetMode="External"/><Relationship Id="rId7" Type="http://schemas.openxmlformats.org/officeDocument/2006/relationships/hyperlink" Target="mailto:as.sitthi@gmail.com" TargetMode="External"/><Relationship Id="rId145" Type="http://schemas.openxmlformats.org/officeDocument/2006/relationships/hyperlink" Target="https://www.zotero.org/google-docs/?broken=5dyHra" TargetMode="External"/><Relationship Id="rId8" Type="http://schemas.openxmlformats.org/officeDocument/2006/relationships/hyperlink" Target="mailto:asamaporn@g.swu.ac.th" TargetMode="External"/><Relationship Id="rId144" Type="http://schemas.openxmlformats.org/officeDocument/2006/relationships/hyperlink" Target="https://www.zotero.org/google-docs/?broken=5dyHra" TargetMode="External"/><Relationship Id="rId73" Type="http://schemas.openxmlformats.org/officeDocument/2006/relationships/hyperlink" Target="https://www.zotero.org/google-docs/?VQNO2x" TargetMode="External"/><Relationship Id="rId72" Type="http://schemas.openxmlformats.org/officeDocument/2006/relationships/hyperlink" Target="https://www.zotero.org/google-docs/?VQNO2x" TargetMode="External"/><Relationship Id="rId75" Type="http://schemas.openxmlformats.org/officeDocument/2006/relationships/hyperlink" Target="https://www.zotero.org/google-docs/?VQNO2x" TargetMode="External"/><Relationship Id="rId74" Type="http://schemas.openxmlformats.org/officeDocument/2006/relationships/hyperlink" Target="https://www.zotero.org/google-docs/?VQNO2x" TargetMode="External"/><Relationship Id="rId77" Type="http://schemas.openxmlformats.org/officeDocument/2006/relationships/hyperlink" Target="https://www.zotero.org/google-docs/?VQNO2x" TargetMode="External"/><Relationship Id="rId76" Type="http://schemas.openxmlformats.org/officeDocument/2006/relationships/hyperlink" Target="https://www.zotero.org/google-docs/?VQNO2x" TargetMode="External"/><Relationship Id="rId79" Type="http://schemas.openxmlformats.org/officeDocument/2006/relationships/hyperlink" Target="https://www.zotero.org/google-docs/?VQNO2x" TargetMode="External"/><Relationship Id="rId78" Type="http://schemas.openxmlformats.org/officeDocument/2006/relationships/hyperlink" Target="https://www.zotero.org/google-docs/?VQNO2x" TargetMode="External"/><Relationship Id="rId71" Type="http://schemas.openxmlformats.org/officeDocument/2006/relationships/hyperlink" Target="https://www.zotero.org/google-docs/?VQNO2x" TargetMode="External"/><Relationship Id="rId70" Type="http://schemas.openxmlformats.org/officeDocument/2006/relationships/hyperlink" Target="https://www.zotero.org/google-docs/?VQNO2x" TargetMode="External"/><Relationship Id="rId139" Type="http://schemas.openxmlformats.org/officeDocument/2006/relationships/hyperlink" Target="https://www.zotero.org/google-docs/?broken=KW3Vs5" TargetMode="External"/><Relationship Id="rId138" Type="http://schemas.openxmlformats.org/officeDocument/2006/relationships/hyperlink" Target="https://www.zotero.org/google-docs/?broken=KW3Vs5" TargetMode="External"/><Relationship Id="rId137" Type="http://schemas.openxmlformats.org/officeDocument/2006/relationships/hyperlink" Target="https://www.zotero.org/google-docs/?broken=FUESl3" TargetMode="External"/><Relationship Id="rId132" Type="http://schemas.openxmlformats.org/officeDocument/2006/relationships/hyperlink" Target="https://www.zotero.org/google-docs/?broken=whzjLS" TargetMode="External"/><Relationship Id="rId131" Type="http://schemas.openxmlformats.org/officeDocument/2006/relationships/hyperlink" Target="https://www.zotero.org/google-docs/?broken=whzjLS" TargetMode="External"/><Relationship Id="rId130" Type="http://schemas.openxmlformats.org/officeDocument/2006/relationships/hyperlink" Target="https://www.zotero.org/google-docs/?broken=whzjLS" TargetMode="External"/><Relationship Id="rId136" Type="http://schemas.openxmlformats.org/officeDocument/2006/relationships/hyperlink" Target="https://www.zotero.org/google-docs/?broken=FUESl3" TargetMode="External"/><Relationship Id="rId135" Type="http://schemas.openxmlformats.org/officeDocument/2006/relationships/hyperlink" Target="https://www.zotero.org/google-docs/?broken=FUESl3" TargetMode="External"/><Relationship Id="rId134" Type="http://schemas.openxmlformats.org/officeDocument/2006/relationships/hyperlink" Target="https://www.zotero.org/google-docs/?broken=FUESl3" TargetMode="External"/><Relationship Id="rId133" Type="http://schemas.openxmlformats.org/officeDocument/2006/relationships/hyperlink" Target="https://www.zotero.org/google-docs/?broken=FUESl3" TargetMode="External"/><Relationship Id="rId62" Type="http://schemas.openxmlformats.org/officeDocument/2006/relationships/hyperlink" Target="https://www.zotero.org/google-docs/?VQNO2x" TargetMode="External"/><Relationship Id="rId61" Type="http://schemas.openxmlformats.org/officeDocument/2006/relationships/hyperlink" Target="https://www.zotero.org/google-docs/?VQNO2x" TargetMode="External"/><Relationship Id="rId64" Type="http://schemas.openxmlformats.org/officeDocument/2006/relationships/hyperlink" Target="https://www.zotero.org/google-docs/?VQNO2x" TargetMode="External"/><Relationship Id="rId63" Type="http://schemas.openxmlformats.org/officeDocument/2006/relationships/hyperlink" Target="https://www.zotero.org/google-docs/?VQNO2x" TargetMode="External"/><Relationship Id="rId66" Type="http://schemas.openxmlformats.org/officeDocument/2006/relationships/hyperlink" Target="https://www.zotero.org/google-docs/?VQNO2x" TargetMode="External"/><Relationship Id="rId65" Type="http://schemas.openxmlformats.org/officeDocument/2006/relationships/hyperlink" Target="https://www.zotero.org/google-docs/?VQNO2x" TargetMode="External"/><Relationship Id="rId68" Type="http://schemas.openxmlformats.org/officeDocument/2006/relationships/hyperlink" Target="https://www.zotero.org/google-docs/?VQNO2x" TargetMode="External"/><Relationship Id="rId67" Type="http://schemas.openxmlformats.org/officeDocument/2006/relationships/hyperlink" Target="https://www.zotero.org/google-docs/?VQNO2x" TargetMode="External"/><Relationship Id="rId60" Type="http://schemas.openxmlformats.org/officeDocument/2006/relationships/hyperlink" Target="https://www.zotero.org/google-docs/?VQNO2x" TargetMode="External"/><Relationship Id="rId69" Type="http://schemas.openxmlformats.org/officeDocument/2006/relationships/hyperlink" Target="https://www.zotero.org/google-docs/?VQNO2x" TargetMode="External"/><Relationship Id="rId51" Type="http://schemas.openxmlformats.org/officeDocument/2006/relationships/hyperlink" Target="https://www.zotero.org/google-docs/?9qorIU" TargetMode="External"/><Relationship Id="rId50" Type="http://schemas.openxmlformats.org/officeDocument/2006/relationships/hyperlink" Target="https://www.zotero.org/google-docs/?SselX3" TargetMode="External"/><Relationship Id="rId53" Type="http://schemas.openxmlformats.org/officeDocument/2006/relationships/hyperlink" Target="https://www.sciencedirect.com/science/article/pii/S2351989425004664#gs1" TargetMode="External"/><Relationship Id="rId52" Type="http://schemas.openxmlformats.org/officeDocument/2006/relationships/hyperlink" Target="https://www.sciencedirect.com/science/article/pii/S2351989425004664#gs1" TargetMode="External"/><Relationship Id="rId55" Type="http://schemas.openxmlformats.org/officeDocument/2006/relationships/hyperlink" Target="https://www.zotero.org/google-docs/?VQNO2x" TargetMode="External"/><Relationship Id="rId54" Type="http://schemas.openxmlformats.org/officeDocument/2006/relationships/hyperlink" Target="https://www.zotero.org/google-docs/?VQNO2x" TargetMode="External"/><Relationship Id="rId57" Type="http://schemas.openxmlformats.org/officeDocument/2006/relationships/hyperlink" Target="https://www.zotero.org/google-docs/?VQNO2x" TargetMode="External"/><Relationship Id="rId56" Type="http://schemas.openxmlformats.org/officeDocument/2006/relationships/hyperlink" Target="https://www.zotero.org/google-docs/?VQNO2x" TargetMode="External"/><Relationship Id="rId159" Type="http://schemas.openxmlformats.org/officeDocument/2006/relationships/footer" Target="footer1.xml"/><Relationship Id="rId59" Type="http://schemas.openxmlformats.org/officeDocument/2006/relationships/hyperlink" Target="https://www.zotero.org/google-docs/?VQNO2x" TargetMode="External"/><Relationship Id="rId154" Type="http://schemas.openxmlformats.org/officeDocument/2006/relationships/hyperlink" Target="https://www.zotero.org/google-docs/?broken=lFgbJn" TargetMode="External"/><Relationship Id="rId58" Type="http://schemas.openxmlformats.org/officeDocument/2006/relationships/hyperlink" Target="https://www.zotero.org/google-docs/?VQNO2x" TargetMode="External"/><Relationship Id="rId153" Type="http://schemas.openxmlformats.org/officeDocument/2006/relationships/hyperlink" Target="https://www.zotero.org/google-docs/?broken=lFgbJn" TargetMode="External"/><Relationship Id="rId152" Type="http://schemas.openxmlformats.org/officeDocument/2006/relationships/hyperlink" Target="https://www.zotero.org/google-docs/?broken=qok1py" TargetMode="External"/><Relationship Id="rId151" Type="http://schemas.openxmlformats.org/officeDocument/2006/relationships/hyperlink" Target="https://www.zotero.org/google-docs/?broken=qok1py" TargetMode="External"/><Relationship Id="rId158" Type="http://schemas.openxmlformats.org/officeDocument/2006/relationships/footer" Target="footer2.xml"/><Relationship Id="rId157" Type="http://schemas.openxmlformats.org/officeDocument/2006/relationships/hyperlink" Target="https://www.zotero.org/google-docs/?broken=lFgbJn" TargetMode="External"/><Relationship Id="rId156" Type="http://schemas.openxmlformats.org/officeDocument/2006/relationships/hyperlink" Target="https://www.zotero.org/google-docs/?broken=lFgbJn" TargetMode="External"/><Relationship Id="rId155" Type="http://schemas.openxmlformats.org/officeDocument/2006/relationships/hyperlink" Target="https://www.zotero.org/google-docs/?broken=lFgbJ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