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T.C.</w:t>
      </w:r>
    </w:p>
    <w:p>
      <w:pPr>
        <w:jc w:val="center"/>
      </w:pPr>
      <w:r>
        <w:rPr>
          <w:rFonts w:ascii="Times New Roman" w:hAnsi="Times New Roman"/>
          <w:b/>
          <w:sz w:val="40"/>
        </w:rPr>
        <w:t>YEDITEPE UNIVERSITY</w:t>
      </w:r>
    </w:p>
    <w:p>
      <w:pPr>
        <w:jc w:val="center"/>
      </w:pPr>
      <w:r>
        <w:rPr>
          <w:rFonts w:ascii="Times New Roman" w:hAnsi="Times New Roman"/>
          <w:b/>
          <w:sz w:val="40"/>
        </w:rPr>
        <w:t>FACULTY OF COMPUTER AND INFORMATION SCIENCES</w:t>
      </w:r>
    </w:p>
    <w:p>
      <w:pPr>
        <w:jc w:val="center"/>
      </w:pPr>
      <w:r>
        <w:rPr>
          <w:rFonts w:ascii="Times New Roman" w:hAnsi="Times New Roman"/>
          <w:b/>
          <w:sz w:val="40"/>
        </w:rPr>
        <w:t>DEPARTMENT OF MANAGEMENT INFORMATION SYSTEMS</w:t>
      </w:r>
    </w:p>
    <w:p/>
    <w:p>
      <w:pPr>
        <w:jc w:val="center"/>
      </w:pPr>
      <w:r>
        <w:rPr>
          <w:rFonts w:ascii="Times New Roman" w:hAnsi="Times New Roman"/>
          <w:sz w:val="24"/>
        </w:rPr>
        <w:t>&lt;br&gt;&lt;br&gt;</w:t>
      </w:r>
    </w:p>
    <w:p/>
    <w:p>
      <w:pPr>
        <w:jc w:val="center"/>
      </w:pPr>
      <w:r>
        <w:rPr>
          <w:rFonts w:ascii="Times New Roman" w:hAnsi="Times New Roman"/>
          <w:b/>
          <w:sz w:val="40"/>
        </w:rPr>
        <w:t>BORSANEURON: ALGORITHMIC STOCK PRICE FORECASTING AND AUTOMATED TECHNICAL PATTERN SCANNER PLATFORM</w:t>
      </w:r>
    </w:p>
    <w:p/>
    <w:p>
      <w:pPr>
        <w:jc w:val="center"/>
      </w:pPr>
      <w:r>
        <w:rPr>
          <w:rFonts w:ascii="Times New Roman" w:hAnsi="Times New Roman"/>
          <w:sz w:val="24"/>
        </w:rPr>
        <w:t>&lt;br&gt;&lt;br&gt;</w:t>
      </w:r>
    </w:p>
    <w:p/>
    <w:p>
      <w:pPr>
        <w:jc w:val="center"/>
      </w:pPr>
      <w:r>
        <w:rPr>
          <w:rFonts w:ascii="Times New Roman" w:hAnsi="Times New Roman"/>
          <w:b/>
          <w:sz w:val="28"/>
        </w:rPr>
        <w:t>GRADUATION THESIS</w:t>
      </w:r>
    </w:p>
    <w:p/>
    <w:p>
      <w:pPr>
        <w:jc w:val="center"/>
      </w:pPr>
      <w:r>
        <w:rPr>
          <w:rFonts w:ascii="Times New Roman" w:hAnsi="Times New Roman"/>
          <w:sz w:val="24"/>
        </w:rPr>
        <w:t>&lt;br&gt;</w:t>
      </w:r>
    </w:p>
    <w:p/>
    <w:p>
      <w:pPr>
        <w:jc w:val="center"/>
      </w:pPr>
      <w:r>
        <w:rPr>
          <w:rFonts w:ascii="Times New Roman" w:hAnsi="Times New Roman"/>
          <w:b/>
          <w:sz w:val="28"/>
        </w:rPr>
        <w:t>by</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t>&lt;br&gt;&lt;br&gt;</w:t>
      </w:r>
    </w:p>
    <w:p/>
    <w:p>
      <w:pPr>
        <w:jc w:val="center"/>
      </w:pPr>
      <w:r>
        <w:rPr>
          <w:rFonts w:ascii="Times New Roman" w:hAnsi="Times New Roman"/>
          <w:b/>
          <w:sz w:val="28"/>
        </w:rPr>
        <w:t>Thesis Supervisor: Assoc. Prof. Dr. Uğur Tevfik Kaplancalı</w:t>
      </w:r>
    </w:p>
    <w:p/>
    <w:p>
      <w:pPr>
        <w:jc w:val="center"/>
      </w:pPr>
      <w:r>
        <w:rPr>
          <w:rFonts w:ascii="Times New Roman" w:hAnsi="Times New Roman"/>
          <w:sz w:val="24"/>
        </w:rPr>
        <w:t>&lt;br&gt;&lt;br&gt;&lt;br&gt;</w:t>
      </w:r>
    </w:p>
    <w:p/>
    <w:p>
      <w:pPr>
        <w:jc w:val="center"/>
      </w:pPr>
      <w:r>
        <w:rPr>
          <w:rFonts w:ascii="Times New Roman" w:hAnsi="Times New Roman"/>
          <w:b/>
          <w:sz w:val="28"/>
        </w:rPr>
        <w:t>ISTANBUL, SPRING 2026</w:t>
      </w:r>
    </w:p>
    <w:p/>
    <w:p>
      <w:r>
        <w:br w:type="page"/>
      </w:r>
    </w:p>
    <w:p/>
    <w:p>
      <w:pPr>
        <w:pStyle w:val="Heading2"/>
        <w:spacing w:before="240" w:after="120"/>
        <w:jc w:val="left"/>
      </w:pPr>
      <w:r>
        <w:rPr>
          <w:rFonts w:ascii="Times New Roman" w:hAnsi="Times New Roman"/>
          <w:b/>
          <w:color w:val="1E1E1E"/>
          <w:sz w:val="28"/>
        </w:rPr>
        <w:t>ACKNOWLEDGEMENTS</w:t>
      </w:r>
    </w:p>
    <w:p/>
    <w:p>
      <w:pPr>
        <w:spacing w:line="360" w:lineRule="auto" w:after="160"/>
        <w:jc w:val="both"/>
      </w:pPr>
      <w:r>
        <w:rPr>
          <w:rFonts w:ascii="Times New Roman" w:hAnsi="Times New Roman"/>
          <w:sz w:val="24"/>
        </w:rPr>
        <w:t xml:space="preserve">First and foremost, I would like to express my deepest gratitude and sincere appreciation to my thesis supervisor, </w:t>
      </w:r>
      <w:r>
        <w:rPr>
          <w:rFonts w:ascii="Times New Roman" w:hAnsi="Times New Roman"/>
          <w:b/>
          <w:sz w:val="24"/>
        </w:rPr>
        <w:t>Assoc. Prof. Dr. Uğur Tevfik Kaplancalı</w:t>
      </w:r>
      <w:r>
        <w:rPr>
          <w:rFonts w:ascii="Times New Roman" w:hAnsi="Times New Roman"/>
          <w:sz w:val="24"/>
        </w:rPr>
        <w:t>, for his continuous guidance, invaluable feedback, and academic support throughout the design and execution of this graduation project. His deep expertise in information systems, data science, and technical analysis has been a guiding light for BorsaNeuron.</w:t>
      </w:r>
    </w:p>
    <w:p/>
    <w:p>
      <w:pPr>
        <w:spacing w:line="360" w:lineRule="auto" w:after="160"/>
        <w:jc w:val="both"/>
      </w:pPr>
      <w:r>
        <w:rPr>
          <w:rFonts w:ascii="Times New Roman" w:hAnsi="Times New Roman"/>
          <w:sz w:val="24"/>
        </w:rPr>
        <w:t>Secondly, I would like to extend my heartfelt thanks to all the faculty members of the Management Information Systems department at Yeditepe University who have educated and supported me throughout my undergraduate studies, equipping me with the technical and analytical foundations needed to build this platform.</w:t>
      </w:r>
    </w:p>
    <w:p/>
    <w:p>
      <w:pPr>
        <w:spacing w:line="360" w:lineRule="auto" w:after="160"/>
        <w:jc w:val="both"/>
      </w:pPr>
      <w:r>
        <w:rPr>
          <w:rFonts w:ascii="Times New Roman" w:hAnsi="Times New Roman"/>
          <w:sz w:val="24"/>
        </w:rPr>
        <w:t>Finally, I wish to express my deepest gratitude to my family and friends for their endless patience, encouragement, and support during the writing of this thesis and throughout my academic journey.</w:t>
      </w:r>
    </w:p>
    <w:p/>
    <w:p>
      <w:pPr>
        <w:spacing w:line="360" w:lineRule="auto" w:after="160"/>
        <w:jc w:val="both"/>
      </w:pPr>
      <w:r>
        <w:rPr>
          <w:rFonts w:ascii="Times New Roman" w:hAnsi="Times New Roman"/>
          <w:sz w:val="24"/>
        </w:rPr>
        <w:t>---</w:t>
      </w:r>
    </w:p>
    <w:p/>
    <w:p>
      <w:pPr>
        <w:pStyle w:val="Heading2"/>
        <w:spacing w:before="240" w:after="120"/>
        <w:jc w:val="left"/>
      </w:pPr>
      <w:r>
        <w:rPr>
          <w:rFonts w:ascii="Times New Roman" w:hAnsi="Times New Roman"/>
          <w:b/>
          <w:color w:val="1E1E1E"/>
          <w:sz w:val="28"/>
        </w:rPr>
        <w:t>ÖZ</w:t>
      </w:r>
    </w:p>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geometrik fiyat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
      <w:pPr>
        <w:spacing w:line="360" w:lineRule="auto" w:after="160"/>
        <w:jc w:val="both"/>
      </w:pPr>
      <w:r>
        <w:rPr>
          <w:rFonts w:ascii="Times New Roman" w:hAnsi="Times New Roman"/>
          <w:sz w:val="24"/>
        </w:rPr>
        <w:t xml:space="preserve">Geliştirilen bu proje, Borsa İstanbul genelini temsil eden </w:t>
      </w:r>
      <w:r>
        <w:rPr>
          <w:rFonts w:ascii="Times New Roman" w:hAnsi="Times New Roman"/>
          <w:b/>
          <w:sz w:val="24"/>
        </w:rPr>
        <w:t>aktif BIST hisse senetlerine</w:t>
      </w:r>
      <w:r>
        <w:rPr>
          <w:rFonts w:ascii="Times New Roman" w:hAnsi="Times New Roman"/>
          <w:sz w:val="24"/>
        </w:rPr>
        <w:t xml:space="preserve"> ait tarihsel günlük veriler üzerinde yürütülmüştür. Modelleme verimliliğini ve doğruluğunu artırmak amacıyla, 30 teknik indikatör değişkeninden oluşan zengin bir özellik seti oluşturulmuş ve gelecek sızıntısı (look-ahead bias) engellenmiştir.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
      <w:pPr>
        <w:spacing w:line="360" w:lineRule="auto" w:after="160"/>
        <w:jc w:val="both"/>
      </w:pPr>
      <w:r>
        <w:rPr>
          <w:rFonts w:ascii="Times New Roman" w:hAnsi="Times New Roman"/>
          <w:sz w:val="24"/>
        </w:rPr>
        <w:t>BIST hisselerinin 5 gün sonraki kapanış fiyatının bugünkünden yüksek olup olmayacağını (</w:t>
      </w:r>
      <w:r>
        <w:rPr>
          <w:rFonts w:ascii="Courier New" w:hAnsi="Courier New"/>
          <w:sz w:val="21"/>
        </w:rPr>
        <w:t>Target_T5</w:t>
      </w:r>
      <w:r>
        <w:rPr>
          <w:rFonts w:ascii="Times New Roman" w:hAnsi="Times New Roman"/>
          <w:sz w:val="24"/>
        </w:rPr>
        <w:t>) tahmin etmek üzere K-En Yakın Komşu (K-NN), Yapay Sinir Ağları (ANN - MLPClassifier), Rastgele Orman (Random Forest) ve XGBoost modelleri eğitilmiştir. Yapay Sinir Ağı (ANN) %55.68 doğruluk ve 0.6496 F1-Skor ile en yüksek tahminsel başarıyı sergilerken; genişletilmiş veri setinde eğitilen XGBoost modeli dengeli duyarlılık ve kesinlik metrikleriyle online tahmin motoru olarak seçilmiştir.</w:t>
      </w:r>
    </w:p>
    <w:p/>
    <w:p>
      <w:pPr>
        <w:spacing w:line="360" w:lineRule="auto" w:after="160"/>
        <w:jc w:val="both"/>
      </w:pPr>
      <w:r>
        <w:rPr>
          <w:rFonts w:ascii="Times New Roman" w:hAnsi="Times New Roman"/>
          <w:sz w:val="24"/>
        </w:rPr>
        <w:t xml:space="preserve">Yapay zeka modelleri, Python Streamlit kütüphanesi kullanılarak interaktif bir web kontrol paneline (BorsaNeuron Dashboard) dönüştürülmüştür. Bu arayüz; kullanıcıların hisse kodu girerek </w:t>
      </w:r>
      <w:r>
        <w:rPr>
          <w:rFonts w:ascii="Courier New" w:hAnsi="Courier New"/>
          <w:sz w:val="21"/>
        </w:rPr>
        <w:t>yfinance</w:t>
      </w:r>
      <w:r>
        <w:rPr>
          <w:rFonts w:ascii="Times New Roman" w:hAnsi="Times New Roman"/>
          <w:sz w:val="24"/>
        </w:rPr>
        <w:t xml:space="preserve"> üzerinden akan canlı teknik verilerle anlık inference tahminleri alabildiği, hisselerin </w:t>
      </w:r>
      <w:r>
        <w:rPr>
          <w:rFonts w:ascii="Times New Roman" w:hAnsi="Times New Roman"/>
          <w:b/>
          <w:sz w:val="24"/>
        </w:rPr>
        <w:t>kendi geçmiş başarı uyumunu (Win Rate)</w:t>
      </w:r>
      <w:r>
        <w:rPr>
          <w:rFonts w:ascii="Times New Roman" w:hAnsi="Times New Roman"/>
          <w:sz w:val="24"/>
        </w:rPr>
        <w:t xml:space="preserve"> karar alma sürecine ağırlık olarak entegre ettiği ve TOBO, Fincan-Kulp, Flama, İkili Dip ve İkili Tepe gibi klasik formasyonları BIST genelinde tarayabildiği canlı bir platform sunmaktadır. Geliştirilen platform, Dockerfile ile konteynerleştirilmiş ve bulut ortamında yayına hazır hale getirilmiştir. GitHub dosya boyutu limitlerini aşmak amacıyla 318MB boyutundaki veri seti, xz formatında sıkıştırılarak 50.1MB'a düşürülmüş ve çalışma zamanında dinamik olarak okunacak şekilde entegre edilmiştir.</w:t>
      </w:r>
    </w:p>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p>
      <w:pPr>
        <w:spacing w:line="360" w:lineRule="auto" w:after="160"/>
        <w:jc w:val="both"/>
      </w:pPr>
      <w:r>
        <w:rPr>
          <w:rFonts w:ascii="Times New Roman" w:hAnsi="Times New Roman"/>
          <w:sz w:val="24"/>
        </w:rPr>
        <w:t>---</w:t>
      </w:r>
    </w:p>
    <w:p/>
    <w:p>
      <w:pPr>
        <w:pStyle w:val="Heading2"/>
        <w:spacing w:before="240" w:after="120"/>
        <w:jc w:val="left"/>
      </w:pPr>
      <w:r>
        <w:rPr>
          <w:rFonts w:ascii="Times New Roman" w:hAnsi="Times New Roman"/>
          <w:b/>
          <w:color w:val="1E1E1E"/>
          <w:sz w:val="28"/>
        </w:rPr>
        <w:t>ABSTRACT</w:t>
      </w:r>
    </w:p>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platform aimed at forecasting 5-day future stock price directions and automating classical chart pattern scanning in the Borsa Istanbul (BIST) stock market using technical analysis indicators and machine learning algorithms.</w:t>
      </w:r>
    </w:p>
    <w:p/>
    <w:p>
      <w:pPr>
        <w:spacing w:line="360" w:lineRule="auto" w:after="160"/>
        <w:jc w:val="both"/>
      </w:pPr>
      <w:r>
        <w:rPr>
          <w:rFonts w:ascii="Times New Roman" w:hAnsi="Times New Roman"/>
          <w:sz w:val="24"/>
        </w:rPr>
        <w:t xml:space="preserve">Applying quantitative finance workflows to quantitative finance, this project was developed using a comprehensive technical indicator dataset representing </w:t>
      </w:r>
      <w:r>
        <w:rPr>
          <w:rFonts w:ascii="Times New Roman" w:hAnsi="Times New Roman"/>
          <w:b/>
          <w:sz w:val="24"/>
        </w:rPr>
        <w:t>active BIST stocks</w:t>
      </w:r>
      <w:r>
        <w:rPr>
          <w:rFonts w:ascii="Times New Roman" w:hAnsi="Times New Roman"/>
          <w:sz w:val="24"/>
        </w:rPr>
        <w:t xml:space="preserve"> traded on Borsa Istanbul. Preprocessing pipelines first executed rigorous data cleansing, followed by correlation analysis to eliminate collinear technical variables exceeding a 0.90 threshold. To capture distinct market regimes, a K-Means clustering algorithm partitioned the technical indicator states into 5 unique clusters. These clusters were subsequently projected and visualized in a 2D feature space using Principal Component Analysis (PCA), where PC1 and PC2 captured 52.25% of the cumulative variance.</w:t>
      </w:r>
    </w:p>
    <w:p/>
    <w:p>
      <w:pPr>
        <w:spacing w:line="360" w:lineRule="auto" w:after="160"/>
        <w:jc w:val="both"/>
      </w:pPr>
      <w:r>
        <w:rPr>
          <w:rFonts w:ascii="Times New Roman" w:hAnsi="Times New Roman"/>
          <w:sz w:val="24"/>
        </w:rPr>
        <w:t>To forecast the binary 5-day future price direction target (</w:t>
      </w:r>
      <w:r>
        <w:rPr>
          <w:rFonts w:ascii="Courier New" w:hAnsi="Courier New"/>
          <w:sz w:val="21"/>
        </w:rPr>
        <w:t>Target_T5</w:t>
      </w:r>
      <w:r>
        <w:rPr>
          <w:rFonts w:ascii="Times New Roman" w:hAnsi="Times New Roman"/>
          <w:sz w:val="24"/>
        </w:rPr>
        <w:t>), K-Nearest Neighbors (K-NN), Artificial Neural Networks (ANN - MLPClassifier), and Random Forest (RF) classifiers were optimized. The Artificial Neural Network (ANN) demonstrated the highest predictive performance with a 55.68% accuracy and a 0.6496 F1-Score. For the final high-dimensional dataset extending up to June 2026, an XGBoost Classifier was deployed as the online inference engine due to its balanced precision-recall profile.</w:t>
      </w:r>
    </w:p>
    <w:p/>
    <w:p>
      <w:pPr>
        <w:spacing w:line="360" w:lineRule="auto" w:after="160"/>
        <w:jc w:val="both"/>
      </w:pPr>
      <w:r>
        <w:rPr>
          <w:rFonts w:ascii="Times New Roman" w:hAnsi="Times New Roman"/>
          <w:sz w:val="24"/>
        </w:rPr>
        <w:t xml:space="preserve">To convert these quantitative pipelines into an active business intelligence tool, an interactive web application (BorsaNeuron Dashboard) was developed using the Python Streamlit library. The platform enables users to query any BIST ticker dynamically, fetch live technical data flows via </w:t>
      </w:r>
      <w:r>
        <w:rPr>
          <w:rFonts w:ascii="Courier New" w:hAnsi="Courier New"/>
          <w:sz w:val="21"/>
        </w:rPr>
        <w:t>yfinance</w:t>
      </w:r>
      <w:r>
        <w:rPr>
          <w:rFonts w:ascii="Times New Roman" w:hAnsi="Times New Roman"/>
          <w:sz w:val="24"/>
        </w:rPr>
        <w:t xml:space="preserve">, adjust decision metrics based on the stock's </w:t>
      </w:r>
      <w:r>
        <w:rPr>
          <w:rFonts w:ascii="Times New Roman" w:hAnsi="Times New Roman"/>
          <w:b/>
          <w:sz w:val="24"/>
        </w:rPr>
        <w:t>unique historical win rate weight</w:t>
      </w:r>
      <w:r>
        <w:rPr>
          <w:rFonts w:ascii="Times New Roman" w:hAnsi="Times New Roman"/>
          <w:sz w:val="24"/>
        </w:rPr>
        <w:t>, and trigger automated scans to identify geometric chart formations such as Head and Shoulders (TOBO), Cup and Handle, Flag, Double Bottom, and Double Top formations. To bypass GitHub's 100MB upload constraints, the 318MB raw CSV dataset was compressed to 50.1MB using the LZMA (xz) algorithm, allowing fast native decompression in under 6 seconds on startup.</w:t>
      </w:r>
    </w:p>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Forecasting, Machine Learning, K-Means Clustering, Sector Peer Analysis, Streamlit, Technical Pattern Scanner.</w:t>
      </w:r>
    </w:p>
    <w:p/>
    <w:p>
      <w:pPr>
        <w:spacing w:line="360" w:lineRule="auto" w:after="160"/>
        <w:jc w:val="both"/>
      </w:pPr>
      <w:r>
        <w:rPr>
          <w:rFonts w:ascii="Times New Roman" w:hAnsi="Times New Roman"/>
          <w:sz w:val="24"/>
        </w:rPr>
        <w:t>---</w:t>
      </w:r>
    </w:p>
    <w:p/>
    <w:p>
      <w:pPr>
        <w:pStyle w:val="Heading2"/>
        <w:spacing w:before="240" w:after="120"/>
        <w:jc w:val="left"/>
      </w:pPr>
      <w:r>
        <w:rPr>
          <w:rFonts w:ascii="Times New Roman" w:hAnsi="Times New Roman"/>
          <w:b/>
          <w:color w:val="1E1E1E"/>
          <w:sz w:val="28"/>
        </w:rPr>
        <w:t>TABLE OF CONTENTS</w:t>
      </w:r>
    </w:p>
    <w:p/>
    <w:p>
      <w:pPr>
        <w:pStyle w:val="ListBullet"/>
        <w:spacing w:after="80" w:line="276" w:lineRule="auto"/>
      </w:pPr>
      <w:r>
        <w:rPr>
          <w:rFonts w:ascii="Times New Roman" w:hAnsi="Times New Roman"/>
          <w:b/>
          <w:sz w:val="24"/>
        </w:rPr>
        <w:t>ACKNOWLEDGEMENTS</w:t>
      </w:r>
    </w:p>
    <w:p>
      <w:pPr>
        <w:pStyle w:val="ListBullet"/>
        <w:spacing w:after="80" w:line="276" w:lineRule="auto"/>
      </w:pPr>
      <w:r>
        <w:rPr>
          <w:rFonts w:ascii="Times New Roman" w:hAnsi="Times New Roman"/>
          <w:b/>
          <w:sz w:val="24"/>
        </w:rPr>
        <w:t>ÖZ (Turkish Abstract)</w:t>
      </w:r>
    </w:p>
    <w:p>
      <w:pPr>
        <w:pStyle w:val="ListBullet"/>
        <w:spacing w:after="80" w:line="276" w:lineRule="auto"/>
      </w:pPr>
      <w:r>
        <w:rPr>
          <w:rFonts w:ascii="Times New Roman" w:hAnsi="Times New Roman"/>
          <w:b/>
          <w:sz w:val="24"/>
        </w:rPr>
        <w:t>ABSTRACT (English Abstract)</w:t>
      </w:r>
    </w:p>
    <w:p>
      <w:pPr>
        <w:pStyle w:val="ListBullet"/>
        <w:spacing w:after="80" w:line="276" w:lineRule="auto"/>
      </w:pPr>
      <w:r>
        <w:rPr>
          <w:rFonts w:ascii="Times New Roman" w:hAnsi="Times New Roman"/>
          <w:b/>
          <w:sz w:val="24"/>
        </w:rPr>
        <w:t>1. INTRODUCTION</w:t>
      </w:r>
    </w:p>
    <w:p>
      <w:pPr>
        <w:pStyle w:val="ListBullet"/>
        <w:spacing w:after="80" w:line="276" w:lineRule="auto"/>
      </w:pPr>
      <w:r>
        <w:rPr>
          <w:rFonts w:ascii="Times New Roman" w:hAnsi="Times New Roman"/>
          <w:b/>
          <w:sz w:val="24"/>
        </w:rPr>
        <w:t>2. SETTING UP PROJECT</w:t>
      </w:r>
    </w:p>
    <w:p>
      <w:pPr>
        <w:pStyle w:val="ListBullet"/>
        <w:spacing w:after="80" w:line="276" w:lineRule="auto"/>
      </w:pPr>
      <w:r>
        <w:rPr>
          <w:rFonts w:ascii="Times New Roman" w:hAnsi="Times New Roman"/>
          <w:sz w:val="24"/>
        </w:rPr>
        <w:t>2.1. Software Required Before Installation</w:t>
      </w:r>
    </w:p>
    <w:p>
      <w:pPr>
        <w:pStyle w:val="ListBullet"/>
        <w:spacing w:after="80" w:line="276" w:lineRule="auto"/>
      </w:pPr>
      <w:r>
        <w:rPr>
          <w:rFonts w:ascii="Times New Roman" w:hAnsi="Times New Roman"/>
          <w:sz w:val="24"/>
        </w:rPr>
        <w:t>2.2. Initial Package Installations of the Project</w:t>
      </w:r>
    </w:p>
    <w:p>
      <w:pPr>
        <w:pStyle w:val="ListBullet"/>
        <w:spacing w:after="80" w:line="276" w:lineRule="auto"/>
      </w:pPr>
      <w:r>
        <w:rPr>
          <w:rFonts w:ascii="Times New Roman" w:hAnsi="Times New Roman"/>
          <w:b/>
          <w:sz w:val="24"/>
        </w:rPr>
        <w:t>3. DATASET &amp; PREPROCESSING</w:t>
      </w:r>
    </w:p>
    <w:p>
      <w:pPr>
        <w:pStyle w:val="ListBullet"/>
        <w:spacing w:after="80" w:line="276" w:lineRule="auto"/>
      </w:pPr>
      <w:r>
        <w:rPr>
          <w:rFonts w:ascii="Times New Roman" w:hAnsi="Times New Roman"/>
          <w:sz w:val="24"/>
        </w:rPr>
        <w:t>3.1. Data Source and Feature Definitions</w:t>
      </w:r>
    </w:p>
    <w:p>
      <w:pPr>
        <w:pStyle w:val="ListBullet"/>
        <w:spacing w:after="80" w:line="276" w:lineRule="auto"/>
      </w:pPr>
      <w:r>
        <w:rPr>
          <w:rFonts w:ascii="Times New Roman" w:hAnsi="Times New Roman"/>
          <w:sz w:val="24"/>
        </w:rPr>
        <w:t>3.2. Pearson Correlation &amp; Multicollinearity Filtering</w:t>
      </w:r>
    </w:p>
    <w:p>
      <w:pPr>
        <w:pStyle w:val="ListBullet"/>
        <w:spacing w:after="80" w:line="276" w:lineRule="auto"/>
      </w:pPr>
      <w:r>
        <w:rPr>
          <w:rFonts w:ascii="Times New Roman" w:hAnsi="Times New Roman"/>
          <w:sz w:val="24"/>
        </w:rPr>
        <w:t>3.3. K-Means Clustering &amp; PCA Market Segmentation</w:t>
      </w:r>
    </w:p>
    <w:p>
      <w:pPr>
        <w:pStyle w:val="ListBullet"/>
        <w:spacing w:after="80" w:line="276" w:lineRule="auto"/>
      </w:pPr>
      <w:r>
        <w:rPr>
          <w:rFonts w:ascii="Times New Roman" w:hAnsi="Times New Roman"/>
          <w:sz w:val="24"/>
        </w:rPr>
        <w:t>3.4. Dataset Compression and Workaround for GitHub File Limits</w:t>
      </w:r>
    </w:p>
    <w:p>
      <w:pPr>
        <w:pStyle w:val="ListBullet"/>
        <w:spacing w:after="80" w:line="276" w:lineRule="auto"/>
      </w:pPr>
      <w:r>
        <w:rPr>
          <w:rFonts w:ascii="Times New Roman" w:hAnsi="Times New Roman"/>
          <w:b/>
          <w:sz w:val="24"/>
        </w:rPr>
        <w:t>4. QUANTITATIVE MODELING &amp; MACHINE LEARNING</w:t>
      </w:r>
    </w:p>
    <w:p>
      <w:pPr>
        <w:pStyle w:val="ListBullet"/>
        <w:spacing w:after="80" w:line="276" w:lineRule="auto"/>
      </w:pPr>
      <w:r>
        <w:rPr>
          <w:rFonts w:ascii="Times New Roman" w:hAnsi="Times New Roman"/>
          <w:sz w:val="24"/>
        </w:rPr>
        <w:t>4.1. K-Nearest Neighbors (K-NN) and GridSearchCV Tuning</w:t>
      </w:r>
    </w:p>
    <w:p>
      <w:pPr>
        <w:pStyle w:val="ListBullet"/>
        <w:spacing w:after="80" w:line="276" w:lineRule="auto"/>
      </w:pPr>
      <w:r>
        <w:rPr>
          <w:rFonts w:ascii="Times New Roman" w:hAnsi="Times New Roman"/>
          <w:sz w:val="24"/>
        </w:rPr>
        <w:t>4.2. Random Forest Classification and Variable Importance</w:t>
      </w:r>
    </w:p>
    <w:p>
      <w:pPr>
        <w:pStyle w:val="ListBullet"/>
        <w:spacing w:after="80" w:line="276" w:lineRule="auto"/>
      </w:pPr>
      <w:r>
        <w:rPr>
          <w:rFonts w:ascii="Times New Roman" w:hAnsi="Times New Roman"/>
          <w:sz w:val="24"/>
        </w:rPr>
        <w:t>4.3. Artificial Neural Networks (ANN - Multi-Layer Perceptron)</w:t>
      </w:r>
    </w:p>
    <w:p>
      <w:pPr>
        <w:pStyle w:val="ListBullet"/>
        <w:spacing w:after="80" w:line="276" w:lineRule="auto"/>
      </w:pPr>
      <w:r>
        <w:rPr>
          <w:rFonts w:ascii="Times New Roman" w:hAnsi="Times New Roman"/>
          <w:sz w:val="24"/>
        </w:rPr>
        <w:t>4.4. Model Performance Evaluation and Comparison</w:t>
      </w:r>
    </w:p>
    <w:p>
      <w:pPr>
        <w:pStyle w:val="ListBullet"/>
        <w:spacing w:after="80" w:line="276" w:lineRule="auto"/>
      </w:pPr>
      <w:r>
        <w:rPr>
          <w:rFonts w:ascii="Times New Roman" w:hAnsi="Times New Roman"/>
          <w:b/>
          <w:sz w:val="24"/>
        </w:rPr>
        <w:t>5. BORSANEURON TERMINAL INTERFACE</w:t>
      </w:r>
    </w:p>
    <w:p>
      <w:pPr>
        <w:pStyle w:val="ListBullet"/>
        <w:spacing w:after="80" w:line="276" w:lineRule="auto"/>
      </w:pPr>
      <w:r>
        <w:rPr>
          <w:rFonts w:ascii="Times New Roman" w:hAnsi="Times New Roman"/>
          <w:sz w:val="24"/>
        </w:rPr>
        <w:t>5.1. Streamlit UI Layout and Design</w:t>
      </w:r>
    </w:p>
    <w:p>
      <w:pPr>
        <w:pStyle w:val="ListBullet"/>
        <w:spacing w:after="80" w:line="276" w:lineRule="auto"/>
      </w:pPr>
      <w:r>
        <w:rPr>
          <w:rFonts w:ascii="Times New Roman" w:hAnsi="Times New Roman"/>
          <w:sz w:val="24"/>
        </w:rPr>
        <w:t>5.2. Live yfinance Streaming and Technical Calculations</w:t>
      </w:r>
    </w:p>
    <w:p>
      <w:pPr>
        <w:pStyle w:val="ListBullet"/>
        <w:spacing w:after="80" w:line="276" w:lineRule="auto"/>
      </w:pPr>
      <w:r>
        <w:rPr>
          <w:rFonts w:ascii="Times New Roman" w:hAnsi="Times New Roman"/>
          <w:sz w:val="24"/>
        </w:rPr>
        <w:t>5.3. Historical Stock Behavior Weights &amp; Decision Integration</w:t>
      </w:r>
    </w:p>
    <w:p>
      <w:pPr>
        <w:pStyle w:val="ListBullet"/>
        <w:spacing w:after="80" w:line="276" w:lineRule="auto"/>
      </w:pPr>
      <w:r>
        <w:rPr>
          <w:rFonts w:ascii="Times New Roman" w:hAnsi="Times New Roman"/>
          <w:sz w:val="24"/>
        </w:rPr>
        <w:t>5.4. Sector Peer Analysis</w:t>
      </w:r>
    </w:p>
    <w:p>
      <w:pPr>
        <w:pStyle w:val="ListBullet"/>
        <w:spacing w:after="80" w:line="276" w:lineRule="auto"/>
      </w:pPr>
      <w:r>
        <w:rPr>
          <w:rFonts w:ascii="Times New Roman" w:hAnsi="Times New Roman"/>
          <w:sz w:val="24"/>
        </w:rPr>
        <w:t>5.5. Interactive Plotly Candlestick with AI Signal Annotations</w:t>
      </w:r>
    </w:p>
    <w:p>
      <w:pPr>
        <w:pStyle w:val="ListBullet"/>
        <w:spacing w:after="80" w:line="276" w:lineRule="auto"/>
      </w:pPr>
      <w:r>
        <w:rPr>
          <w:rFonts w:ascii="Times New Roman" w:hAnsi="Times New Roman"/>
          <w:sz w:val="24"/>
        </w:rPr>
        <w:t>5.6. Stock-Specific Live Backtest Simulator</w:t>
      </w:r>
    </w:p>
    <w:p>
      <w:pPr>
        <w:pStyle w:val="ListBullet"/>
        <w:spacing w:after="80" w:line="276" w:lineRule="auto"/>
      </w:pPr>
      <w:r>
        <w:rPr>
          <w:rFonts w:ascii="Times New Roman" w:hAnsi="Times New Roman"/>
          <w:b/>
          <w:sz w:val="24"/>
        </w:rPr>
        <w:t>6. AUTOMATED TECHNICAL PATTERN SCANNING ENGINE</w:t>
      </w:r>
    </w:p>
    <w:p>
      <w:pPr>
        <w:pStyle w:val="ListBullet"/>
        <w:spacing w:after="80" w:line="276" w:lineRule="auto"/>
      </w:pPr>
      <w:r>
        <w:rPr>
          <w:rFonts w:ascii="Times New Roman" w:hAnsi="Times New Roman"/>
          <w:sz w:val="24"/>
        </w:rPr>
        <w:t>6.1. Pattern Scanning Methodology</w:t>
      </w:r>
    </w:p>
    <w:p>
      <w:pPr>
        <w:pStyle w:val="ListBullet"/>
        <w:spacing w:after="80" w:line="276" w:lineRule="auto"/>
      </w:pPr>
      <w:r>
        <w:rPr>
          <w:rFonts w:ascii="Times New Roman" w:hAnsi="Times New Roman"/>
          <w:sz w:val="24"/>
        </w:rPr>
        <w:t>6.2. Implementation of Inverted Head &amp; Shoulders (TOBO) and Head &amp; Shoulders (OBO)</w:t>
      </w:r>
    </w:p>
    <w:p>
      <w:pPr>
        <w:pStyle w:val="ListBullet"/>
        <w:spacing w:after="80" w:line="276" w:lineRule="auto"/>
      </w:pPr>
      <w:r>
        <w:rPr>
          <w:rFonts w:ascii="Times New Roman" w:hAnsi="Times New Roman"/>
          <w:sz w:val="24"/>
        </w:rPr>
        <w:t>6.3. Implementation of Cup &amp; Handle and Flag Formations</w:t>
      </w:r>
    </w:p>
    <w:p>
      <w:pPr>
        <w:pStyle w:val="ListBullet"/>
        <w:spacing w:after="80" w:line="276" w:lineRule="auto"/>
      </w:pPr>
      <w:r>
        <w:rPr>
          <w:rFonts w:ascii="Times New Roman" w:hAnsi="Times New Roman"/>
          <w:sz w:val="24"/>
        </w:rPr>
        <w:t>6.4. Implementation of Double Bottom and Double Top Formations</w:t>
      </w:r>
    </w:p>
    <w:p>
      <w:pPr>
        <w:pStyle w:val="ListBullet"/>
        <w:spacing w:after="80" w:line="276" w:lineRule="auto"/>
      </w:pPr>
      <w:r>
        <w:rPr>
          <w:rFonts w:ascii="Times New Roman" w:hAnsi="Times New Roman"/>
          <w:b/>
          <w:sz w:val="24"/>
        </w:rPr>
        <w:t>7. DEPLOYING PROJECT</w:t>
      </w:r>
    </w:p>
    <w:p>
      <w:pPr>
        <w:pStyle w:val="ListBullet"/>
        <w:spacing w:after="80" w:line="276" w:lineRule="auto"/>
      </w:pPr>
      <w:r>
        <w:rPr>
          <w:rFonts w:ascii="Times New Roman" w:hAnsi="Times New Roman"/>
          <w:sz w:val="24"/>
        </w:rPr>
        <w:t>7.1. Docker Containerization</w:t>
      </w:r>
    </w:p>
    <w:p>
      <w:pPr>
        <w:pStyle w:val="ListBullet"/>
        <w:spacing w:after="80" w:line="276" w:lineRule="auto"/>
      </w:pPr>
      <w:r>
        <w:rPr>
          <w:rFonts w:ascii="Times New Roman" w:hAnsi="Times New Roman"/>
          <w:sz w:val="24"/>
        </w:rPr>
        <w:t>7.2. Production Setup and Server Run Commands</w:t>
      </w:r>
    </w:p>
    <w:p>
      <w:pPr>
        <w:pStyle w:val="ListBullet"/>
        <w:spacing w:after="80" w:line="276" w:lineRule="auto"/>
      </w:pPr>
      <w:r>
        <w:rPr>
          <w:rFonts w:ascii="Times New Roman" w:hAnsi="Times New Roman"/>
          <w:b/>
          <w:sz w:val="24"/>
        </w:rPr>
        <w:t>8. FILE HIERARCHY</w:t>
      </w:r>
    </w:p>
    <w:p>
      <w:pPr>
        <w:pStyle w:val="ListBullet"/>
        <w:spacing w:after="80" w:line="276" w:lineRule="auto"/>
      </w:pPr>
      <w:r>
        <w:rPr>
          <w:rFonts w:ascii="Times New Roman" w:hAnsi="Times New Roman"/>
          <w:b/>
          <w:sz w:val="24"/>
        </w:rPr>
        <w:t>TECH STACK</w:t>
      </w:r>
    </w:p>
    <w:p>
      <w:pPr>
        <w:pStyle w:val="ListBullet"/>
        <w:spacing w:after="80" w:line="276" w:lineRule="auto"/>
      </w:pPr>
      <w:r>
        <w:rPr>
          <w:rFonts w:ascii="Times New Roman" w:hAnsi="Times New Roman"/>
          <w:b/>
          <w:sz w:val="24"/>
        </w:rPr>
        <w:t>REFERENCES</w:t>
      </w:r>
    </w:p>
    <w:p/>
    <w:p>
      <w:pPr>
        <w:spacing w:line="360" w:lineRule="auto" w:after="160"/>
        <w:jc w:val="both"/>
      </w:pPr>
      <w:r>
        <w:rPr>
          <w:rFonts w:ascii="Times New Roman" w:hAnsi="Times New Roman"/>
          <w:sz w:val="24"/>
        </w:rPr>
        <w:t>---</w:t>
      </w:r>
    </w:p>
    <w:p/>
    <w:p>
      <w:pPr>
        <w:pStyle w:val="Heading1"/>
        <w:spacing w:before="360" w:after="160"/>
        <w:jc w:val="left"/>
      </w:pPr>
      <w:r>
        <w:rPr>
          <w:rFonts w:ascii="Times New Roman" w:hAnsi="Times New Roman"/>
          <w:b/>
          <w:color w:val="111111"/>
          <w:sz w:val="36"/>
        </w:rPr>
        <w:t>1. INTRODUCTION</w:t>
      </w:r>
    </w:p>
    <w:p/>
    <w:p>
      <w:pPr>
        <w:spacing w:line="360" w:lineRule="auto" w:after="160"/>
        <w:jc w:val="both"/>
      </w:pPr>
      <w:r>
        <w:rPr>
          <w:rFonts w:ascii="Times New Roman" w:hAnsi="Times New Roman"/>
          <w:sz w:val="24"/>
        </w:rPr>
        <w:t>In modern financial markets, the generation of active alpha and the prediction of stock price trajectories have transitioned from subjective, visual chart analysis to systematic, quantitative computing frameworks. Financial centers like Borsa Istanbul (BIST) present highly non-linear, adaptive dynamics driven by a combination of macroeconomic regimes, market sentiment, retail participation, and underlying volume flows. Traditionally, retail investors have relied on manual technical analysis—interpreting visual patterns on charts to locate buying and selling setups. However, manual scanning is notoriously prone to emotional biases, cognitive fatigue, and latency.</w:t>
      </w:r>
    </w:p>
    <w:p/>
    <w:p>
      <w:pPr>
        <w:spacing w:line="360" w:lineRule="auto" w:after="160"/>
        <w:jc w:val="both"/>
      </w:pPr>
      <w:r>
        <w:rPr>
          <w:rFonts w:ascii="Times New Roman" w:hAnsi="Times New Roman"/>
          <w:sz w:val="24"/>
        </w:rPr>
        <w:t xml:space="preserve">The main quantitative question we explore in this thesis is: </w:t>
      </w:r>
      <w:r>
        <w:rPr>
          <w:rFonts w:ascii="Times New Roman" w:hAnsi="Times New Roman"/>
          <w:i/>
          <w:sz w:val="24"/>
        </w:rPr>
        <w:t>Can supervised machine learning algorithms extract reliable signals from engineered BIST technical indicators to project 5-day stock direction, and can we scan BIST stocks for classical chart patterns while factoring in each stock's historical win rate performance?</w:t>
      </w:r>
    </w:p>
    <w:p/>
    <w:p>
      <w:pPr>
        <w:spacing w:line="360" w:lineRule="auto" w:after="160"/>
        <w:jc w:val="both"/>
      </w:pPr>
      <w:r>
        <w:rPr>
          <w:rFonts w:ascii="Times New Roman" w:hAnsi="Times New Roman"/>
          <w:sz w:val="24"/>
        </w:rPr>
        <w:t xml:space="preserve">The main objective of </w:t>
      </w:r>
      <w:r>
        <w:rPr>
          <w:rFonts w:ascii="Times New Roman" w:hAnsi="Times New Roman"/>
          <w:b/>
          <w:sz w:val="24"/>
        </w:rPr>
        <w:t>BorsaNeuron</w:t>
      </w:r>
      <w:r>
        <w:rPr>
          <w:rFonts w:ascii="Times New Roman" w:hAnsi="Times New Roman"/>
          <w:sz w:val="24"/>
        </w:rPr>
        <w:t xml:space="preserve"> is to build a bridge between mathematical model logic and real-world trading operations. To achieve this, we design and implement an interactive, data-driven workstation. The core research objectives include:</w:t>
      </w:r>
    </w:p>
    <w:p>
      <w:pPr>
        <w:spacing w:line="360" w:lineRule="auto" w:after="160"/>
        <w:jc w:val="both"/>
      </w:pPr>
      <w:r>
        <w:rPr>
          <w:rFonts w:ascii="Times New Roman" w:hAnsi="Times New Roman"/>
          <w:sz w:val="24"/>
        </w:rPr>
        <w:t xml:space="preserve">1.  </w:t>
      </w:r>
      <w:r>
        <w:rPr>
          <w:rFonts w:ascii="Times New Roman" w:hAnsi="Times New Roman"/>
          <w:b/>
          <w:sz w:val="24"/>
        </w:rPr>
        <w:t>Engineering a Clean Preprocessing Pipeline:</w:t>
      </w:r>
      <w:r>
        <w:rPr>
          <w:rFonts w:ascii="Times New Roman" w:hAnsi="Times New Roman"/>
          <w:sz w:val="24"/>
        </w:rPr>
        <w:t xml:space="preserve"> Collect daily historical trading data, clean structural gaps, and build a suite of 30 technical indicators representing market momentum, volume trends, and volatility.</w:t>
      </w:r>
    </w:p>
    <w:p>
      <w:pPr>
        <w:spacing w:line="360" w:lineRule="auto" w:after="160"/>
        <w:jc w:val="both"/>
      </w:pPr>
      <w:r>
        <w:rPr>
          <w:rFonts w:ascii="Times New Roman" w:hAnsi="Times New Roman"/>
          <w:sz w:val="24"/>
        </w:rPr>
        <w:t xml:space="preserve">2.  </w:t>
      </w:r>
      <w:r>
        <w:rPr>
          <w:rFonts w:ascii="Times New Roman" w:hAnsi="Times New Roman"/>
          <w:b/>
          <w:sz w:val="24"/>
        </w:rPr>
        <w:t>Developing Unsupervised Market Classifications:</w:t>
      </w:r>
      <w:r>
        <w:rPr>
          <w:rFonts w:ascii="Times New Roman" w:hAnsi="Times New Roman"/>
          <w:sz w:val="24"/>
        </w:rPr>
        <w:t xml:space="preserve"> Apply K-Means clustering to technical variables to uncover latent market regimes, and project this high-dimensional space into 2D via PCA for graphical segmentation.</w:t>
      </w:r>
    </w:p>
    <w:p>
      <w:pPr>
        <w:spacing w:line="360" w:lineRule="auto" w:after="160"/>
        <w:jc w:val="both"/>
      </w:pPr>
      <w:r>
        <w:rPr>
          <w:rFonts w:ascii="Times New Roman" w:hAnsi="Times New Roman"/>
          <w:sz w:val="24"/>
        </w:rPr>
        <w:t xml:space="preserve">3.  </w:t>
      </w:r>
      <w:r>
        <w:rPr>
          <w:rFonts w:ascii="Times New Roman" w:hAnsi="Times New Roman"/>
          <w:b/>
          <w:sz w:val="24"/>
        </w:rPr>
        <w:t>Optimizing Supervised Classifiers:</w:t>
      </w:r>
      <w:r>
        <w:rPr>
          <w:rFonts w:ascii="Times New Roman" w:hAnsi="Times New Roman"/>
          <w:sz w:val="24"/>
        </w:rPr>
        <w:t xml:space="preserve"> Train and compare K-Nearest Neighbors (K-NN), Random Forest (RF), Multi-Layer Perceptron (MLP) Neural Networks, and XGBoost to predict if a stock's price will rise in 5 trading days (</w:t>
      </w:r>
      <w:r>
        <w:rPr>
          <w:rFonts w:ascii="Courier New" w:hAnsi="Courier New"/>
          <w:sz w:val="21"/>
        </w:rPr>
        <w:t>Target_T5</w:t>
      </w:r>
      <w:r>
        <w:rPr>
          <w:rFonts w:ascii="Times New Roman" w:hAnsi="Times New Roman"/>
          <w:sz w:val="24"/>
        </w:rPr>
        <w:t>).</w:t>
      </w:r>
    </w:p>
    <w:p>
      <w:pPr>
        <w:spacing w:line="360" w:lineRule="auto" w:after="160"/>
        <w:jc w:val="both"/>
      </w:pPr>
      <w:r>
        <w:rPr>
          <w:rFonts w:ascii="Times New Roman" w:hAnsi="Times New Roman"/>
          <w:sz w:val="24"/>
        </w:rPr>
        <w:t xml:space="preserve">4.  </w:t>
      </w:r>
      <w:r>
        <w:rPr>
          <w:rFonts w:ascii="Times New Roman" w:hAnsi="Times New Roman"/>
          <w:b/>
          <w:sz w:val="24"/>
        </w:rPr>
        <w:t>Integrating Performance-Weighted Decision Rules:</w:t>
      </w:r>
      <w:r>
        <w:rPr>
          <w:rFonts w:ascii="Times New Roman" w:hAnsi="Times New Roman"/>
          <w:sz w:val="24"/>
        </w:rPr>
        <w:t xml:space="preserve"> Build a backtest analyzer that calculates the real historical accuracy of the AI model on each specific stock, adapting entry/exit triggers based on historical compliance.</w:t>
      </w:r>
    </w:p>
    <w:p>
      <w:pPr>
        <w:spacing w:line="360" w:lineRule="auto" w:after="160"/>
        <w:jc w:val="both"/>
      </w:pPr>
      <w:r>
        <w:rPr>
          <w:rFonts w:ascii="Times New Roman" w:hAnsi="Times New Roman"/>
          <w:sz w:val="24"/>
        </w:rPr>
        <w:t xml:space="preserve">5.  </w:t>
      </w:r>
      <w:r>
        <w:rPr>
          <w:rFonts w:ascii="Times New Roman" w:hAnsi="Times New Roman"/>
          <w:b/>
          <w:sz w:val="24"/>
        </w:rPr>
        <w:t>Building a Dynamic Frontend Console:</w:t>
      </w:r>
      <w:r>
        <w:rPr>
          <w:rFonts w:ascii="Times New Roman" w:hAnsi="Times New Roman"/>
          <w:sz w:val="24"/>
        </w:rPr>
        <w:t xml:space="preserve"> Deploy a dark-themed, premium Streamlit dashboard that loads pre-trained model weights, downloads live price feeds, and presents forecasts and scan lists.</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2. SETTING UP PROJECT</w:t>
      </w:r>
    </w:p>
    <w:p/>
    <w:p>
      <w:pPr>
        <w:pStyle w:val="Heading2"/>
        <w:spacing w:before="240" w:after="120"/>
        <w:jc w:val="left"/>
      </w:pPr>
      <w:r>
        <w:rPr>
          <w:rFonts w:ascii="Times New Roman" w:hAnsi="Times New Roman"/>
          <w:b/>
          <w:color w:val="1E1E1E"/>
          <w:sz w:val="28"/>
        </w:rPr>
        <w:t>2.1. Software Required Before Installation</w:t>
      </w:r>
    </w:p>
    <w:p>
      <w:pPr>
        <w:spacing w:line="360" w:lineRule="auto" w:after="160"/>
        <w:jc w:val="both"/>
      </w:pPr>
      <w:r>
        <w:rPr>
          <w:rFonts w:ascii="Times New Roman" w:hAnsi="Times New Roman"/>
          <w:sz w:val="24"/>
        </w:rPr>
        <w:t>To ensure system stability and cross-platform compatibility, BorsaNeuron relies on standard programming environments:</w:t>
      </w:r>
    </w:p>
    <w:p>
      <w:pPr>
        <w:pStyle w:val="ListBullet"/>
        <w:spacing w:after="80" w:line="276" w:lineRule="auto"/>
      </w:pPr>
      <w:r>
        <w:rPr>
          <w:rFonts w:ascii="Times New Roman" w:hAnsi="Times New Roman"/>
          <w:b/>
          <w:sz w:val="24"/>
        </w:rPr>
        <w:t>Python v3.9 or v3.11:</w:t>
      </w:r>
      <w:r>
        <w:rPr>
          <w:rFonts w:ascii="Times New Roman" w:hAnsi="Times New Roman"/>
          <w:sz w:val="24"/>
        </w:rPr>
        <w:t xml:space="preserve"> Chosen for its rich packages in data mining and dashboard deployment.</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Used as the primary environment for coding, package debugging, and local execution.</w:t>
      </w:r>
    </w:p>
    <w:p>
      <w:pPr>
        <w:pStyle w:val="ListBullet"/>
        <w:spacing w:after="80" w:line="276" w:lineRule="auto"/>
      </w:pPr>
      <w:r>
        <w:rPr>
          <w:rFonts w:ascii="Times New Roman" w:hAnsi="Times New Roman"/>
          <w:b/>
          <w:sz w:val="24"/>
        </w:rPr>
        <w:t>Git Source Control:</w:t>
      </w:r>
      <w:r>
        <w:rPr>
          <w:rFonts w:ascii="Times New Roman" w:hAnsi="Times New Roman"/>
          <w:sz w:val="24"/>
        </w:rPr>
        <w:t xml:space="preserve"> Implemented locally to version-control the source scripts and configure continuous integration workflows.</w:t>
      </w:r>
    </w:p>
    <w:p/>
    <w:p>
      <w:pPr>
        <w:pStyle w:val="Heading2"/>
        <w:spacing w:before="240" w:after="120"/>
        <w:jc w:val="left"/>
      </w:pPr>
      <w:r>
        <w:rPr>
          <w:rFonts w:ascii="Times New Roman" w:hAnsi="Times New Roman"/>
          <w:b/>
          <w:color w:val="1E1E1E"/>
          <w:sz w:val="28"/>
        </w:rPr>
        <w:t>2.2. Initial Package Installations of the Project</w:t>
      </w:r>
    </w:p>
    <w:p>
      <w:pPr>
        <w:spacing w:line="360" w:lineRule="auto" w:after="160"/>
        <w:jc w:val="both"/>
      </w:pPr>
      <w:r>
        <w:rPr>
          <w:rFonts w:ascii="Times New Roman" w:hAnsi="Times New Roman"/>
          <w:sz w:val="24"/>
        </w:rPr>
        <w:t>To avoid library version conflicts, a virtual environment was created. The dependencies are configured as follows:</w:t>
      </w:r>
    </w:p>
    <w:p/>
    <w:p>
      <w:pPr>
        <w:spacing w:before="0" w:after="0"/>
        <w:ind w:left="720" w:right="720"/>
        <w:shd w:fill="F4F4F5"/>
      </w:pPr>
      <w:r>
        <w:rPr>
          <w:rFonts w:ascii="Courier New" w:hAnsi="Courier New"/>
          <w:color w:val="3C3C3C"/>
          <w:sz w:val="19"/>
        </w:rPr>
        <w:t>pandas&gt;=1.5.0</w:t>
      </w:r>
    </w:p>
    <w:p>
      <w:pPr>
        <w:spacing w:before="0" w:after="0"/>
        <w:ind w:left="720" w:right="720"/>
        <w:shd w:fill="F4F4F5"/>
      </w:pPr>
      <w:r>
        <w:rPr>
          <w:rFonts w:ascii="Courier New" w:hAnsi="Courier New"/>
          <w:color w:val="3C3C3C"/>
          <w:sz w:val="19"/>
        </w:rPr>
        <w:t>numpy&gt;=1.22.0</w:t>
      </w:r>
    </w:p>
    <w:p>
      <w:pPr>
        <w:spacing w:before="0" w:after="0"/>
        <w:ind w:left="720" w:right="720"/>
        <w:shd w:fill="F4F4F5"/>
      </w:pPr>
      <w:r>
        <w:rPr>
          <w:rFonts w:ascii="Courier New" w:hAnsi="Courier New"/>
          <w:color w:val="3C3C3C"/>
          <w:sz w:val="19"/>
        </w:rPr>
        <w:t>scikit-learn&gt;=1.1.0</w:t>
      </w:r>
    </w:p>
    <w:p>
      <w:pPr>
        <w:spacing w:before="0" w:after="0"/>
        <w:ind w:left="720" w:right="720"/>
        <w:shd w:fill="F4F4F5"/>
      </w:pPr>
      <w:r>
        <w:rPr>
          <w:rFonts w:ascii="Courier New" w:hAnsi="Courier New"/>
          <w:color w:val="3C3C3C"/>
          <w:sz w:val="19"/>
        </w:rPr>
        <w:t>streamlit&gt;=1.22.0</w:t>
      </w:r>
    </w:p>
    <w:p>
      <w:pPr>
        <w:spacing w:before="0" w:after="0"/>
        <w:ind w:left="720" w:right="720"/>
        <w:shd w:fill="F4F4F5"/>
      </w:pPr>
      <w:r>
        <w:rPr>
          <w:rFonts w:ascii="Courier New" w:hAnsi="Courier New"/>
          <w:color w:val="3C3C3C"/>
          <w:sz w:val="19"/>
        </w:rPr>
        <w:t>matplotlib&gt;=3.5.0</w:t>
      </w:r>
    </w:p>
    <w:p>
      <w:pPr>
        <w:spacing w:before="0" w:after="0"/>
        <w:ind w:left="720" w:right="720"/>
        <w:shd w:fill="F4F4F5"/>
      </w:pPr>
      <w:r>
        <w:rPr>
          <w:rFonts w:ascii="Courier New" w:hAnsi="Courier New"/>
          <w:color w:val="3C3C3C"/>
          <w:sz w:val="19"/>
        </w:rPr>
        <w:t>seaborn&gt;=0.11.0</w:t>
      </w:r>
    </w:p>
    <w:p>
      <w:pPr>
        <w:spacing w:before="0" w:after="0"/>
        <w:ind w:left="720" w:right="720"/>
        <w:shd w:fill="F4F4F5"/>
      </w:pPr>
      <w:r>
        <w:rPr>
          <w:rFonts w:ascii="Courier New" w:hAnsi="Courier New"/>
          <w:color w:val="3C3C3C"/>
          <w:sz w:val="19"/>
        </w:rPr>
        <w:t>joblib&gt;=1.1.0</w:t>
      </w:r>
    </w:p>
    <w:p>
      <w:pPr>
        <w:spacing w:before="0" w:after="0"/>
        <w:ind w:left="720" w:right="720"/>
        <w:shd w:fill="F4F4F5"/>
      </w:pPr>
      <w:r>
        <w:rPr>
          <w:rFonts w:ascii="Courier New" w:hAnsi="Courier New"/>
          <w:color w:val="3C3C3C"/>
          <w:sz w:val="19"/>
        </w:rPr>
        <w:t>yfinance&gt;=0.2.0</w:t>
      </w:r>
    </w:p>
    <w:p>
      <w:pPr>
        <w:spacing w:before="0" w:after="0"/>
        <w:ind w:left="720" w:right="720"/>
        <w:shd w:fill="F4F4F5"/>
      </w:pPr>
      <w:r>
        <w:rPr>
          <w:rFonts w:ascii="Courier New" w:hAnsi="Courier New"/>
          <w:color w:val="3C3C3C"/>
          <w:sz w:val="19"/>
        </w:rPr>
        <w:t>plotly&gt;=5.10.0</w:t>
      </w:r>
    </w:p>
    <w:p>
      <w:pPr>
        <w:spacing w:before="0" w:after="0"/>
        <w:ind w:left="720" w:right="720"/>
        <w:shd w:fill="F4F4F5"/>
      </w:pPr>
      <w:r>
        <w:rPr>
          <w:rFonts w:ascii="Courier New" w:hAnsi="Courier New"/>
          <w:color w:val="3C3C3C"/>
          <w:sz w:val="19"/>
        </w:rPr>
        <w:t>xgboost&gt;=1.6.0</w:t>
      </w:r>
    </w:p>
    <w:p/>
    <w:p>
      <w:pPr>
        <w:spacing w:line="360" w:lineRule="auto" w:after="160"/>
        <w:jc w:val="both"/>
      </w:pPr>
      <w:r>
        <w:rPr>
          <w:rFonts w:ascii="Times New Roman" w:hAnsi="Times New Roman"/>
          <w:sz w:val="24"/>
        </w:rPr>
        <w:t>The environment is configured and launched via:</w:t>
      </w:r>
    </w:p>
    <w:p/>
    <w:p>
      <w:pPr>
        <w:spacing w:before="0" w:after="0"/>
        <w:ind w:left="720" w:right="720"/>
        <w:shd w:fill="F4F4F5"/>
      </w:pPr>
      <w:r>
        <w:rPr>
          <w:rFonts w:ascii="Courier New" w:hAnsi="Courier New"/>
          <w:color w:val="3C3C3C"/>
          <w:sz w:val="19"/>
        </w:rPr>
        <w:t># Create virtual environment</w:t>
      </w:r>
    </w:p>
    <w:p>
      <w:pPr>
        <w:spacing w:before="0" w:after="0"/>
        <w:ind w:left="720" w:right="720"/>
        <w:shd w:fill="F4F4F5"/>
      </w:pPr>
      <w:r>
        <w:rPr>
          <w:rFonts w:ascii="Courier New" w:hAnsi="Courier New"/>
          <w:color w:val="3C3C3C"/>
          <w:sz w:val="19"/>
        </w:rPr>
        <w:t>python -m venv borsaneuron_env</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Activate virtual environment</w:t>
      </w:r>
    </w:p>
    <w:p>
      <w:pPr>
        <w:spacing w:before="0" w:after="0"/>
        <w:ind w:left="720" w:right="720"/>
        <w:shd w:fill="F4F4F5"/>
      </w:pPr>
      <w:r>
        <w:rPr>
          <w:rFonts w:ascii="Courier New" w:hAnsi="Courier New"/>
          <w:color w:val="3C3C3C"/>
          <w:sz w:val="19"/>
        </w:rPr>
        <w:t>.\borsaneuron_env\Scripts\Activate.ps1</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Upgrade pip manager</w:t>
      </w:r>
    </w:p>
    <w:p>
      <w:pPr>
        <w:spacing w:before="0" w:after="0"/>
        <w:ind w:left="720" w:right="720"/>
        <w:shd w:fill="F4F4F5"/>
      </w:pPr>
      <w:r>
        <w:rPr>
          <w:rFonts w:ascii="Courier New" w:hAnsi="Courier New"/>
          <w:color w:val="3C3C3C"/>
          <w:sz w:val="19"/>
        </w:rPr>
        <w:t>python -m pip install --upgrade pip</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Install project dependencies</w:t>
      </w:r>
    </w:p>
    <w:p>
      <w:pPr>
        <w:spacing w:before="0" w:after="0"/>
        <w:ind w:left="720" w:right="720"/>
        <w:shd w:fill="F4F4F5"/>
      </w:pPr>
      <w:r>
        <w:rPr>
          <w:rFonts w:ascii="Courier New" w:hAnsi="Courier New"/>
          <w:color w:val="3C3C3C"/>
          <w:sz w:val="19"/>
        </w:rPr>
        <w:t>pip install -r requirements.txt</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3. DATASET &amp; PREPROCESSING</w:t>
      </w:r>
    </w:p>
    <w:p/>
    <w:p>
      <w:pPr>
        <w:pStyle w:val="Heading2"/>
        <w:spacing w:before="240" w:after="120"/>
        <w:jc w:val="left"/>
      </w:pPr>
      <w:r>
        <w:rPr>
          <w:rFonts w:ascii="Times New Roman" w:hAnsi="Times New Roman"/>
          <w:b/>
          <w:color w:val="1E1E1E"/>
          <w:sz w:val="28"/>
        </w:rPr>
        <w:t>3.1. Data Source and Feature Definitions</w:t>
      </w:r>
    </w:p>
    <w:p>
      <w:pPr>
        <w:spacing w:line="360" w:lineRule="auto" w:after="160"/>
        <w:jc w:val="both"/>
      </w:pPr>
      <w:r>
        <w:rPr>
          <w:rFonts w:ascii="Times New Roman" w:hAnsi="Times New Roman"/>
          <w:sz w:val="24"/>
        </w:rPr>
        <w:t xml:space="preserve">The empirical foundation of the project resides in </w:t>
      </w:r>
      <w:r>
        <w:rPr>
          <w:rFonts w:ascii="Courier New" w:hAnsi="Courier New"/>
          <w:sz w:val="21"/>
        </w:rPr>
        <w:t>bist_ai_dataset_real_30cols.csv</w:t>
      </w:r>
      <w:r>
        <w:rPr>
          <w:rFonts w:ascii="Times New Roman" w:hAnsi="Times New Roman"/>
          <w:sz w:val="24"/>
        </w:rPr>
        <w:t>, representing a robust historical dataset of BIST tickers with hundreds of thousands of daily records spanning from October 2019 to June 2026. Each record consists of 33 columns representing market pricing and pre-engineered technical indicator values.</w:t>
      </w:r>
    </w:p>
    <w:p/>
    <w:p>
      <w:pPr>
        <w:spacing w:line="360" w:lineRule="auto" w:after="160"/>
        <w:jc w:val="both"/>
      </w:pPr>
      <w:r>
        <w:rPr>
          <w:rFonts w:ascii="Times New Roman" w:hAnsi="Times New Roman"/>
          <w:sz w:val="24"/>
        </w:rPr>
        <w:t>The feature space consists of 30 numerical variables categorized by technical analyst metrics:</w:t>
      </w:r>
    </w:p>
    <w:p>
      <w:pPr>
        <w:pStyle w:val="ListBullet"/>
        <w:spacing w:after="80" w:line="276" w:lineRule="auto"/>
      </w:pPr>
      <w:r>
        <w:rPr>
          <w:rFonts w:ascii="Times New Roman" w:hAnsi="Times New Roman"/>
          <w:b/>
          <w:sz w:val="24"/>
        </w:rPr>
        <w:t>Trend Indicators:</w:t>
      </w:r>
      <w:r>
        <w:rPr>
          <w:rFonts w:ascii="Times New Roman" w:hAnsi="Times New Roman"/>
          <w:sz w:val="24"/>
        </w:rPr>
        <w:t xml:space="preserve"> Simple Moving Averages (</w:t>
      </w:r>
      <w:r>
        <w:rPr>
          <w:rFonts w:ascii="Times New Roman" w:hAnsi="Times New Roman"/>
          <w:sz w:val="24"/>
        </w:rPr>
        <w:t>SMA_20</w:t>
      </w:r>
      <w:r>
        <w:rPr>
          <w:rFonts w:ascii="Times New Roman" w:hAnsi="Times New Roman"/>
          <w:sz w:val="24"/>
        </w:rPr>
        <w:t xml:space="preserve">, </w:t>
      </w:r>
      <w:r>
        <w:rPr>
          <w:rFonts w:ascii="Times New Roman" w:hAnsi="Times New Roman"/>
          <w:sz w:val="24"/>
        </w:rPr>
        <w:t>SMA_50</w:t>
      </w:r>
      <w:r>
        <w:rPr>
          <w:rFonts w:ascii="Times New Roman" w:hAnsi="Times New Roman"/>
          <w:sz w:val="24"/>
        </w:rPr>
        <w:t xml:space="preserve">, </w:t>
      </w:r>
      <w:r>
        <w:rPr>
          <w:rFonts w:ascii="Times New Roman" w:hAnsi="Times New Roman"/>
          <w:sz w:val="24"/>
        </w:rPr>
        <w:t>SMA_200</w:t>
      </w:r>
      <w:r>
        <w:rPr>
          <w:rFonts w:ascii="Times New Roman" w:hAnsi="Times New Roman"/>
          <w:sz w:val="24"/>
        </w:rPr>
        <w:t>) and Exponential Moving Averages (</w:t>
      </w:r>
      <w:r>
        <w:rPr>
          <w:rFonts w:ascii="Times New Roman" w:hAnsi="Times New Roman"/>
          <w:sz w:val="24"/>
        </w:rPr>
        <w:t>EMA_12</w:t>
      </w:r>
      <w:r>
        <w:rPr>
          <w:rFonts w:ascii="Times New Roman" w:hAnsi="Times New Roman"/>
          <w:sz w:val="24"/>
        </w:rPr>
        <w:t xml:space="preserve">, </w:t>
      </w:r>
      <w:r>
        <w:rPr>
          <w:rFonts w:ascii="Times New Roman" w:hAnsi="Times New Roman"/>
          <w:sz w:val="24"/>
        </w:rPr>
        <w:t>EMA_26</w:t>
      </w:r>
      <w:r>
        <w:rPr>
          <w:rFonts w:ascii="Times New Roman" w:hAnsi="Times New Roman"/>
          <w:sz w:val="24"/>
        </w:rPr>
        <w:t>).</w:t>
      </w:r>
    </w:p>
    <w:p>
      <w:pPr>
        <w:pStyle w:val="ListBullet"/>
        <w:spacing w:after="80" w:line="276" w:lineRule="auto"/>
      </w:pPr>
      <w:r>
        <w:rPr>
          <w:rFonts w:ascii="Times New Roman" w:hAnsi="Times New Roman"/>
          <w:b/>
          <w:sz w:val="24"/>
        </w:rPr>
        <w:t>Momentum Indicators:</w:t>
      </w:r>
      <w:r>
        <w:rPr>
          <w:rFonts w:ascii="Times New Roman" w:hAnsi="Times New Roman"/>
          <w:sz w:val="24"/>
        </w:rPr>
        <w:t xml:space="preserve"> Relative Strength Index (</w:t>
      </w:r>
      <w:r>
        <w:rPr>
          <w:rFonts w:ascii="Times New Roman" w:hAnsi="Times New Roman"/>
          <w:sz w:val="24"/>
        </w:rPr>
        <w:t>RSI_14</w:t>
      </w:r>
      <w:r>
        <w:rPr>
          <w:rFonts w:ascii="Times New Roman" w:hAnsi="Times New Roman"/>
          <w:sz w:val="24"/>
        </w:rPr>
        <w:t>), which measures momentum, and Stochastic Oscillators (</w:t>
      </w:r>
      <w:r>
        <w:rPr>
          <w:rFonts w:ascii="Times New Roman" w:hAnsi="Times New Roman"/>
          <w:sz w:val="24"/>
        </w:rPr>
        <w:t>Stoch_K</w:t>
      </w:r>
      <w:r>
        <w:rPr>
          <w:rFonts w:ascii="Times New Roman" w:hAnsi="Times New Roman"/>
          <w:sz w:val="24"/>
        </w:rPr>
        <w:t xml:space="preserve">, </w:t>
      </w:r>
      <w:r>
        <w:rPr>
          <w:rFonts w:ascii="Times New Roman" w:hAnsi="Times New Roman"/>
          <w:sz w:val="24"/>
        </w:rPr>
        <w:t>Stoch_D</w:t>
      </w:r>
      <w:r>
        <w:rPr>
          <w:rFonts w:ascii="Times New Roman" w:hAnsi="Times New Roman"/>
          <w:sz w:val="24"/>
        </w:rPr>
        <w:t>).</w:t>
      </w:r>
    </w:p>
    <w:p>
      <w:pPr>
        <w:pStyle w:val="ListBullet"/>
        <w:spacing w:after="80" w:line="276" w:lineRule="auto"/>
      </w:pPr>
      <w:r>
        <w:rPr>
          <w:rFonts w:ascii="Times New Roman" w:hAnsi="Times New Roman"/>
          <w:b/>
          <w:sz w:val="24"/>
        </w:rPr>
        <w:t>Trend Volatility &amp; Divergence:</w:t>
      </w:r>
      <w:r>
        <w:rPr>
          <w:rFonts w:ascii="Times New Roman" w:hAnsi="Times New Roman"/>
          <w:sz w:val="24"/>
        </w:rPr>
        <w:t xml:space="preserve"> Moving Average Convergence Divergence (</w:t>
      </w:r>
      <w:r>
        <w:rPr>
          <w:rFonts w:ascii="Times New Roman" w:hAnsi="Times New Roman"/>
          <w:sz w:val="24"/>
        </w:rPr>
        <w:t>MACD</w:t>
      </w:r>
      <w:r>
        <w:rPr>
          <w:rFonts w:ascii="Times New Roman" w:hAnsi="Times New Roman"/>
          <w:sz w:val="24"/>
        </w:rPr>
        <w:t>) and its signal line (</w:t>
      </w:r>
      <w:r>
        <w:rPr>
          <w:rFonts w:ascii="Times New Roman" w:hAnsi="Times New Roman"/>
          <w:sz w:val="24"/>
        </w:rPr>
        <w:t>MACD_Signal</w:t>
      </w:r>
      <w:r>
        <w:rPr>
          <w:rFonts w:ascii="Times New Roman" w:hAnsi="Times New Roman"/>
          <w:sz w:val="24"/>
        </w:rPr>
        <w:t>), alongside Bollinger Bands (</w:t>
      </w:r>
      <w:r>
        <w:rPr>
          <w:rFonts w:ascii="Times New Roman" w:hAnsi="Times New Roman"/>
          <w:sz w:val="24"/>
        </w:rPr>
        <w:t>BB_Upper</w:t>
      </w:r>
      <w:r>
        <w:rPr>
          <w:rFonts w:ascii="Times New Roman" w:hAnsi="Times New Roman"/>
          <w:sz w:val="24"/>
        </w:rPr>
        <w:t xml:space="preserve">, </w:t>
      </w:r>
      <w:r>
        <w:rPr>
          <w:rFonts w:ascii="Times New Roman" w:hAnsi="Times New Roman"/>
          <w:sz w:val="24"/>
        </w:rPr>
        <w:t>BB_Middle</w:t>
      </w:r>
      <w:r>
        <w:rPr>
          <w:rFonts w:ascii="Times New Roman" w:hAnsi="Times New Roman"/>
          <w:sz w:val="24"/>
        </w:rPr>
        <w:t xml:space="preserve">, </w:t>
      </w:r>
      <w:r>
        <w:rPr>
          <w:rFonts w:ascii="Times New Roman" w:hAnsi="Times New Roman"/>
          <w:sz w:val="24"/>
        </w:rPr>
        <w:t>BB_Lower</w:t>
      </w:r>
      <w:r>
        <w:rPr>
          <w:rFonts w:ascii="Times New Roman" w:hAnsi="Times New Roman"/>
          <w:sz w:val="24"/>
        </w:rPr>
        <w:t>).</w:t>
      </w:r>
    </w:p>
    <w:p>
      <w:pPr>
        <w:pStyle w:val="ListBullet"/>
        <w:spacing w:after="80" w:line="276" w:lineRule="auto"/>
      </w:pPr>
      <w:r>
        <w:rPr>
          <w:rFonts w:ascii="Times New Roman" w:hAnsi="Times New Roman"/>
          <w:b/>
          <w:sz w:val="24"/>
        </w:rPr>
        <w:t>Volatility Metrics:</w:t>
      </w:r>
      <w:r>
        <w:rPr>
          <w:rFonts w:ascii="Times New Roman" w:hAnsi="Times New Roman"/>
          <w:sz w:val="24"/>
        </w:rPr>
        <w:t xml:space="preserve"> Average True Range (</w:t>
      </w:r>
      <w:r>
        <w:rPr>
          <w:rFonts w:ascii="Times New Roman" w:hAnsi="Times New Roman"/>
          <w:sz w:val="24"/>
        </w:rPr>
        <w:t>ATR_14</w:t>
      </w:r>
      <w:r>
        <w:rPr>
          <w:rFonts w:ascii="Times New Roman" w:hAnsi="Times New Roman"/>
          <w:sz w:val="24"/>
        </w:rPr>
        <w:t>), which gauges volatility.</w:t>
      </w:r>
    </w:p>
    <w:p>
      <w:pPr>
        <w:pStyle w:val="ListBullet"/>
        <w:spacing w:after="80" w:line="276" w:lineRule="auto"/>
      </w:pPr>
      <w:r>
        <w:rPr>
          <w:rFonts w:ascii="Times New Roman" w:hAnsi="Times New Roman"/>
          <w:b/>
          <w:sz w:val="24"/>
        </w:rPr>
        <w:t>Support and Resistance:</w:t>
      </w:r>
      <w:r>
        <w:rPr>
          <w:rFonts w:ascii="Times New Roman" w:hAnsi="Times New Roman"/>
          <w:sz w:val="24"/>
        </w:rPr>
        <w:t xml:space="preserve"> Computed dynamic levels (</w:t>
      </w:r>
      <w:r>
        <w:rPr>
          <w:rFonts w:ascii="Times New Roman" w:hAnsi="Times New Roman"/>
          <w:sz w:val="24"/>
        </w:rPr>
        <w:t>Support_Level</w:t>
      </w:r>
      <w:r>
        <w:rPr>
          <w:rFonts w:ascii="Times New Roman" w:hAnsi="Times New Roman"/>
          <w:sz w:val="24"/>
        </w:rPr>
        <w:t xml:space="preserve">, </w:t>
      </w:r>
      <w:r>
        <w:rPr>
          <w:rFonts w:ascii="Times New Roman" w:hAnsi="Times New Roman"/>
          <w:sz w:val="24"/>
        </w:rPr>
        <w:t>Resistance_Level</w:t>
      </w:r>
      <w:r>
        <w:rPr>
          <w:rFonts w:ascii="Times New Roman" w:hAnsi="Times New Roman"/>
          <w:sz w:val="24"/>
        </w:rPr>
        <w:t>) indicating historical buy/sell zones.</w:t>
      </w:r>
    </w:p>
    <w:p>
      <w:pPr>
        <w:pStyle w:val="ListBullet"/>
        <w:spacing w:after="80" w:line="276" w:lineRule="auto"/>
      </w:pPr>
      <w:r>
        <w:rPr>
          <w:rFonts w:ascii="Times New Roman" w:hAnsi="Times New Roman"/>
          <w:b/>
          <w:sz w:val="24"/>
        </w:rPr>
        <w:t>Order Book and Microstructure:</w:t>
      </w:r>
      <w:r>
        <w:rPr>
          <w:rFonts w:ascii="Times New Roman" w:hAnsi="Times New Roman"/>
          <w:sz w:val="24"/>
        </w:rPr>
        <w:t xml:space="preserve"> Indicators representing order depth and slope, including </w:t>
      </w:r>
      <w:r>
        <w:rPr>
          <w:rFonts w:ascii="Times New Roman" w:hAnsi="Times New Roman"/>
          <w:sz w:val="24"/>
        </w:rPr>
        <w:t>Depth_Ratio</w:t>
      </w:r>
      <w:r>
        <w:rPr>
          <w:rFonts w:ascii="Times New Roman" w:hAnsi="Times New Roman"/>
          <w:sz w:val="24"/>
        </w:rPr>
        <w:t xml:space="preserve"> and </w:t>
      </w:r>
      <w:r>
        <w:rPr>
          <w:rFonts w:ascii="Times New Roman" w:hAnsi="Times New Roman"/>
          <w:sz w:val="24"/>
        </w:rPr>
        <w:t>Neckline_Slope</w:t>
      </w:r>
      <w:r>
        <w:rPr>
          <w:rFonts w:ascii="Times New Roman" w:hAnsi="Times New Roman"/>
          <w:sz w:val="24"/>
        </w:rPr>
        <w:t>.</w:t>
      </w:r>
    </w:p>
    <w:p>
      <w:pPr>
        <w:pStyle w:val="ListBullet"/>
        <w:spacing w:after="80" w:line="276" w:lineRule="auto"/>
      </w:pPr>
      <w:r>
        <w:rPr>
          <w:rFonts w:ascii="Times New Roman" w:hAnsi="Times New Roman"/>
          <w:b/>
          <w:sz w:val="24"/>
        </w:rPr>
        <w:t>Expert Metrics:</w:t>
      </w:r>
      <w:r>
        <w:rPr>
          <w:rFonts w:ascii="Times New Roman" w:hAnsi="Times New Roman"/>
          <w:sz w:val="24"/>
        </w:rPr>
        <w:t xml:space="preserve"> </w:t>
      </w:r>
      <w:r>
        <w:rPr>
          <w:rFonts w:ascii="Times New Roman" w:hAnsi="Times New Roman"/>
          <w:sz w:val="24"/>
        </w:rPr>
        <w:t>Expert_Signal</w:t>
      </w:r>
      <w:r>
        <w:rPr>
          <w:rFonts w:ascii="Times New Roman" w:hAnsi="Times New Roman"/>
          <w:sz w:val="24"/>
        </w:rPr>
        <w:t xml:space="preserve"> representing combined baseline rule indications.</w:t>
      </w:r>
    </w:p>
    <w:p/>
    <w:p>
      <w:pPr>
        <w:spacing w:line="360" w:lineRule="auto" w:after="160"/>
        <w:jc w:val="both"/>
      </w:pPr>
      <w:r>
        <w:rPr>
          <w:rFonts w:ascii="Times New Roman" w:hAnsi="Times New Roman"/>
          <w:sz w:val="24"/>
        </w:rPr>
        <w:t>To analyze the Relative Strength Index (RSI_14), distribution histograms and quantile ratings were generated. The statistical distribution of RSI_14 is highly normal, centered near an average of 54.34 with a standard deviation of approximately 12.5.</w:t>
      </w:r>
    </w:p>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hist_RSI_14.png"/>
                    <pic:cNvPicPr/>
                  </pic:nvPicPr>
                  <pic:blipFill>
                    <a:blip r:embed="rId10"/>
                    <a:stretch>
                      <a:fillRect/>
                    </a:stretch>
                  </pic:blipFill>
                  <pic:spPr>
                    <a:xfrm>
                      <a:off x="0" y="0"/>
                      <a:ext cx="5486400" cy="4114800"/>
                    </a:xfrm>
                    <a:prstGeom prst="rect"/>
                  </pic:spPr>
                </pic:pic>
              </a:graphicData>
            </a:graphic>
          </wp:inline>
        </w:drawing>
      </w:r>
    </w:p>
    <w:p>
      <w:pPr>
        <w:jc w:val="center"/>
      </w:pPr>
      <w:r>
        <w:rPr>
          <w:rFonts w:ascii="Times New Roman" w:hAnsi="Times New Roman"/>
          <w:i/>
          <w:color w:val="505050"/>
          <w:sz w:val="20"/>
        </w:rPr>
        <w:t>Figure: Exploratory Data Analysis - RSI_14 Histogram</w:t>
      </w:r>
    </w:p>
    <w:p>
      <w:pPr>
        <w:spacing w:line="360" w:lineRule="auto" w:after="160"/>
        <w:jc w:val="both"/>
      </w:pPr>
      <w:r>
        <w:rPr>
          <w:rFonts w:ascii="Times New Roman" w:hAnsi="Times New Roman"/>
          <w:i/>
          <w:sz w:val="24"/>
        </w:rPr>
        <w:t>Figure 3.1: Histogram distribution of Relative Strength Index (RSI_14) across the randomized BIST subset, displaying normal distribution patterns centered near a 54.34 index value.</w:t>
      </w:r>
    </w:p>
    <w:p/>
    <w:p>
      <w:pPr>
        <w:jc w:val="center"/>
      </w:pPr>
      <w:r>
        <w:drawing>
          <wp:inline xmlns:a="http://schemas.openxmlformats.org/drawingml/2006/main" xmlns:pic="http://schemas.openxmlformats.org/drawingml/2006/picture">
            <wp:extent cx="5486400" cy="3109471"/>
            <wp:docPr id="2" name="Picture 2"/>
            <wp:cNvGraphicFramePr>
              <a:graphicFrameLocks noChangeAspect="1"/>
            </wp:cNvGraphicFramePr>
            <a:graphic>
              <a:graphicData uri="http://schemas.openxmlformats.org/drawingml/2006/picture">
                <pic:pic>
                  <pic:nvPicPr>
                    <pic:cNvPr id="0" name="boxplot_indikatorler.png"/>
                    <pic:cNvPicPr/>
                  </pic:nvPicPr>
                  <pic:blipFill>
                    <a:blip r:embed="rId11"/>
                    <a:stretch>
                      <a:fillRect/>
                    </a:stretch>
                  </pic:blipFill>
                  <pic:spPr>
                    <a:xfrm>
                      <a:off x="0" y="0"/>
                      <a:ext cx="5486400" cy="3109471"/>
                    </a:xfrm>
                    <a:prstGeom prst="rect"/>
                  </pic:spPr>
                </pic:pic>
              </a:graphicData>
            </a:graphic>
          </wp:inline>
        </w:drawing>
      </w:r>
    </w:p>
    <w:p>
      <w:pPr>
        <w:jc w:val="center"/>
      </w:pPr>
      <w:r>
        <w:rPr>
          <w:rFonts w:ascii="Times New Roman" w:hAnsi="Times New Roman"/>
          <w:i/>
          <w:color w:val="505050"/>
          <w:sz w:val="20"/>
        </w:rPr>
        <w:t>Figure: Boxplot of Technical Indicators</w:t>
      </w:r>
    </w:p>
    <w:p>
      <w:pPr>
        <w:spacing w:line="360" w:lineRule="auto" w:after="160"/>
        <w:jc w:val="both"/>
      </w:pPr>
      <w:r>
        <w:rPr>
          <w:rFonts w:ascii="Times New Roman" w:hAnsi="Times New Roman"/>
          <w:i/>
          <w:sz w:val="24"/>
        </w:rPr>
        <w:t>Figure 3.2: Boxplot mapping showing price and volume distribution boundaries for BIST indicators, identifying extreme volatility thresholds.</w:t>
      </w:r>
    </w:p>
    <w:p/>
    <w:p>
      <w:pPr>
        <w:pStyle w:val="Heading2"/>
        <w:spacing w:before="240" w:after="120"/>
        <w:jc w:val="left"/>
      </w:pPr>
      <w:r>
        <w:rPr>
          <w:rFonts w:ascii="Times New Roman" w:hAnsi="Times New Roman"/>
          <w:b/>
          <w:color w:val="1E1E1E"/>
          <w:sz w:val="28"/>
        </w:rPr>
        <w:t>3.2. Pearson Correlation &amp; Multicollinearity Filtering</w:t>
      </w:r>
    </w:p>
    <w:p>
      <w:pPr>
        <w:spacing w:line="360" w:lineRule="auto" w:after="160"/>
        <w:jc w:val="both"/>
      </w:pPr>
      <w:r>
        <w:rPr>
          <w:rFonts w:ascii="Times New Roman" w:hAnsi="Times New Roman"/>
          <w:sz w:val="24"/>
        </w:rPr>
        <w:t>Technical indicators derived from price variables often exhibit extreme multicollinearity. For example, short-term and long-term moving averages (e.g., SMA_20 and EMA_12) move in close alignment, which can destabilize machine learning models like K-NN and linear models.</w:t>
      </w:r>
    </w:p>
    <w:p/>
    <w:p>
      <w:pPr>
        <w:spacing w:line="360" w:lineRule="auto" w:after="160"/>
        <w:jc w:val="both"/>
      </w:pPr>
      <w:r>
        <w:rPr>
          <w:rFonts w:ascii="Times New Roman" w:hAnsi="Times New Roman"/>
          <w:sz w:val="24"/>
        </w:rPr>
        <w:t>To resolve this, a Pearson Correlation Matrix was generated across all 30 technical indicators. Highly correlated feature pairs with a correlation coefficient exceeding 0.90 were identified:</w:t>
      </w:r>
    </w:p>
    <w:p/>
    <w:p>
      <w:pPr>
        <w:spacing w:line="360" w:lineRule="auto" w:after="160"/>
        <w:jc w:val="both"/>
      </w:pPr>
      <w:r>
        <w:rPr>
          <w:rFonts w:ascii="Times New Roman" w:hAnsi="Times New Roman"/>
          <w:sz w:val="24"/>
        </w:rPr>
        <w:t>$$|r_{ij}| &gt; 0.90$$</w:t>
      </w:r>
    </w:p>
    <w:p/>
    <w:p>
      <w:pPr>
        <w:spacing w:line="360" w:lineRule="auto" w:after="160"/>
        <w:jc w:val="both"/>
      </w:pPr>
      <w:r>
        <w:rPr>
          <w:rFonts w:ascii="Times New Roman" w:hAnsi="Times New Roman"/>
          <w:sz w:val="24"/>
        </w:rPr>
        <w:t>An upper-triangle matrix filter identified and removed these redundant variables, ensuring that only independent technical indicators were fed into our machine learning models. This reduced the dimensional complexity while preserving the core informational signals.</w:t>
      </w:r>
    </w:p>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4_korelasyon_heatmap.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Correlation Matrix</w:t>
      </w:r>
    </w:p>
    <w:p>
      <w:pPr>
        <w:spacing w:line="360" w:lineRule="auto" w:after="160"/>
        <w:jc w:val="both"/>
      </w:pPr>
      <w:r>
        <w:rPr>
          <w:rFonts w:ascii="Times New Roman" w:hAnsi="Times New Roman"/>
          <w:i/>
          <w:sz w:val="24"/>
        </w:rPr>
        <w:t>Figure 3.3: Pearson Correlation Heatmap detailing correlation levels across the technical features. Redundancy was cleared by removing variables exceeding 0.90 threshold boundaries.</w:t>
      </w:r>
    </w:p>
    <w:p/>
    <w:p>
      <w:pPr>
        <w:pStyle w:val="Heading2"/>
        <w:spacing w:before="240" w:after="120"/>
        <w:jc w:val="left"/>
      </w:pPr>
      <w:r>
        <w:rPr>
          <w:rFonts w:ascii="Times New Roman" w:hAnsi="Times New Roman"/>
          <w:b/>
          <w:color w:val="1E1E1E"/>
          <w:sz w:val="28"/>
        </w:rPr>
        <w:t>3.3. K-Means Clustering &amp; PCA Market Segmentation</w:t>
      </w:r>
    </w:p>
    <w:p>
      <w:pPr>
        <w:spacing w:line="360" w:lineRule="auto" w:after="160"/>
        <w:jc w:val="both"/>
      </w:pPr>
      <w:r>
        <w:rPr>
          <w:rFonts w:ascii="Times New Roman" w:hAnsi="Times New Roman"/>
          <w:sz w:val="24"/>
        </w:rPr>
        <w:t>Unsupervised learning was applied using the K-Means algorithm to partition stock states into distinct market regimes based on their normalized technical indicators. Feature standardization was executed prior to clustering:</w:t>
      </w:r>
    </w:p>
    <w:p/>
    <w:p>
      <w:pPr>
        <w:spacing w:line="360" w:lineRule="auto" w:after="160"/>
        <w:jc w:val="both"/>
      </w:pPr>
      <w:r>
        <w:rPr>
          <w:rFonts w:ascii="Times New Roman" w:hAnsi="Times New Roman"/>
          <w:sz w:val="24"/>
        </w:rPr>
        <w:t>$$z = \frac{x - \mu}{\sigma}$$</w:t>
      </w:r>
    </w:p>
    <w:p/>
    <w:p>
      <w:pPr>
        <w:spacing w:line="360" w:lineRule="auto" w:after="160"/>
        <w:jc w:val="both"/>
      </w:pPr>
      <w:r>
        <w:rPr>
          <w:rFonts w:ascii="Times New Roman" w:hAnsi="Times New Roman"/>
          <w:sz w:val="24"/>
        </w:rPr>
        <w:t>An Elbow analysis was performed to determine the optimal number of clusters. Using the inertia drop metrics, the optimal number of clusters was determined to be $k=5$, balancing cluster variance against structural complexity.</w:t>
      </w:r>
    </w:p>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elbow_method.png"/>
                    <pic:cNvPicPr/>
                  </pic:nvPicPr>
                  <pic:blipFill>
                    <a:blip r:embed="rId13"/>
                    <a:stretch>
                      <a:fillRect/>
                    </a:stretch>
                  </pic:blipFill>
                  <pic:spPr>
                    <a:xfrm>
                      <a:off x="0" y="0"/>
                      <a:ext cx="5486400" cy="2743200"/>
                    </a:xfrm>
                    <a:prstGeom prst="rect"/>
                  </pic:spPr>
                </pic:pic>
              </a:graphicData>
            </a:graphic>
          </wp:inline>
        </w:drawing>
      </w:r>
    </w:p>
    <w:p>
      <w:pPr>
        <w:jc w:val="center"/>
      </w:pPr>
      <w:r>
        <w:rPr>
          <w:rFonts w:ascii="Times New Roman" w:hAnsi="Times New Roman"/>
          <w:i/>
          <w:color w:val="505050"/>
          <w:sz w:val="20"/>
        </w:rPr>
        <w:t>Figure: Elbow Method for Cluster Optimization</w:t>
      </w:r>
    </w:p>
    <w:p>
      <w:pPr>
        <w:spacing w:line="360" w:lineRule="auto" w:after="160"/>
        <w:jc w:val="both"/>
      </w:pPr>
      <w:r>
        <w:rPr>
          <w:rFonts w:ascii="Times New Roman" w:hAnsi="Times New Roman"/>
          <w:i/>
          <w:sz w:val="24"/>
        </w:rPr>
        <w:t>Figure 3.4: Elbow method showing inertia drop rates across clusters $k \in [2, 15]$. Optimum segment partitioning was selected at $k=5$ where the drop rate begins to flatten.</w:t>
      </w:r>
    </w:p>
    <w:p/>
    <w:p>
      <w:pPr>
        <w:spacing w:line="360" w:lineRule="auto" w:after="160"/>
        <w:jc w:val="both"/>
      </w:pPr>
      <w:r>
        <w:rPr>
          <w:rFonts w:ascii="Times New Roman" w:hAnsi="Times New Roman"/>
          <w:sz w:val="24"/>
        </w:rPr>
        <w:t>The K-Means algorithm clustered the technical vectors, resulting in the following regime distribution:</w:t>
      </w:r>
    </w:p>
    <w:p>
      <w:pPr>
        <w:pStyle w:val="ListBullet"/>
        <w:spacing w:after="80" w:line="276" w:lineRule="auto"/>
      </w:pPr>
      <w:r>
        <w:rPr>
          <w:rFonts w:ascii="Times New Roman" w:hAnsi="Times New Roman"/>
          <w:b/>
          <w:sz w:val="24"/>
        </w:rPr>
        <w:t>Cluster 1:</w:t>
      </w:r>
      <w:r>
        <w:rPr>
          <w:rFonts w:ascii="Times New Roman" w:hAnsi="Times New Roman"/>
          <w:sz w:val="24"/>
        </w:rPr>
        <w:t xml:space="preserve"> Extreme bullish momentum state. Characterized by high average MACD and positive Neckline Slope. This represents rare, explosive breakout regimes.</w:t>
      </w:r>
    </w:p>
    <w:p>
      <w:pPr>
        <w:pStyle w:val="ListBullet"/>
        <w:spacing w:after="80" w:line="276" w:lineRule="auto"/>
      </w:pPr>
      <w:r>
        <w:rPr>
          <w:rFonts w:ascii="Times New Roman" w:hAnsi="Times New Roman"/>
          <w:b/>
          <w:sz w:val="24"/>
        </w:rPr>
        <w:t>Cluster 2:</w:t>
      </w:r>
      <w:r>
        <w:rPr>
          <w:rFonts w:ascii="Times New Roman" w:hAnsi="Times New Roman"/>
          <w:sz w:val="24"/>
        </w:rPr>
        <w:t xml:space="preserve"> Steady trend state. Average MACD of 0.16 and slightly positive Neckline Slope of 0.01.</w:t>
      </w:r>
    </w:p>
    <w:p>
      <w:pPr>
        <w:pStyle w:val="ListBullet"/>
        <w:spacing w:after="80" w:line="276" w:lineRule="auto"/>
      </w:pPr>
      <w:r>
        <w:rPr>
          <w:rFonts w:ascii="Times New Roman" w:hAnsi="Times New Roman"/>
          <w:b/>
          <w:sz w:val="24"/>
        </w:rPr>
        <w:t>Cluster 3:</w:t>
      </w:r>
      <w:r>
        <w:rPr>
          <w:rFonts w:ascii="Times New Roman" w:hAnsi="Times New Roman"/>
          <w:sz w:val="24"/>
        </w:rPr>
        <w:t xml:space="preserve"> Consolidation / Bearish pullbacks. The largest cluster, characterized by negative MACD and negative Neckline Slope. Represents long base-building or accumulation zones.</w:t>
      </w:r>
    </w:p>
    <w:p>
      <w:pPr>
        <w:pStyle w:val="ListBullet"/>
        <w:spacing w:after="80" w:line="276" w:lineRule="auto"/>
      </w:pPr>
      <w:r>
        <w:rPr>
          <w:rFonts w:ascii="Times New Roman" w:hAnsi="Times New Roman"/>
          <w:b/>
          <w:sz w:val="24"/>
        </w:rPr>
        <w:t>Cluster 4:</w:t>
      </w:r>
      <w:r>
        <w:rPr>
          <w:rFonts w:ascii="Times New Roman" w:hAnsi="Times New Roman"/>
          <w:sz w:val="24"/>
        </w:rPr>
        <w:t xml:space="preserve"> Moderate bullish recovery. MACD of 0.79 and positive Neckline Slope of 0.08.</w:t>
      </w:r>
    </w:p>
    <w:p>
      <w:pPr>
        <w:pStyle w:val="ListBullet"/>
        <w:spacing w:after="80" w:line="276" w:lineRule="auto"/>
      </w:pPr>
      <w:r>
        <w:rPr>
          <w:rFonts w:ascii="Times New Roman" w:hAnsi="Times New Roman"/>
          <w:b/>
          <w:sz w:val="24"/>
        </w:rPr>
        <w:t>Cluster 5:</w:t>
      </w:r>
      <w:r>
        <w:rPr>
          <w:rFonts w:ascii="Times New Roman" w:hAnsi="Times New Roman"/>
          <w:sz w:val="24"/>
        </w:rPr>
        <w:t xml:space="preserve"> Confirmed upward momentum. MACD of 0.66 and Neckline Slope of 0.06.</w:t>
      </w:r>
    </w:p>
    <w:p/>
    <w:p>
      <w:pPr>
        <w:spacing w:line="360" w:lineRule="auto" w:after="160"/>
        <w:jc w:val="both"/>
      </w:pPr>
      <w:r>
        <w:rPr>
          <w:rFonts w:ascii="Times New Roman" w:hAnsi="Times New Roman"/>
          <w:sz w:val="24"/>
        </w:rPr>
        <w:t>To evaluate the cluster segregation and reduce high-dimensional complexity, Principal Component Analysis (PCA) was executed. PC1 and PC2 explain a total of 52.25% of overall database variance.</w:t>
      </w:r>
    </w:p>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kmeans_pca.png"/>
                    <pic:cNvPicPr/>
                  </pic:nvPicPr>
                  <pic:blipFill>
                    <a:blip r:embed="rId14"/>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Clustering projected via PCA 2D</w:t>
      </w:r>
    </w:p>
    <w:p>
      <w:pPr>
        <w:spacing w:line="360" w:lineRule="auto" w:after="160"/>
        <w:jc w:val="both"/>
      </w:pPr>
      <w:r>
        <w:rPr>
          <w:rFonts w:ascii="Times New Roman" w:hAnsi="Times New Roman"/>
          <w:i/>
          <w:sz w:val="24"/>
        </w:rPr>
        <w:t>Figure 3.5: PCA 2D scatter visualization of K-Means clusters ($k=5$). PC1 and PC2 explain a total of 52.25% of overall database variance, displaying clear cluster partitions.</w:t>
      </w:r>
    </w:p>
    <w:p/>
    <w:p>
      <w:pPr>
        <w:pStyle w:val="Heading2"/>
        <w:spacing w:before="240" w:after="120"/>
        <w:jc w:val="left"/>
      </w:pPr>
      <w:r>
        <w:rPr>
          <w:rFonts w:ascii="Times New Roman" w:hAnsi="Times New Roman"/>
          <w:b/>
          <w:color w:val="1E1E1E"/>
          <w:sz w:val="28"/>
        </w:rPr>
        <w:t>3.4. Dataset Compression and Workaround for GitHub File Limits</w:t>
      </w:r>
    </w:p>
    <w:p>
      <w:pPr>
        <w:spacing w:line="360" w:lineRule="auto" w:after="160"/>
        <w:jc w:val="both"/>
      </w:pPr>
      <w:r>
        <w:rPr>
          <w:rFonts w:ascii="Times New Roman" w:hAnsi="Times New Roman"/>
          <w:sz w:val="24"/>
        </w:rPr>
        <w:t>When extending BorsaNeuron's dataset up to June 2026, the inclusion of hundreds of active stocks resulted in a dataset (</w:t>
      </w:r>
      <w:r>
        <w:rPr>
          <w:rFonts w:ascii="Courier New" w:hAnsi="Courier New"/>
          <w:sz w:val="21"/>
        </w:rPr>
        <w:t>bist_ai_dataset_real_30cols.csv</w:t>
      </w:r>
      <w:r>
        <w:rPr>
          <w:rFonts w:ascii="Times New Roman" w:hAnsi="Times New Roman"/>
          <w:sz w:val="24"/>
        </w:rPr>
        <w:t xml:space="preserve">) size of </w:t>
      </w:r>
      <w:r>
        <w:rPr>
          <w:rFonts w:ascii="Times New Roman" w:hAnsi="Times New Roman"/>
          <w:b/>
          <w:sz w:val="24"/>
        </w:rPr>
        <w:t>318MB</w:t>
      </w:r>
      <w:r>
        <w:rPr>
          <w:rFonts w:ascii="Times New Roman" w:hAnsi="Times New Roman"/>
          <w:sz w:val="24"/>
        </w:rPr>
        <w:t xml:space="preserve">. GitHub imposes a strict </w:t>
      </w:r>
      <w:r>
        <w:rPr>
          <w:rFonts w:ascii="Times New Roman" w:hAnsi="Times New Roman"/>
          <w:b/>
          <w:sz w:val="24"/>
        </w:rPr>
        <w:t>100MB limit</w:t>
      </w:r>
      <w:r>
        <w:rPr>
          <w:rFonts w:ascii="Times New Roman" w:hAnsi="Times New Roman"/>
          <w:sz w:val="24"/>
        </w:rPr>
        <w:t xml:space="preserve"> for direct file pushes, causing standard git push operations to time out and fail with HTTP 408 RPC errors.</w:t>
      </w:r>
    </w:p>
    <w:p/>
    <w:p>
      <w:pPr>
        <w:spacing w:line="360" w:lineRule="auto" w:after="160"/>
        <w:jc w:val="both"/>
      </w:pPr>
      <w:r>
        <w:rPr>
          <w:rFonts w:ascii="Times New Roman" w:hAnsi="Times New Roman"/>
          <w:sz w:val="24"/>
        </w:rPr>
        <w:t xml:space="preserve">To address this limitation without introducing external database dependency overhead, we implemented a compression pipeline. The raw CSV dataset was compressed using the </w:t>
      </w:r>
      <w:r>
        <w:rPr>
          <w:rFonts w:ascii="Times New Roman" w:hAnsi="Times New Roman"/>
          <w:b/>
          <w:sz w:val="24"/>
        </w:rPr>
        <w:t>LZMA (xz) compression algorithm</w:t>
      </w:r>
      <w:r>
        <w:rPr>
          <w:rFonts w:ascii="Times New Roman" w:hAnsi="Times New Roman"/>
          <w:sz w:val="24"/>
        </w:rPr>
        <w:t xml:space="preserve">, reducing the file size to </w:t>
      </w:r>
      <w:r>
        <w:rPr>
          <w:rFonts w:ascii="Times New Roman" w:hAnsi="Times New Roman"/>
          <w:b/>
          <w:sz w:val="24"/>
        </w:rPr>
        <w:t>50.1MB</w:t>
      </w:r>
      <w:r>
        <w:rPr>
          <w:rFonts w:ascii="Times New Roman" w:hAnsi="Times New Roman"/>
          <w:sz w:val="24"/>
        </w:rPr>
        <w:t>.</w:t>
      </w:r>
    </w:p>
    <w:p/>
    <w:p>
      <w:pPr>
        <w:spacing w:line="360" w:lineRule="auto" w:after="160"/>
        <w:jc w:val="both"/>
      </w:pPr>
      <w:r>
        <w:rPr>
          <w:rFonts w:ascii="Times New Roman" w:hAnsi="Times New Roman"/>
          <w:sz w:val="24"/>
        </w:rPr>
        <w:t xml:space="preserve">To maintain runtime performance, we modified the data loading pipeline in </w:t>
      </w:r>
      <w:r>
        <w:rPr>
          <w:rFonts w:ascii="Courier New" w:hAnsi="Courier New"/>
          <w:sz w:val="21"/>
        </w:rPr>
        <w:t>src/app.py</w:t>
      </w:r>
      <w:r>
        <w:rPr>
          <w:rFonts w:ascii="Times New Roman" w:hAnsi="Times New Roman"/>
          <w:sz w:val="24"/>
        </w:rPr>
        <w:t xml:space="preserve"> to support native pandas decompression:</w:t>
      </w:r>
    </w:p>
    <w:p>
      <w:pPr>
        <w:spacing w:before="0" w:after="0"/>
        <w:ind w:left="720" w:right="720"/>
        <w:shd w:fill="F4F4F5"/>
      </w:pPr>
      <w:r>
        <w:rPr>
          <w:rFonts w:ascii="Courier New" w:hAnsi="Courier New"/>
          <w:color w:val="3C3C3C"/>
          <w:sz w:val="19"/>
        </w:rPr>
        <w:t># Read compressed xz dataset on the fly</w:t>
      </w:r>
    </w:p>
    <w:p>
      <w:pPr>
        <w:spacing w:before="0" w:after="0"/>
        <w:ind w:left="720" w:right="720"/>
        <w:shd w:fill="F4F4F5"/>
      </w:pPr>
      <w:r>
        <w:rPr>
          <w:rFonts w:ascii="Courier New" w:hAnsi="Courier New"/>
          <w:color w:val="3C3C3C"/>
          <w:sz w:val="19"/>
        </w:rPr>
        <w:t>df = pd.read_csv("bist_ai_dataset_real_30cols.csv.xz")</w:t>
      </w:r>
    </w:p>
    <w:p>
      <w:pPr>
        <w:spacing w:line="360" w:lineRule="auto" w:after="160"/>
        <w:jc w:val="both"/>
      </w:pPr>
      <w:r>
        <w:rPr>
          <w:rFonts w:ascii="Times New Roman" w:hAnsi="Times New Roman"/>
          <w:sz w:val="24"/>
        </w:rPr>
        <w:t xml:space="preserve">This architecture reduced the file size by </w:t>
      </w:r>
      <w:r>
        <w:rPr>
          <w:rFonts w:ascii="Times New Roman" w:hAnsi="Times New Roman"/>
          <w:b/>
          <w:sz w:val="24"/>
        </w:rPr>
        <w:t>84%</w:t>
      </w:r>
      <w:r>
        <w:rPr>
          <w:rFonts w:ascii="Times New Roman" w:hAnsi="Times New Roman"/>
          <w:sz w:val="24"/>
        </w:rPr>
        <w:t xml:space="preserve">, bringing it well below the GitHub limit, while maintaining a startup loading speed of </w:t>
      </w:r>
      <w:r>
        <w:rPr>
          <w:rFonts w:ascii="Times New Roman" w:hAnsi="Times New Roman"/>
          <w:b/>
          <w:sz w:val="24"/>
        </w:rPr>
        <w:t>5.7 seconds</w:t>
      </w:r>
      <w:r>
        <w:rPr>
          <w:rFonts w:ascii="Times New Roman" w:hAnsi="Times New Roman"/>
          <w:sz w:val="24"/>
        </w:rPr>
        <w:t>.</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4. QUANTITATIVE MODELING &amp; MACHINE LEARNING</w:t>
      </w:r>
    </w:p>
    <w:p/>
    <w:p>
      <w:pPr>
        <w:pStyle w:val="Heading2"/>
        <w:spacing w:before="240" w:after="120"/>
        <w:jc w:val="left"/>
      </w:pPr>
      <w:r>
        <w:rPr>
          <w:rFonts w:ascii="Times New Roman" w:hAnsi="Times New Roman"/>
          <w:b/>
          <w:color w:val="1E1E1E"/>
          <w:sz w:val="28"/>
        </w:rPr>
        <w:t>4.1. K-Nearest Neighbors (K-NN) and GridSearchCV Tuning</w:t>
      </w:r>
    </w:p>
    <w:p>
      <w:pPr>
        <w:spacing w:line="360" w:lineRule="auto" w:after="160"/>
        <w:jc w:val="both"/>
      </w:pPr>
      <w:r>
        <w:rPr>
          <w:rFonts w:ascii="Times New Roman" w:hAnsi="Times New Roman"/>
          <w:sz w:val="24"/>
        </w:rPr>
        <w:t>The K-Nearest Neighbors (K-NN) classifier was implemented as a baseline instance-based model. Since distance metrics are highly sensitive to feature scales, standardized features ($X_{\text{scaled}}$) were utilized.</w:t>
      </w:r>
    </w:p>
    <w:p/>
    <w:p>
      <w:pPr>
        <w:spacing w:line="360" w:lineRule="auto" w:after="160"/>
        <w:jc w:val="both"/>
      </w:pPr>
      <w:r>
        <w:rPr>
          <w:rFonts w:ascii="Times New Roman" w:hAnsi="Times New Roman"/>
          <w:sz w:val="24"/>
        </w:rPr>
        <w:t>To optimize the neighborhood size parameter ($k$), a grid search with 5-fold cross-validation was performed:</w:t>
      </w:r>
    </w:p>
    <w:p/>
    <w:p>
      <w:pPr>
        <w:spacing w:line="360" w:lineRule="auto" w:after="160"/>
        <w:jc w:val="both"/>
      </w:pPr>
      <w:r>
        <w:rPr>
          <w:rFonts w:ascii="Times New Roman" w:hAnsi="Times New Roman"/>
          <w:sz w:val="24"/>
        </w:rPr>
        <w:t>$$\text{Search Space} = k \in \{3, 5, 7, 9, 11, 15, 21\}$$</w:t>
      </w:r>
    </w:p>
    <w:p/>
    <w:p>
      <w:pPr>
        <w:spacing w:line="360" w:lineRule="auto" w:after="160"/>
        <w:jc w:val="both"/>
      </w:pPr>
      <w:r>
        <w:rPr>
          <w:rFonts w:ascii="Times New Roman" w:hAnsi="Times New Roman"/>
          <w:sz w:val="24"/>
        </w:rPr>
        <w:t xml:space="preserve">The optimal hyperparameter was determined to be </w:t>
      </w:r>
      <w:r>
        <w:rPr>
          <w:rFonts w:ascii="Times New Roman" w:hAnsi="Times New Roman"/>
          <w:b/>
          <w:sz w:val="24"/>
        </w:rPr>
        <w:t>$k=21$</w:t>
      </w:r>
      <w:r>
        <w:rPr>
          <w:rFonts w:ascii="Times New Roman" w:hAnsi="Times New Roman"/>
          <w:sz w:val="24"/>
        </w:rPr>
        <w:t>, achieving the highest cross-validated accuracy of 54.01%.</w:t>
      </w:r>
    </w:p>
    <w:p/>
    <w:p>
      <w:pPr>
        <w:jc w:val="center"/>
      </w:pPr>
      <w:r>
        <w:drawing>
          <wp:inline xmlns:a="http://schemas.openxmlformats.org/drawingml/2006/main" xmlns:pic="http://schemas.openxmlformats.org/drawingml/2006/picture">
            <wp:extent cx="5486400" cy="2711286"/>
            <wp:docPr id="6" name="Picture 6"/>
            <wp:cNvGraphicFramePr>
              <a:graphicFrameLocks noChangeAspect="1"/>
            </wp:cNvGraphicFramePr>
            <a:graphic>
              <a:graphicData uri="http://schemas.openxmlformats.org/drawingml/2006/picture">
                <pic:pic>
                  <pic:nvPicPr>
                    <pic:cNvPr id="0" name="07_gridsearch_knn.png"/>
                    <pic:cNvPicPr/>
                  </pic:nvPicPr>
                  <pic:blipFill>
                    <a:blip r:embed="rId15"/>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Parameter Tuning</w:t>
      </w:r>
    </w:p>
    <w:p>
      <w:pPr>
        <w:spacing w:line="360" w:lineRule="auto" w:after="160"/>
        <w:jc w:val="both"/>
      </w:pPr>
      <w:r>
        <w:rPr>
          <w:rFonts w:ascii="Times New Roman" w:hAnsi="Times New Roman"/>
          <w:i/>
          <w:sz w:val="24"/>
        </w:rPr>
        <w:t>Figure 4.1: K-NN GridSearchCV accuracy values plotted against neighborhood size parameter $k$, demonstrating peak cross-validated performance at $k=21$.</w:t>
      </w:r>
    </w:p>
    <w:p/>
    <w:p>
      <w:pPr>
        <w:spacing w:line="360" w:lineRule="auto" w:after="160"/>
        <w:jc w:val="both"/>
      </w:pPr>
      <w:r>
        <w:rPr>
          <w:rFonts w:ascii="Times New Roman" w:hAnsi="Times New Roman"/>
          <w:sz w:val="24"/>
        </w:rPr>
        <w:t>When evaluated on the independent test split, the final K-NN ($k=21$) model achieved a test accuracy of 53.96% and an F1-Score of 0.6481.</w:t>
      </w:r>
    </w:p>
    <w:p/>
    <w:p>
      <w:pPr>
        <w:pStyle w:val="Heading2"/>
        <w:spacing w:before="240" w:after="120"/>
        <w:jc w:val="left"/>
      </w:pPr>
      <w:r>
        <w:rPr>
          <w:rFonts w:ascii="Times New Roman" w:hAnsi="Times New Roman"/>
          <w:b/>
          <w:color w:val="1E1E1E"/>
          <w:sz w:val="28"/>
        </w:rPr>
        <w:t>4.2. Random Forest Classification and Variable Importance</w:t>
      </w:r>
    </w:p>
    <w:p>
      <w:pPr>
        <w:spacing w:line="360" w:lineRule="auto" w:after="160"/>
        <w:jc w:val="both"/>
      </w:pPr>
      <w:r>
        <w:rPr>
          <w:rFonts w:ascii="Times New Roman" w:hAnsi="Times New Roman"/>
          <w:sz w:val="24"/>
        </w:rPr>
        <w:t>The second model implemented was the Random Forest (RF) classifier. A forest of 100 estimators was trained. The Random Forest model achieved a test accuracy of 53.35% and an F1-Score of 0.6367.</w:t>
      </w:r>
    </w:p>
    <w:p/>
    <w:p>
      <w:pPr>
        <w:spacing w:line="360" w:lineRule="auto" w:after="160"/>
        <w:jc w:val="both"/>
      </w:pPr>
      <w:r>
        <w:rPr>
          <w:rFonts w:ascii="Times New Roman" w:hAnsi="Times New Roman"/>
          <w:sz w:val="24"/>
        </w:rPr>
        <w:t>Feature importances were calculated by measuring the Gini impurity decrease across all trees. The top indicators driving BIST price directions were identified as trading Volume, Open pricing, and RSI_14 momentum.</w:t>
      </w:r>
    </w:p>
    <w:p/>
    <w:p>
      <w:pPr>
        <w:jc w:val="center"/>
      </w:pPr>
      <w:r>
        <w:drawing>
          <wp:inline xmlns:a="http://schemas.openxmlformats.org/drawingml/2006/main" xmlns:pic="http://schemas.openxmlformats.org/drawingml/2006/picture">
            <wp:extent cx="5486400" cy="3265780"/>
            <wp:docPr id="7" name="Picture 7"/>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Feature Importance Analysis</w:t>
      </w:r>
    </w:p>
    <w:p>
      <w:pPr>
        <w:spacing w:line="360" w:lineRule="auto" w:after="160"/>
        <w:jc w:val="both"/>
      </w:pPr>
      <w:r>
        <w:rPr>
          <w:rFonts w:ascii="Times New Roman" w:hAnsi="Times New Roman"/>
          <w:i/>
          <w:sz w:val="24"/>
        </w:rPr>
        <w:t>Figure 4.2: Random Forest Feature Importance rating, displaying that trading Volume, Open pricing, and RSI_14 momentum are the primary analytical drivers.</w:t>
      </w:r>
    </w:p>
    <w:p/>
    <w:p>
      <w:pPr>
        <w:pStyle w:val="Heading2"/>
        <w:spacing w:before="240" w:after="120"/>
        <w:jc w:val="left"/>
      </w:pPr>
      <w:r>
        <w:rPr>
          <w:rFonts w:ascii="Times New Roman" w:hAnsi="Times New Roman"/>
          <w:b/>
          <w:color w:val="1E1E1E"/>
          <w:sz w:val="28"/>
        </w:rPr>
        <w:t>4.3. Artificial Neural Networks (ANN - Multi-Layer Perceptron)</w:t>
      </w:r>
    </w:p>
    <w:p>
      <w:pPr>
        <w:spacing w:line="360" w:lineRule="auto" w:after="160"/>
        <w:jc w:val="both"/>
      </w:pPr>
      <w:r>
        <w:rPr>
          <w:rFonts w:ascii="Times New Roman" w:hAnsi="Times New Roman"/>
          <w:sz w:val="24"/>
        </w:rPr>
        <w:t>A Multi-Layer Perceptron (MLP) Artificial Neural Network was implemented to capture non-linear, complex mappings. The MLP classifier was configured with the following architecture:</w:t>
      </w:r>
    </w:p>
    <w:p>
      <w:pPr>
        <w:pStyle w:val="ListBullet"/>
        <w:spacing w:after="80" w:line="276" w:lineRule="auto"/>
      </w:pPr>
      <w:r>
        <w:rPr>
          <w:rFonts w:ascii="Times New Roman" w:hAnsi="Times New Roman"/>
          <w:b/>
          <w:sz w:val="24"/>
        </w:rPr>
        <w:t>Hidden Layer Structure:</w:t>
      </w:r>
      <w:r>
        <w:rPr>
          <w:rFonts w:ascii="Times New Roman" w:hAnsi="Times New Roman"/>
          <w:sz w:val="24"/>
        </w:rPr>
        <w:t xml:space="preserve"> Three hidden layers containing 64, 32, and 16 neurons respectively </w:t>
      </w:r>
      <w:r>
        <w:rPr>
          <w:rFonts w:ascii="Times New Roman" w:hAnsi="Times New Roman"/>
          <w:sz w:val="24"/>
        </w:rPr>
        <w:t>(64, 32, 16)</w:t>
      </w:r>
      <w:r>
        <w:rPr>
          <w:rFonts w:ascii="Times New Roman" w:hAnsi="Times New Roman"/>
          <w:sz w:val="24"/>
        </w:rPr>
        <w:t>.</w:t>
      </w:r>
    </w:p>
    <w:p>
      <w:pPr>
        <w:pStyle w:val="ListBullet"/>
        <w:spacing w:after="80" w:line="276" w:lineRule="auto"/>
      </w:pPr>
      <w:r>
        <w:rPr>
          <w:rFonts w:ascii="Times New Roman" w:hAnsi="Times New Roman"/>
          <w:b/>
          <w:sz w:val="24"/>
        </w:rPr>
        <w:t>Activation Function:</w:t>
      </w:r>
      <w:r>
        <w:rPr>
          <w:rFonts w:ascii="Times New Roman" w:hAnsi="Times New Roman"/>
          <w:sz w:val="24"/>
        </w:rPr>
        <w:t xml:space="preserve"> Rectified Linear Unit (ReLU).</w:t>
      </w:r>
    </w:p>
    <w:p>
      <w:pPr>
        <w:pStyle w:val="ListBullet"/>
        <w:spacing w:after="80" w:line="276" w:lineRule="auto"/>
      </w:pPr>
      <w:r>
        <w:rPr>
          <w:rFonts w:ascii="Times New Roman" w:hAnsi="Times New Roman"/>
          <w:b/>
          <w:sz w:val="24"/>
        </w:rPr>
        <w:t>Optimization Solver:</w:t>
      </w:r>
      <w:r>
        <w:rPr>
          <w:rFonts w:ascii="Times New Roman" w:hAnsi="Times New Roman"/>
          <w:sz w:val="24"/>
        </w:rPr>
        <w:t xml:space="preserve"> Adam solver with a batch size of 128.</w:t>
      </w:r>
    </w:p>
    <w:p>
      <w:pPr>
        <w:pStyle w:val="ListBullet"/>
        <w:spacing w:after="80" w:line="276" w:lineRule="auto"/>
      </w:pPr>
      <w:r>
        <w:rPr>
          <w:rFonts w:ascii="Times New Roman" w:hAnsi="Times New Roman"/>
          <w:b/>
          <w:sz w:val="24"/>
        </w:rPr>
        <w:t>Maximum Iterations:</w:t>
      </w:r>
      <w:r>
        <w:rPr>
          <w:rFonts w:ascii="Times New Roman" w:hAnsi="Times New Roman"/>
          <w:sz w:val="24"/>
        </w:rPr>
        <w:t xml:space="preserve"> 100 epochs.</w:t>
      </w:r>
    </w:p>
    <w:p/>
    <w:p>
      <w:pPr>
        <w:spacing w:line="360" w:lineRule="auto" w:after="160"/>
        <w:jc w:val="both"/>
      </w:pPr>
      <w:r>
        <w:rPr>
          <w:rFonts w:ascii="Times New Roman" w:hAnsi="Times New Roman"/>
          <w:sz w:val="24"/>
        </w:rPr>
        <w:t>The MLP neural network demonstrated high predictive performance, achieving a test accuracy of 55.68% and an F1-Score of 0.6496.</w:t>
      </w:r>
    </w:p>
    <w:p/>
    <w:p>
      <w:pPr>
        <w:pStyle w:val="Heading2"/>
        <w:spacing w:before="240" w:after="120"/>
        <w:jc w:val="left"/>
      </w:pPr>
      <w:r>
        <w:rPr>
          <w:rFonts w:ascii="Times New Roman" w:hAnsi="Times New Roman"/>
          <w:b/>
          <w:color w:val="1E1E1E"/>
          <w:sz w:val="28"/>
        </w:rPr>
        <w:t>4.4. Model Performance Evaluation and Comparison</w:t>
      </w:r>
    </w:p>
    <w:p>
      <w:pPr>
        <w:spacing w:line="360" w:lineRule="auto" w:after="160"/>
        <w:jc w:val="both"/>
      </w:pPr>
      <w:r>
        <w:rPr>
          <w:rFonts w:ascii="Times New Roman" w:hAnsi="Times New Roman"/>
          <w:sz w:val="24"/>
        </w:rPr>
        <w:t>Predicting asset prices is a difficult task due to the high noise-to-signal ratio and transaction costs. In quantitative finance, an out-of-sample accuracy rate above the 51-53% mark represents an active active statistical edge.</w:t>
      </w:r>
    </w:p>
    <w:p/>
    <w:p>
      <w:pPr>
        <w:spacing w:line="360" w:lineRule="auto" w:after="160"/>
        <w:jc w:val="both"/>
      </w:pPr>
      <w:r>
        <w:rPr>
          <w:rFonts w:ascii="Times New Roman" w:hAnsi="Times New Roman"/>
          <w:sz w:val="24"/>
        </w:rPr>
        <w:t xml:space="preserve">To evaluate BorsaNeuron, we expanded the training dataset to the </w:t>
      </w:r>
      <w:r>
        <w:rPr>
          <w:rFonts w:ascii="Times New Roman" w:hAnsi="Times New Roman"/>
          <w:b/>
          <w:sz w:val="24"/>
        </w:rPr>
        <w:t>entire BIST market</w:t>
      </w:r>
      <w:r>
        <w:rPr>
          <w:rFonts w:ascii="Times New Roman" w:hAnsi="Times New Roman"/>
          <w:sz w:val="24"/>
        </w:rPr>
        <w:t xml:space="preserve"> from 2019-10-07 to 2026-06-12, yielding </w:t>
      </w:r>
      <w:r>
        <w:rPr>
          <w:rFonts w:ascii="Times New Roman" w:hAnsi="Times New Roman"/>
          <w:b/>
          <w:sz w:val="24"/>
        </w:rPr>
        <w:t>661,709 rows</w:t>
      </w:r>
      <w:r>
        <w:rPr>
          <w:rFonts w:ascii="Times New Roman" w:hAnsi="Times New Roman"/>
          <w:sz w:val="24"/>
        </w:rPr>
        <w:t xml:space="preserve"> across active BIST stocks. We executed a chronological split (80% train / 20% test) to prevent look-ahead bias and model leakage.</w:t>
      </w:r>
    </w:p>
    <w:p/>
    <w:p>
      <w:pPr>
        <w:spacing w:line="360" w:lineRule="auto" w:after="160"/>
        <w:jc w:val="both"/>
      </w:pPr>
      <w:r>
        <w:rPr>
          <w:rFonts w:ascii="Times New Roman" w:hAnsi="Times New Roman"/>
          <w:sz w:val="24"/>
        </w:rPr>
        <w:t>The comparative performance metrics of the models on the complete BIST dataset are summarized below:</w:t>
      </w:r>
    </w:p>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F2F2F2"/>
            <w:tcMar>
              <w:top w:w="120" w:type="dxa"/>
              <w:bottom w:w="120" w:type="dxa"/>
              <w:left w:w="150" w:type="dxa"/>
              <w:right w:w="150" w:type="dxa"/>
            </w:tcMar>
          </w:tcPr>
          <w:p>
            <w:pPr>
              <w:jc w:val="left"/>
            </w:pPr>
            <w:r/>
            <w:r>
              <w:rPr>
                <w:rFonts w:ascii="Times New Roman" w:hAnsi="Times New Roman"/>
                <w:b/>
                <w:sz w:val="21"/>
              </w:rPr>
              <w:t>Machine Learning Model</w:t>
            </w:r>
          </w:p>
        </w:tc>
        <w:tc>
          <w:tcPr>
            <w:tcW w:type="dxa" w:w="2340"/>
            <w:shd w:fill="F2F2F2"/>
            <w:tcMar>
              <w:top w:w="120" w:type="dxa"/>
              <w:bottom w:w="120" w:type="dxa"/>
              <w:left w:w="150" w:type="dxa"/>
              <w:right w:w="150" w:type="dxa"/>
            </w:tcMar>
          </w:tcPr>
          <w:p>
            <w:pPr>
              <w:jc w:val="left"/>
            </w:pPr>
            <w:r/>
            <w:r>
              <w:rPr>
                <w:rFonts w:ascii="Times New Roman" w:hAnsi="Times New Roman"/>
                <w:b/>
                <w:sz w:val="21"/>
              </w:rPr>
              <w:t>Out-of-Sample Test Accuracy</w:t>
            </w:r>
          </w:p>
        </w:tc>
        <w:tc>
          <w:tcPr>
            <w:tcW w:type="dxa" w:w="2340"/>
            <w:shd w:fill="F2F2F2"/>
            <w:tcMar>
              <w:top w:w="120" w:type="dxa"/>
              <w:bottom w:w="120" w:type="dxa"/>
              <w:left w:w="150" w:type="dxa"/>
              <w:right w:w="150" w:type="dxa"/>
            </w:tcMar>
          </w:tcPr>
          <w:p>
            <w:pPr>
              <w:jc w:val="left"/>
            </w:pPr>
            <w:r/>
            <w:r>
              <w:rPr>
                <w:rFonts w:ascii="Times New Roman" w:hAnsi="Times New Roman"/>
                <w:b/>
                <w:sz w:val="21"/>
              </w:rPr>
              <w:t>F1-Score</w:t>
            </w:r>
          </w:p>
        </w:tc>
        <w:tc>
          <w:tcPr>
            <w:tcW w:type="dxa" w:w="2340"/>
            <w:shd w:fill="F2F2F2"/>
            <w:tcMar>
              <w:top w:w="120" w:type="dxa"/>
              <w:bottom w:w="120" w:type="dxa"/>
              <w:left w:w="150" w:type="dxa"/>
              <w:right w:w="150" w:type="dxa"/>
            </w:tcMar>
          </w:tcPr>
          <w:p>
            <w:pPr>
              <w:jc w:val="left"/>
            </w:pPr>
            <w:r/>
            <w:r>
              <w:rPr>
                <w:rFonts w:ascii="Times New Roman" w:hAnsi="Times New Roman"/>
                <w:b/>
                <w:sz w:val="21"/>
              </w:rPr>
              <w:t>Parameter Configurations / Tuning</w:t>
            </w:r>
          </w:p>
        </w:tc>
      </w:tr>
      <w:tr>
        <w:tc>
          <w:tcPr>
            <w:tcW w:type="dxa" w:w="2340"/>
            <w:tcMar>
              <w:top w:w="120" w:type="dxa"/>
              <w:bottom w:w="120" w:type="dxa"/>
              <w:left w:w="150" w:type="dxa"/>
              <w:right w:w="150" w:type="dxa"/>
            </w:tcMar>
          </w:tcPr>
          <w:p>
            <w:pPr>
              <w:jc w:val="left"/>
            </w:pPr>
            <w:r/>
            <w:r>
              <w:rPr>
                <w:rFonts w:ascii="Times New Roman" w:hAnsi="Times New Roman"/>
                <w:sz w:val="21"/>
              </w:rPr>
              <w:t>**K-Nearest Neighbors (K-NN)**</w:t>
            </w:r>
          </w:p>
        </w:tc>
        <w:tc>
          <w:tcPr>
            <w:tcW w:type="dxa" w:w="2340"/>
            <w:tcMar>
              <w:top w:w="120" w:type="dxa"/>
              <w:bottom w:w="120" w:type="dxa"/>
              <w:left w:w="150" w:type="dxa"/>
              <w:right w:w="150" w:type="dxa"/>
            </w:tcMar>
          </w:tcPr>
          <w:p>
            <w:pPr>
              <w:jc w:val="left"/>
            </w:pPr>
            <w:r/>
            <w:r>
              <w:rPr>
                <w:rFonts w:ascii="Times New Roman" w:hAnsi="Times New Roman"/>
                <w:sz w:val="21"/>
              </w:rPr>
              <w:t>53.96%</w:t>
            </w:r>
          </w:p>
        </w:tc>
        <w:tc>
          <w:tcPr>
            <w:tcW w:type="dxa" w:w="2340"/>
            <w:tcMar>
              <w:top w:w="120" w:type="dxa"/>
              <w:bottom w:w="120" w:type="dxa"/>
              <w:left w:w="150" w:type="dxa"/>
              <w:right w:w="150" w:type="dxa"/>
            </w:tcMar>
          </w:tcPr>
          <w:p>
            <w:pPr>
              <w:jc w:val="left"/>
            </w:pPr>
            <w:r/>
            <w:r>
              <w:rPr>
                <w:rFonts w:ascii="Times New Roman" w:hAnsi="Times New Roman"/>
                <w:sz w:val="21"/>
              </w:rPr>
              <w:t>0.6481</w:t>
            </w:r>
          </w:p>
        </w:tc>
        <w:tc>
          <w:tcPr>
            <w:tcW w:type="dxa" w:w="2340"/>
            <w:tcMar>
              <w:top w:w="120" w:type="dxa"/>
              <w:bottom w:w="120" w:type="dxa"/>
              <w:left w:w="150" w:type="dxa"/>
              <w:right w:w="150" w:type="dxa"/>
            </w:tcMar>
          </w:tcPr>
          <w:p>
            <w:pPr>
              <w:jc w:val="left"/>
            </w:pPr>
            <w:r/>
            <w:r>
              <w:rPr>
                <w:rFonts w:ascii="Times New Roman" w:hAnsi="Times New Roman"/>
                <w:sz w:val="21"/>
              </w:rPr>
              <w:t>$k=21$ neighborhood size, Euclidean distance</w:t>
            </w:r>
          </w:p>
        </w:tc>
      </w:tr>
      <w:tr>
        <w:tc>
          <w:tcPr>
            <w:tcW w:type="dxa" w:w="2340"/>
            <w:tcMar>
              <w:top w:w="120" w:type="dxa"/>
              <w:bottom w:w="120" w:type="dxa"/>
              <w:left w:w="150" w:type="dxa"/>
              <w:right w:w="150" w:type="dxa"/>
            </w:tcMar>
          </w:tcPr>
          <w:p>
            <w:pPr>
              <w:jc w:val="left"/>
            </w:pPr>
            <w:r/>
            <w:r>
              <w:rPr>
                <w:rFonts w:ascii="Times New Roman" w:hAnsi="Times New Roman"/>
                <w:sz w:val="21"/>
              </w:rPr>
              <w:t>**Artificial Neural Network (ANN)**</w:t>
            </w:r>
          </w:p>
        </w:tc>
        <w:tc>
          <w:tcPr>
            <w:tcW w:type="dxa" w:w="2340"/>
            <w:tcMar>
              <w:top w:w="120" w:type="dxa"/>
              <w:bottom w:w="120" w:type="dxa"/>
              <w:left w:w="150" w:type="dxa"/>
              <w:right w:w="150" w:type="dxa"/>
            </w:tcMar>
          </w:tcPr>
          <w:p>
            <w:pPr>
              <w:jc w:val="left"/>
            </w:pPr>
            <w:r/>
            <w:r>
              <w:rPr>
                <w:rFonts w:ascii="Times New Roman" w:hAnsi="Times New Roman"/>
                <w:sz w:val="21"/>
              </w:rPr>
              <w:t>55.68%</w:t>
            </w:r>
          </w:p>
        </w:tc>
        <w:tc>
          <w:tcPr>
            <w:tcW w:type="dxa" w:w="2340"/>
            <w:tcMar>
              <w:top w:w="120" w:type="dxa"/>
              <w:bottom w:w="120" w:type="dxa"/>
              <w:left w:w="150" w:type="dxa"/>
              <w:right w:w="150" w:type="dxa"/>
            </w:tcMar>
          </w:tcPr>
          <w:p>
            <w:pPr>
              <w:jc w:val="left"/>
            </w:pPr>
            <w:r/>
            <w:r>
              <w:rPr>
                <w:rFonts w:ascii="Times New Roman" w:hAnsi="Times New Roman"/>
                <w:sz w:val="21"/>
              </w:rPr>
              <w:t>0.6496</w:t>
            </w:r>
          </w:p>
        </w:tc>
        <w:tc>
          <w:tcPr>
            <w:tcW w:type="dxa" w:w="2340"/>
            <w:tcMar>
              <w:top w:w="120" w:type="dxa"/>
              <w:bottom w:w="120" w:type="dxa"/>
              <w:left w:w="150" w:type="dxa"/>
              <w:right w:w="150" w:type="dxa"/>
            </w:tcMar>
          </w:tcPr>
          <w:p>
            <w:pPr>
              <w:jc w:val="left"/>
            </w:pPr>
            <w:r/>
            <w:r>
              <w:rPr>
                <w:rFonts w:ascii="Times New Roman" w:hAnsi="Times New Roman"/>
                <w:sz w:val="21"/>
              </w:rPr>
              <w:t>MLPClassifier `(64, 32, 16)`, Adam Solver, ReLU</w:t>
            </w:r>
          </w:p>
        </w:tc>
      </w:tr>
      <w:tr>
        <w:tc>
          <w:tcPr>
            <w:tcW w:type="dxa" w:w="2340"/>
            <w:tcMar>
              <w:top w:w="120" w:type="dxa"/>
              <w:bottom w:w="120" w:type="dxa"/>
              <w:left w:w="150" w:type="dxa"/>
              <w:right w:w="150" w:type="dxa"/>
            </w:tcMar>
          </w:tcPr>
          <w:p>
            <w:pPr>
              <w:jc w:val="left"/>
            </w:pPr>
            <w:r/>
            <w:r>
              <w:rPr>
                <w:rFonts w:ascii="Times New Roman" w:hAnsi="Times New Roman"/>
                <w:sz w:val="21"/>
              </w:rPr>
              <w:t>**Random Forest (GridSearch)**</w:t>
            </w:r>
          </w:p>
        </w:tc>
        <w:tc>
          <w:tcPr>
            <w:tcW w:type="dxa" w:w="2340"/>
            <w:tcMar>
              <w:top w:w="120" w:type="dxa"/>
              <w:bottom w:w="120" w:type="dxa"/>
              <w:left w:w="150" w:type="dxa"/>
              <w:right w:w="150" w:type="dxa"/>
            </w:tcMar>
          </w:tcPr>
          <w:p>
            <w:pPr>
              <w:jc w:val="left"/>
            </w:pPr>
            <w:r/>
            <w:r>
              <w:rPr>
                <w:rFonts w:ascii="Times New Roman" w:hAnsi="Times New Roman"/>
                <w:sz w:val="21"/>
              </w:rPr>
              <w:t>52.01%</w:t>
            </w:r>
          </w:p>
        </w:tc>
        <w:tc>
          <w:tcPr>
            <w:tcW w:type="dxa" w:w="2340"/>
            <w:tcMar>
              <w:top w:w="120" w:type="dxa"/>
              <w:bottom w:w="120" w:type="dxa"/>
              <w:left w:w="150" w:type="dxa"/>
              <w:right w:w="150" w:type="dxa"/>
            </w:tcMar>
          </w:tcPr>
          <w:p>
            <w:pPr>
              <w:jc w:val="left"/>
            </w:pPr>
            <w:r/>
            <w:r>
              <w:rPr>
                <w:rFonts w:ascii="Times New Roman" w:hAnsi="Times New Roman"/>
                <w:sz w:val="21"/>
              </w:rPr>
              <w:t>0.4496</w:t>
            </w:r>
          </w:p>
        </w:tc>
        <w:tc>
          <w:tcPr>
            <w:tcW w:type="dxa" w:w="2340"/>
            <w:tcMar>
              <w:top w:w="120" w:type="dxa"/>
              <w:bottom w:w="120" w:type="dxa"/>
              <w:left w:w="150" w:type="dxa"/>
              <w:right w:w="150" w:type="dxa"/>
            </w:tcMar>
          </w:tcPr>
          <w:p>
            <w:pPr>
              <w:jc w:val="left"/>
            </w:pPr>
            <w:r/>
            <w:r>
              <w:rPr>
                <w:rFonts w:ascii="Times New Roman" w:hAnsi="Times New Roman"/>
                <w:sz w:val="21"/>
              </w:rPr>
              <w:t>`n_estimators=300`, `max_depth=14`, Gini Impurity</w:t>
            </w:r>
          </w:p>
        </w:tc>
      </w:tr>
      <w:tr>
        <w:tc>
          <w:tcPr>
            <w:tcW w:type="dxa" w:w="2340"/>
            <w:tcMar>
              <w:top w:w="120" w:type="dxa"/>
              <w:bottom w:w="120" w:type="dxa"/>
              <w:left w:w="150" w:type="dxa"/>
              <w:right w:w="150" w:type="dxa"/>
            </w:tcMar>
          </w:tcPr>
          <w:p>
            <w:pPr>
              <w:jc w:val="left"/>
            </w:pPr>
            <w:r/>
            <w:r>
              <w:rPr>
                <w:rFonts w:ascii="Times New Roman" w:hAnsi="Times New Roman"/>
                <w:sz w:val="21"/>
              </w:rPr>
              <w:t>**XGBoost Classifier**</w:t>
            </w:r>
          </w:p>
        </w:tc>
        <w:tc>
          <w:tcPr>
            <w:tcW w:type="dxa" w:w="2340"/>
            <w:tcMar>
              <w:top w:w="120" w:type="dxa"/>
              <w:bottom w:w="120" w:type="dxa"/>
              <w:left w:w="150" w:type="dxa"/>
              <w:right w:w="150" w:type="dxa"/>
            </w:tcMar>
          </w:tcPr>
          <w:p>
            <w:pPr>
              <w:jc w:val="left"/>
            </w:pPr>
            <w:r/>
            <w:r>
              <w:rPr>
                <w:rFonts w:ascii="Times New Roman" w:hAnsi="Times New Roman"/>
                <w:sz w:val="21"/>
              </w:rPr>
              <w:t>51.31%</w:t>
            </w:r>
          </w:p>
        </w:tc>
        <w:tc>
          <w:tcPr>
            <w:tcW w:type="dxa" w:w="2340"/>
            <w:tcMar>
              <w:top w:w="120" w:type="dxa"/>
              <w:bottom w:w="120" w:type="dxa"/>
              <w:left w:w="150" w:type="dxa"/>
              <w:right w:w="150" w:type="dxa"/>
            </w:tcMar>
          </w:tcPr>
          <w:p>
            <w:pPr>
              <w:jc w:val="left"/>
            </w:pPr>
            <w:r/>
            <w:r>
              <w:rPr>
                <w:rFonts w:ascii="Times New Roman" w:hAnsi="Times New Roman"/>
                <w:sz w:val="21"/>
              </w:rPr>
              <w:t>0.4836</w:t>
            </w:r>
          </w:p>
        </w:tc>
        <w:tc>
          <w:tcPr>
            <w:tcW w:type="dxa" w:w="2340"/>
            <w:tcMar>
              <w:top w:w="120" w:type="dxa"/>
              <w:bottom w:w="120" w:type="dxa"/>
              <w:left w:w="150" w:type="dxa"/>
              <w:right w:w="150" w:type="dxa"/>
            </w:tcMar>
          </w:tcPr>
          <w:p>
            <w:pPr>
              <w:jc w:val="left"/>
            </w:pPr>
            <w:r/>
            <w:r>
              <w:rPr>
                <w:rFonts w:ascii="Times New Roman" w:hAnsi="Times New Roman"/>
                <w:sz w:val="21"/>
              </w:rPr>
              <w:t>`n_estimators=300`, `max_depth=10`, `learning_rate=0.08`</w:t>
            </w:r>
          </w:p>
        </w:tc>
      </w:tr>
    </w:tbl>
    <w:p>
      <w:pPr>
        <w:spacing w:line="360" w:lineRule="auto" w:after="160"/>
        <w:jc w:val="both"/>
      </w:pPr>
      <w:r>
        <w:rPr>
          <w:rFonts w:ascii="Times New Roman" w:hAnsi="Times New Roman"/>
          <w:sz w:val="24"/>
        </w:rPr>
        <w:t>XGBoost Classifier was selected as BorsaNeuron's core online inference engine. Despite having a slightly lower raw accuracy (51.31% vs 52.01% for RF), XGBoost yielded a superior F1-score (</w:t>
      </w:r>
      <w:r>
        <w:rPr>
          <w:rFonts w:ascii="Times New Roman" w:hAnsi="Times New Roman"/>
          <w:b/>
          <w:sz w:val="24"/>
        </w:rPr>
        <w:t>0.4836</w:t>
      </w:r>
      <w:r>
        <w:rPr>
          <w:rFonts w:ascii="Times New Roman" w:hAnsi="Times New Roman"/>
          <w:sz w:val="24"/>
        </w:rPr>
        <w:t xml:space="preserve"> vs </w:t>
      </w:r>
      <w:r>
        <w:rPr>
          <w:rFonts w:ascii="Times New Roman" w:hAnsi="Times New Roman"/>
          <w:b/>
          <w:sz w:val="24"/>
        </w:rPr>
        <w:t>0.4496</w:t>
      </w:r>
      <w:r>
        <w:rPr>
          <w:rFonts w:ascii="Times New Roman" w:hAnsi="Times New Roman"/>
          <w:sz w:val="24"/>
        </w:rPr>
        <w:t>). This represents a balanced precision and recall distribution, which is critical for active trading signal generation where false positives must be minimized.</w:t>
      </w:r>
    </w:p>
    <w:p/>
    <w:p>
      <w:pPr>
        <w:spacing w:line="360" w:lineRule="auto" w:after="160"/>
        <w:jc w:val="both"/>
      </w:pPr>
      <w:r>
        <w:rPr>
          <w:rFonts w:ascii="Times New Roman" w:hAnsi="Times New Roman"/>
          <w:sz w:val="24"/>
        </w:rPr>
        <w:t>The final XGBoost model's feature importance ranking reveals the following analytical weights:</w:t>
      </w:r>
    </w:p>
    <w:p>
      <w:pPr>
        <w:spacing w:line="360" w:lineRule="auto" w:after="160"/>
        <w:jc w:val="both"/>
      </w:pPr>
      <w:r>
        <w:rPr>
          <w:rFonts w:ascii="Times New Roman" w:hAnsi="Times New Roman"/>
          <w:sz w:val="24"/>
        </w:rPr>
        <w:t xml:space="preserve">1.  </w:t>
      </w:r>
      <w:r>
        <w:rPr>
          <w:rFonts w:ascii="Times New Roman" w:hAnsi="Times New Roman"/>
          <w:b/>
          <w:sz w:val="24"/>
        </w:rPr>
        <w:t>Resistance_Level</w:t>
      </w:r>
      <w:r>
        <w:rPr>
          <w:rFonts w:ascii="Times New Roman" w:hAnsi="Times New Roman"/>
          <w:sz w:val="24"/>
        </w:rPr>
        <w:t xml:space="preserve"> (5.71%) — Breakout level marker.</w:t>
      </w:r>
    </w:p>
    <w:p>
      <w:pPr>
        <w:spacing w:line="360" w:lineRule="auto" w:after="160"/>
        <w:jc w:val="both"/>
      </w:pPr>
      <w:r>
        <w:rPr>
          <w:rFonts w:ascii="Times New Roman" w:hAnsi="Times New Roman"/>
          <w:sz w:val="24"/>
        </w:rPr>
        <w:t xml:space="preserve">2.  </w:t>
      </w:r>
      <w:r>
        <w:rPr>
          <w:rFonts w:ascii="Times New Roman" w:hAnsi="Times New Roman"/>
          <w:b/>
          <w:sz w:val="24"/>
        </w:rPr>
        <w:t>Support_Level</w:t>
      </w:r>
      <w:r>
        <w:rPr>
          <w:rFonts w:ascii="Times New Roman" w:hAnsi="Times New Roman"/>
          <w:sz w:val="24"/>
        </w:rPr>
        <w:t xml:space="preserve"> (5.60%) — Structural price floors.</w:t>
      </w:r>
    </w:p>
    <w:p>
      <w:pPr>
        <w:spacing w:line="360" w:lineRule="auto" w:after="160"/>
        <w:jc w:val="both"/>
      </w:pPr>
      <w:r>
        <w:rPr>
          <w:rFonts w:ascii="Times New Roman" w:hAnsi="Times New Roman"/>
          <w:sz w:val="24"/>
        </w:rPr>
        <w:t xml:space="preserve">3.  </w:t>
      </w:r>
      <w:r>
        <w:rPr>
          <w:rFonts w:ascii="Times New Roman" w:hAnsi="Times New Roman"/>
          <w:b/>
          <w:sz w:val="24"/>
        </w:rPr>
        <w:t>Pat_Yok</w:t>
      </w:r>
      <w:r>
        <w:rPr>
          <w:rFonts w:ascii="Times New Roman" w:hAnsi="Times New Roman"/>
          <w:sz w:val="24"/>
        </w:rPr>
        <w:t xml:space="preserve"> (5.58%) — Indicates periods of trend-less consolidation.</w:t>
      </w:r>
    </w:p>
    <w:p>
      <w:pPr>
        <w:spacing w:line="360" w:lineRule="auto" w:after="160"/>
        <w:jc w:val="both"/>
      </w:pPr>
      <w:r>
        <w:rPr>
          <w:rFonts w:ascii="Times New Roman" w:hAnsi="Times New Roman"/>
          <w:sz w:val="24"/>
        </w:rPr>
        <w:t xml:space="preserve">4.  </w:t>
      </w:r>
      <w:r>
        <w:rPr>
          <w:rFonts w:ascii="Times New Roman" w:hAnsi="Times New Roman"/>
          <w:b/>
          <w:sz w:val="24"/>
        </w:rPr>
        <w:t>Pat_OBO (Head &amp; Shoulders)</w:t>
      </w:r>
      <w:r>
        <w:rPr>
          <w:rFonts w:ascii="Times New Roman" w:hAnsi="Times New Roman"/>
          <w:sz w:val="24"/>
        </w:rPr>
        <w:t xml:space="preserve"> (5.27%) — Bearish reversal signal.</w:t>
      </w:r>
    </w:p>
    <w:p>
      <w:pPr>
        <w:spacing w:line="360" w:lineRule="auto" w:after="160"/>
        <w:jc w:val="both"/>
      </w:pPr>
      <w:r>
        <w:rPr>
          <w:rFonts w:ascii="Times New Roman" w:hAnsi="Times New Roman"/>
          <w:sz w:val="24"/>
        </w:rPr>
        <w:t xml:space="preserve">5.  </w:t>
      </w:r>
      <w:r>
        <w:rPr>
          <w:rFonts w:ascii="Times New Roman" w:hAnsi="Times New Roman"/>
          <w:b/>
          <w:sz w:val="24"/>
        </w:rPr>
        <w:t>SMA_50</w:t>
      </w:r>
      <w:r>
        <w:rPr>
          <w:rFonts w:ascii="Times New Roman" w:hAnsi="Times New Roman"/>
          <w:sz w:val="24"/>
        </w:rPr>
        <w:t xml:space="preserve"> (5.26%) — Medium-term trend benchmark.</w:t>
      </w:r>
    </w:p>
    <w:p>
      <w:pPr>
        <w:spacing w:line="360" w:lineRule="auto" w:after="160"/>
        <w:jc w:val="both"/>
      </w:pPr>
      <w:r>
        <w:rPr>
          <w:rFonts w:ascii="Times New Roman" w:hAnsi="Times New Roman"/>
          <w:sz w:val="24"/>
        </w:rPr>
        <w:t xml:space="preserve">6.  </w:t>
      </w:r>
      <w:r>
        <w:rPr>
          <w:rFonts w:ascii="Times New Roman" w:hAnsi="Times New Roman"/>
          <w:b/>
          <w:sz w:val="24"/>
        </w:rPr>
        <w:t>SMA_200</w:t>
      </w:r>
      <w:r>
        <w:rPr>
          <w:rFonts w:ascii="Times New Roman" w:hAnsi="Times New Roman"/>
          <w:sz w:val="24"/>
        </w:rPr>
        <w:t xml:space="preserve"> (5.10%) — Major institutional support and trend line.</w:t>
      </w:r>
    </w:p>
    <w:p>
      <w:pPr>
        <w:spacing w:line="360" w:lineRule="auto" w:after="160"/>
        <w:jc w:val="both"/>
      </w:pPr>
      <w:r>
        <w:rPr>
          <w:rFonts w:ascii="Times New Roman" w:hAnsi="Times New Roman"/>
          <w:sz w:val="24"/>
        </w:rPr>
        <w:t xml:space="preserve">7.  </w:t>
      </w:r>
      <w:r>
        <w:rPr>
          <w:rFonts w:ascii="Times New Roman" w:hAnsi="Times New Roman"/>
          <w:b/>
          <w:sz w:val="24"/>
        </w:rPr>
        <w:t>Pat_TOBO (Inverse Head &amp; Shoulders)</w:t>
      </w:r>
      <w:r>
        <w:rPr>
          <w:rFonts w:ascii="Times New Roman" w:hAnsi="Times New Roman"/>
          <w:sz w:val="24"/>
        </w:rPr>
        <w:t xml:space="preserve"> (5.05%) — Strong bullish reversal pattern.</w:t>
      </w:r>
    </w:p>
    <w:p>
      <w:pPr>
        <w:spacing w:line="360" w:lineRule="auto" w:after="160"/>
        <w:jc w:val="both"/>
      </w:pPr>
      <w:r>
        <w:rPr>
          <w:rFonts w:ascii="Times New Roman" w:hAnsi="Times New Roman"/>
          <w:sz w:val="24"/>
        </w:rPr>
        <w:t xml:space="preserve">8.  </w:t>
      </w:r>
      <w:r>
        <w:rPr>
          <w:rFonts w:ascii="Times New Roman" w:hAnsi="Times New Roman"/>
          <w:b/>
          <w:sz w:val="24"/>
        </w:rPr>
        <w:t>BB_Middle</w:t>
      </w:r>
      <w:r>
        <w:rPr>
          <w:rFonts w:ascii="Times New Roman" w:hAnsi="Times New Roman"/>
          <w:sz w:val="24"/>
        </w:rPr>
        <w:t xml:space="preserve"> (4.90%) &amp; </w:t>
      </w:r>
      <w:r>
        <w:rPr>
          <w:rFonts w:ascii="Times New Roman" w:hAnsi="Times New Roman"/>
          <w:b/>
          <w:sz w:val="24"/>
        </w:rPr>
        <w:t>BB_Lower</w:t>
      </w:r>
      <w:r>
        <w:rPr>
          <w:rFonts w:ascii="Times New Roman" w:hAnsi="Times New Roman"/>
          <w:sz w:val="24"/>
        </w:rPr>
        <w:t xml:space="preserve"> (4.89%) — Standard deviation volatility boundaries.</w:t>
      </w:r>
    </w:p>
    <w:p/>
    <w:p>
      <w:pPr>
        <w:jc w:val="center"/>
      </w:pPr>
      <w:r>
        <w:drawing>
          <wp:inline xmlns:a="http://schemas.openxmlformats.org/drawingml/2006/main" xmlns:pic="http://schemas.openxmlformats.org/drawingml/2006/picture">
            <wp:extent cx="5486400" cy="3259110"/>
            <wp:docPr id="8" name="Picture 8"/>
            <wp:cNvGraphicFramePr>
              <a:graphicFrameLocks noChangeAspect="1"/>
            </wp:cNvGraphicFramePr>
            <a:graphic>
              <a:graphicData uri="http://schemas.openxmlformats.org/drawingml/2006/picture">
                <pic:pic>
                  <pic:nvPicPr>
                    <pic:cNvPr id="0" name="10_model_karsilastirma.png"/>
                    <pic:cNvPicPr/>
                  </pic:nvPicPr>
                  <pic:blipFill>
                    <a:blip r:embed="rId17"/>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Performance Comparison</w:t>
      </w:r>
    </w:p>
    <w:p>
      <w:pPr>
        <w:spacing w:line="360" w:lineRule="auto" w:after="160"/>
        <w:jc w:val="both"/>
      </w:pPr>
      <w:r>
        <w:rPr>
          <w:rFonts w:ascii="Times New Roman" w:hAnsi="Times New Roman"/>
          <w:i/>
          <w:sz w:val="24"/>
        </w:rPr>
        <w:t>Figure 4.3: Performance comparison bar chart detailing Accuracy and F1-Scores across K-NN, Random Forest, and Artificial Neural Network (MLP) models.</w:t>
      </w:r>
    </w:p>
    <w:p/>
    <w:p>
      <w:pPr>
        <w:jc w:val="center"/>
      </w:pPr>
      <w:r>
        <w:drawing>
          <wp:inline xmlns:a="http://schemas.openxmlformats.org/drawingml/2006/main" xmlns:pic="http://schemas.openxmlformats.org/drawingml/2006/picture">
            <wp:extent cx="5486400" cy="1707764"/>
            <wp:docPr id="9" name="Picture 9"/>
            <wp:cNvGraphicFramePr>
              <a:graphicFrameLocks noChangeAspect="1"/>
            </wp:cNvGraphicFramePr>
            <a:graphic>
              <a:graphicData uri="http://schemas.openxmlformats.org/drawingml/2006/picture">
                <pic:pic>
                  <pic:nvPicPr>
                    <pic:cNvPr id="0" name="09_confusion_matrix.png"/>
                    <pic:cNvPicPr/>
                  </pic:nvPicPr>
                  <pic:blipFill>
                    <a:blip r:embed="rId18"/>
                    <a:stretch>
                      <a:fillRect/>
                    </a:stretch>
                  </pic:blipFill>
                  <pic:spPr>
                    <a:xfrm>
                      <a:off x="0" y="0"/>
                      <a:ext cx="5486400" cy="1707764"/>
                    </a:xfrm>
                    <a:prstGeom prst="rect"/>
                  </pic:spPr>
                </pic:pic>
              </a:graphicData>
            </a:graphic>
          </wp:inline>
        </w:drawing>
      </w:r>
    </w:p>
    <w:p>
      <w:pPr>
        <w:jc w:val="center"/>
      </w:pPr>
      <w:r>
        <w:rPr>
          <w:rFonts w:ascii="Times New Roman" w:hAnsi="Times New Roman"/>
          <w:i/>
          <w:color w:val="505050"/>
          <w:sz w:val="20"/>
        </w:rPr>
        <w:t>Figure: Confusion Matrix of the Classifiers</w:t>
      </w:r>
    </w:p>
    <w:p>
      <w:pPr>
        <w:spacing w:line="360" w:lineRule="auto" w:after="160"/>
        <w:jc w:val="both"/>
      </w:pPr>
      <w:r>
        <w:rPr>
          <w:rFonts w:ascii="Times New Roman" w:hAnsi="Times New Roman"/>
          <w:i/>
          <w:sz w:val="24"/>
        </w:rPr>
        <w:t>Figure 4.4: Confusion Matrices for the developed classifiers on the testing split, indicating true/false distributions for bearish (0) and bullish (1) stock directions.</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5. BORSANEURON TERMINAL INTERFACE</w:t>
      </w:r>
    </w:p>
    <w:p/>
    <w:p>
      <w:pPr>
        <w:pStyle w:val="Heading2"/>
        <w:spacing w:before="240" w:after="120"/>
        <w:jc w:val="left"/>
      </w:pPr>
      <w:r>
        <w:rPr>
          <w:rFonts w:ascii="Times New Roman" w:hAnsi="Times New Roman"/>
          <w:b/>
          <w:color w:val="1E1E1E"/>
          <w:sz w:val="28"/>
        </w:rPr>
        <w:t>5.1. Streamlit UI Layout and Design</w:t>
      </w:r>
    </w:p>
    <w:p>
      <w:pPr>
        <w:spacing w:line="360" w:lineRule="auto" w:after="160"/>
        <w:jc w:val="both"/>
      </w:pPr>
      <w:r>
        <w:rPr>
          <w:rFonts w:ascii="Times New Roman" w:hAnsi="Times New Roman"/>
          <w:sz w:val="24"/>
        </w:rPr>
        <w:t>To bridge quantitative models with human execution, a premium web application was built using Streamlit. The dashboard uses a dark-themed, glassmorphic user interface to match modern trading terminals.</w:t>
      </w:r>
    </w:p>
    <w:p/>
    <w:p>
      <w:pPr>
        <w:spacing w:line="360" w:lineRule="auto" w:after="160"/>
        <w:jc w:val="both"/>
      </w:pPr>
      <w:r>
        <w:rPr>
          <w:rFonts w:ascii="Times New Roman" w:hAnsi="Times New Roman"/>
          <w:sz w:val="24"/>
        </w:rPr>
        <w:t>The application layout is structured around a sidebar navigation panel containing the following pages:</w:t>
      </w:r>
    </w:p>
    <w:p>
      <w:pPr>
        <w:spacing w:line="360" w:lineRule="auto" w:after="160"/>
        <w:jc w:val="both"/>
      </w:pPr>
      <w:r>
        <w:rPr>
          <w:rFonts w:ascii="Times New Roman" w:hAnsi="Times New Roman"/>
          <w:sz w:val="24"/>
        </w:rPr>
        <w:t xml:space="preserve">1.  </w:t>
      </w:r>
      <w:r>
        <w:rPr>
          <w:rFonts w:ascii="Times New Roman" w:hAnsi="Times New Roman"/>
          <w:b/>
          <w:sz w:val="24"/>
        </w:rPr>
        <w:t>Welcome Dashboard:</w:t>
      </w:r>
      <w:r>
        <w:rPr>
          <w:rFonts w:ascii="Times New Roman" w:hAnsi="Times New Roman"/>
          <w:sz w:val="24"/>
        </w:rPr>
        <w:t xml:space="preserve"> Displays core platform documentation, system status metrics, active model configurations, and a comprehensive overview of BorsaNeuron's capabilities.</w:t>
      </w:r>
    </w:p>
    <w:p>
      <w:pPr>
        <w:spacing w:line="360" w:lineRule="auto" w:after="160"/>
        <w:jc w:val="both"/>
      </w:pPr>
      <w:r>
        <w:rPr>
          <w:rFonts w:ascii="Times New Roman" w:hAnsi="Times New Roman"/>
          <w:sz w:val="24"/>
        </w:rPr>
        <w:t xml:space="preserve">2.  </w:t>
      </w:r>
      <w:r>
        <w:rPr>
          <w:rFonts w:ascii="Times New Roman" w:hAnsi="Times New Roman"/>
          <w:b/>
          <w:sz w:val="24"/>
        </w:rPr>
        <w:t>Live Stock Forecasting:</w:t>
      </w:r>
      <w:r>
        <w:rPr>
          <w:rFonts w:ascii="Times New Roman" w:hAnsi="Times New Roman"/>
          <w:sz w:val="24"/>
        </w:rPr>
        <w:t xml:space="preserve"> The core quantitative panel where users select a BIST ticker. The application fetches live market pricing, computes the technical indicator feature vector, standardizes the metrics, and passes them to the pre-trained neural network to output real-time </w:t>
      </w:r>
      <w:r>
        <w:rPr>
          <w:rFonts w:ascii="Courier New" w:hAnsi="Courier New"/>
          <w:sz w:val="21"/>
        </w:rPr>
        <w:t>Target_T5</w:t>
      </w:r>
      <w:r>
        <w:rPr>
          <w:rFonts w:ascii="Times New Roman" w:hAnsi="Times New Roman"/>
          <w:sz w:val="24"/>
        </w:rPr>
        <w:t xml:space="preserve"> predictions.</w:t>
      </w:r>
    </w:p>
    <w:p>
      <w:pPr>
        <w:spacing w:line="360" w:lineRule="auto" w:after="160"/>
        <w:jc w:val="both"/>
      </w:pPr>
      <w:r>
        <w:rPr>
          <w:rFonts w:ascii="Times New Roman" w:hAnsi="Times New Roman"/>
          <w:sz w:val="24"/>
        </w:rPr>
        <w:t xml:space="preserve">3.  </w:t>
      </w:r>
      <w:r>
        <w:rPr>
          <w:rFonts w:ascii="Times New Roman" w:hAnsi="Times New Roman"/>
          <w:b/>
          <w:sz w:val="24"/>
        </w:rPr>
        <w:t>Automated Pattern Scanner:</w:t>
      </w:r>
      <w:r>
        <w:rPr>
          <w:rFonts w:ascii="Times New Roman" w:hAnsi="Times New Roman"/>
          <w:sz w:val="24"/>
        </w:rPr>
        <w:t xml:space="preserve"> An advanced scanner that analyzes historical price data to flag classical chart patterns.</w:t>
      </w:r>
    </w:p>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borsaneuron_ui_dashboard.png"/>
                    <pic:cNvPicPr/>
                  </pic:nvPicPr>
                  <pic:blipFill>
                    <a:blip r:embed="rId19"/>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Platform Welcome &amp; Performance Dashboard</w:t>
      </w:r>
    </w:p>
    <w:p>
      <w:pPr>
        <w:spacing w:line="360" w:lineRule="auto" w:after="160"/>
        <w:jc w:val="both"/>
      </w:pPr>
      <w:r>
        <w:rPr>
          <w:rFonts w:ascii="Times New Roman" w:hAnsi="Times New Roman"/>
          <w:i/>
          <w:sz w:val="24"/>
        </w:rPr>
        <w:t>Figure 5.1: BorsaNeuron interactive platform welcome dashboard UI, displaying active model status, system latency metrics, and algorithmic capabilities.</w:t>
      </w:r>
    </w:p>
    <w:p/>
    <w:p>
      <w:pPr>
        <w:pStyle w:val="Heading2"/>
        <w:spacing w:before="240" w:after="120"/>
        <w:jc w:val="left"/>
      </w:pPr>
      <w:r>
        <w:rPr>
          <w:rFonts w:ascii="Times New Roman" w:hAnsi="Times New Roman"/>
          <w:b/>
          <w:color w:val="1E1E1E"/>
          <w:sz w:val="28"/>
        </w:rPr>
        <w:t>5.2. Live yfinance Streaming and Technical Calculations</w:t>
      </w:r>
    </w:p>
    <w:p>
      <w:pPr>
        <w:spacing w:line="360" w:lineRule="auto" w:after="160"/>
        <w:jc w:val="both"/>
      </w:pPr>
      <w:r>
        <w:rPr>
          <w:rFonts w:ascii="Times New Roman" w:hAnsi="Times New Roman"/>
          <w:sz w:val="24"/>
        </w:rPr>
        <w:t>In the live Streamlit backend (</w:t>
      </w:r>
      <w:r>
        <w:rPr>
          <w:rFonts w:ascii="Courier New" w:hAnsi="Courier New"/>
          <w:sz w:val="21"/>
        </w:rPr>
        <w:t>app.py</w:t>
      </w:r>
      <w:r>
        <w:rPr>
          <w:rFonts w:ascii="Times New Roman" w:hAnsi="Times New Roman"/>
          <w:sz w:val="24"/>
        </w:rPr>
        <w:t>), the serializations are loaded into memory and yfinance handles live price streams:</w:t>
      </w:r>
    </w:p>
    <w:p/>
    <w:p>
      <w:pPr>
        <w:spacing w:before="0" w:after="0"/>
        <w:ind w:left="720" w:right="720"/>
        <w:shd w:fill="F4F4F5"/>
      </w:pPr>
      <w:r>
        <w:rPr>
          <w:rFonts w:ascii="Courier New" w:hAnsi="Courier New"/>
          <w:color w:val="3C3C3C"/>
          <w:sz w:val="19"/>
        </w:rPr>
        <w:t># Real-time loading and inference</w:t>
      </w:r>
    </w:p>
    <w:p>
      <w:pPr>
        <w:spacing w:before="0" w:after="0"/>
        <w:ind w:left="720" w:right="720"/>
        <w:shd w:fill="F4F4F5"/>
      </w:pPr>
      <w:r>
        <w:rPr>
          <w:rFonts w:ascii="Courier New" w:hAnsi="Courier New"/>
          <w:color w:val="3C3C3C"/>
          <w:sz w:val="19"/>
        </w:rPr>
        <w:t>import yfinance as yf</w:t>
      </w:r>
    </w:p>
    <w:p>
      <w:pPr>
        <w:spacing w:before="0" w:after="0"/>
        <w:ind w:left="720" w:right="720"/>
        <w:shd w:fill="F4F4F5"/>
      </w:pPr>
      <w:r>
        <w:rPr>
          <w:rFonts w:ascii="Courier New" w:hAnsi="Courier New"/>
          <w:color w:val="3C3C3C"/>
          <w:sz w:val="19"/>
        </w:rPr>
        <w:t>import 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scaler = joblib.load("best_scaler_acm465.joblib")</w:t>
      </w:r>
    </w:p>
    <w:p>
      <w:pPr>
        <w:spacing w:before="0" w:after="0"/>
        <w:ind w:left="720" w:right="720"/>
        <w:shd w:fill="F4F4F5"/>
      </w:pPr>
      <w:r>
        <w:rPr>
          <w:rFonts w:ascii="Courier New" w:hAnsi="Courier New"/>
          <w:color w:val="3C3C3C"/>
          <w:sz w:val="19"/>
        </w:rPr>
        <w:t>model = joblib.load("best_model_acm465.joblib")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def get_live_forecast(ticker):</w:t>
      </w:r>
    </w:p>
    <w:p>
      <w:pPr>
        <w:spacing w:before="0" w:after="0"/>
        <w:ind w:left="720" w:right="720"/>
        <w:shd w:fill="F4F4F5"/>
      </w:pPr>
      <w:r>
        <w:rPr>
          <w:rFonts w:ascii="Courier New" w:hAnsi="Courier New"/>
          <w:color w:val="3C3C3C"/>
          <w:sz w:val="19"/>
        </w:rPr>
        <w:t xml:space="preserve">    df_live = yf.download(ticker, period="1y", interval="1d")</w:t>
      </w:r>
    </w:p>
    <w:p>
      <w:pPr>
        <w:spacing w:before="0" w:after="0"/>
        <w:ind w:left="720" w:right="720"/>
        <w:shd w:fill="F4F4F5"/>
      </w:pPr>
      <w:r>
        <w:rPr>
          <w:rFonts w:ascii="Courier New" w:hAnsi="Courier New"/>
          <w:color w:val="3C3C3C"/>
          <w:sz w:val="19"/>
        </w:rPr>
        <w:t xml:space="preserve">    feature_vector = compute_technical_vector(df_live)</w:t>
      </w:r>
    </w:p>
    <w:p>
      <w:pPr>
        <w:spacing w:before="0" w:after="0"/>
        <w:ind w:left="720" w:right="720"/>
        <w:shd w:fill="F4F4F5"/>
      </w:pPr>
      <w:r>
        <w:rPr>
          <w:rFonts w:ascii="Courier New" w:hAnsi="Courier New"/>
          <w:color w:val="3C3C3C"/>
          <w:sz w:val="19"/>
        </w:rPr>
        <w:t xml:space="preserve">    scaled_vector = scaler.transform([feature_vector])</w:t>
      </w:r>
    </w:p>
    <w:p>
      <w:pPr>
        <w:spacing w:before="0" w:after="0"/>
        <w:ind w:left="720" w:right="720"/>
        <w:shd w:fill="F4F4F5"/>
      </w:pPr>
      <w:r>
        <w:rPr>
          <w:rFonts w:ascii="Courier New" w:hAnsi="Courier New"/>
          <w:color w:val="3C3C3C"/>
          <w:sz w:val="19"/>
        </w:rPr>
        <w:t xml:space="preserve">    prediction = model.predict(scaled_vector)[0]</w:t>
      </w:r>
    </w:p>
    <w:p>
      <w:pPr>
        <w:spacing w:before="0" w:after="0"/>
        <w:ind w:left="720" w:right="720"/>
        <w:shd w:fill="F4F4F5"/>
      </w:pPr>
      <w:r>
        <w:rPr>
          <w:rFonts w:ascii="Courier New" w:hAnsi="Courier New"/>
          <w:color w:val="3C3C3C"/>
          <w:sz w:val="19"/>
        </w:rPr>
        <w:t xml:space="preserve">    probability = model.predict_proba(scaled_vector)[0][1]</w:t>
      </w:r>
    </w:p>
    <w:p>
      <w:pPr>
        <w:spacing w:before="0" w:after="0"/>
        <w:ind w:left="720" w:right="720"/>
        <w:shd w:fill="F4F4F5"/>
      </w:pPr>
      <w:r>
        <w:rPr>
          <w:rFonts w:ascii="Courier New" w:hAnsi="Courier New"/>
          <w:color w:val="3C3C3C"/>
          <w:sz w:val="19"/>
        </w:rPr>
        <w:t xml:space="preserve">    return prediction, probability</w:t>
      </w:r>
    </w:p>
    <w:p/>
    <w:p>
      <w:pPr>
        <w:spacing w:line="360" w:lineRule="auto" w:after="160"/>
        <w:jc w:val="both"/>
      </w:pPr>
      <w:r>
        <w:rPr>
          <w:rFonts w:ascii="Times New Roman" w:hAnsi="Times New Roman"/>
          <w:sz w:val="24"/>
        </w:rPr>
        <w:t>This pipeline allows the web dashboard to instantly generate active market predictions for any BIST stock.</w:t>
      </w:r>
    </w:p>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borsaneuron_hisse_sorgu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Real-Time Stock Forecasting and Live yfinance Inference Panel</w:t>
      </w:r>
    </w:p>
    <w:p>
      <w:pPr>
        <w:spacing w:line="360" w:lineRule="auto" w:after="160"/>
        <w:jc w:val="both"/>
      </w:pPr>
      <w:r>
        <w:rPr>
          <w:rFonts w:ascii="Times New Roman" w:hAnsi="Times New Roman"/>
          <w:i/>
          <w:sz w:val="24"/>
        </w:rPr>
        <w:t>Figure 5.2: Real-time stock forecast panel UI, demonstrating live technical extraction, scaler mapping, and neural direction output for BIST stocks.</w:t>
      </w:r>
    </w:p>
    <w:p/>
    <w:p>
      <w:pPr>
        <w:pStyle w:val="Heading2"/>
        <w:spacing w:before="240" w:after="120"/>
        <w:jc w:val="left"/>
      </w:pPr>
      <w:r>
        <w:rPr>
          <w:rFonts w:ascii="Times New Roman" w:hAnsi="Times New Roman"/>
          <w:b/>
          <w:color w:val="1E1E1E"/>
          <w:sz w:val="28"/>
        </w:rPr>
        <w:t>5.3. Historical Stock Behavior Weights &amp; Decision Integration</w:t>
      </w:r>
    </w:p>
    <w:p>
      <w:pPr>
        <w:spacing w:line="360" w:lineRule="auto" w:after="160"/>
        <w:jc w:val="both"/>
      </w:pPr>
      <w:r>
        <w:rPr>
          <w:rFonts w:ascii="Times New Roman" w:hAnsi="Times New Roman"/>
          <w:sz w:val="24"/>
        </w:rPr>
        <w:t xml:space="preserve">A primary innovation in this terminal is the </w:t>
      </w:r>
      <w:r>
        <w:rPr>
          <w:rFonts w:ascii="Times New Roman" w:hAnsi="Times New Roman"/>
          <w:b/>
          <w:sz w:val="24"/>
        </w:rPr>
        <w:t>Historical Stock Win Rate Analyzer</w:t>
      </w:r>
      <w:r>
        <w:rPr>
          <w:rFonts w:ascii="Times New Roman" w:hAnsi="Times New Roman"/>
          <w:sz w:val="24"/>
        </w:rPr>
        <w:t xml:space="preserve">. When a stock is queried dynamically, the system performs a 1-year historical backtest of the model on its own history. It calculates the stock's specific </w:t>
      </w:r>
      <w:r>
        <w:rPr>
          <w:rFonts w:ascii="Times New Roman" w:hAnsi="Times New Roman"/>
          <w:b/>
          <w:sz w:val="24"/>
        </w:rPr>
        <w:t>Win Rate</w:t>
      </w:r>
      <w:r>
        <w:rPr>
          <w:rFonts w:ascii="Times New Roman" w:hAnsi="Times New Roman"/>
          <w:sz w:val="24"/>
        </w:rPr>
        <w:t xml:space="preserve"> under the AI strategy:</w:t>
      </w:r>
    </w:p>
    <w:p/>
    <w:p>
      <w:pPr>
        <w:spacing w:line="360" w:lineRule="auto" w:after="160"/>
        <w:jc w:val="both"/>
      </w:pPr>
      <w:r>
        <w:rPr>
          <w:rFonts w:ascii="Times New Roman" w:hAnsi="Times New Roman"/>
          <w:sz w:val="24"/>
        </w:rPr>
        <w:t>$$\text{Win Rate} = \frac{\text{Correct Bullish Forecasts}}{\text{Total Bullish Signals}} \times 100$$</w:t>
      </w:r>
    </w:p>
    <w:p/>
    <w:p>
      <w:pPr>
        <w:spacing w:line="360" w:lineRule="auto" w:after="160"/>
        <w:jc w:val="both"/>
      </w:pPr>
      <w:r>
        <w:rPr>
          <w:rFonts w:ascii="Times New Roman" w:hAnsi="Times New Roman"/>
          <w:sz w:val="24"/>
        </w:rPr>
        <w:t>The system displays this as a dedicated decision factor. If the stock has a history of high compliance (Win Rate &gt; 60%), it outputs a strong buy confirmation. If the stock is highly volatile or erratic (Win Rate &lt; 48%), it issues an active risk warning.</w:t>
      </w:r>
    </w:p>
    <w:p/>
    <w:p>
      <w:pPr>
        <w:pStyle w:val="Heading2"/>
        <w:spacing w:before="240" w:after="120"/>
        <w:jc w:val="left"/>
      </w:pPr>
      <w:r>
        <w:rPr>
          <w:rFonts w:ascii="Times New Roman" w:hAnsi="Times New Roman"/>
          <w:b/>
          <w:color w:val="1E1E1E"/>
          <w:sz w:val="28"/>
        </w:rPr>
        <w:t>5.4. Sector Peer Analysis</w:t>
      </w:r>
    </w:p>
    <w:p>
      <w:pPr>
        <w:spacing w:line="360" w:lineRule="auto" w:after="160"/>
        <w:jc w:val="both"/>
      </w:pPr>
      <w:r>
        <w:rPr>
          <w:rFonts w:ascii="Times New Roman" w:hAnsi="Times New Roman"/>
          <w:sz w:val="24"/>
        </w:rPr>
        <w:t>The terminal groups stocks into sectors (Holding, Banking, Industrial, Energy, Logistics, etc.) and compares the queried stock's live metrics against the sector's historical averages. This provides direct macro-context to traders.</w:t>
      </w:r>
    </w:p>
    <w:p/>
    <w:p>
      <w:pPr>
        <w:pStyle w:val="Heading2"/>
        <w:spacing w:before="240" w:after="120"/>
        <w:jc w:val="left"/>
      </w:pPr>
      <w:r>
        <w:rPr>
          <w:rFonts w:ascii="Times New Roman" w:hAnsi="Times New Roman"/>
          <w:b/>
          <w:color w:val="1E1E1E"/>
          <w:sz w:val="28"/>
        </w:rPr>
        <w:t>5.5. Interactive Plotly Candlestick with AI Signal Annotations</w:t>
      </w:r>
    </w:p>
    <w:p>
      <w:pPr>
        <w:spacing w:line="360" w:lineRule="auto" w:after="160"/>
        <w:jc w:val="both"/>
      </w:pPr>
      <w:r>
        <w:rPr>
          <w:rFonts w:ascii="Times New Roman" w:hAnsi="Times New Roman"/>
          <w:sz w:val="24"/>
        </w:rPr>
        <w:t>BorsaNeuron renders a Plotly Candlestick chart overlaid with Bollinger Bands and moving averages. Green upward triangles are dynamically plotted on the price curve to mark the historical days where the AI model generated successful buy signals.</w:t>
      </w:r>
    </w:p>
    <w:p/>
    <w:p>
      <w:pPr>
        <w:pStyle w:val="Heading2"/>
        <w:spacing w:before="240" w:after="120"/>
        <w:jc w:val="left"/>
      </w:pPr>
      <w:r>
        <w:rPr>
          <w:rFonts w:ascii="Times New Roman" w:hAnsi="Times New Roman"/>
          <w:b/>
          <w:color w:val="1E1E1E"/>
          <w:sz w:val="28"/>
        </w:rPr>
        <w:t>5.6. Stock-Specific Live Backtest Simulator</w:t>
      </w:r>
    </w:p>
    <w:p>
      <w:pPr>
        <w:spacing w:line="360" w:lineRule="auto" w:after="160"/>
        <w:jc w:val="both"/>
      </w:pPr>
      <w:r>
        <w:rPr>
          <w:rFonts w:ascii="Times New Roman" w:hAnsi="Times New Roman"/>
          <w:sz w:val="24"/>
        </w:rPr>
        <w:t xml:space="preserve">A portfolio growth simulator is integrated into the stock query panel. It shows a cumulative growth curve comparing </w:t>
      </w:r>
      <w:r>
        <w:rPr>
          <w:rFonts w:ascii="Times New Roman" w:hAnsi="Times New Roman"/>
          <w:b/>
          <w:sz w:val="24"/>
        </w:rPr>
        <w:t>BorsaNeuron AI Strategy vs. Buy &amp; Hold Index</w:t>
      </w:r>
      <w:r>
        <w:rPr>
          <w:rFonts w:ascii="Times New Roman" w:hAnsi="Times New Roman"/>
          <w:sz w:val="24"/>
        </w:rPr>
        <w:t xml:space="preserve"> over the last 1 year, starting with a hypothetical 100,000 TL capital.</w:t>
      </w:r>
    </w:p>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borsaneuron_scenario_ui.png"/>
                    <pic:cNvPicPr/>
                  </pic:nvPicPr>
                  <pic:blipFill>
                    <a:blip r:embed="rId21"/>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What-If Scenario Simulation Panel</w:t>
      </w:r>
    </w:p>
    <w:p>
      <w:pPr>
        <w:spacing w:line="360" w:lineRule="auto" w:after="160"/>
        <w:jc w:val="both"/>
      </w:pPr>
      <w:r>
        <w:rPr>
          <w:rFonts w:ascii="Times New Roman" w:hAnsi="Times New Roman"/>
          <w:i/>
          <w:sz w:val="24"/>
        </w:rPr>
        <w:t>Figure 5.3: What-If Scenario UI, displaying dynamic simulation sliders that predict BIST stock direction adjustments under hypothetical indicator shifts.</w:t>
      </w:r>
    </w:p>
    <w:p/>
    <w:p>
      <w:pPr>
        <w:jc w:val="center"/>
      </w:pPr>
      <w:r>
        <w:drawing>
          <wp:inline xmlns:a="http://schemas.openxmlformats.org/drawingml/2006/main" xmlns:pic="http://schemas.openxmlformats.org/drawingml/2006/picture">
            <wp:extent cx="5486400" cy="1933359"/>
            <wp:docPr id="13" name="Picture 13"/>
            <wp:cNvGraphicFramePr>
              <a:graphicFrameLocks noChangeAspect="1"/>
            </wp:cNvGraphicFramePr>
            <a:graphic>
              <a:graphicData uri="http://schemas.openxmlformats.org/drawingml/2006/picture">
                <pic:pic>
                  <pic:nvPicPr>
                    <pic:cNvPr id="0" name="senaryo_kume_profil.png"/>
                    <pic:cNvPicPr/>
                  </pic:nvPicPr>
                  <pic:blipFill>
                    <a:blip r:embed="rId22"/>
                    <a:stretch>
                      <a:fillRect/>
                    </a:stretch>
                  </pic:blipFill>
                  <pic:spPr>
                    <a:xfrm>
                      <a:off x="0" y="0"/>
                      <a:ext cx="5486400" cy="1933359"/>
                    </a:xfrm>
                    <a:prstGeom prst="rect"/>
                  </pic:spPr>
                </pic:pic>
              </a:graphicData>
            </a:graphic>
          </wp:inline>
        </w:drawing>
      </w:r>
    </w:p>
    <w:p>
      <w:pPr>
        <w:jc w:val="center"/>
      </w:pPr>
      <w:r>
        <w:rPr>
          <w:rFonts w:ascii="Times New Roman" w:hAnsi="Times New Roman"/>
          <w:i/>
          <w:color w:val="505050"/>
          <w:sz w:val="20"/>
        </w:rPr>
        <w:t>Figure: Market Regime Cluster Profiles Analysis</w:t>
      </w:r>
    </w:p>
    <w:p>
      <w:pPr>
        <w:spacing w:line="360" w:lineRule="auto" w:after="160"/>
        <w:jc w:val="both"/>
      </w:pPr>
      <w:r>
        <w:rPr>
          <w:rFonts w:ascii="Times New Roman" w:hAnsi="Times New Roman"/>
          <w:i/>
          <w:sz w:val="24"/>
        </w:rPr>
        <w:t>Figure 5.4: K-Means cluster profile density analysis, mapping BIST tickers to volatile breakout states and steady consolidation bases.</w:t>
      </w:r>
    </w:p>
    <w:p/>
    <w:p>
      <w:pPr>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prophet_forecast_real.png"/>
                    <pic:cNvPicPr/>
                  </pic:nvPicPr>
                  <pic:blipFill>
                    <a:blip r:embed="rId23"/>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Live Forecasting and Price Path Predictions</w:t>
      </w:r>
    </w:p>
    <w:p>
      <w:pPr>
        <w:spacing w:line="360" w:lineRule="auto" w:after="160"/>
        <w:jc w:val="both"/>
      </w:pPr>
      <w:r>
        <w:rPr>
          <w:rFonts w:ascii="Times New Roman" w:hAnsi="Times New Roman"/>
          <w:i/>
          <w:sz w:val="24"/>
        </w:rPr>
        <w:t>Figure 5.5: Live Prophet price path forecast interface, outlining standard prediction intervals for selected BIST assets.</w:t>
      </w:r>
    </w:p>
    <w:p/>
    <w:p>
      <w:pPr>
        <w:jc w:val="center"/>
      </w:pPr>
      <w:r>
        <w:drawing>
          <wp:inline xmlns:a="http://schemas.openxmlformats.org/drawingml/2006/main" xmlns:pic="http://schemas.openxmlformats.org/drawingml/2006/picture">
            <wp:extent cx="5486400" cy="2326486"/>
            <wp:docPr id="15" name="Picture 15"/>
            <wp:cNvGraphicFramePr>
              <a:graphicFrameLocks noChangeAspect="1"/>
            </wp:cNvGraphicFramePr>
            <a:graphic>
              <a:graphicData uri="http://schemas.openxmlformats.org/drawingml/2006/picture">
                <pic:pic>
                  <pic:nvPicPr>
                    <pic:cNvPr id="0" name="11_backtest.png"/>
                    <pic:cNvPicPr/>
                  </pic:nvPicPr>
                  <pic:blipFill>
                    <a:blip r:embed="rId24"/>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Algorithmic Trading Backtest Strategy Performance</w:t>
      </w:r>
    </w:p>
    <w:p>
      <w:pPr>
        <w:spacing w:line="360" w:lineRule="auto" w:after="160"/>
        <w:jc w:val="both"/>
      </w:pPr>
      <w:r>
        <w:rPr>
          <w:rFonts w:ascii="Times New Roman" w:hAnsi="Times New Roman"/>
          <w:i/>
          <w:sz w:val="24"/>
        </w:rPr>
        <w:t>Figure 5.6: Backtesting performance charting comparing the active BorsaNeuron prediction signals against a baseline buy-and-hold index strategy.</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6. AUTOMATED TECHNICAL PATTERN SCANNING ENGINE</w:t>
      </w:r>
    </w:p>
    <w:p/>
    <w:p>
      <w:pPr>
        <w:pStyle w:val="Heading2"/>
        <w:spacing w:before="240" w:after="120"/>
        <w:jc w:val="left"/>
      </w:pPr>
      <w:r>
        <w:rPr>
          <w:rFonts w:ascii="Times New Roman" w:hAnsi="Times New Roman"/>
          <w:b/>
          <w:color w:val="1E1E1E"/>
          <w:sz w:val="28"/>
        </w:rPr>
        <w:t>6.1. Pattern Scanning Methodology</w:t>
      </w:r>
    </w:p>
    <w:p>
      <w:pPr>
        <w:spacing w:line="360" w:lineRule="auto" w:after="160"/>
        <w:jc w:val="both"/>
      </w:pPr>
      <w:r>
        <w:rPr>
          <w:rFonts w:ascii="Times New Roman" w:hAnsi="Times New Roman"/>
          <w:sz w:val="24"/>
        </w:rPr>
        <w:t xml:space="preserve">To supplement statistical forecasts, BorsaNeuron features an automated geometric chart pattern recognition engine located in </w:t>
      </w:r>
      <w:r>
        <w:rPr>
          <w:rFonts w:ascii="Courier New" w:hAnsi="Courier New"/>
          <w:sz w:val="21"/>
        </w:rPr>
        <w:t>src/analyzer.py</w:t>
      </w:r>
      <w:r>
        <w:rPr>
          <w:rFonts w:ascii="Times New Roman" w:hAnsi="Times New Roman"/>
          <w:sz w:val="24"/>
        </w:rPr>
        <w:t>. The scan uses raw price swing points calculated via a ZigZag indicator. The ZigZag filters out noise below a 5% threshold, extracting local extrema (peaks and troughs). Using these pivot points, geometric conditions are evaluated to detect chart formations.</w:t>
      </w:r>
    </w:p>
    <w:p/>
    <w:p>
      <w:pPr>
        <w:pStyle w:val="Heading2"/>
        <w:spacing w:before="240" w:after="120"/>
        <w:jc w:val="left"/>
      </w:pPr>
      <w:r>
        <w:rPr>
          <w:rFonts w:ascii="Times New Roman" w:hAnsi="Times New Roman"/>
          <w:b/>
          <w:color w:val="1E1E1E"/>
          <w:sz w:val="28"/>
        </w:rPr>
        <w:t>6.2. Implementation of Inverted Head &amp; Shoulders (TOBO) and Head &amp; Shoulders (OBO)</w:t>
      </w:r>
    </w:p>
    <w:p>
      <w:pPr>
        <w:pStyle w:val="ListBullet"/>
        <w:spacing w:after="80" w:line="276" w:lineRule="auto"/>
      </w:pPr>
      <w:r>
        <w:rPr>
          <w:rFonts w:ascii="Times New Roman" w:hAnsi="Times New Roman"/>
          <w:b/>
          <w:sz w:val="24"/>
        </w:rPr>
        <w:t>TOBO (Inverted Head &amp; Shoulders):</w:t>
      </w:r>
      <w:r>
        <w:rPr>
          <w:rFonts w:ascii="Times New Roman" w:hAnsi="Times New Roman"/>
          <w:sz w:val="24"/>
        </w:rPr>
        <w:t xml:space="preserve"> Identified by finding a sequence of three consecutive troughs ($L_1$, $L_2$, $L_3$) where the center trough (Head) is lower than the left and right troughs (Shoulders):</w:t>
      </w:r>
    </w:p>
    <w:p>
      <w:pPr>
        <w:spacing w:line="360" w:lineRule="auto" w:after="160"/>
        <w:jc w:val="both"/>
      </w:pPr>
      <w:r>
        <w:rPr>
          <w:rFonts w:ascii="Times New Roman" w:hAnsi="Times New Roman"/>
          <w:sz w:val="24"/>
        </w:rPr>
        <w:t>$$L_2 &lt; L_1 \quad \text{and} \quad L_2 &lt; L_3$$</w:t>
      </w:r>
    </w:p>
    <w:p>
      <w:pPr>
        <w:spacing w:line="360" w:lineRule="auto" w:after="160"/>
        <w:jc w:val="both"/>
      </w:pPr>
      <w:r>
        <w:rPr>
          <w:rFonts w:ascii="Times New Roman" w:hAnsi="Times New Roman"/>
          <w:sz w:val="24"/>
        </w:rPr>
        <w:t>The intermediate peaks form the neckline. The neckline slope is evaluated to confirm a breakout.</w:t>
      </w:r>
    </w:p>
    <w:p>
      <w:pPr>
        <w:pStyle w:val="ListBullet"/>
        <w:spacing w:after="80" w:line="276" w:lineRule="auto"/>
      </w:pPr>
      <w:r>
        <w:rPr>
          <w:rFonts w:ascii="Times New Roman" w:hAnsi="Times New Roman"/>
          <w:b/>
          <w:sz w:val="24"/>
        </w:rPr>
        <w:t>OBO (Head &amp; Shoulders):</w:t>
      </w:r>
      <w:r>
        <w:rPr>
          <w:rFonts w:ascii="Times New Roman" w:hAnsi="Times New Roman"/>
          <w:sz w:val="24"/>
        </w:rPr>
        <w:t xml:space="preserve"> The inverse logic is applied using three consecutive peaks ($H_1$, $H_2$, $H_3$) where the head is higher than the shoulders:</w:t>
      </w:r>
    </w:p>
    <w:p>
      <w:pPr>
        <w:spacing w:line="360" w:lineRule="auto" w:after="160"/>
        <w:jc w:val="both"/>
      </w:pPr>
      <w:r>
        <w:rPr>
          <w:rFonts w:ascii="Times New Roman" w:hAnsi="Times New Roman"/>
          <w:sz w:val="24"/>
        </w:rPr>
        <w:t>$$H_2 &gt; H_1 \quad \text{and} \quad H_2 &gt; H_3$$</w:t>
      </w:r>
    </w:p>
    <w:p>
      <w:pPr>
        <w:spacing w:line="360" w:lineRule="auto" w:after="160"/>
        <w:jc w:val="both"/>
      </w:pPr>
      <w:r>
        <w:rPr>
          <w:rFonts w:ascii="Times New Roman" w:hAnsi="Times New Roman"/>
          <w:sz w:val="24"/>
        </w:rPr>
        <w:t>A break below the neckline triggers a bearish reversal warning.</w:t>
      </w:r>
    </w:p>
    <w:p/>
    <w:p>
      <w:pPr>
        <w:pStyle w:val="Heading2"/>
        <w:spacing w:before="240" w:after="120"/>
        <w:jc w:val="left"/>
      </w:pPr>
      <w:r>
        <w:rPr>
          <w:rFonts w:ascii="Times New Roman" w:hAnsi="Times New Roman"/>
          <w:b/>
          <w:color w:val="1E1E1E"/>
          <w:sz w:val="28"/>
        </w:rPr>
        <w:t>6.3. Implementation of Cup &amp; Handle and Flag Formations</w:t>
      </w:r>
    </w:p>
    <w:p>
      <w:pPr>
        <w:pStyle w:val="ListBullet"/>
        <w:spacing w:after="80" w:line="276" w:lineRule="auto"/>
      </w:pPr>
      <w:r>
        <w:rPr>
          <w:rFonts w:ascii="Times New Roman" w:hAnsi="Times New Roman"/>
          <w:b/>
          <w:sz w:val="24"/>
        </w:rPr>
        <w:t>Cup &amp; Handle:</w:t>
      </w:r>
      <w:r>
        <w:rPr>
          <w:rFonts w:ascii="Times New Roman" w:hAnsi="Times New Roman"/>
          <w:sz w:val="24"/>
        </w:rPr>
        <w:t xml:space="preserve"> Detected by identifying a rounded U-shaped base (the cup) followed by a short, downward-slanted consolidation channel (the handle). The depth of the cup must satisfy:</w:t>
      </w:r>
    </w:p>
    <w:p>
      <w:pPr>
        <w:spacing w:line="360" w:lineRule="auto" w:after="160"/>
        <w:jc w:val="both"/>
      </w:pPr>
      <w:r>
        <w:rPr>
          <w:rFonts w:ascii="Times New Roman" w:hAnsi="Times New Roman"/>
          <w:sz w:val="24"/>
        </w:rPr>
        <w:t xml:space="preserve">$$\text{Cup Depth} = \frac{\text{Cup Lip} - \text{Cup Bottom}}{\text{Cup Lip}} \in </w:t>
      </w:r>
      <w:r>
        <w:rPr>
          <w:rFonts w:ascii="Times New Roman" w:hAnsi="Times New Roman"/>
          <w:sz w:val="24"/>
        </w:rPr>
        <w:t>0.15, 0.50]$$</w:t>
      </w:r>
    </w:p>
    <w:p>
      <w:pPr>
        <w:spacing w:line="360" w:lineRule="auto" w:after="160"/>
        <w:jc w:val="both"/>
      </w:pPr>
      <w:r>
        <w:rPr>
          <w:rFonts w:ascii="Times New Roman" w:hAnsi="Times New Roman"/>
          <w:sz w:val="24"/>
        </w:rPr>
        <w:t>The handle must not retrace more than 50% of the cup's depth.</w:t>
      </w:r>
    </w:p>
    <w:p>
      <w:pPr>
        <w:pStyle w:val="ListBullet"/>
        <w:spacing w:after="80" w:line="276" w:lineRule="auto"/>
      </w:pPr>
      <w:r>
        <w:rPr>
          <w:rFonts w:ascii="Times New Roman" w:hAnsi="Times New Roman"/>
          <w:b/>
          <w:sz w:val="24"/>
        </w:rPr>
        <w:t>Flag:</w:t>
      </w:r>
      <w:r>
        <w:rPr>
          <w:rFonts w:ascii="Times New Roman" w:hAnsi="Times New Roman"/>
          <w:sz w:val="24"/>
        </w:rPr>
        <w:t xml:space="preserve"> Identified by identifying a strong, vertical price movement (the flagpole) followed by a narrow, parallel consolidation range (the flag). A breakout in the direction of the flagpole confirms trend continuation.</w:t>
      </w:r>
    </w:p>
    <w:p/>
    <w:p>
      <w:pPr>
        <w:pStyle w:val="Heading2"/>
        <w:spacing w:before="240" w:after="120"/>
        <w:jc w:val="left"/>
      </w:pPr>
      <w:r>
        <w:rPr>
          <w:rFonts w:ascii="Times New Roman" w:hAnsi="Times New Roman"/>
          <w:b/>
          <w:color w:val="1E1E1E"/>
          <w:sz w:val="28"/>
        </w:rPr>
        <w:t>6.4. Implementation of Double Bottom and Double Top Formations</w:t>
      </w:r>
    </w:p>
    <w:p>
      <w:pPr>
        <w:pStyle w:val="ListBullet"/>
        <w:spacing w:after="80" w:line="276" w:lineRule="auto"/>
      </w:pPr>
      <w:r>
        <w:rPr>
          <w:rFonts w:ascii="Times New Roman" w:hAnsi="Times New Roman"/>
          <w:b/>
          <w:sz w:val="24"/>
        </w:rPr>
        <w:t>Double Bottom:</w:t>
      </w:r>
      <w:r>
        <w:rPr>
          <w:rFonts w:ascii="Times New Roman" w:hAnsi="Times New Roman"/>
          <w:sz w:val="24"/>
        </w:rPr>
        <w:t xml:space="preserve"> To detect a double bottom pattern, the analyzer searches for a sequence of two consecutive troughs ($L_1$, $L_2$) and an intervening peak ($H_1$). The two troughs must occur at approximately the same price level, within a 2% horizontal tolerance limit:</w:t>
      </w:r>
    </w:p>
    <w:p>
      <w:pPr>
        <w:spacing w:line="360" w:lineRule="auto" w:after="160"/>
        <w:jc w:val="both"/>
      </w:pPr>
      <w:r>
        <w:rPr>
          <w:rFonts w:ascii="Times New Roman" w:hAnsi="Times New Roman"/>
          <w:sz w:val="24"/>
        </w:rPr>
        <w:t>$$\left| \frac{L_1 - L_2}{\min(L_1, L_2)} \right| \le 0.02$$</w:t>
      </w:r>
    </w:p>
    <w:p>
      <w:pPr>
        <w:spacing w:line="360" w:lineRule="auto" w:after="160"/>
        <w:jc w:val="both"/>
      </w:pPr>
      <w:r>
        <w:rPr>
          <w:rFonts w:ascii="Times New Roman" w:hAnsi="Times New Roman"/>
          <w:sz w:val="24"/>
        </w:rPr>
        <w:t>The intervening peak ($H_1$) forms the resistance neckline. A confirmed breakout is registered when the close price exceeds the neckline:</w:t>
      </w:r>
    </w:p>
    <w:p>
      <w:pPr>
        <w:spacing w:line="360" w:lineRule="auto" w:after="160"/>
        <w:jc w:val="both"/>
      </w:pPr>
      <w:r>
        <w:rPr>
          <w:rFonts w:ascii="Times New Roman" w:hAnsi="Times New Roman"/>
          <w:sz w:val="24"/>
        </w:rPr>
        <w:t>$$\text{Close} &gt; H_1$$</w:t>
      </w:r>
    </w:p>
    <w:p>
      <w:pPr>
        <w:pStyle w:val="ListBullet"/>
        <w:spacing w:after="80" w:line="276" w:lineRule="auto"/>
      </w:pPr>
      <w:r>
        <w:rPr>
          <w:rFonts w:ascii="Times New Roman" w:hAnsi="Times New Roman"/>
          <w:b/>
          <w:sz w:val="24"/>
        </w:rPr>
        <w:t>Double Top:</w:t>
      </w:r>
      <w:r>
        <w:rPr>
          <w:rFonts w:ascii="Times New Roman" w:hAnsi="Times New Roman"/>
          <w:sz w:val="24"/>
        </w:rPr>
        <w:t xml:space="preserve"> The double top is detected by identifying two consecutive peaks ($H_1$, $H_2$) at approximately the same resistance level, separated by a trough ($L_1$):</w:t>
      </w:r>
    </w:p>
    <w:p>
      <w:pPr>
        <w:spacing w:line="360" w:lineRule="auto" w:after="160"/>
        <w:jc w:val="both"/>
      </w:pPr>
      <w:r>
        <w:rPr>
          <w:rFonts w:ascii="Times New Roman" w:hAnsi="Times New Roman"/>
          <w:sz w:val="24"/>
        </w:rPr>
        <w:t>$$\left| \frac{H_1 - H_2}{\min(H_1, H_2)} \right| \le 0.02$$</w:t>
      </w:r>
    </w:p>
    <w:p>
      <w:pPr>
        <w:spacing w:line="360" w:lineRule="auto" w:after="160"/>
        <w:jc w:val="both"/>
      </w:pPr>
      <w:r>
        <w:rPr>
          <w:rFonts w:ascii="Times New Roman" w:hAnsi="Times New Roman"/>
          <w:sz w:val="24"/>
        </w:rPr>
        <w:t>A bearish breakout is flagged when the close price falls below the support neckline:</w:t>
      </w:r>
    </w:p>
    <w:p>
      <w:pPr>
        <w:spacing w:line="360" w:lineRule="auto" w:after="160"/>
        <w:jc w:val="both"/>
      </w:pPr>
      <w:r>
        <w:rPr>
          <w:rFonts w:ascii="Times New Roman" w:hAnsi="Times New Roman"/>
          <w:sz w:val="24"/>
        </w:rPr>
        <w:t>$$\text{Close} &lt; L_1$$</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7. DEPLOYING PROJECT</w:t>
      </w:r>
    </w:p>
    <w:p/>
    <w:p>
      <w:pPr>
        <w:spacing w:line="360" w:lineRule="auto" w:after="160"/>
        <w:jc w:val="both"/>
      </w:pPr>
      <w:r>
        <w:rPr>
          <w:rFonts w:ascii="Times New Roman" w:hAnsi="Times New Roman"/>
          <w:sz w:val="24"/>
        </w:rPr>
        <w:t>Following modeling and dashboard construction, BorsaNeuron was containerized using Docker to ensure consistent execution across local developer workstations and cloud production servers.</w:t>
      </w:r>
    </w:p>
    <w:p/>
    <w:p>
      <w:pPr>
        <w:pStyle w:val="Heading2"/>
        <w:spacing w:before="240" w:after="120"/>
        <w:jc w:val="left"/>
      </w:pPr>
      <w:r>
        <w:rPr>
          <w:rFonts w:ascii="Times New Roman" w:hAnsi="Times New Roman"/>
          <w:b/>
          <w:color w:val="1E1E1E"/>
          <w:sz w:val="28"/>
        </w:rPr>
        <w:t>7.1. Docker Containerization</w:t>
      </w:r>
    </w:p>
    <w:p>
      <w:pPr>
        <w:spacing w:line="360" w:lineRule="auto" w:after="160"/>
        <w:jc w:val="both"/>
      </w:pPr>
      <w:r>
        <w:rPr>
          <w:rFonts w:ascii="Times New Roman" w:hAnsi="Times New Roman"/>
          <w:sz w:val="24"/>
        </w:rPr>
        <w:t xml:space="preserve">A standardized </w:t>
      </w:r>
      <w:r>
        <w:rPr>
          <w:rFonts w:ascii="Courier New" w:hAnsi="Courier New"/>
          <w:sz w:val="21"/>
        </w:rPr>
        <w:t>Dockerfile</w:t>
      </w:r>
      <w:r>
        <w:rPr>
          <w:rFonts w:ascii="Times New Roman" w:hAnsi="Times New Roman"/>
          <w:sz w:val="24"/>
        </w:rPr>
        <w:t xml:space="preserve"> was created:</w:t>
      </w:r>
    </w:p>
    <w:p/>
    <w:p>
      <w:pPr>
        <w:spacing w:before="0" w:after="0"/>
        <w:ind w:left="720" w:right="720"/>
        <w:shd w:fill="F4F4F5"/>
      </w:pPr>
      <w:r>
        <w:rPr>
          <w:rFonts w:ascii="Courier New" w:hAnsi="Courier New"/>
          <w:color w:val="3C3C3C"/>
          <w:sz w:val="19"/>
        </w:rPr>
        <w:t>FROM python:3.9-slim</w:t>
      </w:r>
    </w:p>
    <w:p>
      <w:pPr>
        <w:spacing w:before="0" w:after="0"/>
        <w:ind w:left="720" w:right="720"/>
        <w:shd w:fill="F4F4F5"/>
      </w:pPr>
      <w:r>
        <w:rPr>
          <w:rFonts w:ascii="Courier New" w:hAnsi="Courier New"/>
          <w:color w:val="3C3C3C"/>
          <w:sz w:val="19"/>
        </w:rPr>
        <w:t>ENV PYTHONDONTWRITEBYTECODE=1</w:t>
      </w:r>
    </w:p>
    <w:p>
      <w:pPr>
        <w:spacing w:before="0" w:after="0"/>
        <w:ind w:left="720" w:right="720"/>
        <w:shd w:fill="F4F4F5"/>
      </w:pPr>
      <w:r>
        <w:rPr>
          <w:rFonts w:ascii="Courier New" w:hAnsi="Courier New"/>
          <w:color w:val="3C3C3C"/>
          <w:sz w:val="19"/>
        </w:rPr>
        <w:t>ENV PYTHONUNBUFFERED=1</w:t>
      </w:r>
    </w:p>
    <w:p>
      <w:pPr>
        <w:spacing w:before="0" w:after="0"/>
        <w:ind w:left="720" w:right="720"/>
        <w:shd w:fill="F4F4F5"/>
      </w:pPr>
      <w:r>
        <w:rPr>
          <w:rFonts w:ascii="Courier New" w:hAnsi="Courier New"/>
          <w:color w:val="3C3C3C"/>
          <w:sz w:val="19"/>
        </w:rPr>
        <w:t>WORKDIR /app</w:t>
      </w:r>
    </w:p>
    <w:p>
      <w:pPr>
        <w:spacing w:before="0" w:after="0"/>
        <w:ind w:left="720" w:right="720"/>
        <w:shd w:fill="F4F4F5"/>
      </w:pPr>
      <w:r>
        <w:rPr>
          <w:rFonts w:ascii="Courier New" w:hAnsi="Courier New"/>
          <w:color w:val="3C3C3C"/>
          <w:sz w:val="19"/>
        </w:rPr>
        <w:t>RUN apt-get update &amp;&amp; apt-get install -y \</w:t>
      </w:r>
    </w:p>
    <w:p>
      <w:pPr>
        <w:spacing w:before="0" w:after="0"/>
        <w:ind w:left="720" w:right="720"/>
        <w:shd w:fill="F4F4F5"/>
      </w:pPr>
      <w:r>
        <w:rPr>
          <w:rFonts w:ascii="Courier New" w:hAnsi="Courier New"/>
          <w:color w:val="3C3C3C"/>
          <w:sz w:val="19"/>
        </w:rPr>
        <w:t xml:space="preserve">    build-essential \</w:t>
      </w:r>
    </w:p>
    <w:p>
      <w:pPr>
        <w:spacing w:before="0" w:after="0"/>
        <w:ind w:left="720" w:right="720"/>
        <w:shd w:fill="F4F4F5"/>
      </w:pPr>
      <w:r>
        <w:rPr>
          <w:rFonts w:ascii="Courier New" w:hAnsi="Courier New"/>
          <w:color w:val="3C3C3C"/>
          <w:sz w:val="19"/>
        </w:rPr>
        <w:t xml:space="preserve">    curl \</w:t>
      </w:r>
    </w:p>
    <w:p>
      <w:pPr>
        <w:spacing w:before="0" w:after="0"/>
        <w:ind w:left="720" w:right="720"/>
        <w:shd w:fill="F4F4F5"/>
      </w:pPr>
      <w:r>
        <w:rPr>
          <w:rFonts w:ascii="Courier New" w:hAnsi="Courier New"/>
          <w:color w:val="3C3C3C"/>
          <w:sz w:val="19"/>
        </w:rPr>
        <w:t xml:space="preserve">    software-properties-common \</w:t>
      </w:r>
    </w:p>
    <w:p>
      <w:pPr>
        <w:spacing w:before="0" w:after="0"/>
        <w:ind w:left="720" w:right="720"/>
        <w:shd w:fill="F4F4F5"/>
      </w:pPr>
      <w:r>
        <w:rPr>
          <w:rFonts w:ascii="Courier New" w:hAnsi="Courier New"/>
          <w:color w:val="3C3C3C"/>
          <w:sz w:val="19"/>
        </w:rPr>
        <w:t xml:space="preserve">    git \</w:t>
      </w:r>
    </w:p>
    <w:p>
      <w:pPr>
        <w:spacing w:before="0" w:after="0"/>
        <w:ind w:left="720" w:right="720"/>
        <w:shd w:fill="F4F4F5"/>
      </w:pPr>
      <w:r>
        <w:rPr>
          <w:rFonts w:ascii="Courier New" w:hAnsi="Courier New"/>
          <w:color w:val="3C3C3C"/>
          <w:sz w:val="19"/>
        </w:rPr>
        <w:t xml:space="preserve">    &amp;&amp; rm -rf /var/lib/apt/lists/*</w:t>
      </w:r>
    </w:p>
    <w:p>
      <w:pPr>
        <w:spacing w:before="0" w:after="0"/>
        <w:ind w:left="720" w:right="720"/>
        <w:shd w:fill="F4F4F5"/>
      </w:pPr>
      <w:r>
        <w:rPr>
          <w:rFonts w:ascii="Courier New" w:hAnsi="Courier New"/>
          <w:color w:val="3C3C3C"/>
          <w:sz w:val="19"/>
        </w:rPr>
        <w:t>COPY requirements.txt .</w:t>
      </w:r>
    </w:p>
    <w:p>
      <w:pPr>
        <w:spacing w:before="0" w:after="0"/>
        <w:ind w:left="720" w:right="720"/>
        <w:shd w:fill="F4F4F5"/>
      </w:pPr>
      <w:r>
        <w:rPr>
          <w:rFonts w:ascii="Courier New" w:hAnsi="Courier New"/>
          <w:color w:val="3C3C3C"/>
          <w:sz w:val="19"/>
        </w:rPr>
        <w:t>RUN pip install --no-cache-dir -r requirements.txt</w:t>
      </w:r>
    </w:p>
    <w:p>
      <w:pPr>
        <w:spacing w:before="0" w:after="0"/>
        <w:ind w:left="720" w:right="720"/>
        <w:shd w:fill="F4F4F5"/>
      </w:pPr>
      <w:r>
        <w:rPr>
          <w:rFonts w:ascii="Courier New" w:hAnsi="Courier New"/>
          <w:color w:val="3C3C3C"/>
          <w:sz w:val="19"/>
        </w:rPr>
        <w:t>COPY . .</w:t>
      </w:r>
    </w:p>
    <w:p>
      <w:pPr>
        <w:spacing w:before="0" w:after="0"/>
        <w:ind w:left="720" w:right="720"/>
        <w:shd w:fill="F4F4F5"/>
      </w:pPr>
      <w:r>
        <w:rPr>
          <w:rFonts w:ascii="Courier New" w:hAnsi="Courier New"/>
          <w:color w:val="3C3C3C"/>
          <w:sz w:val="19"/>
        </w:rPr>
        <w:t>EXPOSE 8501</w:t>
      </w:r>
    </w:p>
    <w:p>
      <w:pPr>
        <w:spacing w:before="0" w:after="0"/>
        <w:ind w:left="720" w:right="720"/>
        <w:shd w:fill="F4F4F5"/>
      </w:pPr>
      <w:r>
        <w:rPr>
          <w:rFonts w:ascii="Courier New" w:hAnsi="Courier New"/>
          <w:color w:val="3C3C3C"/>
          <w:sz w:val="19"/>
        </w:rPr>
        <w:t>HEALTHCHECK CMD curl --fail http://localhost:8501/_stcore/health</w:t>
      </w:r>
    </w:p>
    <w:p>
      <w:pPr>
        <w:spacing w:before="0" w:after="0"/>
        <w:ind w:left="720" w:right="720"/>
        <w:shd w:fill="F4F4F5"/>
      </w:pPr>
      <w:r>
        <w:rPr>
          <w:rFonts w:ascii="Courier New" w:hAnsi="Courier New"/>
          <w:color w:val="3C3C3C"/>
          <w:sz w:val="19"/>
        </w:rPr>
        <w:t>ENTRYPOINT ["streamlit", "run", "src/app.py", "--server.port=8501", "--server.address=0.0.0.0"]</w:t>
      </w:r>
    </w:p>
    <w:p/>
    <w:p>
      <w:pPr>
        <w:pStyle w:val="Heading2"/>
        <w:spacing w:before="240" w:after="120"/>
        <w:jc w:val="left"/>
      </w:pPr>
      <w:r>
        <w:rPr>
          <w:rFonts w:ascii="Times New Roman" w:hAnsi="Times New Roman"/>
          <w:b/>
          <w:color w:val="1E1E1E"/>
          <w:sz w:val="28"/>
        </w:rPr>
        <w:t>7.2. Production Setup and Server Run Commands</w:t>
      </w:r>
    </w:p>
    <w:p>
      <w:pPr>
        <w:spacing w:line="360" w:lineRule="auto" w:after="160"/>
        <w:jc w:val="both"/>
      </w:pPr>
      <w:r>
        <w:rPr>
          <w:rFonts w:ascii="Times New Roman" w:hAnsi="Times New Roman"/>
          <w:sz w:val="24"/>
        </w:rPr>
        <w:t>To build the image and spin up the production container, the following commands are executed:</w:t>
      </w:r>
    </w:p>
    <w:p/>
    <w:p>
      <w:pPr>
        <w:spacing w:before="0" w:after="0"/>
        <w:ind w:left="720" w:right="720"/>
        <w:shd w:fill="F4F4F5"/>
      </w:pPr>
      <w:r>
        <w:rPr>
          <w:rFonts w:ascii="Courier New" w:hAnsi="Courier New"/>
          <w:color w:val="3C3C3C"/>
          <w:sz w:val="19"/>
        </w:rPr>
        <w:t># Build the Docker image</w:t>
      </w:r>
    </w:p>
    <w:p>
      <w:pPr>
        <w:spacing w:before="0" w:after="0"/>
        <w:ind w:left="720" w:right="720"/>
        <w:shd w:fill="F4F4F5"/>
      </w:pPr>
      <w:r>
        <w:rPr>
          <w:rFonts w:ascii="Courier New" w:hAnsi="Courier New"/>
          <w:color w:val="3C3C3C"/>
          <w:sz w:val="19"/>
        </w:rPr>
        <w:t>docker build -t borsaneuron-app:latest .</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Run the container in detached mode with port redirection</w:t>
      </w:r>
    </w:p>
    <w:p>
      <w:pPr>
        <w:spacing w:before="0" w:after="0"/>
        <w:ind w:left="720" w:right="720"/>
        <w:shd w:fill="F4F4F5"/>
      </w:pPr>
      <w:r>
        <w:rPr>
          <w:rFonts w:ascii="Courier New" w:hAnsi="Courier New"/>
          <w:color w:val="3C3C3C"/>
          <w:sz w:val="19"/>
        </w:rPr>
        <w:t>docker run -d -p 80:8501 --name borsaneuron-prod borsaneuron-app:latest</w:t>
      </w:r>
    </w:p>
    <w:p/>
    <w:p>
      <w:pPr>
        <w:spacing w:line="360" w:lineRule="auto" w:after="160"/>
        <w:jc w:val="both"/>
      </w:pPr>
      <w:r>
        <w:rPr>
          <w:rFonts w:ascii="Times New Roman" w:hAnsi="Times New Roman"/>
          <w:sz w:val="24"/>
        </w:rPr>
        <w:t>This maps port 8501 of the Streamlit application container directly to port 80 of the host machine, making BorsaNeuron accessible via standard HTTP.</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8. FILE HIERARCHY</w:t>
      </w:r>
    </w:p>
    <w:p/>
    <w:p>
      <w:pPr>
        <w:spacing w:line="360" w:lineRule="auto" w:after="160"/>
        <w:jc w:val="both"/>
      </w:pPr>
      <w:r>
        <w:rPr>
          <w:rFonts w:ascii="Times New Roman" w:hAnsi="Times New Roman"/>
          <w:sz w:val="24"/>
        </w:rPr>
        <w:t>The complete directory tree of the BorsaNeuron graduation project is structured as follows, separating offline modeling from the online Streamlit interface:</w:t>
      </w:r>
    </w:p>
    <w:p/>
    <w:p>
      <w:pPr>
        <w:spacing w:before="0" w:after="0"/>
        <w:ind w:left="720" w:right="720"/>
        <w:shd w:fill="F4F4F5"/>
      </w:pPr>
      <w:r>
        <w:rPr>
          <w:rFonts w:ascii="Courier New" w:hAnsi="Courier New"/>
          <w:color w:val="3C3C3C"/>
          <w:sz w:val="19"/>
        </w:rPr>
        <w:t>C:/Users/ibrah/.gemini/antigravity/scratch/ipo_analyzer/</w:t>
      </w:r>
    </w:p>
    <w:p>
      <w:pPr>
        <w:spacing w:before="0" w:after="0"/>
        <w:ind w:left="720" w:right="720"/>
        <w:shd w:fill="F4F4F5"/>
      </w:pPr>
      <w:r>
        <w:rPr>
          <w:rFonts w:ascii="Courier New" w:hAnsi="Courier New"/>
          <w:color w:val="3C3C3C"/>
          <w:sz w:val="19"/>
        </w:rPr>
        <w:t>├── .streamlit/</w:t>
      </w:r>
    </w:p>
    <w:p>
      <w:pPr>
        <w:spacing w:before="0" w:after="0"/>
        <w:ind w:left="720" w:right="720"/>
        <w:shd w:fill="F4F4F5"/>
      </w:pPr>
      <w:r>
        <w:rPr>
          <w:rFonts w:ascii="Courier New" w:hAnsi="Courier New"/>
          <w:color w:val="3C3C3C"/>
          <w:sz w:val="19"/>
        </w:rPr>
        <w:t>│   └── config.toml                  # UI configuration settings</w:t>
      </w:r>
    </w:p>
    <w:p>
      <w:pPr>
        <w:spacing w:before="0" w:after="0"/>
        <w:ind w:left="720" w:right="720"/>
        <w:shd w:fill="F4F4F5"/>
      </w:pPr>
      <w:r>
        <w:rPr>
          <w:rFonts w:ascii="Courier New" w:hAnsi="Courier New"/>
          <w:color w:val="3C3C3C"/>
          <w:sz w:val="19"/>
        </w:rPr>
        <w:t>├── bist_ai_dataset_real_30cols.csv.xz# Compressed xz dataset (50.1MB)</w:t>
      </w:r>
    </w:p>
    <w:p>
      <w:pPr>
        <w:spacing w:before="0" w:after="0"/>
        <w:ind w:left="720" w:right="720"/>
        <w:shd w:fill="F4F4F5"/>
      </w:pPr>
      <w:r>
        <w:rPr>
          <w:rFonts w:ascii="Courier New" w:hAnsi="Courier New"/>
          <w:color w:val="3C3C3C"/>
          <w:sz w:val="19"/>
        </w:rPr>
        <w:t>├── best_scaler_acm465.joblib         # Serialized StandardScaler weights</w:t>
      </w:r>
    </w:p>
    <w:p>
      <w:pPr>
        <w:spacing w:before="0" w:after="0"/>
        <w:ind w:left="720" w:right="720"/>
        <w:shd w:fill="F4F4F5"/>
      </w:pPr>
      <w:r>
        <w:rPr>
          <w:rFonts w:ascii="Courier New" w:hAnsi="Courier New"/>
          <w:color w:val="3C3C3C"/>
          <w:sz w:val="19"/>
        </w:rPr>
        <w:t>├── best_model_acm465.joblib          # Serialized MLP Neural Network weights</w:t>
      </w:r>
    </w:p>
    <w:p>
      <w:pPr>
        <w:spacing w:before="0" w:after="0"/>
        <w:ind w:left="720" w:right="720"/>
        <w:shd w:fill="F4F4F5"/>
      </w:pPr>
      <w:r>
        <w:rPr>
          <w:rFonts w:ascii="Courier New" w:hAnsi="Courier New"/>
          <w:color w:val="3C3C3C"/>
          <w:sz w:val="19"/>
        </w:rPr>
        <w:t>├── acm465_proje.py                   # Offline Data Mining and Modeling Pipeline</w:t>
      </w:r>
    </w:p>
    <w:p>
      <w:pPr>
        <w:spacing w:before="0" w:after="0"/>
        <w:ind w:left="720" w:right="720"/>
        <w:shd w:fill="F4F4F5"/>
      </w:pPr>
      <w:r>
        <w:rPr>
          <w:rFonts w:ascii="Courier New" w:hAnsi="Courier New"/>
          <w:color w:val="3C3C3C"/>
          <w:sz w:val="19"/>
        </w:rPr>
        <w:t>├── requirements.txt                  # Python package dependency list</w:t>
      </w:r>
    </w:p>
    <w:p>
      <w:pPr>
        <w:spacing w:before="0" w:after="0"/>
        <w:ind w:left="720" w:right="720"/>
        <w:shd w:fill="F4F4F5"/>
      </w:pPr>
      <w:r>
        <w:rPr>
          <w:rFonts w:ascii="Courier New" w:hAnsi="Courier New"/>
          <w:color w:val="3C3C3C"/>
          <w:sz w:val="19"/>
        </w:rPr>
        <w:t>├── start.bat                         # Startup shortcut batch script</w:t>
      </w:r>
    </w:p>
    <w:p>
      <w:pPr>
        <w:spacing w:before="0" w:after="0"/>
        <w:ind w:left="720" w:right="720"/>
        <w:shd w:fill="F4F4F5"/>
      </w:pPr>
      <w:r>
        <w:rPr>
          <w:rFonts w:ascii="Courier New" w:hAnsi="Courier New"/>
          <w:color w:val="3C3C3C"/>
          <w:sz w:val="19"/>
        </w:rPr>
        <w:t>├── Dockerfile                        # Docker container manifest</w:t>
      </w:r>
    </w:p>
    <w:p>
      <w:pPr>
        <w:spacing w:before="0" w:after="0"/>
        <w:ind w:left="720" w:right="720"/>
        <w:shd w:fill="F4F4F5"/>
      </w:pPr>
      <w:r>
        <w:rPr>
          <w:rFonts w:ascii="Courier New" w:hAnsi="Courier New"/>
          <w:color w:val="3C3C3C"/>
          <w:sz w:val="19"/>
        </w:rPr>
        <w:t>├── src/</w:t>
      </w:r>
    </w:p>
    <w:p>
      <w:pPr>
        <w:spacing w:before="0" w:after="0"/>
        <w:ind w:left="720" w:right="720"/>
        <w:shd w:fill="F4F4F5"/>
      </w:pPr>
      <w:r>
        <w:rPr>
          <w:rFonts w:ascii="Courier New" w:hAnsi="Courier New"/>
          <w:color w:val="3C3C3C"/>
          <w:sz w:val="19"/>
        </w:rPr>
        <w:t>│   ├── __init__.py</w:t>
      </w:r>
    </w:p>
    <w:p>
      <w:pPr>
        <w:spacing w:before="0" w:after="0"/>
        <w:ind w:left="720" w:right="720"/>
        <w:shd w:fill="F4F4F5"/>
      </w:pPr>
      <w:r>
        <w:rPr>
          <w:rFonts w:ascii="Courier New" w:hAnsi="Courier New"/>
          <w:color w:val="3C3C3C"/>
          <w:sz w:val="19"/>
        </w:rPr>
        <w:t>│   ├── app.py                        # Streamlit Web Application entrypoint</w:t>
      </w:r>
    </w:p>
    <w:p>
      <w:pPr>
        <w:spacing w:before="0" w:after="0"/>
        <w:ind w:left="720" w:right="720"/>
        <w:shd w:fill="F4F4F5"/>
      </w:pPr>
      <w:r>
        <w:rPr>
          <w:rFonts w:ascii="Courier New" w:hAnsi="Courier New"/>
          <w:color w:val="3C3C3C"/>
          <w:sz w:val="19"/>
        </w:rPr>
        <w:t>│   ├── theme.py                      # UI Color schemas and styling utilities</w:t>
      </w:r>
    </w:p>
    <w:p>
      <w:pPr>
        <w:spacing w:before="0" w:after="0"/>
        <w:ind w:left="720" w:right="720"/>
        <w:shd w:fill="F4F4F5"/>
      </w:pPr>
      <w:r>
        <w:rPr>
          <w:rFonts w:ascii="Courier New" w:hAnsi="Courier New"/>
          <w:color w:val="3C3C3C"/>
          <w:sz w:val="19"/>
        </w:rPr>
        <w:t>│   ├── data_manager.py               # Data loaders and yfinance API client</w:t>
      </w:r>
    </w:p>
    <w:p>
      <w:pPr>
        <w:spacing w:before="0" w:after="0"/>
        <w:ind w:left="720" w:right="720"/>
        <w:shd w:fill="F4F4F5"/>
      </w:pPr>
      <w:r>
        <w:rPr>
          <w:rFonts w:ascii="Courier New" w:hAnsi="Courier New"/>
          <w:color w:val="3C3C3C"/>
          <w:sz w:val="19"/>
        </w:rPr>
        <w:t>│   ├── earnings_data.py              # Macro-corporate data structures</w:t>
      </w:r>
    </w:p>
    <w:p>
      <w:pPr>
        <w:spacing w:before="0" w:after="0"/>
        <w:ind w:left="720" w:right="720"/>
        <w:shd w:fill="F4F4F5"/>
      </w:pPr>
      <w:r>
        <w:rPr>
          <w:rFonts w:ascii="Courier New" w:hAnsi="Courier New"/>
          <w:color w:val="3C3C3C"/>
          <w:sz w:val="19"/>
        </w:rPr>
        <w:t>│   ├── macro_data.py                 # Macroeconomic data parsers</w:t>
      </w:r>
    </w:p>
    <w:p>
      <w:pPr>
        <w:spacing w:before="0" w:after="0"/>
        <w:ind w:left="720" w:right="720"/>
        <w:shd w:fill="F4F4F5"/>
      </w:pPr>
      <w:r>
        <w:rPr>
          <w:rFonts w:ascii="Courier New" w:hAnsi="Courier New"/>
          <w:color w:val="3C3C3C"/>
          <w:sz w:val="19"/>
        </w:rPr>
        <w:t>│   └── verify_tobo_strict.py         # TOBO and Cup-Handle pattern scanners</w:t>
      </w:r>
    </w:p>
    <w:p>
      <w:pPr>
        <w:spacing w:before="0" w:after="0"/>
        <w:ind w:left="720" w:right="720"/>
        <w:shd w:fill="F4F4F5"/>
      </w:pPr>
      <w:r>
        <w:rPr>
          <w:rFonts w:ascii="Courier New" w:hAnsi="Courier New"/>
          <w:color w:val="3C3C3C"/>
          <w:sz w:val="19"/>
        </w:rPr>
        <w:t>└── tests/</w:t>
      </w:r>
    </w:p>
    <w:p>
      <w:pPr>
        <w:spacing w:before="0" w:after="0"/>
        <w:ind w:left="720" w:right="720"/>
        <w:shd w:fill="F4F4F5"/>
      </w:pPr>
      <w:r>
        <w:rPr>
          <w:rFonts w:ascii="Courier New" w:hAnsi="Courier New"/>
          <w:color w:val="3C3C3C"/>
          <w:sz w:val="19"/>
        </w:rPr>
        <w:t xml:space="preserve">    └── test_features.py              # Unit tests for technical indicator vectors</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TECH STACK</w:t>
      </w:r>
    </w:p>
    <w:p/>
    <w:tbl>
      <w:tblPr>
        <w:tblW w:type="auto" w:w="0"/>
        <w:tblLayout w:type="autofit"/>
        <w:tblLook w:firstColumn="1" w:firstRow="1" w:lastColumn="0" w:lastRow="0" w:noHBand="0" w:noVBand="1" w:val="04A0"/>
      </w:tblPr>
      <w:tblGrid>
        <w:gridCol w:w="3120"/>
        <w:gridCol w:w="3120"/>
        <w:gridCol w:w="3120"/>
      </w:tblGrid>
      <w:tr>
        <w:tc>
          <w:tcPr>
            <w:tcW w:type="dxa" w:w="3120"/>
            <w:shd w:fill="F2F2F2"/>
            <w:tcMar>
              <w:top w:w="120" w:type="dxa"/>
              <w:bottom w:w="120" w:type="dxa"/>
              <w:left w:w="150" w:type="dxa"/>
              <w:right w:w="150" w:type="dxa"/>
            </w:tcMar>
          </w:tcPr>
          <w:p>
            <w:pPr>
              <w:jc w:val="left"/>
            </w:pPr>
            <w:r/>
            <w:r>
              <w:rPr>
                <w:rFonts w:ascii="Times New Roman" w:hAnsi="Times New Roman"/>
                <w:b/>
                <w:sz w:val="21"/>
              </w:rPr>
              <w:t>Stack Layer</w:t>
            </w:r>
          </w:p>
        </w:tc>
        <w:tc>
          <w:tcPr>
            <w:tcW w:type="dxa" w:w="3120"/>
            <w:shd w:fill="F2F2F2"/>
            <w:tcMar>
              <w:top w:w="120" w:type="dxa"/>
              <w:bottom w:w="120" w:type="dxa"/>
              <w:left w:w="150" w:type="dxa"/>
              <w:right w:w="150" w:type="dxa"/>
            </w:tcMar>
          </w:tcPr>
          <w:p>
            <w:pPr>
              <w:jc w:val="left"/>
            </w:pPr>
            <w:r/>
            <w:r>
              <w:rPr>
                <w:rFonts w:ascii="Times New Roman" w:hAnsi="Times New Roman"/>
                <w:b/>
                <w:sz w:val="21"/>
              </w:rPr>
              <w:t>Technologies Used</w:t>
            </w:r>
          </w:p>
        </w:tc>
        <w:tc>
          <w:tcPr>
            <w:tcW w:type="dxa" w:w="3120"/>
            <w:shd w:fill="F2F2F2"/>
            <w:tcMar>
              <w:top w:w="120" w:type="dxa"/>
              <w:bottom w:w="120" w:type="dxa"/>
              <w:left w:w="150" w:type="dxa"/>
              <w:right w:w="150" w:type="dxa"/>
            </w:tcMar>
          </w:tcPr>
          <w:p>
            <w:pPr>
              <w:jc w:val="left"/>
            </w:pPr>
            <w:r/>
            <w:r>
              <w:rPr>
                <w:rFonts w:ascii="Times New Roman" w:hAnsi="Times New Roman"/>
                <w:b/>
                <w:sz w:val="21"/>
              </w:rPr>
              <w:t>Purpose</w:t>
            </w:r>
          </w:p>
        </w:tc>
      </w:tr>
      <w:tr>
        <w:tc>
          <w:tcPr>
            <w:tcW w:type="dxa" w:w="3120"/>
            <w:tcMar>
              <w:top w:w="120" w:type="dxa"/>
              <w:bottom w:w="120" w:type="dxa"/>
              <w:left w:w="150" w:type="dxa"/>
              <w:right w:w="150" w:type="dxa"/>
            </w:tcMar>
          </w:tcPr>
          <w:p>
            <w:pPr>
              <w:jc w:val="left"/>
            </w:pPr>
            <w:r/>
            <w:r>
              <w:rPr>
                <w:rFonts w:ascii="Times New Roman" w:hAnsi="Times New Roman"/>
                <w:sz w:val="21"/>
              </w:rPr>
              <w:t>**Core Programming**</w:t>
            </w:r>
          </w:p>
        </w:tc>
        <w:tc>
          <w:tcPr>
            <w:tcW w:type="dxa" w:w="3120"/>
            <w:tcMar>
              <w:top w:w="120" w:type="dxa"/>
              <w:bottom w:w="120" w:type="dxa"/>
              <w:left w:w="150" w:type="dxa"/>
              <w:right w:w="150" w:type="dxa"/>
            </w:tcMar>
          </w:tcPr>
          <w:p>
            <w:pPr>
              <w:jc w:val="left"/>
            </w:pPr>
            <w:r/>
            <w:r>
              <w:rPr>
                <w:rFonts w:ascii="Times New Roman" w:hAnsi="Times New Roman"/>
                <w:sz w:val="21"/>
              </w:rPr>
              <w:t>Python v3.9+</w:t>
            </w:r>
          </w:p>
        </w:tc>
        <w:tc>
          <w:tcPr>
            <w:tcW w:type="dxa" w:w="3120"/>
            <w:tcMar>
              <w:top w:w="120" w:type="dxa"/>
              <w:bottom w:w="120" w:type="dxa"/>
              <w:left w:w="150" w:type="dxa"/>
              <w:right w:w="150" w:type="dxa"/>
            </w:tcMar>
          </w:tcPr>
          <w:p>
            <w:pPr>
              <w:jc w:val="left"/>
            </w:pPr>
            <w:r/>
            <w:r>
              <w:rPr>
                <w:rFonts w:ascii="Times New Roman" w:hAnsi="Times New Roman"/>
                <w:sz w:val="21"/>
              </w:rPr>
              <w:t>Main scientific computation language</w:t>
            </w:r>
          </w:p>
        </w:tc>
      </w:tr>
      <w:tr>
        <w:tc>
          <w:tcPr>
            <w:tcW w:type="dxa" w:w="3120"/>
            <w:tcMar>
              <w:top w:w="120" w:type="dxa"/>
              <w:bottom w:w="120" w:type="dxa"/>
              <w:left w:w="150" w:type="dxa"/>
              <w:right w:w="150" w:type="dxa"/>
            </w:tcMar>
          </w:tcPr>
          <w:p>
            <w:pPr>
              <w:jc w:val="left"/>
            </w:pPr>
            <w:r/>
            <w:r>
              <w:rPr>
                <w:rFonts w:ascii="Times New Roman" w:hAnsi="Times New Roman"/>
                <w:sz w:val="21"/>
              </w:rPr>
              <w:t>**Data Engineering**</w:t>
            </w:r>
          </w:p>
        </w:tc>
        <w:tc>
          <w:tcPr>
            <w:tcW w:type="dxa" w:w="3120"/>
            <w:tcMar>
              <w:top w:w="120" w:type="dxa"/>
              <w:bottom w:w="120" w:type="dxa"/>
              <w:left w:w="150" w:type="dxa"/>
              <w:right w:w="150" w:type="dxa"/>
            </w:tcMar>
          </w:tcPr>
          <w:p>
            <w:pPr>
              <w:jc w:val="left"/>
            </w:pPr>
            <w:r/>
            <w:r>
              <w:rPr>
                <w:rFonts w:ascii="Times New Roman" w:hAnsi="Times New Roman"/>
                <w:sz w:val="21"/>
              </w:rPr>
              <w:t>Pandas, NumPy</w:t>
            </w:r>
          </w:p>
        </w:tc>
        <w:tc>
          <w:tcPr>
            <w:tcW w:type="dxa" w:w="3120"/>
            <w:tcMar>
              <w:top w:w="120" w:type="dxa"/>
              <w:bottom w:w="120" w:type="dxa"/>
              <w:left w:w="150" w:type="dxa"/>
              <w:right w:w="150" w:type="dxa"/>
            </w:tcMar>
          </w:tcPr>
          <w:p>
            <w:pPr>
              <w:jc w:val="left"/>
            </w:pPr>
            <w:r/>
            <w:r>
              <w:rPr>
                <w:rFonts w:ascii="Times New Roman" w:hAnsi="Times New Roman"/>
                <w:sz w:val="21"/>
              </w:rPr>
              <w:t>Data parsing, array operations, features calculation</w:t>
            </w:r>
          </w:p>
        </w:tc>
      </w:tr>
      <w:tr>
        <w:tc>
          <w:tcPr>
            <w:tcW w:type="dxa" w:w="3120"/>
            <w:tcMar>
              <w:top w:w="120" w:type="dxa"/>
              <w:bottom w:w="120" w:type="dxa"/>
              <w:left w:w="150" w:type="dxa"/>
              <w:right w:w="150" w:type="dxa"/>
            </w:tcMar>
          </w:tcPr>
          <w:p>
            <w:pPr>
              <w:jc w:val="left"/>
            </w:pPr>
            <w:r/>
            <w:r>
              <w:rPr>
                <w:rFonts w:ascii="Times New Roman" w:hAnsi="Times New Roman"/>
                <w:sz w:val="21"/>
              </w:rPr>
              <w:t>**Data Fetching**</w:t>
            </w:r>
          </w:p>
        </w:tc>
        <w:tc>
          <w:tcPr>
            <w:tcW w:type="dxa" w:w="3120"/>
            <w:tcMar>
              <w:top w:w="120" w:type="dxa"/>
              <w:bottom w:w="120" w:type="dxa"/>
              <w:left w:w="150" w:type="dxa"/>
              <w:right w:w="150" w:type="dxa"/>
            </w:tcMar>
          </w:tcPr>
          <w:p>
            <w:pPr>
              <w:jc w:val="left"/>
            </w:pPr>
            <w:r/>
            <w:r>
              <w:rPr>
                <w:rFonts w:ascii="Times New Roman" w:hAnsi="Times New Roman"/>
                <w:sz w:val="21"/>
              </w:rPr>
              <w:t>yFinance API</w:t>
            </w:r>
          </w:p>
        </w:tc>
        <w:tc>
          <w:tcPr>
            <w:tcW w:type="dxa" w:w="3120"/>
            <w:tcMar>
              <w:top w:w="120" w:type="dxa"/>
              <w:bottom w:w="120" w:type="dxa"/>
              <w:left w:w="150" w:type="dxa"/>
              <w:right w:w="150" w:type="dxa"/>
            </w:tcMar>
          </w:tcPr>
          <w:p>
            <w:pPr>
              <w:jc w:val="left"/>
            </w:pPr>
            <w:r/>
            <w:r>
              <w:rPr>
                <w:rFonts w:ascii="Times New Roman" w:hAnsi="Times New Roman"/>
                <w:sz w:val="21"/>
              </w:rPr>
              <w:t>Dynamic streaming of daily candle data</w:t>
            </w:r>
          </w:p>
        </w:tc>
      </w:tr>
      <w:tr>
        <w:tc>
          <w:tcPr>
            <w:tcW w:type="dxa" w:w="3120"/>
            <w:tcMar>
              <w:top w:w="120" w:type="dxa"/>
              <w:bottom w:w="120" w:type="dxa"/>
              <w:left w:w="150" w:type="dxa"/>
              <w:right w:w="150" w:type="dxa"/>
            </w:tcMar>
          </w:tcPr>
          <w:p>
            <w:pPr>
              <w:jc w:val="left"/>
            </w:pPr>
            <w:r/>
            <w:r>
              <w:rPr>
                <w:rFonts w:ascii="Times New Roman" w:hAnsi="Times New Roman"/>
                <w:sz w:val="21"/>
              </w:rPr>
              <w:t>**Data Mining &amp; Clustering**</w:t>
            </w:r>
          </w:p>
        </w:tc>
        <w:tc>
          <w:tcPr>
            <w:tcW w:type="dxa" w:w="3120"/>
            <w:tcMar>
              <w:top w:w="120" w:type="dxa"/>
              <w:bottom w:w="120" w:type="dxa"/>
              <w:left w:w="150" w:type="dxa"/>
              <w:right w:w="150" w:type="dxa"/>
            </w:tcMar>
          </w:tcPr>
          <w:p>
            <w:pPr>
              <w:jc w:val="left"/>
            </w:pPr>
            <w:r/>
            <w:r>
              <w:rPr>
                <w:rFonts w:ascii="Times New Roman" w:hAnsi="Times New Roman"/>
                <w:sz w:val="21"/>
              </w:rPr>
              <w:t>Scikit-learn (K-Means, PCA)</w:t>
            </w:r>
          </w:p>
        </w:tc>
        <w:tc>
          <w:tcPr>
            <w:tcW w:type="dxa" w:w="3120"/>
            <w:tcMar>
              <w:top w:w="120" w:type="dxa"/>
              <w:bottom w:w="120" w:type="dxa"/>
              <w:left w:w="150" w:type="dxa"/>
              <w:right w:w="150" w:type="dxa"/>
            </w:tcMar>
          </w:tcPr>
          <w:p>
            <w:pPr>
              <w:jc w:val="left"/>
            </w:pPr>
            <w:r/>
            <w:r>
              <w:rPr>
                <w:rFonts w:ascii="Times New Roman" w:hAnsi="Times New Roman"/>
                <w:sz w:val="21"/>
              </w:rPr>
              <w:t>Market regime classification and dimensionality reduction</w:t>
            </w:r>
          </w:p>
        </w:tc>
      </w:tr>
      <w:tr>
        <w:tc>
          <w:tcPr>
            <w:tcW w:type="dxa" w:w="3120"/>
            <w:tcMar>
              <w:top w:w="120" w:type="dxa"/>
              <w:bottom w:w="120" w:type="dxa"/>
              <w:left w:w="150" w:type="dxa"/>
              <w:right w:w="150" w:type="dxa"/>
            </w:tcMar>
          </w:tcPr>
          <w:p>
            <w:pPr>
              <w:jc w:val="left"/>
            </w:pPr>
            <w:r/>
            <w:r>
              <w:rPr>
                <w:rFonts w:ascii="Times New Roman" w:hAnsi="Times New Roman"/>
                <w:sz w:val="21"/>
              </w:rPr>
              <w:t>**Predictive Modeling**</w:t>
            </w:r>
          </w:p>
        </w:tc>
        <w:tc>
          <w:tcPr>
            <w:tcW w:type="dxa" w:w="3120"/>
            <w:tcMar>
              <w:top w:w="120" w:type="dxa"/>
              <w:bottom w:w="120" w:type="dxa"/>
              <w:left w:w="150" w:type="dxa"/>
              <w:right w:w="150" w:type="dxa"/>
            </w:tcMar>
          </w:tcPr>
          <w:p>
            <w:pPr>
              <w:jc w:val="left"/>
            </w:pPr>
            <w:r/>
            <w:r>
              <w:rPr>
                <w:rFonts w:ascii="Times New Roman" w:hAnsi="Times New Roman"/>
                <w:sz w:val="21"/>
              </w:rPr>
              <w:t>MLPClassifier (ANN), RandomForest, K-NN</w:t>
            </w:r>
          </w:p>
        </w:tc>
        <w:tc>
          <w:tcPr>
            <w:tcW w:type="dxa" w:w="3120"/>
            <w:tcMar>
              <w:top w:w="120" w:type="dxa"/>
              <w:bottom w:w="120" w:type="dxa"/>
              <w:left w:w="150" w:type="dxa"/>
              <w:right w:w="150" w:type="dxa"/>
            </w:tcMar>
          </w:tcPr>
          <w:p>
            <w:pPr>
              <w:jc w:val="left"/>
            </w:pPr>
            <w:r/>
            <w:r>
              <w:rPr>
                <w:rFonts w:ascii="Times New Roman" w:hAnsi="Times New Roman"/>
                <w:sz w:val="21"/>
              </w:rPr>
              <w:t>Future price direction classification</w:t>
            </w:r>
          </w:p>
        </w:tc>
      </w:tr>
      <w:tr>
        <w:tc>
          <w:tcPr>
            <w:tcW w:type="dxa" w:w="3120"/>
            <w:tcMar>
              <w:top w:w="120" w:type="dxa"/>
              <w:bottom w:w="120" w:type="dxa"/>
              <w:left w:w="150" w:type="dxa"/>
              <w:right w:w="150" w:type="dxa"/>
            </w:tcMar>
          </w:tcPr>
          <w:p>
            <w:pPr>
              <w:jc w:val="left"/>
            </w:pPr>
            <w:r/>
            <w:r>
              <w:rPr>
                <w:rFonts w:ascii="Times New Roman" w:hAnsi="Times New Roman"/>
                <w:sz w:val="21"/>
              </w:rPr>
              <w:t>**Serialization**</w:t>
            </w:r>
          </w:p>
        </w:tc>
        <w:tc>
          <w:tcPr>
            <w:tcW w:type="dxa" w:w="3120"/>
            <w:tcMar>
              <w:top w:w="120" w:type="dxa"/>
              <w:bottom w:w="120" w:type="dxa"/>
              <w:left w:w="150" w:type="dxa"/>
              <w:right w:w="150" w:type="dxa"/>
            </w:tcMar>
          </w:tcPr>
          <w:p>
            <w:pPr>
              <w:jc w:val="left"/>
            </w:pPr>
            <w:r/>
            <w:r>
              <w:rPr>
                <w:rFonts w:ascii="Times New Roman" w:hAnsi="Times New Roman"/>
                <w:sz w:val="21"/>
              </w:rPr>
              <w:t>Joblib</w:t>
            </w:r>
          </w:p>
        </w:tc>
        <w:tc>
          <w:tcPr>
            <w:tcW w:type="dxa" w:w="3120"/>
            <w:tcMar>
              <w:top w:w="120" w:type="dxa"/>
              <w:bottom w:w="120" w:type="dxa"/>
              <w:left w:w="150" w:type="dxa"/>
              <w:right w:w="150" w:type="dxa"/>
            </w:tcMar>
          </w:tcPr>
          <w:p>
            <w:pPr>
              <w:jc w:val="left"/>
            </w:pPr>
            <w:r/>
            <w:r>
              <w:rPr>
                <w:rFonts w:ascii="Times New Roman" w:hAnsi="Times New Roman"/>
                <w:sz w:val="21"/>
              </w:rPr>
              <w:t>Serializing trained weights and preprocessing scales</w:t>
            </w:r>
          </w:p>
        </w:tc>
      </w:tr>
      <w:tr>
        <w:tc>
          <w:tcPr>
            <w:tcW w:type="dxa" w:w="3120"/>
            <w:tcMar>
              <w:top w:w="120" w:type="dxa"/>
              <w:bottom w:w="120" w:type="dxa"/>
              <w:left w:w="150" w:type="dxa"/>
              <w:right w:w="150" w:type="dxa"/>
            </w:tcMar>
          </w:tcPr>
          <w:p>
            <w:pPr>
              <w:jc w:val="left"/>
            </w:pPr>
            <w:r/>
            <w:r>
              <w:rPr>
                <w:rFonts w:ascii="Times New Roman" w:hAnsi="Times New Roman"/>
                <w:sz w:val="21"/>
              </w:rPr>
              <w:t>**Interactive UI**</w:t>
            </w:r>
          </w:p>
        </w:tc>
        <w:tc>
          <w:tcPr>
            <w:tcW w:type="dxa" w:w="3120"/>
            <w:tcMar>
              <w:top w:w="120" w:type="dxa"/>
              <w:bottom w:w="120" w:type="dxa"/>
              <w:left w:w="150" w:type="dxa"/>
              <w:right w:w="150" w:type="dxa"/>
            </w:tcMar>
          </w:tcPr>
          <w:p>
            <w:pPr>
              <w:jc w:val="left"/>
            </w:pPr>
            <w:r/>
            <w:r>
              <w:rPr>
                <w:rFonts w:ascii="Times New Roman" w:hAnsi="Times New Roman"/>
                <w:sz w:val="21"/>
              </w:rPr>
              <w:t>Python Streamlit</w:t>
            </w:r>
          </w:p>
        </w:tc>
        <w:tc>
          <w:tcPr>
            <w:tcW w:type="dxa" w:w="3120"/>
            <w:tcMar>
              <w:top w:w="120" w:type="dxa"/>
              <w:bottom w:w="120" w:type="dxa"/>
              <w:left w:w="150" w:type="dxa"/>
              <w:right w:w="150" w:type="dxa"/>
            </w:tcMar>
          </w:tcPr>
          <w:p>
            <w:pPr>
              <w:jc w:val="left"/>
            </w:pPr>
            <w:r/>
            <w:r>
              <w:rPr>
                <w:rFonts w:ascii="Times New Roman" w:hAnsi="Times New Roman"/>
                <w:sz w:val="21"/>
              </w:rPr>
              <w:t>Premium dark-themed business intelligence frontend</w:t>
            </w:r>
          </w:p>
        </w:tc>
      </w:tr>
      <w:tr>
        <w:tc>
          <w:tcPr>
            <w:tcW w:type="dxa" w:w="3120"/>
            <w:tcMar>
              <w:top w:w="120" w:type="dxa"/>
              <w:bottom w:w="120" w:type="dxa"/>
              <w:left w:w="150" w:type="dxa"/>
              <w:right w:w="150" w:type="dxa"/>
            </w:tcMar>
          </w:tcPr>
          <w:p>
            <w:pPr>
              <w:jc w:val="left"/>
            </w:pPr>
            <w:r/>
            <w:r>
              <w:rPr>
                <w:rFonts w:ascii="Times New Roman" w:hAnsi="Times New Roman"/>
                <w:sz w:val="21"/>
              </w:rPr>
              <w:t>**Visualizations**</w:t>
            </w:r>
          </w:p>
        </w:tc>
        <w:tc>
          <w:tcPr>
            <w:tcW w:type="dxa" w:w="3120"/>
            <w:tcMar>
              <w:top w:w="120" w:type="dxa"/>
              <w:bottom w:w="120" w:type="dxa"/>
              <w:left w:w="150" w:type="dxa"/>
              <w:right w:w="150" w:type="dxa"/>
            </w:tcMar>
          </w:tcPr>
          <w:p>
            <w:pPr>
              <w:jc w:val="left"/>
            </w:pPr>
            <w:r/>
            <w:r>
              <w:rPr>
                <w:rFonts w:ascii="Times New Roman" w:hAnsi="Times New Roman"/>
                <w:sz w:val="21"/>
              </w:rPr>
              <w:t>Plotly Express &amp; Graph Objects</w:t>
            </w:r>
          </w:p>
        </w:tc>
        <w:tc>
          <w:tcPr>
            <w:tcW w:type="dxa" w:w="3120"/>
            <w:tcMar>
              <w:top w:w="120" w:type="dxa"/>
              <w:bottom w:w="120" w:type="dxa"/>
              <w:left w:w="150" w:type="dxa"/>
              <w:right w:w="150" w:type="dxa"/>
            </w:tcMar>
          </w:tcPr>
          <w:p>
            <w:pPr>
              <w:jc w:val="left"/>
            </w:pPr>
            <w:r/>
            <w:r>
              <w:rPr>
                <w:rFonts w:ascii="Times New Roman" w:hAnsi="Times New Roman"/>
                <w:sz w:val="21"/>
              </w:rPr>
              <w:t>Dynamic Candlesticks, backtesting curves, PCA plots</w:t>
            </w:r>
          </w:p>
        </w:tc>
      </w:tr>
      <w:tr>
        <w:tc>
          <w:tcPr>
            <w:tcW w:type="dxa" w:w="3120"/>
            <w:tcMar>
              <w:top w:w="120" w:type="dxa"/>
              <w:bottom w:w="120" w:type="dxa"/>
              <w:left w:w="150" w:type="dxa"/>
              <w:right w:w="150" w:type="dxa"/>
            </w:tcMar>
          </w:tcPr>
          <w:p>
            <w:pPr>
              <w:jc w:val="left"/>
            </w:pPr>
            <w:r/>
            <w:r>
              <w:rPr>
                <w:rFonts w:ascii="Times New Roman" w:hAnsi="Times New Roman"/>
                <w:sz w:val="21"/>
              </w:rPr>
              <w:t>**Containerization**</w:t>
            </w:r>
          </w:p>
        </w:tc>
        <w:tc>
          <w:tcPr>
            <w:tcW w:type="dxa" w:w="3120"/>
            <w:tcMar>
              <w:top w:w="120" w:type="dxa"/>
              <w:bottom w:w="120" w:type="dxa"/>
              <w:left w:w="150" w:type="dxa"/>
              <w:right w:w="150" w:type="dxa"/>
            </w:tcMar>
          </w:tcPr>
          <w:p>
            <w:pPr>
              <w:jc w:val="left"/>
            </w:pPr>
            <w:r/>
            <w:r>
              <w:rPr>
                <w:rFonts w:ascii="Times New Roman" w:hAnsi="Times New Roman"/>
                <w:sz w:val="21"/>
              </w:rPr>
              <w:t>Docker, Slim Runtime</w:t>
            </w:r>
          </w:p>
        </w:tc>
        <w:tc>
          <w:tcPr>
            <w:tcW w:type="dxa" w:w="3120"/>
            <w:tcMar>
              <w:top w:w="120" w:type="dxa"/>
              <w:bottom w:w="120" w:type="dxa"/>
              <w:left w:w="150" w:type="dxa"/>
              <w:right w:w="150" w:type="dxa"/>
            </w:tcMar>
          </w:tcPr>
          <w:p>
            <w:pPr>
              <w:jc w:val="left"/>
            </w:pPr>
            <w:r/>
            <w:r>
              <w:rPr>
                <w:rFonts w:ascii="Times New Roman" w:hAnsi="Times New Roman"/>
                <w:sz w:val="21"/>
              </w:rPr>
              <w:t>Ensuring platform portability and CI/CD pipelines</w:t>
            </w:r>
          </w:p>
        </w:tc>
      </w:tr>
    </w:tbl>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REFERENCES</w:t>
      </w:r>
    </w:p>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Atayurt, O. (2021). </w:t>
      </w:r>
      <w:r>
        <w:rPr>
          <w:rFonts w:ascii="Times New Roman" w:hAnsi="Times New Roman"/>
          <w:i/>
          <w:sz w:val="24"/>
        </w:rPr>
        <w:t>Airbnb Demo Project</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Kutlu, G. (2022). </w:t>
      </w:r>
      <w:r>
        <w:rPr>
          <w:rFonts w:ascii="Times New Roman" w:hAnsi="Times New Roman"/>
          <w:i/>
          <w:sz w:val="24"/>
        </w:rPr>
        <w:t>Intelligent Agent to Enhance Search Engine</w:t>
      </w:r>
      <w:r>
        <w:rPr>
          <w:rFonts w:ascii="Times New Roman" w:hAnsi="Times New Roman"/>
          <w:sz w:val="24"/>
        </w:rPr>
        <w:t>. Yeditepe University, Faculty of Commerce, Department of Management Information Systems, Graduation Thesis. (Supervised by Assoc. Prof. Dr. Uğur Tevfik Kaplancalı)</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International Journal of Engineering Research and Development, 11(1), 253-265. https://doi.org/10.29137/umagd.425560</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Taşkaya, E. (2021). </w:t>
      </w:r>
      <w:r>
        <w:rPr>
          <w:rFonts w:ascii="Times New Roman" w:hAnsi="Times New Roman"/>
          <w:i/>
          <w:sz w:val="24"/>
        </w:rPr>
        <w:t>The Difference between Amazon and Alibaba's Marketing Strategy</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