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4"/>
        </w:rPr>
        <w:t>T.C</w:t>
      </w:r>
    </w:p>
    <w:p>
      <w:pPr>
        <w:jc w:val="center"/>
      </w:pPr>
      <w:r>
        <w:rPr>
          <w:rFonts w:ascii="Times New Roman" w:hAnsi="Times New Roman"/>
          <w:sz w:val="24"/>
        </w:rPr>
        <w:t>YEDITEPE UNIVERSITY</w:t>
      </w:r>
    </w:p>
    <w:p>
      <w:pPr>
        <w:jc w:val="center"/>
      </w:pPr>
      <w:r>
        <w:rPr>
          <w:rFonts w:ascii="Times New Roman" w:hAnsi="Times New Roman"/>
          <w:sz w:val="24"/>
        </w:rPr>
        <w:t>FACULTY OF COMMERCE</w:t>
      </w:r>
    </w:p>
    <w:p>
      <w:pPr>
        <w:jc w:val="center"/>
      </w:pPr>
      <w:r>
        <w:rPr>
          <w:rFonts w:ascii="Times New Roman" w:hAnsi="Times New Roman"/>
          <w:sz w:val="24"/>
        </w:rPr>
        <w:t>DEPARTMENT OF MANAGEMENT INFORMATION SYSTEMS</w:t>
      </w:r>
    </w:p>
    <w:p/>
    <w:p>
      <w:pPr>
        <w:jc w:val="center"/>
      </w:pPr>
      <w:r>
        <w:rPr>
          <w:rFonts w:ascii="Times New Roman" w:hAnsi="Times New Roman"/>
          <w:sz w:val="24"/>
        </w:rPr>
        <w:t>&lt;br&gt;&lt;br&gt;</w:t>
      </w:r>
    </w:p>
    <w:p/>
    <w:p>
      <w:pPr>
        <w:jc w:val="center"/>
      </w:pPr>
      <w:r>
        <w:rPr>
          <w:rFonts w:ascii="Times New Roman" w:hAnsi="Times New Roman"/>
          <w:b/>
          <w:sz w:val="40"/>
        </w:rPr>
        <w:t>BORSANEURON: ALGORITHMIC STOCK PRICE FORECASTING AND AUTOMATED TECHNICAL PATTERN SCANNER PLATFORM</w:t>
      </w:r>
    </w:p>
    <w:p>
      <w:pPr>
        <w:jc w:val="center"/>
      </w:pPr>
      <w:r>
        <w:rPr>
          <w:rFonts w:ascii="Times New Roman" w:hAnsi="Times New Roman"/>
          <w:b/>
          <w:sz w:val="28"/>
        </w:rPr>
        <w:t>https://github.com/zachariatrying/borsaneuron</w:t>
      </w:r>
    </w:p>
    <w:p/>
    <w:p>
      <w:pPr>
        <w:jc w:val="center"/>
      </w:pPr>
      <w:r>
        <w:rPr>
          <w:rFonts w:ascii="Times New Roman" w:hAnsi="Times New Roman"/>
          <w:sz w:val="24"/>
        </w:rPr>
        <w:t>&lt;br&gt;&lt;br&gt;</w:t>
      </w:r>
    </w:p>
    <w:p/>
    <w:p>
      <w:pPr>
        <w:jc w:val="center"/>
      </w:pPr>
      <w:r>
        <w:rPr>
          <w:rFonts w:ascii="Times New Roman" w:hAnsi="Times New Roman"/>
          <w:b/>
          <w:sz w:val="28"/>
        </w:rPr>
        <w:t>Graduation Thesis</w:t>
      </w:r>
    </w:p>
    <w:p>
      <w:pPr>
        <w:jc w:val="center"/>
      </w:pPr>
      <w:r>
        <w:rPr>
          <w:rFonts w:ascii="Times New Roman" w:hAnsi="Times New Roman"/>
          <w:b/>
          <w:sz w:val="28"/>
        </w:rPr>
        <w:t>by</w:t>
      </w:r>
    </w:p>
    <w:p>
      <w:pPr>
        <w:jc w:val="center"/>
      </w:pPr>
      <w:r>
        <w:rPr>
          <w:rFonts w:ascii="Times New Roman" w:hAnsi="Times New Roman"/>
          <w:b/>
          <w:sz w:val="32"/>
        </w:rPr>
        <w:t>İbrahim Tatar</w:t>
      </w:r>
    </w:p>
    <w:p>
      <w:pPr>
        <w:jc w:val="center"/>
      </w:pPr>
      <w:r>
        <w:rPr>
          <w:rFonts w:ascii="Times New Roman" w:hAnsi="Times New Roman"/>
          <w:b/>
          <w:sz w:val="28"/>
        </w:rPr>
        <w:t>20211314007</w:t>
      </w:r>
    </w:p>
    <w:p/>
    <w:p>
      <w:pPr>
        <w:jc w:val="center"/>
      </w:pPr>
      <w:r>
        <w:rPr>
          <w:rFonts w:ascii="Times New Roman" w:hAnsi="Times New Roman"/>
          <w:sz w:val="24"/>
        </w:rPr>
        <w:t>&lt;br&gt;&lt;br&gt;</w:t>
      </w:r>
    </w:p>
    <w:p/>
    <w:p>
      <w:pPr>
        <w:jc w:val="center"/>
      </w:pPr>
      <w:r>
        <w:rPr>
          <w:rFonts w:ascii="Times New Roman" w:hAnsi="Times New Roman"/>
          <w:b/>
          <w:sz w:val="28"/>
        </w:rPr>
        <w:t>Thesis Supervisor: Dr. Öğr. Üyesi UĞUR TEVFİK KAPLANCALI</w:t>
      </w:r>
    </w:p>
    <w:p/>
    <w:p>
      <w:pPr>
        <w:jc w:val="center"/>
      </w:pPr>
      <w:r>
        <w:rPr>
          <w:rFonts w:ascii="Times New Roman" w:hAnsi="Times New Roman"/>
          <w:sz w:val="24"/>
        </w:rPr>
        <w:t>&lt;br&gt;&lt;br&gt;</w:t>
      </w:r>
    </w:p>
    <w:p/>
    <w:p>
      <w:pPr>
        <w:jc w:val="center"/>
      </w:pPr>
      <w:r>
        <w:rPr>
          <w:rFonts w:ascii="Times New Roman" w:hAnsi="Times New Roman"/>
          <w:b/>
          <w:sz w:val="28"/>
        </w:rPr>
        <w:t>ISTANBUL, SPRING 2026</w:t>
      </w:r>
    </w:p>
    <w:p/>
    <w:p>
      <w:r>
        <w:br w:type="page"/>
      </w:r>
    </w:p>
    <w:p/>
    <w:p>
      <w:pPr>
        <w:pStyle w:val="Heading2"/>
        <w:spacing w:before="240" w:after="120"/>
        <w:jc w:val="left"/>
      </w:pPr>
      <w:r>
        <w:rPr>
          <w:rFonts w:ascii="Times New Roman" w:hAnsi="Times New Roman"/>
          <w:b/>
          <w:color w:val="1E1E1E"/>
          <w:sz w:val="28"/>
        </w:rPr>
        <w:t>CONTENTS</w:t>
      </w:r>
    </w:p>
    <w:p/>
    <w:p>
      <w:pPr>
        <w:spacing w:line="360" w:lineRule="auto" w:after="160"/>
        <w:jc w:val="both"/>
      </w:pPr>
      <w:r>
        <w:rPr>
          <w:rFonts w:ascii="Times New Roman" w:hAnsi="Times New Roman"/>
          <w:sz w:val="24"/>
        </w:rPr>
        <w:t>1. INTRODUCTION 3</w:t>
      </w:r>
    </w:p>
    <w:p>
      <w:pPr>
        <w:spacing w:line="360" w:lineRule="auto" w:after="160"/>
        <w:jc w:val="both"/>
      </w:pPr>
      <w:r>
        <w:rPr>
          <w:rFonts w:ascii="Times New Roman" w:hAnsi="Times New Roman"/>
          <w:sz w:val="24"/>
        </w:rPr>
        <w:t>2. SETTING UP PROJECT 4</w:t>
      </w:r>
    </w:p>
    <w:p>
      <w:pPr>
        <w:spacing w:line="360" w:lineRule="auto" w:after="160"/>
        <w:jc w:val="both"/>
      </w:pPr>
      <w:r>
        <w:rPr>
          <w:rFonts w:ascii="Times New Roman" w:hAnsi="Times New Roman"/>
          <w:sz w:val="24"/>
        </w:rPr>
        <w:t>2.1. Software Required Before Installation 4</w:t>
      </w:r>
    </w:p>
    <w:p>
      <w:pPr>
        <w:spacing w:line="360" w:lineRule="auto" w:after="160"/>
        <w:jc w:val="both"/>
      </w:pPr>
      <w:r>
        <w:rPr>
          <w:rFonts w:ascii="Times New Roman" w:hAnsi="Times New Roman"/>
          <w:sz w:val="24"/>
        </w:rPr>
        <w:t>2.2. Initial Installation Packages of the Project 6</w:t>
      </w:r>
    </w:p>
    <w:p>
      <w:pPr>
        <w:spacing w:line="360" w:lineRule="auto" w:after="160"/>
        <w:jc w:val="both"/>
      </w:pPr>
      <w:r>
        <w:rPr>
          <w:rFonts w:ascii="Times New Roman" w:hAnsi="Times New Roman"/>
          <w:sz w:val="24"/>
        </w:rPr>
        <w:t>3. BUILDING BORSANEURON PLATFORM &amp; MODULES 8</w:t>
      </w:r>
    </w:p>
    <w:p>
      <w:pPr>
        <w:spacing w:line="360" w:lineRule="auto" w:after="160"/>
        <w:jc w:val="both"/>
      </w:pPr>
      <w:r>
        <w:rPr>
          <w:rFonts w:ascii="Times New Roman" w:hAnsi="Times New Roman"/>
          <w:sz w:val="24"/>
        </w:rPr>
        <w:t>3.1. Quantitative Data Pipeline 8</w:t>
      </w:r>
    </w:p>
    <w:p>
      <w:pPr>
        <w:spacing w:line="360" w:lineRule="auto" w:after="160"/>
        <w:jc w:val="both"/>
      </w:pPr>
      <w:r>
        <w:rPr>
          <w:rFonts w:ascii="Times New Roman" w:hAnsi="Times New Roman"/>
          <w:sz w:val="24"/>
        </w:rPr>
        <w:t>3.1.1. Pearson Correlation Filtering 8</w:t>
      </w:r>
    </w:p>
    <w:p>
      <w:pPr>
        <w:spacing w:line="360" w:lineRule="auto" w:after="160"/>
        <w:jc w:val="both"/>
      </w:pPr>
      <w:r>
        <w:rPr>
          <w:rFonts w:ascii="Times New Roman" w:hAnsi="Times New Roman"/>
          <w:sz w:val="24"/>
        </w:rPr>
        <w:t>3.1.2. K-Means Market Segmentation 10</w:t>
      </w:r>
    </w:p>
    <w:p>
      <w:pPr>
        <w:spacing w:line="360" w:lineRule="auto" w:after="160"/>
        <w:jc w:val="both"/>
      </w:pPr>
      <w:r>
        <w:rPr>
          <w:rFonts w:ascii="Times New Roman" w:hAnsi="Times New Roman"/>
          <w:sz w:val="24"/>
        </w:rPr>
        <w:t>3.1.3. LZMA xz Data Compression Workaround 12</w:t>
      </w:r>
    </w:p>
    <w:p>
      <w:pPr>
        <w:spacing w:line="360" w:lineRule="auto" w:after="160"/>
        <w:jc w:val="both"/>
      </w:pPr>
      <w:r>
        <w:rPr>
          <w:rFonts w:ascii="Times New Roman" w:hAnsi="Times New Roman"/>
          <w:sz w:val="24"/>
        </w:rPr>
        <w:t>3.2. Supervised Machine Learning Engines 14</w:t>
      </w:r>
    </w:p>
    <w:p>
      <w:pPr>
        <w:spacing w:line="360" w:lineRule="auto" w:after="160"/>
        <w:jc w:val="both"/>
      </w:pPr>
      <w:r>
        <w:rPr>
          <w:rFonts w:ascii="Times New Roman" w:hAnsi="Times New Roman"/>
          <w:sz w:val="24"/>
        </w:rPr>
        <w:t>3.2.1. Hyperparameter Optimization (K-NN &amp; GridSearchCV) 14</w:t>
      </w:r>
    </w:p>
    <w:p>
      <w:pPr>
        <w:spacing w:line="360" w:lineRule="auto" w:after="160"/>
        <w:jc w:val="both"/>
      </w:pPr>
      <w:r>
        <w:rPr>
          <w:rFonts w:ascii="Times New Roman" w:hAnsi="Times New Roman"/>
          <w:sz w:val="24"/>
        </w:rPr>
        <w:t>3.2.2. Random Forest Gini Feature Importances 16</w:t>
      </w:r>
    </w:p>
    <w:p>
      <w:pPr>
        <w:spacing w:line="360" w:lineRule="auto" w:after="160"/>
        <w:jc w:val="both"/>
      </w:pPr>
      <w:r>
        <w:rPr>
          <w:rFonts w:ascii="Times New Roman" w:hAnsi="Times New Roman"/>
          <w:sz w:val="24"/>
        </w:rPr>
        <w:t>3.2.3. Artificial Neural Networks (ANN MLPClassifier) 18</w:t>
      </w:r>
    </w:p>
    <w:p>
      <w:pPr>
        <w:spacing w:line="360" w:lineRule="auto" w:after="160"/>
        <w:jc w:val="both"/>
      </w:pPr>
      <w:r>
        <w:rPr>
          <w:rFonts w:ascii="Times New Roman" w:hAnsi="Times New Roman"/>
          <w:sz w:val="24"/>
        </w:rPr>
        <w:t>3.2.4. Core Production XGBoost Classifier 20</w:t>
      </w:r>
    </w:p>
    <w:p>
      <w:pPr>
        <w:spacing w:line="360" w:lineRule="auto" w:after="160"/>
        <w:jc w:val="both"/>
      </w:pPr>
      <w:r>
        <w:rPr>
          <w:rFonts w:ascii="Times New Roman" w:hAnsi="Times New Roman"/>
          <w:sz w:val="24"/>
        </w:rPr>
        <w:t>3.3. Streamlit Workstation Interface 22</w:t>
      </w:r>
    </w:p>
    <w:p>
      <w:pPr>
        <w:spacing w:line="360" w:lineRule="auto" w:after="160"/>
        <w:jc w:val="both"/>
      </w:pPr>
      <w:r>
        <w:rPr>
          <w:rFonts w:ascii="Times New Roman" w:hAnsi="Times New Roman"/>
          <w:sz w:val="24"/>
        </w:rPr>
        <w:t>3.3.1. Glassmorphic SaaS Layout &amp; Custom CSS Injection 22</w:t>
      </w:r>
    </w:p>
    <w:p>
      <w:pPr>
        <w:spacing w:line="360" w:lineRule="auto" w:after="160"/>
        <w:jc w:val="both"/>
      </w:pPr>
      <w:r>
        <w:rPr>
          <w:rFonts w:ascii="Times New Roman" w:hAnsi="Times New Roman"/>
          <w:sz w:val="24"/>
        </w:rPr>
        <w:t>3.3.2. Live Stock Query Page &amp; yfinance Inference Pipeline 24</w:t>
      </w:r>
    </w:p>
    <w:p>
      <w:pPr>
        <w:spacing w:line="360" w:lineRule="auto" w:after="160"/>
        <w:jc w:val="both"/>
      </w:pPr>
      <w:r>
        <w:rPr>
          <w:rFonts w:ascii="Times New Roman" w:hAnsi="Times New Roman"/>
          <w:sz w:val="24"/>
        </w:rPr>
        <w:t>3.3.3. Historical Win-Rate Decision Engine 26</w:t>
      </w:r>
    </w:p>
    <w:p>
      <w:pPr>
        <w:spacing w:line="360" w:lineRule="auto" w:after="160"/>
        <w:jc w:val="both"/>
      </w:pPr>
      <w:r>
        <w:rPr>
          <w:rFonts w:ascii="Times New Roman" w:hAnsi="Times New Roman"/>
          <w:sz w:val="24"/>
        </w:rPr>
        <w:t>3.3.4. Sector Peer Benchmarking 28</w:t>
      </w:r>
    </w:p>
    <w:p>
      <w:pPr>
        <w:spacing w:line="360" w:lineRule="auto" w:after="160"/>
        <w:jc w:val="both"/>
      </w:pPr>
      <w:r>
        <w:rPr>
          <w:rFonts w:ascii="Times New Roman" w:hAnsi="Times New Roman"/>
          <w:sz w:val="24"/>
        </w:rPr>
        <w:t>3.3.5. Interactive Candlestick Plotly Visualizer 30</w:t>
      </w:r>
    </w:p>
    <w:p>
      <w:pPr>
        <w:spacing w:line="360" w:lineRule="auto" w:after="160"/>
        <w:jc w:val="both"/>
      </w:pPr>
      <w:r>
        <w:rPr>
          <w:rFonts w:ascii="Times New Roman" w:hAnsi="Times New Roman"/>
          <w:sz w:val="24"/>
        </w:rPr>
        <w:t>3.3.6. Live Portfolio Backtest Simulator 32</w:t>
      </w:r>
    </w:p>
    <w:p>
      <w:pPr>
        <w:spacing w:line="360" w:lineRule="auto" w:after="160"/>
        <w:jc w:val="both"/>
      </w:pPr>
      <w:r>
        <w:rPr>
          <w:rFonts w:ascii="Times New Roman" w:hAnsi="Times New Roman"/>
          <w:sz w:val="24"/>
        </w:rPr>
        <w:t>3.4. Automated Geometric Pattern Recognition Engine 34</w:t>
      </w:r>
    </w:p>
    <w:p>
      <w:pPr>
        <w:spacing w:line="360" w:lineRule="auto" w:after="160"/>
        <w:jc w:val="both"/>
      </w:pPr>
      <w:r>
        <w:rPr>
          <w:rFonts w:ascii="Times New Roman" w:hAnsi="Times New Roman"/>
          <w:sz w:val="24"/>
        </w:rPr>
        <w:t>3.4.1. Peak and Trough Extraction via ZigZag Indicator 34</w:t>
      </w:r>
    </w:p>
    <w:p>
      <w:pPr>
        <w:spacing w:line="360" w:lineRule="auto" w:after="160"/>
        <w:jc w:val="both"/>
      </w:pPr>
      <w:r>
        <w:rPr>
          <w:rFonts w:ascii="Times New Roman" w:hAnsi="Times New Roman"/>
          <w:sz w:val="24"/>
        </w:rPr>
        <w:t>3.4.2. Head and Shoulders (OBO) &amp; Inverted Head and Shoulders (TOBO) 35</w:t>
      </w:r>
    </w:p>
    <w:p>
      <w:pPr>
        <w:spacing w:line="360" w:lineRule="auto" w:after="160"/>
        <w:jc w:val="both"/>
      </w:pPr>
      <w:r>
        <w:rPr>
          <w:rFonts w:ascii="Times New Roman" w:hAnsi="Times New Roman"/>
          <w:sz w:val="24"/>
        </w:rPr>
        <w:t>3.4.3. Cup &amp; Handle &amp; Flag Formations 36</w:t>
      </w:r>
    </w:p>
    <w:p>
      <w:pPr>
        <w:spacing w:line="360" w:lineRule="auto" w:after="160"/>
        <w:jc w:val="both"/>
      </w:pPr>
      <w:r>
        <w:rPr>
          <w:rFonts w:ascii="Times New Roman" w:hAnsi="Times New Roman"/>
          <w:sz w:val="24"/>
        </w:rPr>
        <w:t>3.4.4. Double Bottom &amp; Double Top Formations 37</w:t>
      </w:r>
    </w:p>
    <w:p>
      <w:pPr>
        <w:spacing w:line="360" w:lineRule="auto" w:after="160"/>
        <w:jc w:val="both"/>
      </w:pPr>
      <w:r>
        <w:rPr>
          <w:rFonts w:ascii="Times New Roman" w:hAnsi="Times New Roman"/>
          <w:sz w:val="24"/>
        </w:rPr>
        <w:t>4. DEPLOYING PROJECT 38</w:t>
      </w:r>
    </w:p>
    <w:p>
      <w:pPr>
        <w:spacing w:line="360" w:lineRule="auto" w:after="160"/>
        <w:jc w:val="both"/>
      </w:pPr>
      <w:r>
        <w:rPr>
          <w:rFonts w:ascii="Times New Roman" w:hAnsi="Times New Roman"/>
          <w:sz w:val="24"/>
        </w:rPr>
        <w:t>4.1. Docker Containerization 38</w:t>
      </w:r>
    </w:p>
    <w:p>
      <w:pPr>
        <w:spacing w:line="360" w:lineRule="auto" w:after="160"/>
        <w:jc w:val="both"/>
      </w:pPr>
      <w:r>
        <w:rPr>
          <w:rFonts w:ascii="Times New Roman" w:hAnsi="Times New Roman"/>
          <w:sz w:val="24"/>
        </w:rPr>
        <w:t>4.2. Production Setup and Server Run Commands 39</w:t>
      </w:r>
    </w:p>
    <w:p>
      <w:pPr>
        <w:spacing w:line="360" w:lineRule="auto" w:after="160"/>
        <w:jc w:val="both"/>
      </w:pPr>
      <w:r>
        <w:rPr>
          <w:rFonts w:ascii="Times New Roman" w:hAnsi="Times New Roman"/>
          <w:sz w:val="24"/>
        </w:rPr>
        <w:t>5. FILE HIERARCHY 39</w:t>
      </w:r>
    </w:p>
    <w:p>
      <w:pPr>
        <w:spacing w:line="360" w:lineRule="auto" w:after="160"/>
        <w:jc w:val="both"/>
      </w:pPr>
      <w:r>
        <w:rPr>
          <w:rFonts w:ascii="Times New Roman" w:hAnsi="Times New Roman"/>
          <w:sz w:val="24"/>
        </w:rPr>
        <w:t>TECH STACK 40</w:t>
      </w:r>
    </w:p>
    <w:p>
      <w:pPr>
        <w:spacing w:line="360" w:lineRule="auto" w:after="160"/>
        <w:jc w:val="both"/>
      </w:pPr>
      <w:r>
        <w:rPr>
          <w:rFonts w:ascii="Times New Roman" w:hAnsi="Times New Roman"/>
          <w:sz w:val="24"/>
        </w:rPr>
        <w:t>REFERENCES 41</w:t>
      </w:r>
    </w:p>
    <w:p/>
    <w:p>
      <w:pPr>
        <w:spacing w:line="360" w:lineRule="auto" w:after="160"/>
        <w:jc w:val="both"/>
      </w:pPr>
      <w:r>
        <w:rPr>
          <w:rFonts w:ascii="Times New Roman" w:hAnsi="Times New Roman"/>
          <w:sz w:val="24"/>
        </w:rPr>
        <w:t>---</w:t>
      </w:r>
    </w:p>
    <w:p/>
    <w:p>
      <w:pPr>
        <w:pStyle w:val="Heading2"/>
        <w:spacing w:before="240" w:after="120"/>
        <w:jc w:val="left"/>
      </w:pPr>
      <w:r>
        <w:rPr>
          <w:rFonts w:ascii="Times New Roman" w:hAnsi="Times New Roman"/>
          <w:b/>
          <w:color w:val="1E1E1E"/>
          <w:sz w:val="28"/>
        </w:rPr>
        <w:t>ÖZ</w:t>
      </w:r>
    </w:p>
    <w:p/>
    <w:p>
      <w:pPr>
        <w:spacing w:line="360" w:lineRule="auto" w:after="160"/>
        <w:jc w:val="both"/>
      </w:pPr>
      <w:r>
        <w:rPr>
          <w:rFonts w:ascii="Times New Roman" w:hAnsi="Times New Roman"/>
          <w:sz w:val="24"/>
        </w:rPr>
        <w:t xml:space="preserve">Bu çalışma, Borsa İstanbul (BIST) hisse senedi piyasalarında işlem gören hisse senetlerinin teknik analiz indikatörleri ve geometrik fiyat örüntülerini kullanarak, 5 günlük gelecek fiyat yönünü tahmin etmeyi ve klasik grafik formasyonlarını otomatik olarak taramayı hedefleyen bütünsel bir karar destek platformu olan </w:t>
      </w:r>
      <w:r>
        <w:rPr>
          <w:rFonts w:ascii="Times New Roman" w:hAnsi="Times New Roman"/>
          <w:b/>
          <w:sz w:val="24"/>
        </w:rPr>
        <w:t>BorsaNeuron</w:t>
      </w:r>
      <w:r>
        <w:rPr>
          <w:rFonts w:ascii="Times New Roman" w:hAnsi="Times New Roman"/>
          <w:sz w:val="24"/>
        </w:rPr>
        <w:t>'u sunmaktadır.</w:t>
      </w:r>
    </w:p>
    <w:p/>
    <w:p>
      <w:pPr>
        <w:spacing w:line="360" w:lineRule="auto" w:after="160"/>
        <w:jc w:val="both"/>
      </w:pPr>
      <w:r>
        <w:rPr>
          <w:rFonts w:ascii="Times New Roman" w:hAnsi="Times New Roman"/>
          <w:sz w:val="24"/>
        </w:rPr>
        <w:t xml:space="preserve">Geliştirilen bu proje, Borsa İstanbul genelini temsil eden </w:t>
      </w:r>
      <w:r>
        <w:rPr>
          <w:rFonts w:ascii="Times New Roman" w:hAnsi="Times New Roman"/>
          <w:b/>
          <w:sz w:val="24"/>
        </w:rPr>
        <w:t>aktif BIST hisse senetlerine</w:t>
      </w:r>
      <w:r>
        <w:rPr>
          <w:rFonts w:ascii="Times New Roman" w:hAnsi="Times New Roman"/>
          <w:sz w:val="24"/>
        </w:rPr>
        <w:t xml:space="preserve"> ait tarihsel günlük veriler üzerinde yürütülmüştür. Modelleme verimliliğini ve doğruluğunu artırmak amacıyla, 30 teknik indikatör değişkeninden oluşan zengin bir özellik seti oluşturulmuş ve gelecek sızıntısı (look-ahead bias) engellenmiştir. Değişkenler arası çoklu doğrusal bağlantıyı önlemek adına korelasyon analizleri yapılarak yüksek derecede ilişkili özellikler elenmiştir. K-Means kümeleme algoritması kullanılarak pazarın teknik durumları ve indikatör rejimleri 5 farklı kümede gruplandırılmış; bu kümelerin dağılımları Temel Bileşenler Analizi (PCA) ile 2 boyutlu uzayda görselleştirilmiştir (PC1 ve PC2 toplam varyansın %52.25'ini açıklamaktadır).</w:t>
      </w:r>
    </w:p>
    <w:p/>
    <w:p>
      <w:pPr>
        <w:spacing w:line="360" w:lineRule="auto" w:after="160"/>
        <w:jc w:val="both"/>
      </w:pPr>
      <w:r>
        <w:rPr>
          <w:rFonts w:ascii="Times New Roman" w:hAnsi="Times New Roman"/>
          <w:sz w:val="24"/>
        </w:rPr>
        <w:t>BIST hisselerinin 5 gün sonraki kapanış fiyatının bugünkünden yüksek olup olmayacağını (</w:t>
      </w:r>
      <w:r>
        <w:rPr>
          <w:rFonts w:ascii="Courier New" w:hAnsi="Courier New"/>
          <w:sz w:val="21"/>
        </w:rPr>
        <w:t>Target_T5</w:t>
      </w:r>
      <w:r>
        <w:rPr>
          <w:rFonts w:ascii="Times New Roman" w:hAnsi="Times New Roman"/>
          <w:sz w:val="24"/>
        </w:rPr>
        <w:t>) tahmin etmek üzere K-En Yakın Komşu (K-NN), Yapay Sinir Ağları (ANN - MLPClassifier), Rastgele Orman (Random Forest) ve XGBoost modelleri eğitilmiştir. Yapay Sinir Ağı (ANN) %55.68 doğruluk ve 0.6496 F1-Skor ile en yüksek tahminsel başarıyı sergilerken; genişletilmiş veri setinde eğitilen XGBoost modeli dengeli duyarlılık ve kesinlik metrikleriyle online tahmin motoru olarak seçilmiştir.</w:t>
      </w:r>
    </w:p>
    <w:p/>
    <w:p>
      <w:pPr>
        <w:spacing w:line="360" w:lineRule="auto" w:after="160"/>
        <w:jc w:val="both"/>
      </w:pPr>
      <w:r>
        <w:rPr>
          <w:rFonts w:ascii="Times New Roman" w:hAnsi="Times New Roman"/>
          <w:sz w:val="24"/>
        </w:rPr>
        <w:t xml:space="preserve">Yapay zeka modelleri, Python Streamlit kütüphanesi kullanılarak interaktif bir web kontrol paneline (BorsaNeuron Dashboard) dönüştürülmüştür. Bu arayüz; kullanıcıların hisse kodu girerek </w:t>
      </w:r>
      <w:r>
        <w:rPr>
          <w:rFonts w:ascii="Courier New" w:hAnsi="Courier New"/>
          <w:sz w:val="21"/>
        </w:rPr>
        <w:t>yfinance</w:t>
      </w:r>
      <w:r>
        <w:rPr>
          <w:rFonts w:ascii="Times New Roman" w:hAnsi="Times New Roman"/>
          <w:sz w:val="24"/>
        </w:rPr>
        <w:t xml:space="preserve"> üzerinden akan canlı teknik verilerle anlık inference tahminleri alabildiği, hisselerin </w:t>
      </w:r>
      <w:r>
        <w:rPr>
          <w:rFonts w:ascii="Times New Roman" w:hAnsi="Times New Roman"/>
          <w:b/>
          <w:sz w:val="24"/>
        </w:rPr>
        <w:t>kendi geçmiş başarı uyumunu (Win Rate)</w:t>
      </w:r>
      <w:r>
        <w:rPr>
          <w:rFonts w:ascii="Times New Roman" w:hAnsi="Times New Roman"/>
          <w:sz w:val="24"/>
        </w:rPr>
        <w:t xml:space="preserve"> karar alma sürecine ağırlık olarak entegre ettiği ve TOBO, Fincan-Kulp, Flama, İkili Dip ve İkili Tepe gibi klasik formasyonları BIST genelinde tarayabildiği canlı bir platform sunmaktadır. Geliştirilen platform, Dockerfile ile konteynerleştirilmiş ve bulut ortamında yayına hazır hale getirilmiştir. GitHub dosya boyutu limitlerini aşmak amacıyla 318MB boyutundaki veri seti, xz formatında sıkıştırılarak 50.1MB'a düşürülmüş ve çalışma zamanında dinamik olarak okunacak şekilde entegre edilmiştir.</w:t>
      </w:r>
    </w:p>
    <w:p/>
    <w:p>
      <w:pPr>
        <w:spacing w:line="360" w:lineRule="auto" w:after="160"/>
        <w:jc w:val="both"/>
      </w:pPr>
      <w:r>
        <w:rPr>
          <w:rFonts w:ascii="Times New Roman" w:hAnsi="Times New Roman"/>
          <w:b/>
          <w:sz w:val="24"/>
        </w:rPr>
        <w:t>Anahtar Kelimeler:</w:t>
      </w:r>
      <w:r>
        <w:rPr>
          <w:rFonts w:ascii="Times New Roman" w:hAnsi="Times New Roman"/>
          <w:sz w:val="24"/>
        </w:rPr>
        <w:t xml:space="preserve"> Veri Madenciliği, BIST Tahminlemesi, Makine Öğrenmesi, K-Means Kümeleme, Sektörel Kıyaslama, Streamlit, Teknik Formasyon Tarayıcı.</w:t>
      </w:r>
    </w:p>
    <w:p/>
    <w:p/>
    <w:p>
      <w:pPr>
        <w:pStyle w:val="Heading1"/>
        <w:spacing w:before="360" w:after="160"/>
        <w:jc w:val="left"/>
      </w:pPr>
      <w:r>
        <w:rPr>
          <w:rFonts w:ascii="Times New Roman" w:hAnsi="Times New Roman"/>
          <w:b/>
          <w:color w:val="111111"/>
          <w:sz w:val="36"/>
        </w:rPr>
        <w:t>1. INTRODUCTION</w:t>
      </w:r>
    </w:p>
    <w:p/>
    <w:p>
      <w:pPr>
        <w:spacing w:line="360" w:lineRule="auto" w:after="160"/>
        <w:jc w:val="both"/>
      </w:pPr>
      <w:r>
        <w:rPr>
          <w:rFonts w:ascii="Times New Roman" w:hAnsi="Times New Roman"/>
          <w:sz w:val="24"/>
        </w:rPr>
        <w:t xml:space="preserve">This study presents </w:t>
      </w:r>
      <w:r>
        <w:rPr>
          <w:rFonts w:ascii="Times New Roman" w:hAnsi="Times New Roman"/>
          <w:b/>
          <w:sz w:val="24"/>
        </w:rPr>
        <w:t>BorsaNeuron</w:t>
      </w:r>
      <w:r>
        <w:rPr>
          <w:rFonts w:ascii="Times New Roman" w:hAnsi="Times New Roman"/>
          <w:sz w:val="24"/>
        </w:rPr>
        <w:t>, a holistic decision support and analytics platform aimed at forecasting 5-day future stock price directions and automating classical chart pattern scanning in the Borsa Istanbul (BIST) stock market using technical analysis indicators and machine learning algorithms.</w:t>
      </w:r>
    </w:p>
    <w:p/>
    <w:p>
      <w:pPr>
        <w:spacing w:line="360" w:lineRule="auto" w:after="160"/>
        <w:jc w:val="both"/>
      </w:pPr>
      <w:r>
        <w:rPr>
          <w:rFonts w:ascii="Times New Roman" w:hAnsi="Times New Roman"/>
          <w:sz w:val="24"/>
        </w:rPr>
        <w:t xml:space="preserve">Applying quantitative finance workflows to quantitative finance, this project was developed using a comprehensive technical indicator dataset representing </w:t>
      </w:r>
      <w:r>
        <w:rPr>
          <w:rFonts w:ascii="Times New Roman" w:hAnsi="Times New Roman"/>
          <w:b/>
          <w:sz w:val="24"/>
        </w:rPr>
        <w:t>active BIST stocks</w:t>
      </w:r>
      <w:r>
        <w:rPr>
          <w:rFonts w:ascii="Times New Roman" w:hAnsi="Times New Roman"/>
          <w:sz w:val="24"/>
        </w:rPr>
        <w:t xml:space="preserve"> traded on Borsa Istanbul. Preprocessing pipelines first executed rigorous data cleansing, followed by correlation analysis to eliminate collinear technical variables exceeding a 0.90 threshold. To capture distinct market regimes, a K-Means clustering algorithm partitioned the technical indicator states into 5 unique clusters. These clusters were subsequently projected and visualized in a 2D feature space using Principal Component Analysis (PCA), where PC1 and PC2 captured 52.25% of the cumulative variance.</w:t>
      </w:r>
    </w:p>
    <w:p/>
    <w:p>
      <w:pPr>
        <w:spacing w:line="360" w:lineRule="auto" w:after="160"/>
        <w:jc w:val="both"/>
      </w:pPr>
      <w:r>
        <w:rPr>
          <w:rFonts w:ascii="Times New Roman" w:hAnsi="Times New Roman"/>
          <w:sz w:val="24"/>
        </w:rPr>
        <w:t>To forecast the binary 5-day future price direction target (</w:t>
      </w:r>
      <w:r>
        <w:rPr>
          <w:rFonts w:ascii="Courier New" w:hAnsi="Courier New"/>
          <w:sz w:val="21"/>
        </w:rPr>
        <w:t>Target_T5</w:t>
      </w:r>
      <w:r>
        <w:rPr>
          <w:rFonts w:ascii="Times New Roman" w:hAnsi="Times New Roman"/>
          <w:sz w:val="24"/>
        </w:rPr>
        <w:t>), K-Nearest Neighbors (K-NN), Artificial Neural Networks (ANN - MLPClassifier), and Random Forest (RF) classifiers were optimized. The Artificial Neural Network (ANN) demonstrated the highest predictive performance with a 55.68% accuracy and a 0.6496 F1-Score. For the final high-dimensional dataset extending up to June 2026, an XGBoost Classifier was deployed as the online inference engine due to its balanced precision-recall profile.</w:t>
      </w:r>
    </w:p>
    <w:p/>
    <w:p>
      <w:pPr>
        <w:spacing w:line="360" w:lineRule="auto" w:after="160"/>
        <w:jc w:val="both"/>
      </w:pPr>
      <w:r>
        <w:rPr>
          <w:rFonts w:ascii="Times New Roman" w:hAnsi="Times New Roman"/>
          <w:sz w:val="24"/>
        </w:rPr>
        <w:t xml:space="preserve">To convert these quantitative pipelines into an active business intelligence tool, an interactive web application (BorsaNeuron Dashboard) was developed using the Python Streamlit library. The platform enables users to query any BIST ticker dynamically, fetch live technical data flows via </w:t>
      </w:r>
      <w:r>
        <w:rPr>
          <w:rFonts w:ascii="Courier New" w:hAnsi="Courier New"/>
          <w:sz w:val="21"/>
        </w:rPr>
        <w:t>yfinance</w:t>
      </w:r>
      <w:r>
        <w:rPr>
          <w:rFonts w:ascii="Times New Roman" w:hAnsi="Times New Roman"/>
          <w:sz w:val="24"/>
        </w:rPr>
        <w:t xml:space="preserve">, adjust decision metrics based on the stock's </w:t>
      </w:r>
      <w:r>
        <w:rPr>
          <w:rFonts w:ascii="Times New Roman" w:hAnsi="Times New Roman"/>
          <w:b/>
          <w:sz w:val="24"/>
        </w:rPr>
        <w:t>unique historical win rate weight</w:t>
      </w:r>
      <w:r>
        <w:rPr>
          <w:rFonts w:ascii="Times New Roman" w:hAnsi="Times New Roman"/>
          <w:sz w:val="24"/>
        </w:rPr>
        <w:t>, and trigger automated scans to identify geometric chart formations such as Head and Shoulders (TOBO), Cup and Handle, Flag, Double Bottom, and Double Top formations. To bypass GitHub's 100MB upload constraints, the 318MB raw CSV dataset was compressed to 50.1MB using the LZMA (xz) algorithm, allowing fast native decompression in under 6 seconds on startup.</w:t>
      </w:r>
    </w:p>
    <w:p/>
    <w:p>
      <w:pPr>
        <w:spacing w:line="360" w:lineRule="auto" w:after="160"/>
        <w:jc w:val="both"/>
      </w:pPr>
      <w:r>
        <w:rPr>
          <w:rFonts w:ascii="Times New Roman" w:hAnsi="Times New Roman"/>
          <w:b/>
          <w:sz w:val="24"/>
        </w:rPr>
        <w:t>Keywords:</w:t>
      </w:r>
      <w:r>
        <w:rPr>
          <w:rFonts w:ascii="Times New Roman" w:hAnsi="Times New Roman"/>
          <w:sz w:val="24"/>
        </w:rPr>
        <w:t xml:space="preserve"> Data Mining, BIST Forecasting, Machine Learning, K-Means Clustering, Sector Peer Analysis, Streamlit, Technical Pattern Scanner.</w:t>
      </w:r>
    </w:p>
    <w:p/>
    <w:p>
      <w:pPr>
        <w:spacing w:line="360" w:lineRule="auto" w:after="160"/>
        <w:jc w:val="both"/>
      </w:pPr>
      <w:r>
        <w:rPr>
          <w:rFonts w:ascii="Times New Roman" w:hAnsi="Times New Roman"/>
          <w:sz w:val="24"/>
        </w:rPr>
        <w:t>---</w:t>
      </w:r>
    </w:p>
    <w:p/>
    <w:p>
      <w:r>
        <w:br w:type="page"/>
      </w:r>
    </w:p>
    <w:p>
      <w:pPr>
        <w:pStyle w:val="Heading1"/>
        <w:spacing w:before="360" w:after="160"/>
        <w:jc w:val="left"/>
      </w:pPr>
      <w:r>
        <w:rPr>
          <w:rFonts w:ascii="Times New Roman" w:hAnsi="Times New Roman"/>
          <w:b/>
          <w:color w:val="111111"/>
          <w:sz w:val="36"/>
        </w:rPr>
        <w:t>2. SETTING UP PROJECT</w:t>
      </w:r>
    </w:p>
    <w:p/>
    <w:p>
      <w:pPr>
        <w:spacing w:line="360" w:lineRule="auto" w:after="160"/>
        <w:jc w:val="both"/>
      </w:pPr>
      <w:r>
        <w:rPr>
          <w:rFonts w:ascii="Times New Roman" w:hAnsi="Times New Roman"/>
          <w:sz w:val="24"/>
        </w:rPr>
        <w:t>In the project, first of all, we need to install the relevant software and libraries that provide a quantitative development environment on our local computer. These tools provide us with a shell to run modeling scripts, train classifiers, and boot the web dashboard. After preparing the environment, we will install the packages from our terminal.</w:t>
      </w:r>
    </w:p>
    <w:p/>
    <w:p>
      <w:pPr>
        <w:pStyle w:val="Heading2"/>
        <w:spacing w:before="240" w:after="120"/>
        <w:jc w:val="left"/>
      </w:pPr>
      <w:r>
        <w:rPr>
          <w:rFonts w:ascii="Times New Roman" w:hAnsi="Times New Roman"/>
          <w:b/>
          <w:color w:val="1E1E1E"/>
          <w:sz w:val="28"/>
        </w:rPr>
        <w:t>2.1. Software Required Before Installation</w:t>
      </w:r>
    </w:p>
    <w:p>
      <w:pPr>
        <w:spacing w:line="360" w:lineRule="auto" w:after="160"/>
        <w:jc w:val="both"/>
      </w:pPr>
      <w:r>
        <w:rPr>
          <w:rFonts w:ascii="Times New Roman" w:hAnsi="Times New Roman"/>
          <w:sz w:val="24"/>
        </w:rPr>
        <w:t>To ensure system stability and cross-platform compatibility, BorsaNeuron relies on standard programming environments:</w:t>
      </w:r>
    </w:p>
    <w:p>
      <w:pPr>
        <w:pStyle w:val="ListBullet"/>
        <w:spacing w:after="80" w:line="276" w:lineRule="auto"/>
      </w:pPr>
      <w:r>
        <w:rPr>
          <w:rFonts w:ascii="Times New Roman" w:hAnsi="Times New Roman"/>
          <w:b/>
          <w:sz w:val="24"/>
        </w:rPr>
        <w:t>Python v3.9 or v3.11:</w:t>
      </w:r>
      <w:r>
        <w:rPr>
          <w:rFonts w:ascii="Times New Roman" w:hAnsi="Times New Roman"/>
          <w:sz w:val="24"/>
        </w:rPr>
        <w:t xml:space="preserve"> Selected for its mature ecosystem in data mining and dashboard deployment.</w:t>
      </w:r>
    </w:p>
    <w:p>
      <w:pPr>
        <w:pStyle w:val="ListBullet"/>
        <w:spacing w:after="80" w:line="276" w:lineRule="auto"/>
      </w:pPr>
      <w:r>
        <w:rPr>
          <w:rFonts w:ascii="Times New Roman" w:hAnsi="Times New Roman"/>
          <w:b/>
          <w:sz w:val="24"/>
        </w:rPr>
        <w:t>Visual Studio Code (VS Code) IDE:</w:t>
      </w:r>
      <w:r>
        <w:rPr>
          <w:rFonts w:ascii="Times New Roman" w:hAnsi="Times New Roman"/>
          <w:sz w:val="24"/>
        </w:rPr>
        <w:t xml:space="preserve"> Used as the primary environment for coding, package debugging, and local execution.</w:t>
      </w:r>
    </w:p>
    <w:p>
      <w:pPr>
        <w:pStyle w:val="ListBullet"/>
        <w:spacing w:after="80" w:line="276" w:lineRule="auto"/>
      </w:pPr>
      <w:r>
        <w:rPr>
          <w:rFonts w:ascii="Times New Roman" w:hAnsi="Times New Roman"/>
          <w:b/>
          <w:sz w:val="24"/>
        </w:rPr>
        <w:t>Git Source Control:</w:t>
      </w:r>
      <w:r>
        <w:rPr>
          <w:rFonts w:ascii="Times New Roman" w:hAnsi="Times New Roman"/>
          <w:sz w:val="24"/>
        </w:rPr>
        <w:t xml:space="preserve"> Implemented locally to version-control the source scripts and configure continuous integration workflows.</w:t>
      </w:r>
    </w:p>
    <w:p/>
    <w:p>
      <w:pPr>
        <w:pStyle w:val="Heading2"/>
        <w:spacing w:before="240" w:after="120"/>
        <w:jc w:val="left"/>
      </w:pPr>
      <w:r>
        <w:rPr>
          <w:rFonts w:ascii="Times New Roman" w:hAnsi="Times New Roman"/>
          <w:b/>
          <w:color w:val="1E1E1E"/>
          <w:sz w:val="28"/>
        </w:rPr>
        <w:t>2.2. Initial Package Installations of the Project</w:t>
      </w:r>
    </w:p>
    <w:p>
      <w:pPr>
        <w:spacing w:line="360" w:lineRule="auto" w:after="160"/>
        <w:jc w:val="both"/>
      </w:pPr>
      <w:r>
        <w:rPr>
          <w:rFonts w:ascii="Times New Roman" w:hAnsi="Times New Roman"/>
          <w:sz w:val="24"/>
        </w:rPr>
        <w:t xml:space="preserve">To avoid library version conflicts, a virtual environment was created. The dependencies are configured in </w:t>
      </w:r>
      <w:r>
        <w:rPr>
          <w:rFonts w:ascii="Courier New" w:hAnsi="Courier New"/>
          <w:sz w:val="21"/>
        </w:rPr>
        <w:t>requirements.txt</w:t>
      </w:r>
      <w:r>
        <w:rPr>
          <w:rFonts w:ascii="Times New Roman" w:hAnsi="Times New Roman"/>
          <w:sz w:val="24"/>
        </w:rPr>
        <w:t>:</w:t>
      </w:r>
    </w:p>
    <w:p/>
    <w:p>
      <w:pPr>
        <w:spacing w:before="0" w:after="0"/>
        <w:ind w:left="720" w:right="720"/>
        <w:shd w:fill="F4F4F5"/>
      </w:pPr>
      <w:r>
        <w:rPr>
          <w:rFonts w:ascii="Courier New" w:hAnsi="Courier New"/>
          <w:color w:val="3C3C3C"/>
          <w:sz w:val="19"/>
        </w:rPr>
        <w:t>pandas&gt;=1.5.0</w:t>
      </w:r>
    </w:p>
    <w:p>
      <w:pPr>
        <w:spacing w:before="0" w:after="0"/>
        <w:ind w:left="720" w:right="720"/>
        <w:shd w:fill="F4F4F5"/>
      </w:pPr>
      <w:r>
        <w:rPr>
          <w:rFonts w:ascii="Courier New" w:hAnsi="Courier New"/>
          <w:color w:val="3C3C3C"/>
          <w:sz w:val="19"/>
        </w:rPr>
        <w:t>numpy&gt;=1.22.0</w:t>
      </w:r>
    </w:p>
    <w:p>
      <w:pPr>
        <w:spacing w:before="0" w:after="0"/>
        <w:ind w:left="720" w:right="720"/>
        <w:shd w:fill="F4F4F5"/>
      </w:pPr>
      <w:r>
        <w:rPr>
          <w:rFonts w:ascii="Courier New" w:hAnsi="Courier New"/>
          <w:color w:val="3C3C3C"/>
          <w:sz w:val="19"/>
        </w:rPr>
        <w:t>scikit-learn&gt;=1.1.0</w:t>
      </w:r>
    </w:p>
    <w:p>
      <w:pPr>
        <w:spacing w:before="0" w:after="0"/>
        <w:ind w:left="720" w:right="720"/>
        <w:shd w:fill="F4F4F5"/>
      </w:pPr>
      <w:r>
        <w:rPr>
          <w:rFonts w:ascii="Courier New" w:hAnsi="Courier New"/>
          <w:color w:val="3C3C3C"/>
          <w:sz w:val="19"/>
        </w:rPr>
        <w:t>streamlit&gt;=1.22.0</w:t>
      </w:r>
    </w:p>
    <w:p>
      <w:pPr>
        <w:spacing w:before="0" w:after="0"/>
        <w:ind w:left="720" w:right="720"/>
        <w:shd w:fill="F4F4F5"/>
      </w:pPr>
      <w:r>
        <w:rPr>
          <w:rFonts w:ascii="Courier New" w:hAnsi="Courier New"/>
          <w:color w:val="3C3C3C"/>
          <w:sz w:val="19"/>
        </w:rPr>
        <w:t>matplotlib&gt;=3.5.0</w:t>
      </w:r>
    </w:p>
    <w:p>
      <w:pPr>
        <w:spacing w:before="0" w:after="0"/>
        <w:ind w:left="720" w:right="720"/>
        <w:shd w:fill="F4F4F5"/>
      </w:pPr>
      <w:r>
        <w:rPr>
          <w:rFonts w:ascii="Courier New" w:hAnsi="Courier New"/>
          <w:color w:val="3C3C3C"/>
          <w:sz w:val="19"/>
        </w:rPr>
        <w:t>seaborn&gt;=0.11.0</w:t>
      </w:r>
    </w:p>
    <w:p>
      <w:pPr>
        <w:spacing w:before="0" w:after="0"/>
        <w:ind w:left="720" w:right="720"/>
        <w:shd w:fill="F4F4F5"/>
      </w:pPr>
      <w:r>
        <w:rPr>
          <w:rFonts w:ascii="Courier New" w:hAnsi="Courier New"/>
          <w:color w:val="3C3C3C"/>
          <w:sz w:val="19"/>
        </w:rPr>
        <w:t>joblib&gt;=1.1.0</w:t>
      </w:r>
    </w:p>
    <w:p>
      <w:pPr>
        <w:spacing w:before="0" w:after="0"/>
        <w:ind w:left="720" w:right="720"/>
        <w:shd w:fill="F4F4F5"/>
      </w:pPr>
      <w:r>
        <w:rPr>
          <w:rFonts w:ascii="Courier New" w:hAnsi="Courier New"/>
          <w:color w:val="3C3C3C"/>
          <w:sz w:val="19"/>
        </w:rPr>
        <w:t>yfinance&gt;=0.2.0</w:t>
      </w:r>
    </w:p>
    <w:p>
      <w:pPr>
        <w:spacing w:before="0" w:after="0"/>
        <w:ind w:left="720" w:right="720"/>
        <w:shd w:fill="F4F4F5"/>
      </w:pPr>
      <w:r>
        <w:rPr>
          <w:rFonts w:ascii="Courier New" w:hAnsi="Courier New"/>
          <w:color w:val="3C3C3C"/>
          <w:sz w:val="19"/>
        </w:rPr>
        <w:t>plotly&gt;=5.10.0</w:t>
      </w:r>
    </w:p>
    <w:p>
      <w:pPr>
        <w:spacing w:before="0" w:after="0"/>
        <w:ind w:left="720" w:right="720"/>
        <w:shd w:fill="F4F4F5"/>
      </w:pPr>
      <w:r>
        <w:rPr>
          <w:rFonts w:ascii="Courier New" w:hAnsi="Courier New"/>
          <w:color w:val="3C3C3C"/>
          <w:sz w:val="19"/>
        </w:rPr>
        <w:t>xgboost&gt;=1.6.0</w:t>
      </w:r>
    </w:p>
    <w:p/>
    <w:p>
      <w:pPr>
        <w:spacing w:line="360" w:lineRule="auto" w:after="160"/>
        <w:jc w:val="both"/>
      </w:pPr>
      <w:r>
        <w:rPr>
          <w:rFonts w:ascii="Times New Roman" w:hAnsi="Times New Roman"/>
          <w:sz w:val="24"/>
        </w:rPr>
        <w:t>The environment is configured and launched via:</w:t>
      </w:r>
    </w:p>
    <w:p/>
    <w:p>
      <w:pPr>
        <w:spacing w:before="0" w:after="0"/>
        <w:ind w:left="720" w:right="720"/>
        <w:shd w:fill="F4F4F5"/>
      </w:pPr>
      <w:r>
        <w:rPr>
          <w:rFonts w:ascii="Courier New" w:hAnsi="Courier New"/>
          <w:color w:val="3C3C3C"/>
          <w:sz w:val="19"/>
        </w:rPr>
        <w:t># Create virtual environment</w:t>
      </w:r>
    </w:p>
    <w:p>
      <w:pPr>
        <w:spacing w:before="0" w:after="0"/>
        <w:ind w:left="720" w:right="720"/>
        <w:shd w:fill="F4F4F5"/>
      </w:pPr>
      <w:r>
        <w:rPr>
          <w:rFonts w:ascii="Courier New" w:hAnsi="Courier New"/>
          <w:color w:val="3C3C3C"/>
          <w:sz w:val="19"/>
        </w:rPr>
        <w:t>python -m venv borsaneuron_env</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 Activate virtual environment</w:t>
      </w:r>
    </w:p>
    <w:p>
      <w:pPr>
        <w:spacing w:before="0" w:after="0"/>
        <w:ind w:left="720" w:right="720"/>
        <w:shd w:fill="F4F4F5"/>
      </w:pPr>
      <w:r>
        <w:rPr>
          <w:rFonts w:ascii="Courier New" w:hAnsi="Courier New"/>
          <w:color w:val="3C3C3C"/>
          <w:sz w:val="19"/>
        </w:rPr>
        <w:t>.\borsaneuron_env\Scripts\Activate.ps1</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 Upgrade pip manager</w:t>
      </w:r>
    </w:p>
    <w:p>
      <w:pPr>
        <w:spacing w:before="0" w:after="0"/>
        <w:ind w:left="720" w:right="720"/>
        <w:shd w:fill="F4F4F5"/>
      </w:pPr>
      <w:r>
        <w:rPr>
          <w:rFonts w:ascii="Courier New" w:hAnsi="Courier New"/>
          <w:color w:val="3C3C3C"/>
          <w:sz w:val="19"/>
        </w:rPr>
        <w:t>python -m pip install --upgrade pip</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 Install project dependencies</w:t>
      </w:r>
    </w:p>
    <w:p>
      <w:pPr>
        <w:spacing w:before="0" w:after="0"/>
        <w:ind w:left="720" w:right="720"/>
        <w:shd w:fill="F4F4F5"/>
      </w:pPr>
      <w:r>
        <w:rPr>
          <w:rFonts w:ascii="Courier New" w:hAnsi="Courier New"/>
          <w:color w:val="3C3C3C"/>
          <w:sz w:val="19"/>
        </w:rPr>
        <w:t>pip install -r requirements.txt</w:t>
      </w:r>
    </w:p>
    <w:p/>
    <w:p>
      <w:pPr>
        <w:spacing w:line="360" w:lineRule="auto" w:after="160"/>
        <w:jc w:val="both"/>
      </w:pPr>
      <w:r>
        <w:rPr>
          <w:rFonts w:ascii="Times New Roman" w:hAnsi="Times New Roman"/>
          <w:sz w:val="24"/>
        </w:rPr>
        <w:t>---</w:t>
      </w:r>
    </w:p>
    <w:p/>
    <w:p>
      <w:r>
        <w:br w:type="page"/>
      </w:r>
    </w:p>
    <w:p>
      <w:pPr>
        <w:pStyle w:val="Heading1"/>
        <w:spacing w:before="360" w:after="160"/>
        <w:jc w:val="left"/>
      </w:pPr>
      <w:r>
        <w:rPr>
          <w:rFonts w:ascii="Times New Roman" w:hAnsi="Times New Roman"/>
          <w:b/>
          <w:color w:val="111111"/>
          <w:sz w:val="36"/>
        </w:rPr>
        <w:t>3. BUILDING BORSANEURON PLATFORM &amp; MODULES</w:t>
      </w:r>
    </w:p>
    <w:p/>
    <w:p>
      <w:pPr>
        <w:pStyle w:val="Heading2"/>
        <w:spacing w:before="240" w:after="120"/>
        <w:jc w:val="left"/>
      </w:pPr>
      <w:r>
        <w:rPr>
          <w:rFonts w:ascii="Times New Roman" w:hAnsi="Times New Roman"/>
          <w:b/>
          <w:color w:val="1E1E1E"/>
          <w:sz w:val="28"/>
        </w:rPr>
        <w:t>3.1. Quantitative Data Pipeline</w:t>
      </w:r>
    </w:p>
    <w:p/>
    <w:p>
      <w:pPr>
        <w:pStyle w:val="Heading3"/>
        <w:spacing w:before="160" w:after="80"/>
        <w:jc w:val="left"/>
      </w:pPr>
      <w:r>
        <w:rPr>
          <w:rFonts w:ascii="Times New Roman" w:hAnsi="Times New Roman"/>
          <w:b/>
          <w:color w:val="323232"/>
          <w:sz w:val="24"/>
        </w:rPr>
        <w:t>3.1.1. Pearson Correlation Filtering</w:t>
      </w:r>
    </w:p>
    <w:p>
      <w:pPr>
        <w:spacing w:line="360" w:lineRule="auto" w:after="160"/>
        <w:jc w:val="both"/>
      </w:pPr>
      <w:r>
        <w:rPr>
          <w:rFonts w:ascii="Times New Roman" w:hAnsi="Times New Roman"/>
          <w:sz w:val="24"/>
        </w:rPr>
        <w:t>Technical indicators derived from price variables often exhibit extreme multicollinearity. For example, short-term and long-term moving averages (e.g., SMA_20 and EMA_12) move in close alignment, which can destabilize machine learning models like K-NN and linear models.</w:t>
      </w:r>
    </w:p>
    <w:p/>
    <w:p>
      <w:pPr>
        <w:spacing w:line="360" w:lineRule="auto" w:after="160"/>
        <w:jc w:val="both"/>
      </w:pPr>
      <w:r>
        <w:rPr>
          <w:rFonts w:ascii="Times New Roman" w:hAnsi="Times New Roman"/>
          <w:sz w:val="24"/>
        </w:rPr>
        <w:t>To resolve this, a Pearson Correlation Matrix was generated across all 30 technical indicators. Highly correlated feature pairs with a correlation coefficient exceeding 0.90 were identified:</w:t>
      </w:r>
    </w:p>
    <w:p/>
    <w:p>
      <w:pPr>
        <w:spacing w:line="360" w:lineRule="auto" w:after="160"/>
        <w:jc w:val="both"/>
      </w:pPr>
      <w:r>
        <w:rPr>
          <w:rFonts w:ascii="Times New Roman" w:hAnsi="Times New Roman"/>
          <w:sz w:val="24"/>
        </w:rPr>
        <w:t>$$|r_{ij}| &gt; 0.90$$</w:t>
      </w:r>
    </w:p>
    <w:p/>
    <w:p>
      <w:pPr>
        <w:spacing w:line="360" w:lineRule="auto" w:after="160"/>
        <w:jc w:val="both"/>
      </w:pPr>
      <w:r>
        <w:rPr>
          <w:rFonts w:ascii="Times New Roman" w:hAnsi="Times New Roman"/>
          <w:sz w:val="24"/>
        </w:rPr>
        <w:t>An upper-triangle matrix filter identified and removed these redundant variables, ensuring that only independent technical indicators were fed into our machine learning models. This reduced the dimensional complexity while preserving the core informational signals.</w:t>
      </w:r>
    </w:p>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04_korelasyon_heatmap.png"/>
                    <pic:cNvPicPr/>
                  </pic:nvPicPr>
                  <pic:blipFill>
                    <a:blip r:embed="rId10"/>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Pearson Correlation Heatmap</w:t>
      </w:r>
    </w:p>
    <w:p>
      <w:pPr>
        <w:spacing w:line="360" w:lineRule="auto" w:after="160"/>
        <w:jc w:val="both"/>
      </w:pPr>
      <w:r>
        <w:rPr>
          <w:rFonts w:ascii="Times New Roman" w:hAnsi="Times New Roman"/>
          <w:i/>
          <w:sz w:val="24"/>
        </w:rPr>
        <w:t>Figure 3.1: Pearson Correlation Heatmap detailing correlation levels across the technical features.</w:t>
      </w:r>
    </w:p>
    <w:p/>
    <w:p>
      <w:pPr>
        <w:pStyle w:val="Heading3"/>
        <w:spacing w:before="160" w:after="80"/>
        <w:jc w:val="left"/>
      </w:pPr>
      <w:r>
        <w:rPr>
          <w:rFonts w:ascii="Times New Roman" w:hAnsi="Times New Roman"/>
          <w:b/>
          <w:color w:val="323232"/>
          <w:sz w:val="24"/>
        </w:rPr>
        <w:t>3.1.2. K-Means Market Segmentation</w:t>
      </w:r>
    </w:p>
    <w:p>
      <w:pPr>
        <w:spacing w:line="360" w:lineRule="auto" w:after="160"/>
        <w:jc w:val="both"/>
      </w:pPr>
      <w:r>
        <w:rPr>
          <w:rFonts w:ascii="Times New Roman" w:hAnsi="Times New Roman"/>
          <w:sz w:val="24"/>
        </w:rPr>
        <w:t>Unsupervised learning was applied using the K-Means algorithm to partition stock states into distinct market regimes based on their normalized technical indicators. Feature standardization was executed prior to clustering:</w:t>
      </w:r>
    </w:p>
    <w:p/>
    <w:p>
      <w:pPr>
        <w:spacing w:line="360" w:lineRule="auto" w:after="160"/>
        <w:jc w:val="both"/>
      </w:pPr>
      <w:r>
        <w:rPr>
          <w:rFonts w:ascii="Times New Roman" w:hAnsi="Times New Roman"/>
          <w:sz w:val="24"/>
        </w:rPr>
        <w:t>$$z = \frac{x - \mu}{\sigma}$$</w:t>
      </w:r>
    </w:p>
    <w:p/>
    <w:p>
      <w:pPr>
        <w:spacing w:line="360" w:lineRule="auto" w:after="160"/>
        <w:jc w:val="both"/>
      </w:pPr>
      <w:r>
        <w:rPr>
          <w:rFonts w:ascii="Times New Roman" w:hAnsi="Times New Roman"/>
          <w:sz w:val="24"/>
        </w:rPr>
        <w:t>An Elbow analysis was performed to determine the optimal number of clusters. Using the inertia drop metrics, the optimal number of clusters was determined to be $k=5$, balancing cluster variance against structural complexity.</w:t>
      </w:r>
    </w:p>
    <w:p/>
    <w:p>
      <w:pPr>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elbow_method.png"/>
                    <pic:cNvPicPr/>
                  </pic:nvPicPr>
                  <pic:blipFill>
                    <a:blip r:embed="rId11"/>
                    <a:stretch>
                      <a:fillRect/>
                    </a:stretch>
                  </pic:blipFill>
                  <pic:spPr>
                    <a:xfrm>
                      <a:off x="0" y="0"/>
                      <a:ext cx="5486400" cy="2743200"/>
                    </a:xfrm>
                    <a:prstGeom prst="rect"/>
                  </pic:spPr>
                </pic:pic>
              </a:graphicData>
            </a:graphic>
          </wp:inline>
        </w:drawing>
      </w:r>
    </w:p>
    <w:p>
      <w:pPr>
        <w:jc w:val="center"/>
      </w:pPr>
      <w:r>
        <w:rPr>
          <w:rFonts w:ascii="Times New Roman" w:hAnsi="Times New Roman"/>
          <w:i/>
          <w:color w:val="505050"/>
          <w:sz w:val="20"/>
        </w:rPr>
        <w:t>Figure: Elbow Method</w:t>
      </w:r>
    </w:p>
    <w:p>
      <w:pPr>
        <w:spacing w:line="360" w:lineRule="auto" w:after="160"/>
        <w:jc w:val="both"/>
      </w:pPr>
      <w:r>
        <w:rPr>
          <w:rFonts w:ascii="Times New Roman" w:hAnsi="Times New Roman"/>
          <w:i/>
          <w:sz w:val="24"/>
        </w:rPr>
        <w:t>Figure 3.2: Elbow method showing inertia drop rates across clusters.</w:t>
      </w:r>
    </w:p>
    <w:p/>
    <w:p>
      <w:pPr>
        <w:spacing w:line="360" w:lineRule="auto" w:after="160"/>
        <w:jc w:val="both"/>
      </w:pPr>
      <w:r>
        <w:rPr>
          <w:rFonts w:ascii="Times New Roman" w:hAnsi="Times New Roman"/>
          <w:sz w:val="24"/>
        </w:rPr>
        <w:t>To evaluate the cluster segregation and reduce high-dimensional complexity, Principal Component Analysis (PCA) was executed. PC1 and PC2 explain a total of 52.25% of overall database variance.</w:t>
      </w:r>
    </w:p>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05_kmeans_pca.png"/>
                    <pic:cNvPicPr/>
                  </pic:nvPicPr>
                  <pic:blipFill>
                    <a:blip r:embed="rId12"/>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K-Means Clustering projected via PCA 2D</w:t>
      </w:r>
    </w:p>
    <w:p>
      <w:pPr>
        <w:spacing w:line="360" w:lineRule="auto" w:after="160"/>
        <w:jc w:val="both"/>
      </w:pPr>
      <w:r>
        <w:rPr>
          <w:rFonts w:ascii="Times New Roman" w:hAnsi="Times New Roman"/>
          <w:i/>
          <w:sz w:val="24"/>
        </w:rPr>
        <w:t>Figure 3.3: PCA 2D scatter visualization of K-Means clusters ($k=5$).</w:t>
      </w:r>
    </w:p>
    <w:p/>
    <w:p>
      <w:pPr>
        <w:pStyle w:val="Heading3"/>
        <w:spacing w:before="160" w:after="80"/>
        <w:jc w:val="left"/>
      </w:pPr>
      <w:r>
        <w:rPr>
          <w:rFonts w:ascii="Times New Roman" w:hAnsi="Times New Roman"/>
          <w:b/>
          <w:color w:val="323232"/>
          <w:sz w:val="24"/>
        </w:rPr>
        <w:t>3.1.3. LZMA xz Data Compression Workaround</w:t>
      </w:r>
    </w:p>
    <w:p>
      <w:pPr>
        <w:spacing w:line="360" w:lineRule="auto" w:after="160"/>
        <w:jc w:val="both"/>
      </w:pPr>
      <w:r>
        <w:rPr>
          <w:rFonts w:ascii="Times New Roman" w:hAnsi="Times New Roman"/>
          <w:sz w:val="24"/>
        </w:rPr>
        <w:t>When extending BorsaNeuron's dataset up to June 2026, the inclusion of hundreds of active stocks resulted in a dataset (</w:t>
      </w:r>
      <w:r>
        <w:rPr>
          <w:rFonts w:ascii="Courier New" w:hAnsi="Courier New"/>
          <w:sz w:val="21"/>
        </w:rPr>
        <w:t>bist_ai_dataset_real_30cols.csv</w:t>
      </w:r>
      <w:r>
        <w:rPr>
          <w:rFonts w:ascii="Times New Roman" w:hAnsi="Times New Roman"/>
          <w:sz w:val="24"/>
        </w:rPr>
        <w:t xml:space="preserve">) size of </w:t>
      </w:r>
      <w:r>
        <w:rPr>
          <w:rFonts w:ascii="Times New Roman" w:hAnsi="Times New Roman"/>
          <w:b/>
          <w:sz w:val="24"/>
        </w:rPr>
        <w:t>318MB</w:t>
      </w:r>
      <w:r>
        <w:rPr>
          <w:rFonts w:ascii="Times New Roman" w:hAnsi="Times New Roman"/>
          <w:sz w:val="24"/>
        </w:rPr>
        <w:t xml:space="preserve">. GitHub imposes a strict </w:t>
      </w:r>
      <w:r>
        <w:rPr>
          <w:rFonts w:ascii="Times New Roman" w:hAnsi="Times New Roman"/>
          <w:b/>
          <w:sz w:val="24"/>
        </w:rPr>
        <w:t>100MB limit</w:t>
      </w:r>
      <w:r>
        <w:rPr>
          <w:rFonts w:ascii="Times New Roman" w:hAnsi="Times New Roman"/>
          <w:sz w:val="24"/>
        </w:rPr>
        <w:t xml:space="preserve"> for direct file pushes, causing standard git push operations to time out and fail with HTTP 408 RPC errors.</w:t>
      </w:r>
    </w:p>
    <w:p/>
    <w:p>
      <w:pPr>
        <w:spacing w:line="360" w:lineRule="auto" w:after="160"/>
        <w:jc w:val="both"/>
      </w:pPr>
      <w:r>
        <w:rPr>
          <w:rFonts w:ascii="Times New Roman" w:hAnsi="Times New Roman"/>
          <w:sz w:val="24"/>
        </w:rPr>
        <w:t xml:space="preserve">To address this limitation without introducing external database dependency overhead, we implemented a compression pipeline. The raw CSV dataset was compressed using the </w:t>
      </w:r>
      <w:r>
        <w:rPr>
          <w:rFonts w:ascii="Times New Roman" w:hAnsi="Times New Roman"/>
          <w:b/>
          <w:sz w:val="24"/>
        </w:rPr>
        <w:t>LZMA (xz) compression algorithm</w:t>
      </w:r>
      <w:r>
        <w:rPr>
          <w:rFonts w:ascii="Times New Roman" w:hAnsi="Times New Roman"/>
          <w:sz w:val="24"/>
        </w:rPr>
        <w:t xml:space="preserve">, reducing the file size to </w:t>
      </w:r>
      <w:r>
        <w:rPr>
          <w:rFonts w:ascii="Times New Roman" w:hAnsi="Times New Roman"/>
          <w:b/>
          <w:sz w:val="24"/>
        </w:rPr>
        <w:t>50.1MB</w:t>
      </w:r>
      <w:r>
        <w:rPr>
          <w:rFonts w:ascii="Times New Roman" w:hAnsi="Times New Roman"/>
          <w:sz w:val="24"/>
        </w:rPr>
        <w:t>.</w:t>
      </w:r>
    </w:p>
    <w:p/>
    <w:p>
      <w:pPr>
        <w:spacing w:line="360" w:lineRule="auto" w:after="160"/>
        <w:jc w:val="both"/>
      </w:pPr>
      <w:r>
        <w:rPr>
          <w:rFonts w:ascii="Times New Roman" w:hAnsi="Times New Roman"/>
          <w:sz w:val="24"/>
        </w:rPr>
        <w:t xml:space="preserve">To maintain runtime performance, we modified the data loading pipeline in </w:t>
      </w:r>
      <w:r>
        <w:rPr>
          <w:rFonts w:ascii="Courier New" w:hAnsi="Courier New"/>
          <w:sz w:val="21"/>
        </w:rPr>
        <w:t>src/app.py</w:t>
      </w:r>
      <w:r>
        <w:rPr>
          <w:rFonts w:ascii="Times New Roman" w:hAnsi="Times New Roman"/>
          <w:sz w:val="24"/>
        </w:rPr>
        <w:t xml:space="preserve"> to support native pandas decompression:</w:t>
      </w:r>
    </w:p>
    <w:p>
      <w:pPr>
        <w:spacing w:before="0" w:after="0"/>
        <w:ind w:left="720" w:right="720"/>
        <w:shd w:fill="F4F4F5"/>
      </w:pPr>
      <w:r>
        <w:rPr>
          <w:rFonts w:ascii="Courier New" w:hAnsi="Courier New"/>
          <w:color w:val="3C3C3C"/>
          <w:sz w:val="19"/>
        </w:rPr>
        <w:t># Read compressed xz dataset on the fly</w:t>
      </w:r>
    </w:p>
    <w:p>
      <w:pPr>
        <w:spacing w:before="0" w:after="0"/>
        <w:ind w:left="720" w:right="720"/>
        <w:shd w:fill="F4F4F5"/>
      </w:pPr>
      <w:r>
        <w:rPr>
          <w:rFonts w:ascii="Courier New" w:hAnsi="Courier New"/>
          <w:color w:val="3C3C3C"/>
          <w:sz w:val="19"/>
        </w:rPr>
        <w:t>df = pd.read_csv("bist_ai_dataset_real_30cols.csv.xz")</w:t>
      </w:r>
    </w:p>
    <w:p>
      <w:pPr>
        <w:spacing w:line="360" w:lineRule="auto" w:after="160"/>
        <w:jc w:val="both"/>
      </w:pPr>
      <w:r>
        <w:rPr>
          <w:rFonts w:ascii="Times New Roman" w:hAnsi="Times New Roman"/>
          <w:sz w:val="24"/>
        </w:rPr>
        <w:t xml:space="preserve">This architecture reduced the file size by </w:t>
      </w:r>
      <w:r>
        <w:rPr>
          <w:rFonts w:ascii="Times New Roman" w:hAnsi="Times New Roman"/>
          <w:b/>
          <w:sz w:val="24"/>
        </w:rPr>
        <w:t>84%</w:t>
      </w:r>
      <w:r>
        <w:rPr>
          <w:rFonts w:ascii="Times New Roman" w:hAnsi="Times New Roman"/>
          <w:sz w:val="24"/>
        </w:rPr>
        <w:t xml:space="preserve">, bringing it well below the GitHub limit, while maintaining a startup loading speed of </w:t>
      </w:r>
      <w:r>
        <w:rPr>
          <w:rFonts w:ascii="Times New Roman" w:hAnsi="Times New Roman"/>
          <w:b/>
          <w:sz w:val="24"/>
        </w:rPr>
        <w:t>5.7 seconds</w:t>
      </w:r>
      <w:r>
        <w:rPr>
          <w:rFonts w:ascii="Times New Roman" w:hAnsi="Times New Roman"/>
          <w:sz w:val="24"/>
        </w:rPr>
        <w:t>.</w:t>
      </w:r>
    </w:p>
    <w:p/>
    <w:p>
      <w:pPr>
        <w:pStyle w:val="Heading2"/>
        <w:spacing w:before="240" w:after="120"/>
        <w:jc w:val="left"/>
      </w:pPr>
      <w:r>
        <w:rPr>
          <w:rFonts w:ascii="Times New Roman" w:hAnsi="Times New Roman"/>
          <w:b/>
          <w:color w:val="1E1E1E"/>
          <w:sz w:val="28"/>
        </w:rPr>
        <w:t>3.2. Supervised Machine Learning Engines</w:t>
      </w:r>
    </w:p>
    <w:p/>
    <w:p>
      <w:pPr>
        <w:pStyle w:val="Heading3"/>
        <w:spacing w:before="160" w:after="80"/>
        <w:jc w:val="left"/>
      </w:pPr>
      <w:r>
        <w:rPr>
          <w:rFonts w:ascii="Times New Roman" w:hAnsi="Times New Roman"/>
          <w:b/>
          <w:color w:val="323232"/>
          <w:sz w:val="24"/>
        </w:rPr>
        <w:t>3.2.1. Hyperparameter Optimization (K-NN &amp; GridSearchCV)</w:t>
      </w:r>
    </w:p>
    <w:p>
      <w:pPr>
        <w:spacing w:line="360" w:lineRule="auto" w:after="160"/>
        <w:jc w:val="both"/>
      </w:pPr>
      <w:r>
        <w:rPr>
          <w:rFonts w:ascii="Times New Roman" w:hAnsi="Times New Roman"/>
          <w:sz w:val="24"/>
        </w:rPr>
        <w:t>The K-Nearest Neighbors (K-NN) classifier was implemented as a baseline instance-based model. Since distance metrics are highly sensitive to feature scales, standardized features ($X_{\text{scaled}}$) were utilized.</w:t>
      </w:r>
    </w:p>
    <w:p/>
    <w:p>
      <w:pPr>
        <w:spacing w:line="360" w:lineRule="auto" w:after="160"/>
        <w:jc w:val="both"/>
      </w:pPr>
      <w:r>
        <w:rPr>
          <w:rFonts w:ascii="Times New Roman" w:hAnsi="Times New Roman"/>
          <w:sz w:val="24"/>
        </w:rPr>
        <w:t>To optimize the neighborhood size parameter ($k$), a grid search with 5-fold cross-validation was performed:</w:t>
      </w:r>
    </w:p>
    <w:p/>
    <w:p>
      <w:pPr>
        <w:spacing w:line="360" w:lineRule="auto" w:after="160"/>
        <w:jc w:val="both"/>
      </w:pPr>
      <w:r>
        <w:rPr>
          <w:rFonts w:ascii="Times New Roman" w:hAnsi="Times New Roman"/>
          <w:sz w:val="24"/>
        </w:rPr>
        <w:t>$$\text{Search Space} = k \in \{3, 5, 7, 9, 11, 15, 21\}$$</w:t>
      </w:r>
    </w:p>
    <w:p/>
    <w:p>
      <w:pPr>
        <w:spacing w:line="360" w:lineRule="auto" w:after="160"/>
        <w:jc w:val="both"/>
      </w:pPr>
      <w:r>
        <w:rPr>
          <w:rFonts w:ascii="Times New Roman" w:hAnsi="Times New Roman"/>
          <w:sz w:val="24"/>
        </w:rPr>
        <w:t xml:space="preserve">The optimal hyperparameter was determined to be </w:t>
      </w:r>
      <w:r>
        <w:rPr>
          <w:rFonts w:ascii="Times New Roman" w:hAnsi="Times New Roman"/>
          <w:b/>
          <w:sz w:val="24"/>
        </w:rPr>
        <w:t>$k=21$</w:t>
      </w:r>
      <w:r>
        <w:rPr>
          <w:rFonts w:ascii="Times New Roman" w:hAnsi="Times New Roman"/>
          <w:sz w:val="24"/>
        </w:rPr>
        <w:t>, achieving the highest cross-validated accuracy of 54.01%.</w:t>
      </w:r>
    </w:p>
    <w:p/>
    <w:p>
      <w:pPr>
        <w:jc w:val="center"/>
      </w:pPr>
      <w:r>
        <w:drawing>
          <wp:inline xmlns:a="http://schemas.openxmlformats.org/drawingml/2006/main" xmlns:pic="http://schemas.openxmlformats.org/drawingml/2006/picture">
            <wp:extent cx="5486400" cy="2711286"/>
            <wp:docPr id="4" name="Picture 4"/>
            <wp:cNvGraphicFramePr>
              <a:graphicFrameLocks noChangeAspect="1"/>
            </wp:cNvGraphicFramePr>
            <a:graphic>
              <a:graphicData uri="http://schemas.openxmlformats.org/drawingml/2006/picture">
                <pic:pic>
                  <pic:nvPicPr>
                    <pic:cNvPr id="0" name="07_gridsearch_knn.png"/>
                    <pic:cNvPicPr/>
                  </pic:nvPicPr>
                  <pic:blipFill>
                    <a:blip r:embed="rId13"/>
                    <a:stretch>
                      <a:fillRect/>
                    </a:stretch>
                  </pic:blipFill>
                  <pic:spPr>
                    <a:xfrm>
                      <a:off x="0" y="0"/>
                      <a:ext cx="5486400" cy="2711286"/>
                    </a:xfrm>
                    <a:prstGeom prst="rect"/>
                  </pic:spPr>
                </pic:pic>
              </a:graphicData>
            </a:graphic>
          </wp:inline>
        </w:drawing>
      </w:r>
    </w:p>
    <w:p>
      <w:pPr>
        <w:jc w:val="center"/>
      </w:pPr>
      <w:r>
        <w:rPr>
          <w:rFonts w:ascii="Times New Roman" w:hAnsi="Times New Roman"/>
          <w:i/>
          <w:color w:val="505050"/>
          <w:sz w:val="20"/>
        </w:rPr>
        <w:t>Figure: K-NN GridSearchCV Tuning</w:t>
      </w:r>
    </w:p>
    <w:p>
      <w:pPr>
        <w:spacing w:line="360" w:lineRule="auto" w:after="160"/>
        <w:jc w:val="both"/>
      </w:pPr>
      <w:r>
        <w:rPr>
          <w:rFonts w:ascii="Times New Roman" w:hAnsi="Times New Roman"/>
          <w:i/>
          <w:sz w:val="24"/>
        </w:rPr>
        <w:t>Figure 3.4: K-NN GridSearchCV accuracy values plotted against neighborhood size parameter.</w:t>
      </w:r>
    </w:p>
    <w:p/>
    <w:p>
      <w:pPr>
        <w:pStyle w:val="Heading3"/>
        <w:spacing w:before="160" w:after="80"/>
        <w:jc w:val="left"/>
      </w:pPr>
      <w:r>
        <w:rPr>
          <w:rFonts w:ascii="Times New Roman" w:hAnsi="Times New Roman"/>
          <w:b/>
          <w:color w:val="323232"/>
          <w:sz w:val="24"/>
        </w:rPr>
        <w:t>3.2.2. Random Forest Gini Feature Importances</w:t>
      </w:r>
    </w:p>
    <w:p>
      <w:pPr>
        <w:spacing w:line="360" w:lineRule="auto" w:after="160"/>
        <w:jc w:val="both"/>
      </w:pPr>
      <w:r>
        <w:rPr>
          <w:rFonts w:ascii="Times New Roman" w:hAnsi="Times New Roman"/>
          <w:sz w:val="24"/>
        </w:rPr>
        <w:t>The second model implemented was the Random Forest (RF) classifier. A forest of 100 estimators was trained. The Random Forest model achieved a test accuracy of 53.35% and an F1-Score of 0.6367.</w:t>
      </w:r>
    </w:p>
    <w:p/>
    <w:p>
      <w:pPr>
        <w:spacing w:line="360" w:lineRule="auto" w:after="160"/>
        <w:jc w:val="both"/>
      </w:pPr>
      <w:r>
        <w:rPr>
          <w:rFonts w:ascii="Times New Roman" w:hAnsi="Times New Roman"/>
          <w:sz w:val="24"/>
        </w:rPr>
        <w:t>Feature importances were calculated by measuring the Gini impurity decrease across all trees. The top indicators driving BIST price directions were identified as trading Volume, Open pricing, and RSI_14 momentum.</w:t>
      </w:r>
    </w:p>
    <w:p/>
    <w:p>
      <w:pPr>
        <w:jc w:val="center"/>
      </w:pPr>
      <w:r>
        <w:drawing>
          <wp:inline xmlns:a="http://schemas.openxmlformats.org/drawingml/2006/main" xmlns:pic="http://schemas.openxmlformats.org/drawingml/2006/picture">
            <wp:extent cx="5486400" cy="3265780"/>
            <wp:docPr id="5" name="Picture 5"/>
            <wp:cNvGraphicFramePr>
              <a:graphicFrameLocks noChangeAspect="1"/>
            </wp:cNvGraphicFramePr>
            <a:graphic>
              <a:graphicData uri="http://schemas.openxmlformats.org/drawingml/2006/picture">
                <pic:pic>
                  <pic:nvPicPr>
                    <pic:cNvPr id="0" name="08_feature_importance.png"/>
                    <pic:cNvPicPr/>
                  </pic:nvPicPr>
                  <pic:blipFill>
                    <a:blip r:embed="rId14"/>
                    <a:stretch>
                      <a:fillRect/>
                    </a:stretch>
                  </pic:blipFill>
                  <pic:spPr>
                    <a:xfrm>
                      <a:off x="0" y="0"/>
                      <a:ext cx="5486400" cy="3265780"/>
                    </a:xfrm>
                    <a:prstGeom prst="rect"/>
                  </pic:spPr>
                </pic:pic>
              </a:graphicData>
            </a:graphic>
          </wp:inline>
        </w:drawing>
      </w:r>
    </w:p>
    <w:p>
      <w:pPr>
        <w:jc w:val="center"/>
      </w:pPr>
      <w:r>
        <w:rPr>
          <w:rFonts w:ascii="Times New Roman" w:hAnsi="Times New Roman"/>
          <w:i/>
          <w:color w:val="505050"/>
          <w:sz w:val="20"/>
        </w:rPr>
        <w:t>Figure: Random Forest Feature Importance</w:t>
      </w:r>
    </w:p>
    <w:p>
      <w:pPr>
        <w:spacing w:line="360" w:lineRule="auto" w:after="160"/>
        <w:jc w:val="both"/>
      </w:pPr>
      <w:r>
        <w:rPr>
          <w:rFonts w:ascii="Times New Roman" w:hAnsi="Times New Roman"/>
          <w:i/>
          <w:sz w:val="24"/>
        </w:rPr>
        <w:t>Figure 3.5: Random Forest Feature Importance rating.</w:t>
      </w:r>
    </w:p>
    <w:p/>
    <w:p>
      <w:pPr>
        <w:pStyle w:val="Heading3"/>
        <w:spacing w:before="160" w:after="80"/>
        <w:jc w:val="left"/>
      </w:pPr>
      <w:r>
        <w:rPr>
          <w:rFonts w:ascii="Times New Roman" w:hAnsi="Times New Roman"/>
          <w:b/>
          <w:color w:val="323232"/>
          <w:sz w:val="24"/>
        </w:rPr>
        <w:t>3.2.3. Artificial Neural Networks (ANN MLPClassifier)</w:t>
      </w:r>
    </w:p>
    <w:p>
      <w:pPr>
        <w:spacing w:line="360" w:lineRule="auto" w:after="160"/>
        <w:jc w:val="both"/>
      </w:pPr>
      <w:r>
        <w:rPr>
          <w:rFonts w:ascii="Times New Roman" w:hAnsi="Times New Roman"/>
          <w:sz w:val="24"/>
        </w:rPr>
        <w:t>A Multi-Layer Perceptron (MLP) Artificial Neural Network was implemented to capture non-linear, complex mappings. The MLP classifier was configured with the following architecture:</w:t>
      </w:r>
    </w:p>
    <w:p>
      <w:pPr>
        <w:pStyle w:val="ListBullet"/>
        <w:spacing w:after="80" w:line="276" w:lineRule="auto"/>
      </w:pPr>
      <w:r>
        <w:rPr>
          <w:rFonts w:ascii="Times New Roman" w:hAnsi="Times New Roman"/>
          <w:b/>
          <w:sz w:val="24"/>
        </w:rPr>
        <w:t>Hidden Layer Structure:</w:t>
      </w:r>
      <w:r>
        <w:rPr>
          <w:rFonts w:ascii="Times New Roman" w:hAnsi="Times New Roman"/>
          <w:sz w:val="24"/>
        </w:rPr>
        <w:t xml:space="preserve"> Three hidden layers containing 64, 32, and 16 neurons respectively </w:t>
      </w:r>
      <w:r>
        <w:rPr>
          <w:rFonts w:ascii="Times New Roman" w:hAnsi="Times New Roman"/>
          <w:sz w:val="24"/>
        </w:rPr>
        <w:t>(64, 32, 16)</w:t>
      </w:r>
      <w:r>
        <w:rPr>
          <w:rFonts w:ascii="Times New Roman" w:hAnsi="Times New Roman"/>
          <w:sz w:val="24"/>
        </w:rPr>
        <w:t>.</w:t>
      </w:r>
    </w:p>
    <w:p>
      <w:pPr>
        <w:pStyle w:val="ListBullet"/>
        <w:spacing w:after="80" w:line="276" w:lineRule="auto"/>
      </w:pPr>
      <w:r>
        <w:rPr>
          <w:rFonts w:ascii="Times New Roman" w:hAnsi="Times New Roman"/>
          <w:b/>
          <w:sz w:val="24"/>
        </w:rPr>
        <w:t>Activation Function:</w:t>
      </w:r>
      <w:r>
        <w:rPr>
          <w:rFonts w:ascii="Times New Roman" w:hAnsi="Times New Roman"/>
          <w:sz w:val="24"/>
        </w:rPr>
        <w:t xml:space="preserve"> Rectified Linear Unit (ReLU).</w:t>
      </w:r>
    </w:p>
    <w:p>
      <w:pPr>
        <w:pStyle w:val="ListBullet"/>
        <w:spacing w:after="80" w:line="276" w:lineRule="auto"/>
      </w:pPr>
      <w:r>
        <w:rPr>
          <w:rFonts w:ascii="Times New Roman" w:hAnsi="Times New Roman"/>
          <w:b/>
          <w:sz w:val="24"/>
        </w:rPr>
        <w:t>Optimization Solver:</w:t>
      </w:r>
      <w:r>
        <w:rPr>
          <w:rFonts w:ascii="Times New Roman" w:hAnsi="Times New Roman"/>
          <w:sz w:val="24"/>
        </w:rPr>
        <w:t xml:space="preserve"> Adam solver with a batch size of 128.</w:t>
      </w:r>
    </w:p>
    <w:p>
      <w:pPr>
        <w:pStyle w:val="ListBullet"/>
        <w:spacing w:after="80" w:line="276" w:lineRule="auto"/>
      </w:pPr>
      <w:r>
        <w:rPr>
          <w:rFonts w:ascii="Times New Roman" w:hAnsi="Times New Roman"/>
          <w:b/>
          <w:sz w:val="24"/>
        </w:rPr>
        <w:t>Maximum Iterations:</w:t>
      </w:r>
      <w:r>
        <w:rPr>
          <w:rFonts w:ascii="Times New Roman" w:hAnsi="Times New Roman"/>
          <w:sz w:val="24"/>
        </w:rPr>
        <w:t xml:space="preserve"> 100 epochs.</w:t>
      </w:r>
    </w:p>
    <w:p/>
    <w:p>
      <w:pPr>
        <w:spacing w:line="360" w:lineRule="auto" w:after="160"/>
        <w:jc w:val="both"/>
      </w:pPr>
      <w:r>
        <w:rPr>
          <w:rFonts w:ascii="Times New Roman" w:hAnsi="Times New Roman"/>
          <w:sz w:val="24"/>
        </w:rPr>
        <w:t>The MLP neural network demonstrated high predictive performance, achieving a test accuracy of 55.68% and an F1-Score of 0.6496.</w:t>
      </w:r>
    </w:p>
    <w:p/>
    <w:p>
      <w:pPr>
        <w:pStyle w:val="Heading3"/>
        <w:spacing w:before="160" w:after="80"/>
        <w:jc w:val="left"/>
      </w:pPr>
      <w:r>
        <w:rPr>
          <w:rFonts w:ascii="Times New Roman" w:hAnsi="Times New Roman"/>
          <w:b/>
          <w:color w:val="323232"/>
          <w:sz w:val="24"/>
        </w:rPr>
        <w:t>3.2.4. Core Production XGBoost Classifier</w:t>
      </w:r>
    </w:p>
    <w:p>
      <w:pPr>
        <w:spacing w:line="360" w:lineRule="auto" w:after="160"/>
        <w:jc w:val="both"/>
      </w:pPr>
      <w:r>
        <w:rPr>
          <w:rFonts w:ascii="Times New Roman" w:hAnsi="Times New Roman"/>
          <w:sz w:val="24"/>
        </w:rPr>
        <w:t>XGBoost Classifier was selected as BorsaNeuron's core online inference engine. Despite having a slightly lower raw accuracy (51.31% vs 52.01% for RF), XGBoost yielded a superior F1-score (</w:t>
      </w:r>
      <w:r>
        <w:rPr>
          <w:rFonts w:ascii="Times New Roman" w:hAnsi="Times New Roman"/>
          <w:b/>
          <w:sz w:val="24"/>
        </w:rPr>
        <w:t>0.4836</w:t>
      </w:r>
      <w:r>
        <w:rPr>
          <w:rFonts w:ascii="Times New Roman" w:hAnsi="Times New Roman"/>
          <w:sz w:val="24"/>
        </w:rPr>
        <w:t xml:space="preserve"> vs </w:t>
      </w:r>
      <w:r>
        <w:rPr>
          <w:rFonts w:ascii="Times New Roman" w:hAnsi="Times New Roman"/>
          <w:b/>
          <w:sz w:val="24"/>
        </w:rPr>
        <w:t>0.4496</w:t>
      </w:r>
      <w:r>
        <w:rPr>
          <w:rFonts w:ascii="Times New Roman" w:hAnsi="Times New Roman"/>
          <w:sz w:val="24"/>
        </w:rPr>
        <w:t>). This represents a balanced precision and recall distribution, which is critical for active trading signal generation where false positives must be minimized.</w:t>
      </w:r>
    </w:p>
    <w:p/>
    <w:p>
      <w:pPr>
        <w:spacing w:line="360" w:lineRule="auto" w:after="160"/>
        <w:jc w:val="both"/>
      </w:pPr>
      <w:r>
        <w:rPr>
          <w:rFonts w:ascii="Times New Roman" w:hAnsi="Times New Roman"/>
          <w:sz w:val="24"/>
        </w:rPr>
        <w:t>The final XGBoost model's feature importance ranking reveals the following analytical weights:</w:t>
      </w:r>
    </w:p>
    <w:p>
      <w:pPr>
        <w:spacing w:line="360" w:lineRule="auto" w:after="160"/>
        <w:jc w:val="both"/>
      </w:pPr>
      <w:r>
        <w:rPr>
          <w:rFonts w:ascii="Times New Roman" w:hAnsi="Times New Roman"/>
          <w:sz w:val="24"/>
        </w:rPr>
        <w:t xml:space="preserve">1.  </w:t>
      </w:r>
      <w:r>
        <w:rPr>
          <w:rFonts w:ascii="Times New Roman" w:hAnsi="Times New Roman"/>
          <w:b/>
          <w:sz w:val="24"/>
        </w:rPr>
        <w:t>Resistance_Level</w:t>
      </w:r>
      <w:r>
        <w:rPr>
          <w:rFonts w:ascii="Times New Roman" w:hAnsi="Times New Roman"/>
          <w:sz w:val="24"/>
        </w:rPr>
        <w:t xml:space="preserve"> (5.71%) — Breakout level marker.</w:t>
      </w:r>
    </w:p>
    <w:p>
      <w:pPr>
        <w:spacing w:line="360" w:lineRule="auto" w:after="160"/>
        <w:jc w:val="both"/>
      </w:pPr>
      <w:r>
        <w:rPr>
          <w:rFonts w:ascii="Times New Roman" w:hAnsi="Times New Roman"/>
          <w:sz w:val="24"/>
        </w:rPr>
        <w:t xml:space="preserve">2.  </w:t>
      </w:r>
      <w:r>
        <w:rPr>
          <w:rFonts w:ascii="Times New Roman" w:hAnsi="Times New Roman"/>
          <w:b/>
          <w:sz w:val="24"/>
        </w:rPr>
        <w:t>Support_Level</w:t>
      </w:r>
      <w:r>
        <w:rPr>
          <w:rFonts w:ascii="Times New Roman" w:hAnsi="Times New Roman"/>
          <w:sz w:val="24"/>
        </w:rPr>
        <w:t xml:space="preserve"> (5.60%) — Structural price floors.</w:t>
      </w:r>
    </w:p>
    <w:p>
      <w:pPr>
        <w:spacing w:line="360" w:lineRule="auto" w:after="160"/>
        <w:jc w:val="both"/>
      </w:pPr>
      <w:r>
        <w:rPr>
          <w:rFonts w:ascii="Times New Roman" w:hAnsi="Times New Roman"/>
          <w:sz w:val="24"/>
        </w:rPr>
        <w:t xml:space="preserve">3.  </w:t>
      </w:r>
      <w:r>
        <w:rPr>
          <w:rFonts w:ascii="Times New Roman" w:hAnsi="Times New Roman"/>
          <w:b/>
          <w:sz w:val="24"/>
        </w:rPr>
        <w:t>Pat_Yok</w:t>
      </w:r>
      <w:r>
        <w:rPr>
          <w:rFonts w:ascii="Times New Roman" w:hAnsi="Times New Roman"/>
          <w:sz w:val="24"/>
        </w:rPr>
        <w:t xml:space="preserve"> (5.58%) — Indicates periods of trend-less consolidation.</w:t>
      </w:r>
    </w:p>
    <w:p>
      <w:pPr>
        <w:spacing w:line="360" w:lineRule="auto" w:after="160"/>
        <w:jc w:val="both"/>
      </w:pPr>
      <w:r>
        <w:rPr>
          <w:rFonts w:ascii="Times New Roman" w:hAnsi="Times New Roman"/>
          <w:sz w:val="24"/>
        </w:rPr>
        <w:t xml:space="preserve">4.  </w:t>
      </w:r>
      <w:r>
        <w:rPr>
          <w:rFonts w:ascii="Times New Roman" w:hAnsi="Times New Roman"/>
          <w:b/>
          <w:sz w:val="24"/>
        </w:rPr>
        <w:t>Pat_OBO (Head &amp; Shoulders)</w:t>
      </w:r>
      <w:r>
        <w:rPr>
          <w:rFonts w:ascii="Times New Roman" w:hAnsi="Times New Roman"/>
          <w:sz w:val="24"/>
        </w:rPr>
        <w:t xml:space="preserve"> (5.27%) — Bearish reversal signal.</w:t>
      </w:r>
    </w:p>
    <w:p>
      <w:pPr>
        <w:spacing w:line="360" w:lineRule="auto" w:after="160"/>
        <w:jc w:val="both"/>
      </w:pPr>
      <w:r>
        <w:rPr>
          <w:rFonts w:ascii="Times New Roman" w:hAnsi="Times New Roman"/>
          <w:sz w:val="24"/>
        </w:rPr>
        <w:t xml:space="preserve">5.  </w:t>
      </w:r>
      <w:r>
        <w:rPr>
          <w:rFonts w:ascii="Times New Roman" w:hAnsi="Times New Roman"/>
          <w:b/>
          <w:sz w:val="24"/>
        </w:rPr>
        <w:t>SMA_50</w:t>
      </w:r>
      <w:r>
        <w:rPr>
          <w:rFonts w:ascii="Times New Roman" w:hAnsi="Times New Roman"/>
          <w:sz w:val="24"/>
        </w:rPr>
        <w:t xml:space="preserve"> (5.26%) — Medium-term trend benchmark.</w:t>
      </w:r>
    </w:p>
    <w:p>
      <w:pPr>
        <w:spacing w:line="360" w:lineRule="auto" w:after="160"/>
        <w:jc w:val="both"/>
      </w:pPr>
      <w:r>
        <w:rPr>
          <w:rFonts w:ascii="Times New Roman" w:hAnsi="Times New Roman"/>
          <w:sz w:val="24"/>
        </w:rPr>
        <w:t xml:space="preserve">6.  </w:t>
      </w:r>
      <w:r>
        <w:rPr>
          <w:rFonts w:ascii="Times New Roman" w:hAnsi="Times New Roman"/>
          <w:b/>
          <w:sz w:val="24"/>
        </w:rPr>
        <w:t>SMA_200</w:t>
      </w:r>
      <w:r>
        <w:rPr>
          <w:rFonts w:ascii="Times New Roman" w:hAnsi="Times New Roman"/>
          <w:sz w:val="24"/>
        </w:rPr>
        <w:t xml:space="preserve"> (5.10%) — Major institutional support and trend line.</w:t>
      </w:r>
    </w:p>
    <w:p>
      <w:pPr>
        <w:spacing w:line="360" w:lineRule="auto" w:after="160"/>
        <w:jc w:val="both"/>
      </w:pPr>
      <w:r>
        <w:rPr>
          <w:rFonts w:ascii="Times New Roman" w:hAnsi="Times New Roman"/>
          <w:sz w:val="24"/>
        </w:rPr>
        <w:t xml:space="preserve">7.  </w:t>
      </w:r>
      <w:r>
        <w:rPr>
          <w:rFonts w:ascii="Times New Roman" w:hAnsi="Times New Roman"/>
          <w:b/>
          <w:sz w:val="24"/>
        </w:rPr>
        <w:t>Pat_TOBO (Inverse Head &amp; Shoulders)</w:t>
      </w:r>
      <w:r>
        <w:rPr>
          <w:rFonts w:ascii="Times New Roman" w:hAnsi="Times New Roman"/>
          <w:sz w:val="24"/>
        </w:rPr>
        <w:t xml:space="preserve"> (5.05%) — Strong bullish reversal pattern.</w:t>
      </w:r>
    </w:p>
    <w:p>
      <w:pPr>
        <w:spacing w:line="360" w:lineRule="auto" w:after="160"/>
        <w:jc w:val="both"/>
      </w:pPr>
      <w:r>
        <w:rPr>
          <w:rFonts w:ascii="Times New Roman" w:hAnsi="Times New Roman"/>
          <w:sz w:val="24"/>
        </w:rPr>
        <w:t xml:space="preserve">8.  </w:t>
      </w:r>
      <w:r>
        <w:rPr>
          <w:rFonts w:ascii="Times New Roman" w:hAnsi="Times New Roman"/>
          <w:b/>
          <w:sz w:val="24"/>
        </w:rPr>
        <w:t>BB_Middle</w:t>
      </w:r>
      <w:r>
        <w:rPr>
          <w:rFonts w:ascii="Times New Roman" w:hAnsi="Times New Roman"/>
          <w:sz w:val="24"/>
        </w:rPr>
        <w:t xml:space="preserve"> (4.90%) &amp; </w:t>
      </w:r>
      <w:r>
        <w:rPr>
          <w:rFonts w:ascii="Times New Roman" w:hAnsi="Times New Roman"/>
          <w:b/>
          <w:sz w:val="24"/>
        </w:rPr>
        <w:t>BB_Lower</w:t>
      </w:r>
      <w:r>
        <w:rPr>
          <w:rFonts w:ascii="Times New Roman" w:hAnsi="Times New Roman"/>
          <w:sz w:val="24"/>
        </w:rPr>
        <w:t xml:space="preserve"> (4.89%) — Standard deviation volatility boundaries.</w:t>
      </w:r>
    </w:p>
    <w:p/>
    <w:p>
      <w:pPr>
        <w:jc w:val="center"/>
      </w:pPr>
      <w:r>
        <w:drawing>
          <wp:inline xmlns:a="http://schemas.openxmlformats.org/drawingml/2006/main" xmlns:pic="http://schemas.openxmlformats.org/drawingml/2006/picture">
            <wp:extent cx="5486400" cy="3259110"/>
            <wp:docPr id="6" name="Picture 6"/>
            <wp:cNvGraphicFramePr>
              <a:graphicFrameLocks noChangeAspect="1"/>
            </wp:cNvGraphicFramePr>
            <a:graphic>
              <a:graphicData uri="http://schemas.openxmlformats.org/drawingml/2006/picture">
                <pic:pic>
                  <pic:nvPicPr>
                    <pic:cNvPr id="0" name="10_model_karsilastirma.png"/>
                    <pic:cNvPicPr/>
                  </pic:nvPicPr>
                  <pic:blipFill>
                    <a:blip r:embed="rId15"/>
                    <a:stretch>
                      <a:fillRect/>
                    </a:stretch>
                  </pic:blipFill>
                  <pic:spPr>
                    <a:xfrm>
                      <a:off x="0" y="0"/>
                      <a:ext cx="5486400" cy="3259110"/>
                    </a:xfrm>
                    <a:prstGeom prst="rect"/>
                  </pic:spPr>
                </pic:pic>
              </a:graphicData>
            </a:graphic>
          </wp:inline>
        </w:drawing>
      </w:r>
    </w:p>
    <w:p>
      <w:pPr>
        <w:jc w:val="center"/>
      </w:pPr>
      <w:r>
        <w:rPr>
          <w:rFonts w:ascii="Times New Roman" w:hAnsi="Times New Roman"/>
          <w:i/>
          <w:color w:val="505050"/>
          <w:sz w:val="20"/>
        </w:rPr>
        <w:t>Figure: Model Performance Comparison</w:t>
      </w:r>
    </w:p>
    <w:p>
      <w:pPr>
        <w:spacing w:line="360" w:lineRule="auto" w:after="160"/>
        <w:jc w:val="both"/>
      </w:pPr>
      <w:r>
        <w:rPr>
          <w:rFonts w:ascii="Times New Roman" w:hAnsi="Times New Roman"/>
          <w:i/>
          <w:sz w:val="24"/>
        </w:rPr>
        <w:t>Figure 3.6: Performance comparison bar chart detailing Accuracy and F1-Scores.</w:t>
      </w:r>
    </w:p>
    <w:p/>
    <w:p>
      <w:pPr>
        <w:pStyle w:val="Heading2"/>
        <w:spacing w:before="240" w:after="120"/>
        <w:jc w:val="left"/>
      </w:pPr>
      <w:r>
        <w:rPr>
          <w:rFonts w:ascii="Times New Roman" w:hAnsi="Times New Roman"/>
          <w:b/>
          <w:color w:val="1E1E1E"/>
          <w:sz w:val="28"/>
        </w:rPr>
        <w:t>3.3. Streamlit Workstation Interface</w:t>
      </w:r>
    </w:p>
    <w:p/>
    <w:p>
      <w:pPr>
        <w:pStyle w:val="Heading3"/>
        <w:spacing w:before="160" w:after="80"/>
        <w:jc w:val="left"/>
      </w:pPr>
      <w:r>
        <w:rPr>
          <w:rFonts w:ascii="Times New Roman" w:hAnsi="Times New Roman"/>
          <w:b/>
          <w:color w:val="323232"/>
          <w:sz w:val="24"/>
        </w:rPr>
        <w:t>3.3.1. Glassmorphic SaaS Layout &amp; Custom CSS Injection</w:t>
      </w:r>
    </w:p>
    <w:p>
      <w:pPr>
        <w:spacing w:line="360" w:lineRule="auto" w:after="160"/>
        <w:jc w:val="both"/>
      </w:pPr>
      <w:r>
        <w:rPr>
          <w:rFonts w:ascii="Times New Roman" w:hAnsi="Times New Roman"/>
          <w:sz w:val="24"/>
        </w:rPr>
        <w:t>To bridge quantitative models with human execution, a premium web application was built using Streamlit. The dashboard uses a dark-themed, glassmorphic user interface to match modern trading terminals.</w:t>
      </w:r>
    </w:p>
    <w:p/>
    <w:p>
      <w:pPr>
        <w:spacing w:line="360" w:lineRule="auto" w:after="160"/>
        <w:jc w:val="both"/>
      </w:pPr>
      <w:r>
        <w:rPr>
          <w:rFonts w:ascii="Times New Roman" w:hAnsi="Times New Roman"/>
          <w:sz w:val="24"/>
        </w:rPr>
        <w:t>The application layout is structured around a sidebar navigation panel containing the following pages:</w:t>
      </w:r>
    </w:p>
    <w:p>
      <w:pPr>
        <w:spacing w:line="360" w:lineRule="auto" w:after="160"/>
        <w:jc w:val="both"/>
      </w:pPr>
      <w:r>
        <w:rPr>
          <w:rFonts w:ascii="Times New Roman" w:hAnsi="Times New Roman"/>
          <w:sz w:val="24"/>
        </w:rPr>
        <w:t xml:space="preserve">1.  </w:t>
      </w:r>
      <w:r>
        <w:rPr>
          <w:rFonts w:ascii="Times New Roman" w:hAnsi="Times New Roman"/>
          <w:b/>
          <w:sz w:val="24"/>
        </w:rPr>
        <w:t>Welcome Dashboard:</w:t>
      </w:r>
      <w:r>
        <w:rPr>
          <w:rFonts w:ascii="Times New Roman" w:hAnsi="Times New Roman"/>
          <w:sz w:val="24"/>
        </w:rPr>
        <w:t xml:space="preserve"> Displays core platform documentation, system status metrics, active model configurations, and a comprehensive overview of BorsaNeuron's capabilities.</w:t>
      </w:r>
    </w:p>
    <w:p>
      <w:pPr>
        <w:spacing w:line="360" w:lineRule="auto" w:after="160"/>
        <w:jc w:val="both"/>
      </w:pPr>
      <w:r>
        <w:rPr>
          <w:rFonts w:ascii="Times New Roman" w:hAnsi="Times New Roman"/>
          <w:sz w:val="24"/>
        </w:rPr>
        <w:t xml:space="preserve">2.  </w:t>
      </w:r>
      <w:r>
        <w:rPr>
          <w:rFonts w:ascii="Times New Roman" w:hAnsi="Times New Roman"/>
          <w:b/>
          <w:sz w:val="24"/>
        </w:rPr>
        <w:t>Live Stock Forecasting:</w:t>
      </w:r>
      <w:r>
        <w:rPr>
          <w:rFonts w:ascii="Times New Roman" w:hAnsi="Times New Roman"/>
          <w:sz w:val="24"/>
        </w:rPr>
        <w:t xml:space="preserve"> The core quantitative panel where users select a BIST ticker. The application fetches live market pricing, computes the technical indicator feature vector, standardizes the metrics, and passes them to the pre-trained neural network to output real-time </w:t>
      </w:r>
      <w:r>
        <w:rPr>
          <w:rFonts w:ascii="Courier New" w:hAnsi="Courier New"/>
          <w:sz w:val="21"/>
        </w:rPr>
        <w:t>Target_T5</w:t>
      </w:r>
      <w:r>
        <w:rPr>
          <w:rFonts w:ascii="Times New Roman" w:hAnsi="Times New Roman"/>
          <w:sz w:val="24"/>
        </w:rPr>
        <w:t xml:space="preserve"> predictions.</w:t>
      </w:r>
    </w:p>
    <w:p>
      <w:pPr>
        <w:spacing w:line="360" w:lineRule="auto" w:after="160"/>
        <w:jc w:val="both"/>
      </w:pPr>
      <w:r>
        <w:rPr>
          <w:rFonts w:ascii="Times New Roman" w:hAnsi="Times New Roman"/>
          <w:sz w:val="24"/>
        </w:rPr>
        <w:t xml:space="preserve">3.  </w:t>
      </w:r>
      <w:r>
        <w:rPr>
          <w:rFonts w:ascii="Times New Roman" w:hAnsi="Times New Roman"/>
          <w:b/>
          <w:sz w:val="24"/>
        </w:rPr>
        <w:t>Automated Pattern Scanner:</w:t>
      </w:r>
      <w:r>
        <w:rPr>
          <w:rFonts w:ascii="Times New Roman" w:hAnsi="Times New Roman"/>
          <w:sz w:val="24"/>
        </w:rPr>
        <w:t xml:space="preserve"> An advanced scanner that analyzes historical price data to flag classical chart patterns.</w:t>
      </w:r>
    </w:p>
    <w:p/>
    <w:p>
      <w:pPr>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borsaneuron_ui_dashboard.png"/>
                    <pic:cNvPicPr/>
                  </pic:nvPicPr>
                  <pic:blipFill>
                    <a:blip r:embed="rId16"/>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BorsaNeuron UI Welcome Dashboard</w:t>
      </w:r>
    </w:p>
    <w:p>
      <w:pPr>
        <w:spacing w:line="360" w:lineRule="auto" w:after="160"/>
        <w:jc w:val="both"/>
      </w:pPr>
      <w:r>
        <w:rPr>
          <w:rFonts w:ascii="Times New Roman" w:hAnsi="Times New Roman"/>
          <w:i/>
          <w:sz w:val="24"/>
        </w:rPr>
        <w:t>Figure 3.7: BorsaNeuron interactive platform welcome dashboard UI.</w:t>
      </w:r>
    </w:p>
    <w:p/>
    <w:p>
      <w:pPr>
        <w:pStyle w:val="Heading3"/>
        <w:spacing w:before="160" w:after="80"/>
        <w:jc w:val="left"/>
      </w:pPr>
      <w:r>
        <w:rPr>
          <w:rFonts w:ascii="Times New Roman" w:hAnsi="Times New Roman"/>
          <w:b/>
          <w:color w:val="323232"/>
          <w:sz w:val="24"/>
        </w:rPr>
        <w:t>3.3.2. Live Stock Query Page &amp; yfinance Inference Pipeline</w:t>
      </w:r>
    </w:p>
    <w:p>
      <w:pPr>
        <w:spacing w:line="360" w:lineRule="auto" w:after="160"/>
        <w:jc w:val="both"/>
      </w:pPr>
      <w:r>
        <w:rPr>
          <w:rFonts w:ascii="Times New Roman" w:hAnsi="Times New Roman"/>
          <w:sz w:val="24"/>
        </w:rPr>
        <w:t>In the live Streamlit backend (</w:t>
      </w:r>
      <w:r>
        <w:rPr>
          <w:rFonts w:ascii="Courier New" w:hAnsi="Courier New"/>
          <w:sz w:val="21"/>
        </w:rPr>
        <w:t>app.py</w:t>
      </w:r>
      <w:r>
        <w:rPr>
          <w:rFonts w:ascii="Times New Roman" w:hAnsi="Times New Roman"/>
          <w:sz w:val="24"/>
        </w:rPr>
        <w:t>), the serializations are loaded into memory and yfinance handles live price streams:</w:t>
      </w:r>
    </w:p>
    <w:p/>
    <w:p>
      <w:pPr>
        <w:spacing w:before="0" w:after="0"/>
        <w:ind w:left="720" w:right="720"/>
        <w:shd w:fill="F4F4F5"/>
      </w:pPr>
      <w:r>
        <w:rPr>
          <w:rFonts w:ascii="Courier New" w:hAnsi="Courier New"/>
          <w:color w:val="3C3C3C"/>
          <w:sz w:val="19"/>
        </w:rPr>
        <w:t># Real-time loading and inference</w:t>
      </w:r>
    </w:p>
    <w:p>
      <w:pPr>
        <w:spacing w:before="0" w:after="0"/>
        <w:ind w:left="720" w:right="720"/>
        <w:shd w:fill="F4F4F5"/>
      </w:pPr>
      <w:r>
        <w:rPr>
          <w:rFonts w:ascii="Courier New" w:hAnsi="Courier New"/>
          <w:color w:val="3C3C3C"/>
          <w:sz w:val="19"/>
        </w:rPr>
        <w:t>import yfinance as yf</w:t>
      </w:r>
    </w:p>
    <w:p>
      <w:pPr>
        <w:spacing w:before="0" w:after="0"/>
        <w:ind w:left="720" w:right="720"/>
        <w:shd w:fill="F4F4F5"/>
      </w:pPr>
      <w:r>
        <w:rPr>
          <w:rFonts w:ascii="Courier New" w:hAnsi="Courier New"/>
          <w:color w:val="3C3C3C"/>
          <w:sz w:val="19"/>
        </w:rPr>
        <w:t>import joblib</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scaler = joblib.load("best_scaler_acm465.joblib")</w:t>
      </w:r>
    </w:p>
    <w:p>
      <w:pPr>
        <w:spacing w:before="0" w:after="0"/>
        <w:ind w:left="720" w:right="720"/>
        <w:shd w:fill="F4F4F5"/>
      </w:pPr>
      <w:r>
        <w:rPr>
          <w:rFonts w:ascii="Courier New" w:hAnsi="Courier New"/>
          <w:color w:val="3C3C3C"/>
          <w:sz w:val="19"/>
        </w:rPr>
        <w:t>model = joblib.load("best_model_acm465.joblib")</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def get_live_forecast(ticker):</w:t>
      </w:r>
    </w:p>
    <w:p>
      <w:pPr>
        <w:spacing w:before="0" w:after="0"/>
        <w:ind w:left="720" w:right="720"/>
        <w:shd w:fill="F4F4F5"/>
      </w:pPr>
      <w:r>
        <w:rPr>
          <w:rFonts w:ascii="Courier New" w:hAnsi="Courier New"/>
          <w:color w:val="3C3C3C"/>
          <w:sz w:val="19"/>
        </w:rPr>
        <w:t xml:space="preserve">    df_live = yf.download(ticker, period="1y", interval="1d")</w:t>
      </w:r>
    </w:p>
    <w:p>
      <w:pPr>
        <w:spacing w:before="0" w:after="0"/>
        <w:ind w:left="720" w:right="720"/>
        <w:shd w:fill="F4F4F5"/>
      </w:pPr>
      <w:r>
        <w:rPr>
          <w:rFonts w:ascii="Courier New" w:hAnsi="Courier New"/>
          <w:color w:val="3C3C3C"/>
          <w:sz w:val="19"/>
        </w:rPr>
        <w:t xml:space="preserve">    feature_vector = compute_technical_vector(df_live)</w:t>
      </w:r>
    </w:p>
    <w:p>
      <w:pPr>
        <w:spacing w:before="0" w:after="0"/>
        <w:ind w:left="720" w:right="720"/>
        <w:shd w:fill="F4F4F5"/>
      </w:pPr>
      <w:r>
        <w:rPr>
          <w:rFonts w:ascii="Courier New" w:hAnsi="Courier New"/>
          <w:color w:val="3C3C3C"/>
          <w:sz w:val="19"/>
        </w:rPr>
        <w:t xml:space="preserve">    scaled_vector = scaler.transform([feature_vector])</w:t>
      </w:r>
    </w:p>
    <w:p>
      <w:pPr>
        <w:spacing w:before="0" w:after="0"/>
        <w:ind w:left="720" w:right="720"/>
        <w:shd w:fill="F4F4F5"/>
      </w:pPr>
      <w:r>
        <w:rPr>
          <w:rFonts w:ascii="Courier New" w:hAnsi="Courier New"/>
          <w:color w:val="3C3C3C"/>
          <w:sz w:val="19"/>
        </w:rPr>
        <w:t xml:space="preserve">    prediction = model.predict(scaled_vector)[0]</w:t>
      </w:r>
    </w:p>
    <w:p>
      <w:pPr>
        <w:spacing w:before="0" w:after="0"/>
        <w:ind w:left="720" w:right="720"/>
        <w:shd w:fill="F4F4F5"/>
      </w:pPr>
      <w:r>
        <w:rPr>
          <w:rFonts w:ascii="Courier New" w:hAnsi="Courier New"/>
          <w:color w:val="3C3C3C"/>
          <w:sz w:val="19"/>
        </w:rPr>
        <w:t xml:space="preserve">    probability = model.predict_proba(scaled_vector)[0][1]</w:t>
      </w:r>
    </w:p>
    <w:p>
      <w:pPr>
        <w:spacing w:before="0" w:after="0"/>
        <w:ind w:left="720" w:right="720"/>
        <w:shd w:fill="F4F4F5"/>
      </w:pPr>
      <w:r>
        <w:rPr>
          <w:rFonts w:ascii="Courier New" w:hAnsi="Courier New"/>
          <w:color w:val="3C3C3C"/>
          <w:sz w:val="19"/>
        </w:rPr>
        <w:t xml:space="preserve">    return prediction, probability</w:t>
      </w:r>
    </w:p>
    <w:p/>
    <w:p>
      <w:pPr>
        <w:spacing w:line="360" w:lineRule="auto" w:after="160"/>
        <w:jc w:val="both"/>
      </w:pPr>
      <w:r>
        <w:rPr>
          <w:rFonts w:ascii="Times New Roman" w:hAnsi="Times New Roman"/>
          <w:sz w:val="24"/>
        </w:rPr>
        <w:t>This pipeline allows the web dashboard to instantly generate active market predictions for any BIST stock.</w:t>
      </w:r>
    </w:p>
    <w:p/>
    <w:p>
      <w:pPr>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borsaneuron_hisse_sorgu_real.png"/>
                    <pic:cNvPicPr/>
                  </pic:nvPicPr>
                  <pic:blipFill>
                    <a:blip r:embed="rId17"/>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Live Stock Forecasting Panel</w:t>
      </w:r>
    </w:p>
    <w:p>
      <w:pPr>
        <w:spacing w:line="360" w:lineRule="auto" w:after="160"/>
        <w:jc w:val="both"/>
      </w:pPr>
      <w:r>
        <w:rPr>
          <w:rFonts w:ascii="Times New Roman" w:hAnsi="Times New Roman"/>
          <w:i/>
          <w:sz w:val="24"/>
        </w:rPr>
        <w:t>Figure 3.8: Real-time stock forecast panel UI.</w:t>
      </w:r>
    </w:p>
    <w:p/>
    <w:p>
      <w:pPr>
        <w:pStyle w:val="Heading3"/>
        <w:spacing w:before="160" w:after="80"/>
        <w:jc w:val="left"/>
      </w:pPr>
      <w:r>
        <w:rPr>
          <w:rFonts w:ascii="Times New Roman" w:hAnsi="Times New Roman"/>
          <w:b/>
          <w:color w:val="323232"/>
          <w:sz w:val="24"/>
        </w:rPr>
        <w:t>3.3.3. Historical Win-Rate Decision Engine</w:t>
      </w:r>
    </w:p>
    <w:p>
      <w:pPr>
        <w:spacing w:line="360" w:lineRule="auto" w:after="160"/>
        <w:jc w:val="both"/>
      </w:pPr>
      <w:r>
        <w:rPr>
          <w:rFonts w:ascii="Times New Roman" w:hAnsi="Times New Roman"/>
          <w:sz w:val="24"/>
        </w:rPr>
        <w:t xml:space="preserve">A primary innovation in this terminal is the </w:t>
      </w:r>
      <w:r>
        <w:rPr>
          <w:rFonts w:ascii="Times New Roman" w:hAnsi="Times New Roman"/>
          <w:b/>
          <w:sz w:val="24"/>
        </w:rPr>
        <w:t>Historical Stock Win Rate Analyzer</w:t>
      </w:r>
      <w:r>
        <w:rPr>
          <w:rFonts w:ascii="Times New Roman" w:hAnsi="Times New Roman"/>
          <w:sz w:val="24"/>
        </w:rPr>
        <w:t xml:space="preserve">. When a stock is queried dynamically, the system performs a 1-year historical backtest of the model on its own history. It calculates the stock's specific </w:t>
      </w:r>
      <w:r>
        <w:rPr>
          <w:rFonts w:ascii="Times New Roman" w:hAnsi="Times New Roman"/>
          <w:b/>
          <w:sz w:val="24"/>
        </w:rPr>
        <w:t>Win Rate</w:t>
      </w:r>
      <w:r>
        <w:rPr>
          <w:rFonts w:ascii="Times New Roman" w:hAnsi="Times New Roman"/>
          <w:sz w:val="24"/>
        </w:rPr>
        <w:t xml:space="preserve"> under the AI strategy:</w:t>
      </w:r>
    </w:p>
    <w:p/>
    <w:p>
      <w:pPr>
        <w:spacing w:line="360" w:lineRule="auto" w:after="160"/>
        <w:jc w:val="both"/>
      </w:pPr>
      <w:r>
        <w:rPr>
          <w:rFonts w:ascii="Times New Roman" w:hAnsi="Times New Roman"/>
          <w:sz w:val="24"/>
        </w:rPr>
        <w:t>$$\text{Win Rate} = \frac{\text{Correct Bullish Forecasts}}{\text{Total Bullish Signals}} \times 100$$</w:t>
      </w:r>
    </w:p>
    <w:p/>
    <w:p>
      <w:pPr>
        <w:spacing w:line="360" w:lineRule="auto" w:after="160"/>
        <w:jc w:val="both"/>
      </w:pPr>
      <w:r>
        <w:rPr>
          <w:rFonts w:ascii="Times New Roman" w:hAnsi="Times New Roman"/>
          <w:sz w:val="24"/>
        </w:rPr>
        <w:t>The system displays this as a dedicated decision factor. If the stock has a history of high compliance (Win Rate &gt; 60%), it outputs a strong buy confirmation. If the stock is highly volatile or erratic (Win Rate &lt; 48%), it issues an active risk warning.</w:t>
      </w:r>
    </w:p>
    <w:p/>
    <w:p>
      <w:pPr>
        <w:pStyle w:val="Heading3"/>
        <w:spacing w:before="160" w:after="80"/>
        <w:jc w:val="left"/>
      </w:pPr>
      <w:r>
        <w:rPr>
          <w:rFonts w:ascii="Times New Roman" w:hAnsi="Times New Roman"/>
          <w:b/>
          <w:color w:val="323232"/>
          <w:sz w:val="24"/>
        </w:rPr>
        <w:t>3.3.4. Sector Peer Benchmarking</w:t>
      </w:r>
    </w:p>
    <w:p>
      <w:pPr>
        <w:spacing w:line="360" w:lineRule="auto" w:after="160"/>
        <w:jc w:val="both"/>
      </w:pPr>
      <w:r>
        <w:rPr>
          <w:rFonts w:ascii="Times New Roman" w:hAnsi="Times New Roman"/>
          <w:sz w:val="24"/>
        </w:rPr>
        <w:t>The terminal groups stocks into sectors (Holding, Banking, Industrial, Energy, Logistics, etc.) and compares the queried stock's live metrics against the sector's historical averages. This provides direct macro-context to traders.</w:t>
      </w:r>
    </w:p>
    <w:p/>
    <w:p>
      <w:pPr>
        <w:pStyle w:val="Heading3"/>
        <w:spacing w:before="160" w:after="80"/>
        <w:jc w:val="left"/>
      </w:pPr>
      <w:r>
        <w:rPr>
          <w:rFonts w:ascii="Times New Roman" w:hAnsi="Times New Roman"/>
          <w:b/>
          <w:color w:val="323232"/>
          <w:sz w:val="24"/>
        </w:rPr>
        <w:t>3.3.5. Interactive Candlestick Plotly Visualizer</w:t>
      </w:r>
    </w:p>
    <w:p>
      <w:pPr>
        <w:spacing w:line="360" w:lineRule="auto" w:after="160"/>
        <w:jc w:val="both"/>
      </w:pPr>
      <w:r>
        <w:rPr>
          <w:rFonts w:ascii="Times New Roman" w:hAnsi="Times New Roman"/>
          <w:sz w:val="24"/>
        </w:rPr>
        <w:t>BorsaNeuron renders a Plotly Candlestick chart overlaid with Bollinger Bands and moving averages. Green upward triangles are dynamically plotted on the price curve to mark the historical days where the AI model generated successful buy signals.</w:t>
      </w:r>
    </w:p>
    <w:p/>
    <w:p>
      <w:pPr>
        <w:pStyle w:val="Heading3"/>
        <w:spacing w:before="160" w:after="80"/>
        <w:jc w:val="left"/>
      </w:pPr>
      <w:r>
        <w:rPr>
          <w:rFonts w:ascii="Times New Roman" w:hAnsi="Times New Roman"/>
          <w:b/>
          <w:color w:val="323232"/>
          <w:sz w:val="24"/>
        </w:rPr>
        <w:t>3.3.6. Live Portfolio Backtest Simulator</w:t>
      </w:r>
    </w:p>
    <w:p>
      <w:pPr>
        <w:spacing w:line="360" w:lineRule="auto" w:after="160"/>
        <w:jc w:val="both"/>
      </w:pPr>
      <w:r>
        <w:rPr>
          <w:rFonts w:ascii="Times New Roman" w:hAnsi="Times New Roman"/>
          <w:sz w:val="24"/>
        </w:rPr>
        <w:t xml:space="preserve">A portfolio growth simulator is integrated into the stock query panel. It shows a cumulative growth curve comparing </w:t>
      </w:r>
      <w:r>
        <w:rPr>
          <w:rFonts w:ascii="Times New Roman" w:hAnsi="Times New Roman"/>
          <w:b/>
          <w:sz w:val="24"/>
        </w:rPr>
        <w:t>BorsaNeuron AI Strategy vs. Buy &amp; Hold Index</w:t>
      </w:r>
      <w:r>
        <w:rPr>
          <w:rFonts w:ascii="Times New Roman" w:hAnsi="Times New Roman"/>
          <w:sz w:val="24"/>
        </w:rPr>
        <w:t xml:space="preserve"> over the last 1 year, starting with a hypothetical 100,000 TL capital.</w:t>
      </w:r>
    </w:p>
    <w:p/>
    <w:p>
      <w:pPr>
        <w:jc w:val="center"/>
      </w:pPr>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borsaneuron_scenario_ui.png"/>
                    <pic:cNvPicPr/>
                  </pic:nvPicPr>
                  <pic:blipFill>
                    <a:blip r:embed="rId18"/>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What-If Scenario Simulation Panel</w:t>
      </w:r>
    </w:p>
    <w:p>
      <w:pPr>
        <w:spacing w:line="360" w:lineRule="auto" w:after="160"/>
        <w:jc w:val="both"/>
      </w:pPr>
      <w:r>
        <w:rPr>
          <w:rFonts w:ascii="Times New Roman" w:hAnsi="Times New Roman"/>
          <w:i/>
          <w:sz w:val="24"/>
        </w:rPr>
        <w:t>Figure 3.9: What-If Scenario UI, displaying dynamic simulation sliders.</w:t>
      </w:r>
    </w:p>
    <w:p/>
    <w:p>
      <w:pPr>
        <w:jc w:val="center"/>
      </w:pPr>
      <w:r>
        <w:drawing>
          <wp:inline xmlns:a="http://schemas.openxmlformats.org/drawingml/2006/main" xmlns:pic="http://schemas.openxmlformats.org/drawingml/2006/picture">
            <wp:extent cx="5486400" cy="1933359"/>
            <wp:docPr id="10" name="Picture 10"/>
            <wp:cNvGraphicFramePr>
              <a:graphicFrameLocks noChangeAspect="1"/>
            </wp:cNvGraphicFramePr>
            <a:graphic>
              <a:graphicData uri="http://schemas.openxmlformats.org/drawingml/2006/picture">
                <pic:pic>
                  <pic:nvPicPr>
                    <pic:cNvPr id="0" name="senaryo_kume_profil.png"/>
                    <pic:cNvPicPr/>
                  </pic:nvPicPr>
                  <pic:blipFill>
                    <a:blip r:embed="rId19"/>
                    <a:stretch>
                      <a:fillRect/>
                    </a:stretch>
                  </pic:blipFill>
                  <pic:spPr>
                    <a:xfrm>
                      <a:off x="0" y="0"/>
                      <a:ext cx="5486400" cy="1933359"/>
                    </a:xfrm>
                    <a:prstGeom prst="rect"/>
                  </pic:spPr>
                </pic:pic>
              </a:graphicData>
            </a:graphic>
          </wp:inline>
        </w:drawing>
      </w:r>
    </w:p>
    <w:p>
      <w:pPr>
        <w:jc w:val="center"/>
      </w:pPr>
      <w:r>
        <w:rPr>
          <w:rFonts w:ascii="Times New Roman" w:hAnsi="Times New Roman"/>
          <w:i/>
          <w:color w:val="505050"/>
          <w:sz w:val="20"/>
        </w:rPr>
        <w:t>Figure: Market Regime Cluster Profiles Analysis</w:t>
      </w:r>
    </w:p>
    <w:p>
      <w:pPr>
        <w:spacing w:line="360" w:lineRule="auto" w:after="160"/>
        <w:jc w:val="both"/>
      </w:pPr>
      <w:r>
        <w:rPr>
          <w:rFonts w:ascii="Times New Roman" w:hAnsi="Times New Roman"/>
          <w:i/>
          <w:sz w:val="24"/>
        </w:rPr>
        <w:t>Figure 3.10: K-Means cluster profile density analysis.</w:t>
      </w:r>
    </w:p>
    <w:p/>
    <w:p>
      <w:pPr>
        <w:jc w:val="center"/>
      </w:pPr>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prophet_forecast_real.png"/>
                    <pic:cNvPicPr/>
                  </pic:nvPicPr>
                  <pic:blipFill>
                    <a:blip r:embed="rId20"/>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Prophet Live Forecasting</w:t>
      </w:r>
    </w:p>
    <w:p>
      <w:pPr>
        <w:spacing w:line="360" w:lineRule="auto" w:after="160"/>
        <w:jc w:val="both"/>
      </w:pPr>
      <w:r>
        <w:rPr>
          <w:rFonts w:ascii="Times New Roman" w:hAnsi="Times New Roman"/>
          <w:i/>
          <w:sz w:val="24"/>
        </w:rPr>
        <w:t>Figure 3.11: Live Prophet price path forecast interface.</w:t>
      </w:r>
    </w:p>
    <w:p/>
    <w:p>
      <w:pPr>
        <w:jc w:val="center"/>
      </w:pPr>
      <w:r>
        <w:drawing>
          <wp:inline xmlns:a="http://schemas.openxmlformats.org/drawingml/2006/main" xmlns:pic="http://schemas.openxmlformats.org/drawingml/2006/picture">
            <wp:extent cx="5486400" cy="2326486"/>
            <wp:docPr id="12" name="Picture 12"/>
            <wp:cNvGraphicFramePr>
              <a:graphicFrameLocks noChangeAspect="1"/>
            </wp:cNvGraphicFramePr>
            <a:graphic>
              <a:graphicData uri="http://schemas.openxmlformats.org/drawingml/2006/picture">
                <pic:pic>
                  <pic:nvPicPr>
                    <pic:cNvPr id="0" name="11_backtest.png"/>
                    <pic:cNvPicPr/>
                  </pic:nvPicPr>
                  <pic:blipFill>
                    <a:blip r:embed="rId21"/>
                    <a:stretch>
                      <a:fillRect/>
                    </a:stretch>
                  </pic:blipFill>
                  <pic:spPr>
                    <a:xfrm>
                      <a:off x="0" y="0"/>
                      <a:ext cx="5486400" cy="2326486"/>
                    </a:xfrm>
                    <a:prstGeom prst="rect"/>
                  </pic:spPr>
                </pic:pic>
              </a:graphicData>
            </a:graphic>
          </wp:inline>
        </w:drawing>
      </w:r>
    </w:p>
    <w:p>
      <w:pPr>
        <w:jc w:val="center"/>
      </w:pPr>
      <w:r>
        <w:rPr>
          <w:rFonts w:ascii="Times New Roman" w:hAnsi="Times New Roman"/>
          <w:i/>
          <w:color w:val="505050"/>
          <w:sz w:val="20"/>
        </w:rPr>
        <w:t>Figure: Algorithmic Trading Backtest Strategy Performance</w:t>
      </w:r>
    </w:p>
    <w:p>
      <w:pPr>
        <w:spacing w:line="360" w:lineRule="auto" w:after="160"/>
        <w:jc w:val="both"/>
      </w:pPr>
      <w:r>
        <w:rPr>
          <w:rFonts w:ascii="Times New Roman" w:hAnsi="Times New Roman"/>
          <w:i/>
          <w:sz w:val="24"/>
        </w:rPr>
        <w:t>Figure 3.12: Backtesting performance charting comparing active BorsaNeuron prediction signals.</w:t>
      </w:r>
    </w:p>
    <w:p/>
    <w:p>
      <w:pPr>
        <w:pStyle w:val="Heading2"/>
        <w:spacing w:before="240" w:after="120"/>
        <w:jc w:val="left"/>
      </w:pPr>
      <w:r>
        <w:rPr>
          <w:rFonts w:ascii="Times New Roman" w:hAnsi="Times New Roman"/>
          <w:b/>
          <w:color w:val="1E1E1E"/>
          <w:sz w:val="28"/>
        </w:rPr>
        <w:t>3.4. Automated Geometric Pattern Recognition Engine</w:t>
      </w:r>
    </w:p>
    <w:p/>
    <w:p>
      <w:pPr>
        <w:pStyle w:val="Heading3"/>
        <w:spacing w:before="160" w:after="80"/>
        <w:jc w:val="left"/>
      </w:pPr>
      <w:r>
        <w:rPr>
          <w:rFonts w:ascii="Times New Roman" w:hAnsi="Times New Roman"/>
          <w:b/>
          <w:color w:val="323232"/>
          <w:sz w:val="24"/>
        </w:rPr>
        <w:t>3.4.1. Peak and Trough Extraction via ZigZag Indicator</w:t>
      </w:r>
    </w:p>
    <w:p>
      <w:pPr>
        <w:spacing w:line="360" w:lineRule="auto" w:after="160"/>
        <w:jc w:val="both"/>
      </w:pPr>
      <w:r>
        <w:rPr>
          <w:rFonts w:ascii="Times New Roman" w:hAnsi="Times New Roman"/>
          <w:sz w:val="24"/>
        </w:rPr>
        <w:t xml:space="preserve">To supplement statistical forecasts, BorsaNeuron features an automated geometric chart pattern recognition engine located in </w:t>
      </w:r>
      <w:r>
        <w:rPr>
          <w:rFonts w:ascii="Courier New" w:hAnsi="Courier New"/>
          <w:sz w:val="21"/>
        </w:rPr>
        <w:t>src/analyzer.py</w:t>
      </w:r>
      <w:r>
        <w:rPr>
          <w:rFonts w:ascii="Times New Roman" w:hAnsi="Times New Roman"/>
          <w:sz w:val="24"/>
        </w:rPr>
        <w:t>. The scan uses raw price swing points calculated via a ZigZag indicator. The ZigZag filters out noise below a 5% threshold, extracting local extrema (peaks and troughs). Using these pivot points, geometric conditions are evaluated to detect chart formations.</w:t>
      </w:r>
    </w:p>
    <w:p/>
    <w:p>
      <w:pPr>
        <w:pStyle w:val="Heading3"/>
        <w:spacing w:before="160" w:after="80"/>
        <w:jc w:val="left"/>
      </w:pPr>
      <w:r>
        <w:rPr>
          <w:rFonts w:ascii="Times New Roman" w:hAnsi="Times New Roman"/>
          <w:b/>
          <w:color w:val="323232"/>
          <w:sz w:val="24"/>
        </w:rPr>
        <w:t>3.4.2. Head and Shoulders (OBO) &amp; Inverted Head and Shoulders (TOBO)</w:t>
      </w:r>
    </w:p>
    <w:p>
      <w:pPr>
        <w:pStyle w:val="ListBullet"/>
        <w:spacing w:after="80" w:line="276" w:lineRule="auto"/>
      </w:pPr>
      <w:r>
        <w:rPr>
          <w:rFonts w:ascii="Times New Roman" w:hAnsi="Times New Roman"/>
          <w:b/>
          <w:sz w:val="24"/>
        </w:rPr>
        <w:t>TOBO (Inverted Head &amp; Shoulders):</w:t>
      </w:r>
      <w:r>
        <w:rPr>
          <w:rFonts w:ascii="Times New Roman" w:hAnsi="Times New Roman"/>
          <w:sz w:val="24"/>
        </w:rPr>
        <w:t xml:space="preserve"> Identified by finding a sequence of three consecutive troughs ($L_1$, $L_2$, $L_3$) where the center trough (Head) is lower than the left and right troughs (Shoulders):</w:t>
      </w:r>
    </w:p>
    <w:p>
      <w:pPr>
        <w:spacing w:line="360" w:lineRule="auto" w:after="160"/>
        <w:jc w:val="both"/>
      </w:pPr>
      <w:r>
        <w:rPr>
          <w:rFonts w:ascii="Times New Roman" w:hAnsi="Times New Roman"/>
          <w:sz w:val="24"/>
        </w:rPr>
        <w:t>$$L_2 &lt; L_1 \quad \text{and} \quad L_2 &lt; L_3$$</w:t>
      </w:r>
    </w:p>
    <w:p>
      <w:pPr>
        <w:spacing w:line="360" w:lineRule="auto" w:after="160"/>
        <w:jc w:val="both"/>
      </w:pPr>
      <w:r>
        <w:rPr>
          <w:rFonts w:ascii="Times New Roman" w:hAnsi="Times New Roman"/>
          <w:sz w:val="24"/>
        </w:rPr>
        <w:t>The intermediate peaks form the neckline. The neckline slope is evaluated to confirm a breakout.</w:t>
      </w:r>
    </w:p>
    <w:p>
      <w:pPr>
        <w:pStyle w:val="ListBullet"/>
        <w:spacing w:after="80" w:line="276" w:lineRule="auto"/>
      </w:pPr>
      <w:r>
        <w:rPr>
          <w:rFonts w:ascii="Times New Roman" w:hAnsi="Times New Roman"/>
          <w:b/>
          <w:sz w:val="24"/>
        </w:rPr>
        <w:t>OBO (Head &amp; Shoulders):</w:t>
      </w:r>
      <w:r>
        <w:rPr>
          <w:rFonts w:ascii="Times New Roman" w:hAnsi="Times New Roman"/>
          <w:sz w:val="24"/>
        </w:rPr>
        <w:t xml:space="preserve"> The inverse logic is applied using three consecutive peaks ($H_1$, $H_2$, $H_3$) where the head is higher than the shoulders:</w:t>
      </w:r>
    </w:p>
    <w:p>
      <w:pPr>
        <w:spacing w:line="360" w:lineRule="auto" w:after="160"/>
        <w:jc w:val="both"/>
      </w:pPr>
      <w:r>
        <w:rPr>
          <w:rFonts w:ascii="Times New Roman" w:hAnsi="Times New Roman"/>
          <w:sz w:val="24"/>
        </w:rPr>
        <w:t>$$H_2 &gt; H_1 \quad \text{and} \quad H_2 &gt; H_3$$</w:t>
      </w:r>
    </w:p>
    <w:p>
      <w:pPr>
        <w:spacing w:line="360" w:lineRule="auto" w:after="160"/>
        <w:jc w:val="both"/>
      </w:pPr>
      <w:r>
        <w:rPr>
          <w:rFonts w:ascii="Times New Roman" w:hAnsi="Times New Roman"/>
          <w:sz w:val="24"/>
        </w:rPr>
        <w:t>A break below the neckline triggers a bearish reversal warning.</w:t>
      </w:r>
    </w:p>
    <w:p/>
    <w:p>
      <w:pPr>
        <w:pStyle w:val="Heading3"/>
        <w:spacing w:before="160" w:after="80"/>
        <w:jc w:val="left"/>
      </w:pPr>
      <w:r>
        <w:rPr>
          <w:rFonts w:ascii="Times New Roman" w:hAnsi="Times New Roman"/>
          <w:b/>
          <w:color w:val="323232"/>
          <w:sz w:val="24"/>
        </w:rPr>
        <w:t>3.4.3. Cup &amp; Handle &amp; Flag Formations</w:t>
      </w:r>
    </w:p>
    <w:p>
      <w:pPr>
        <w:pStyle w:val="ListBullet"/>
        <w:spacing w:after="80" w:line="276" w:lineRule="auto"/>
      </w:pPr>
      <w:r>
        <w:rPr>
          <w:rFonts w:ascii="Times New Roman" w:hAnsi="Times New Roman"/>
          <w:b/>
          <w:sz w:val="24"/>
        </w:rPr>
        <w:t>Cup &amp; Handle:</w:t>
      </w:r>
      <w:r>
        <w:rPr>
          <w:rFonts w:ascii="Times New Roman" w:hAnsi="Times New Roman"/>
          <w:sz w:val="24"/>
        </w:rPr>
        <w:t xml:space="preserve"> Detected by identifying a rounded U-shaped base (the cup) followed by a short, downward-slanted consolidation channel (the handle). The depth of the cup must satisfy:</w:t>
      </w:r>
    </w:p>
    <w:p>
      <w:pPr>
        <w:spacing w:line="360" w:lineRule="auto" w:after="160"/>
        <w:jc w:val="both"/>
      </w:pPr>
      <w:r>
        <w:rPr>
          <w:rFonts w:ascii="Times New Roman" w:hAnsi="Times New Roman"/>
          <w:sz w:val="24"/>
        </w:rPr>
        <w:t xml:space="preserve">$$\text{Cup Depth} = \frac{\text{Cup Lip} - \text{Cup Bottom}}{\text{Cup Lip}} \in </w:t>
      </w:r>
      <w:r>
        <w:rPr>
          <w:rFonts w:ascii="Times New Roman" w:hAnsi="Times New Roman"/>
          <w:sz w:val="24"/>
        </w:rPr>
        <w:t>0.15, 0.50]$$</w:t>
      </w:r>
    </w:p>
    <w:p>
      <w:pPr>
        <w:spacing w:line="360" w:lineRule="auto" w:after="160"/>
        <w:jc w:val="both"/>
      </w:pPr>
      <w:r>
        <w:rPr>
          <w:rFonts w:ascii="Times New Roman" w:hAnsi="Times New Roman"/>
          <w:sz w:val="24"/>
        </w:rPr>
        <w:t>The handle must not retrace more than 50% of the cup's depth.</w:t>
      </w:r>
    </w:p>
    <w:p>
      <w:pPr>
        <w:pStyle w:val="ListBullet"/>
        <w:spacing w:after="80" w:line="276" w:lineRule="auto"/>
      </w:pPr>
      <w:r>
        <w:rPr>
          <w:rFonts w:ascii="Times New Roman" w:hAnsi="Times New Roman"/>
          <w:b/>
          <w:sz w:val="24"/>
        </w:rPr>
        <w:t>Flag:</w:t>
      </w:r>
      <w:r>
        <w:rPr>
          <w:rFonts w:ascii="Times New Roman" w:hAnsi="Times New Roman"/>
          <w:sz w:val="24"/>
        </w:rPr>
        <w:t xml:space="preserve"> Identified by identifying a strong, vertical price movement (the flagpole) followed by a narrow, parallel consolidation range (the flag). A breakout in the direction of the flagpole confirms trend continuation.</w:t>
      </w:r>
    </w:p>
    <w:p/>
    <w:p>
      <w:pPr>
        <w:pStyle w:val="Heading3"/>
        <w:spacing w:before="160" w:after="80"/>
        <w:jc w:val="left"/>
      </w:pPr>
      <w:r>
        <w:rPr>
          <w:rFonts w:ascii="Times New Roman" w:hAnsi="Times New Roman"/>
          <w:b/>
          <w:color w:val="323232"/>
          <w:sz w:val="24"/>
        </w:rPr>
        <w:t>3.4.4. Double Bottom &amp; Double Top Formations</w:t>
      </w:r>
    </w:p>
    <w:p>
      <w:pPr>
        <w:pStyle w:val="ListBullet"/>
        <w:spacing w:after="80" w:line="276" w:lineRule="auto"/>
      </w:pPr>
      <w:r>
        <w:rPr>
          <w:rFonts w:ascii="Times New Roman" w:hAnsi="Times New Roman"/>
          <w:b/>
          <w:sz w:val="24"/>
        </w:rPr>
        <w:t>Double Bottom:</w:t>
      </w:r>
      <w:r>
        <w:rPr>
          <w:rFonts w:ascii="Times New Roman" w:hAnsi="Times New Roman"/>
          <w:sz w:val="24"/>
        </w:rPr>
        <w:t xml:space="preserve"> To detect a double bottom pattern, the analyzer searches for a sequence of two consecutive troughs ($L_1$, $L_2$) and an intervening peak ($H_1$). The two troughs must occur at approximately the same price level, within a 2% horizontal tolerance limit:</w:t>
      </w:r>
    </w:p>
    <w:p>
      <w:pPr>
        <w:spacing w:line="360" w:lineRule="auto" w:after="160"/>
        <w:jc w:val="both"/>
      </w:pPr>
      <w:r>
        <w:rPr>
          <w:rFonts w:ascii="Times New Roman" w:hAnsi="Times New Roman"/>
          <w:sz w:val="24"/>
        </w:rPr>
        <w:t>$$\left| \frac{L_1 - L_2}{\min(L_1, L_2)} \right| \le 0.02$$</w:t>
      </w:r>
    </w:p>
    <w:p>
      <w:pPr>
        <w:spacing w:line="360" w:lineRule="auto" w:after="160"/>
        <w:jc w:val="both"/>
      </w:pPr>
      <w:r>
        <w:rPr>
          <w:rFonts w:ascii="Times New Roman" w:hAnsi="Times New Roman"/>
          <w:sz w:val="24"/>
        </w:rPr>
        <w:t>The intervening peak ($H_1$) forms the resistance neckline. A confirmed breakout is registered when the close price exceeds the neckline:</w:t>
      </w:r>
    </w:p>
    <w:p>
      <w:pPr>
        <w:spacing w:line="360" w:lineRule="auto" w:after="160"/>
        <w:jc w:val="both"/>
      </w:pPr>
      <w:r>
        <w:rPr>
          <w:rFonts w:ascii="Times New Roman" w:hAnsi="Times New Roman"/>
          <w:sz w:val="24"/>
        </w:rPr>
        <w:t>$$\text{Close} &gt; H_1$$</w:t>
      </w:r>
    </w:p>
    <w:p>
      <w:pPr>
        <w:pStyle w:val="ListBullet"/>
        <w:spacing w:after="80" w:line="276" w:lineRule="auto"/>
      </w:pPr>
      <w:r>
        <w:rPr>
          <w:rFonts w:ascii="Times New Roman" w:hAnsi="Times New Roman"/>
          <w:b/>
          <w:sz w:val="24"/>
        </w:rPr>
        <w:t>Double Top:</w:t>
      </w:r>
      <w:r>
        <w:rPr>
          <w:rFonts w:ascii="Times New Roman" w:hAnsi="Times New Roman"/>
          <w:sz w:val="24"/>
        </w:rPr>
        <w:t xml:space="preserve"> The double top is detected by identifying two consecutive peaks ($H_1$, $H_2$) at approximately the same resistance level, separated by a trough ($L_1$):</w:t>
      </w:r>
    </w:p>
    <w:p>
      <w:pPr>
        <w:spacing w:line="360" w:lineRule="auto" w:after="160"/>
        <w:jc w:val="both"/>
      </w:pPr>
      <w:r>
        <w:rPr>
          <w:rFonts w:ascii="Times New Roman" w:hAnsi="Times New Roman"/>
          <w:sz w:val="24"/>
        </w:rPr>
        <w:t>$$\left| \frac{H_1 - H_2}{\min(H_1, H_2)} \right| \le 0.02$$</w:t>
      </w:r>
    </w:p>
    <w:p>
      <w:pPr>
        <w:spacing w:line="360" w:lineRule="auto" w:after="160"/>
        <w:jc w:val="both"/>
      </w:pPr>
      <w:r>
        <w:rPr>
          <w:rFonts w:ascii="Times New Roman" w:hAnsi="Times New Roman"/>
          <w:sz w:val="24"/>
        </w:rPr>
        <w:t>A bearish breakout is flagged when the close price falls below the support neckline:</w:t>
      </w:r>
    </w:p>
    <w:p>
      <w:pPr>
        <w:spacing w:line="360" w:lineRule="auto" w:after="160"/>
        <w:jc w:val="both"/>
      </w:pPr>
      <w:r>
        <w:rPr>
          <w:rFonts w:ascii="Times New Roman" w:hAnsi="Times New Roman"/>
          <w:sz w:val="24"/>
        </w:rPr>
        <w:t>$$\text{Close} &lt; L_1$$</w:t>
      </w:r>
    </w:p>
    <w:p/>
    <w:p>
      <w:pPr>
        <w:spacing w:line="360" w:lineRule="auto" w:after="160"/>
        <w:jc w:val="both"/>
      </w:pPr>
      <w:r>
        <w:rPr>
          <w:rFonts w:ascii="Times New Roman" w:hAnsi="Times New Roman"/>
          <w:sz w:val="24"/>
        </w:rPr>
        <w:t>---</w:t>
      </w:r>
    </w:p>
    <w:p/>
    <w:p>
      <w:r>
        <w:br w:type="page"/>
      </w:r>
    </w:p>
    <w:p>
      <w:pPr>
        <w:pStyle w:val="Heading1"/>
        <w:spacing w:before="360" w:after="160"/>
        <w:jc w:val="left"/>
      </w:pPr>
      <w:r>
        <w:rPr>
          <w:rFonts w:ascii="Times New Roman" w:hAnsi="Times New Roman"/>
          <w:b/>
          <w:color w:val="111111"/>
          <w:sz w:val="36"/>
        </w:rPr>
        <w:t>4. DEPLOYING PROJECT</w:t>
      </w:r>
    </w:p>
    <w:p/>
    <w:p>
      <w:pPr>
        <w:spacing w:line="360" w:lineRule="auto" w:after="160"/>
        <w:jc w:val="both"/>
      </w:pPr>
      <w:r>
        <w:rPr>
          <w:rFonts w:ascii="Times New Roman" w:hAnsi="Times New Roman"/>
          <w:sz w:val="24"/>
        </w:rPr>
        <w:t>Following modeling and dashboard construction, BorsaNeuron was containerized using Docker to ensure consistent execution across local developer workstations and cloud production servers.</w:t>
      </w:r>
    </w:p>
    <w:p/>
    <w:p>
      <w:pPr>
        <w:pStyle w:val="Heading2"/>
        <w:spacing w:before="240" w:after="120"/>
        <w:jc w:val="left"/>
      </w:pPr>
      <w:r>
        <w:rPr>
          <w:rFonts w:ascii="Times New Roman" w:hAnsi="Times New Roman"/>
          <w:b/>
          <w:color w:val="1E1E1E"/>
          <w:sz w:val="28"/>
        </w:rPr>
        <w:t>4.1. Docker Containerization</w:t>
      </w:r>
    </w:p>
    <w:p>
      <w:pPr>
        <w:spacing w:line="360" w:lineRule="auto" w:after="160"/>
        <w:jc w:val="both"/>
      </w:pPr>
      <w:r>
        <w:rPr>
          <w:rFonts w:ascii="Times New Roman" w:hAnsi="Times New Roman"/>
          <w:sz w:val="24"/>
        </w:rPr>
        <w:t xml:space="preserve">A standardized </w:t>
      </w:r>
      <w:r>
        <w:rPr>
          <w:rFonts w:ascii="Courier New" w:hAnsi="Courier New"/>
          <w:sz w:val="21"/>
        </w:rPr>
        <w:t>Dockerfile</w:t>
      </w:r>
      <w:r>
        <w:rPr>
          <w:rFonts w:ascii="Times New Roman" w:hAnsi="Times New Roman"/>
          <w:sz w:val="24"/>
        </w:rPr>
        <w:t xml:space="preserve"> was created:</w:t>
      </w:r>
    </w:p>
    <w:p/>
    <w:p>
      <w:pPr>
        <w:spacing w:before="0" w:after="0"/>
        <w:ind w:left="720" w:right="720"/>
        <w:shd w:fill="F4F4F5"/>
      </w:pPr>
      <w:r>
        <w:rPr>
          <w:rFonts w:ascii="Courier New" w:hAnsi="Courier New"/>
          <w:color w:val="3C3C3C"/>
          <w:sz w:val="19"/>
        </w:rPr>
        <w:t>FROM python:3.9-slim</w:t>
      </w:r>
    </w:p>
    <w:p>
      <w:pPr>
        <w:spacing w:before="0" w:after="0"/>
        <w:ind w:left="720" w:right="720"/>
        <w:shd w:fill="F4F4F5"/>
      </w:pPr>
      <w:r>
        <w:rPr>
          <w:rFonts w:ascii="Courier New" w:hAnsi="Courier New"/>
          <w:color w:val="3C3C3C"/>
          <w:sz w:val="19"/>
        </w:rPr>
        <w:t>ENV PYTHONDONTWRITEBYTECODE=1</w:t>
      </w:r>
    </w:p>
    <w:p>
      <w:pPr>
        <w:spacing w:before="0" w:after="0"/>
        <w:ind w:left="720" w:right="720"/>
        <w:shd w:fill="F4F4F5"/>
      </w:pPr>
      <w:r>
        <w:rPr>
          <w:rFonts w:ascii="Courier New" w:hAnsi="Courier New"/>
          <w:color w:val="3C3C3C"/>
          <w:sz w:val="19"/>
        </w:rPr>
        <w:t>ENV PYTHONUNBUFFERED=1</w:t>
      </w:r>
    </w:p>
    <w:p>
      <w:pPr>
        <w:spacing w:before="0" w:after="0"/>
        <w:ind w:left="720" w:right="720"/>
        <w:shd w:fill="F4F4F5"/>
      </w:pPr>
      <w:r>
        <w:rPr>
          <w:rFonts w:ascii="Courier New" w:hAnsi="Courier New"/>
          <w:color w:val="3C3C3C"/>
          <w:sz w:val="19"/>
        </w:rPr>
        <w:t>WORKDIR /app</w:t>
      </w:r>
    </w:p>
    <w:p>
      <w:pPr>
        <w:spacing w:before="0" w:after="0"/>
        <w:ind w:left="720" w:right="720"/>
        <w:shd w:fill="F4F4F5"/>
      </w:pPr>
      <w:r>
        <w:rPr>
          <w:rFonts w:ascii="Courier New" w:hAnsi="Courier New"/>
          <w:color w:val="3C3C3C"/>
          <w:sz w:val="19"/>
        </w:rPr>
        <w:t>RUN apt-get update &amp;&amp; apt-get install -y \</w:t>
      </w:r>
    </w:p>
    <w:p>
      <w:pPr>
        <w:spacing w:before="0" w:after="0"/>
        <w:ind w:left="720" w:right="720"/>
        <w:shd w:fill="F4F4F5"/>
      </w:pPr>
      <w:r>
        <w:rPr>
          <w:rFonts w:ascii="Courier New" w:hAnsi="Courier New"/>
          <w:color w:val="3C3C3C"/>
          <w:sz w:val="19"/>
        </w:rPr>
        <w:t xml:space="preserve">    build-essential \</w:t>
      </w:r>
    </w:p>
    <w:p>
      <w:pPr>
        <w:spacing w:before="0" w:after="0"/>
        <w:ind w:left="720" w:right="720"/>
        <w:shd w:fill="F4F4F5"/>
      </w:pPr>
      <w:r>
        <w:rPr>
          <w:rFonts w:ascii="Courier New" w:hAnsi="Courier New"/>
          <w:color w:val="3C3C3C"/>
          <w:sz w:val="19"/>
        </w:rPr>
        <w:t xml:space="preserve">    curl \</w:t>
      </w:r>
    </w:p>
    <w:p>
      <w:pPr>
        <w:spacing w:before="0" w:after="0"/>
        <w:ind w:left="720" w:right="720"/>
        <w:shd w:fill="F4F4F5"/>
      </w:pPr>
      <w:r>
        <w:rPr>
          <w:rFonts w:ascii="Courier New" w:hAnsi="Courier New"/>
          <w:color w:val="3C3C3C"/>
          <w:sz w:val="19"/>
        </w:rPr>
        <w:t xml:space="preserve">    software-properties-common \</w:t>
      </w:r>
    </w:p>
    <w:p>
      <w:pPr>
        <w:spacing w:before="0" w:after="0"/>
        <w:ind w:left="720" w:right="720"/>
        <w:shd w:fill="F4F4F5"/>
      </w:pPr>
      <w:r>
        <w:rPr>
          <w:rFonts w:ascii="Courier New" w:hAnsi="Courier New"/>
          <w:color w:val="3C3C3C"/>
          <w:sz w:val="19"/>
        </w:rPr>
        <w:t xml:space="preserve">    git \</w:t>
      </w:r>
    </w:p>
    <w:p>
      <w:pPr>
        <w:spacing w:before="0" w:after="0"/>
        <w:ind w:left="720" w:right="720"/>
        <w:shd w:fill="F4F4F5"/>
      </w:pPr>
      <w:r>
        <w:rPr>
          <w:rFonts w:ascii="Courier New" w:hAnsi="Courier New"/>
          <w:color w:val="3C3C3C"/>
          <w:sz w:val="19"/>
        </w:rPr>
        <w:t xml:space="preserve">    &amp;&amp; rm -rf /var/lib/apt/lists/*</w:t>
      </w:r>
    </w:p>
    <w:p>
      <w:pPr>
        <w:spacing w:before="0" w:after="0"/>
        <w:ind w:left="720" w:right="720"/>
        <w:shd w:fill="F4F4F5"/>
      </w:pPr>
      <w:r>
        <w:rPr>
          <w:rFonts w:ascii="Courier New" w:hAnsi="Courier New"/>
          <w:color w:val="3C3C3C"/>
          <w:sz w:val="19"/>
        </w:rPr>
        <w:t>COPY requirements.txt .</w:t>
      </w:r>
    </w:p>
    <w:p>
      <w:pPr>
        <w:spacing w:before="0" w:after="0"/>
        <w:ind w:left="720" w:right="720"/>
        <w:shd w:fill="F4F4F5"/>
      </w:pPr>
      <w:r>
        <w:rPr>
          <w:rFonts w:ascii="Courier New" w:hAnsi="Courier New"/>
          <w:color w:val="3C3C3C"/>
          <w:sz w:val="19"/>
        </w:rPr>
        <w:t>RUN pip install --no-cache-dir -r requirements.txt</w:t>
      </w:r>
    </w:p>
    <w:p>
      <w:pPr>
        <w:spacing w:before="0" w:after="0"/>
        <w:ind w:left="720" w:right="720"/>
        <w:shd w:fill="F4F4F5"/>
      </w:pPr>
      <w:r>
        <w:rPr>
          <w:rFonts w:ascii="Courier New" w:hAnsi="Courier New"/>
          <w:color w:val="3C3C3C"/>
          <w:sz w:val="19"/>
        </w:rPr>
        <w:t>COPY . .</w:t>
      </w:r>
    </w:p>
    <w:p>
      <w:pPr>
        <w:spacing w:before="0" w:after="0"/>
        <w:ind w:left="720" w:right="720"/>
        <w:shd w:fill="F4F4F5"/>
      </w:pPr>
      <w:r>
        <w:rPr>
          <w:rFonts w:ascii="Courier New" w:hAnsi="Courier New"/>
          <w:color w:val="3C3C3C"/>
          <w:sz w:val="19"/>
        </w:rPr>
        <w:t>EXPOSE 8501</w:t>
      </w:r>
    </w:p>
    <w:p>
      <w:pPr>
        <w:spacing w:before="0" w:after="0"/>
        <w:ind w:left="720" w:right="720"/>
        <w:shd w:fill="F4F4F5"/>
      </w:pPr>
      <w:r>
        <w:rPr>
          <w:rFonts w:ascii="Courier New" w:hAnsi="Courier New"/>
          <w:color w:val="3C3C3C"/>
          <w:sz w:val="19"/>
        </w:rPr>
        <w:t>HEALTHCHECK CMD curl --fail http://localhost:8501/_stcore/health</w:t>
      </w:r>
    </w:p>
    <w:p>
      <w:pPr>
        <w:spacing w:before="0" w:after="0"/>
        <w:ind w:left="720" w:right="720"/>
        <w:shd w:fill="F4F4F5"/>
      </w:pPr>
      <w:r>
        <w:rPr>
          <w:rFonts w:ascii="Courier New" w:hAnsi="Courier New"/>
          <w:color w:val="3C3C3C"/>
          <w:sz w:val="19"/>
        </w:rPr>
        <w:t>ENTRYPOINT ["streamlit", "run", "src/app.py", "--server.port=8501", "--server.address=0.0.0.0"]</w:t>
      </w:r>
    </w:p>
    <w:p/>
    <w:p>
      <w:pPr>
        <w:pStyle w:val="Heading2"/>
        <w:spacing w:before="240" w:after="120"/>
        <w:jc w:val="left"/>
      </w:pPr>
      <w:r>
        <w:rPr>
          <w:rFonts w:ascii="Times New Roman" w:hAnsi="Times New Roman"/>
          <w:b/>
          <w:color w:val="1E1E1E"/>
          <w:sz w:val="28"/>
        </w:rPr>
        <w:t>4.2. Production Setup and Server Run Commands</w:t>
      </w:r>
    </w:p>
    <w:p>
      <w:pPr>
        <w:spacing w:line="360" w:lineRule="auto" w:after="160"/>
        <w:jc w:val="both"/>
      </w:pPr>
      <w:r>
        <w:rPr>
          <w:rFonts w:ascii="Times New Roman" w:hAnsi="Times New Roman"/>
          <w:sz w:val="24"/>
        </w:rPr>
        <w:t>To build the image and spin up the production container, the following commands are executed:</w:t>
      </w:r>
    </w:p>
    <w:p/>
    <w:p>
      <w:pPr>
        <w:spacing w:before="0" w:after="0"/>
        <w:ind w:left="720" w:right="720"/>
        <w:shd w:fill="F4F4F5"/>
      </w:pPr>
      <w:r>
        <w:rPr>
          <w:rFonts w:ascii="Courier New" w:hAnsi="Courier New"/>
          <w:color w:val="3C3C3C"/>
          <w:sz w:val="19"/>
        </w:rPr>
        <w:t># Build the Docker image</w:t>
      </w:r>
    </w:p>
    <w:p>
      <w:pPr>
        <w:spacing w:before="0" w:after="0"/>
        <w:ind w:left="720" w:right="720"/>
        <w:shd w:fill="F4F4F5"/>
      </w:pPr>
      <w:r>
        <w:rPr>
          <w:rFonts w:ascii="Courier New" w:hAnsi="Courier New"/>
          <w:color w:val="3C3C3C"/>
          <w:sz w:val="19"/>
        </w:rPr>
        <w:t>docker build -t borsaneuron-app:latest .</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 Run the container in detached mode with port redirection</w:t>
      </w:r>
    </w:p>
    <w:p>
      <w:pPr>
        <w:spacing w:before="0" w:after="0"/>
        <w:ind w:left="720" w:right="720"/>
        <w:shd w:fill="F4F4F5"/>
      </w:pPr>
      <w:r>
        <w:rPr>
          <w:rFonts w:ascii="Courier New" w:hAnsi="Courier New"/>
          <w:color w:val="3C3C3C"/>
          <w:sz w:val="19"/>
        </w:rPr>
        <w:t>docker run -d -p 80:8501 --name borsaneuron-prod borsaneuron-app:latest</w:t>
      </w:r>
    </w:p>
    <w:p/>
    <w:p>
      <w:pPr>
        <w:spacing w:line="360" w:lineRule="auto" w:after="160"/>
        <w:jc w:val="both"/>
      </w:pPr>
      <w:r>
        <w:rPr>
          <w:rFonts w:ascii="Times New Roman" w:hAnsi="Times New Roman"/>
          <w:sz w:val="24"/>
        </w:rPr>
        <w:t>This maps port 8501 of the Streamlit application container directly to port 80 of the host machine, making BorsaNeuron accessible via standard HTTP.</w:t>
      </w:r>
    </w:p>
    <w:p/>
    <w:p>
      <w:pPr>
        <w:spacing w:line="360" w:lineRule="auto" w:after="160"/>
        <w:jc w:val="both"/>
      </w:pPr>
      <w:r>
        <w:rPr>
          <w:rFonts w:ascii="Times New Roman" w:hAnsi="Times New Roman"/>
          <w:sz w:val="24"/>
        </w:rPr>
        <w:t>---</w:t>
      </w:r>
    </w:p>
    <w:p/>
    <w:p>
      <w:r>
        <w:br w:type="page"/>
      </w:r>
    </w:p>
    <w:p>
      <w:pPr>
        <w:pStyle w:val="Heading1"/>
        <w:spacing w:before="360" w:after="160"/>
        <w:jc w:val="left"/>
      </w:pPr>
      <w:r>
        <w:rPr>
          <w:rFonts w:ascii="Times New Roman" w:hAnsi="Times New Roman"/>
          <w:b/>
          <w:color w:val="111111"/>
          <w:sz w:val="36"/>
        </w:rPr>
        <w:t>5. FILE HIERARCHY</w:t>
      </w:r>
    </w:p>
    <w:p/>
    <w:p>
      <w:pPr>
        <w:spacing w:line="360" w:lineRule="auto" w:after="160"/>
        <w:jc w:val="both"/>
      </w:pPr>
      <w:r>
        <w:rPr>
          <w:rFonts w:ascii="Times New Roman" w:hAnsi="Times New Roman"/>
          <w:sz w:val="24"/>
        </w:rPr>
        <w:t>The complete directory tree of the BorsaNeuron graduation project is structured as follows, separating offline modeling from the online Streamlit interface:</w:t>
      </w:r>
    </w:p>
    <w:p/>
    <w:p>
      <w:pPr>
        <w:spacing w:before="0" w:after="0"/>
        <w:ind w:left="720" w:right="720"/>
        <w:shd w:fill="F4F4F5"/>
      </w:pPr>
      <w:r>
        <w:rPr>
          <w:rFonts w:ascii="Courier New" w:hAnsi="Courier New"/>
          <w:color w:val="3C3C3C"/>
          <w:sz w:val="19"/>
        </w:rPr>
        <w:t>C:/Users/ibrah/.gemini/antigravity/scratch/ipo_analyzer/</w:t>
      </w:r>
    </w:p>
    <w:p>
      <w:pPr>
        <w:spacing w:before="0" w:after="0"/>
        <w:ind w:left="720" w:right="720"/>
        <w:shd w:fill="F4F4F5"/>
      </w:pPr>
      <w:r>
        <w:rPr>
          <w:rFonts w:ascii="Courier New" w:hAnsi="Courier New"/>
          <w:color w:val="3C3C3C"/>
          <w:sz w:val="19"/>
        </w:rPr>
        <w:t>├── .streamlit/</w:t>
      </w:r>
    </w:p>
    <w:p>
      <w:pPr>
        <w:spacing w:before="0" w:after="0"/>
        <w:ind w:left="720" w:right="720"/>
        <w:shd w:fill="F4F4F5"/>
      </w:pPr>
      <w:r>
        <w:rPr>
          <w:rFonts w:ascii="Courier New" w:hAnsi="Courier New"/>
          <w:color w:val="3C3C3C"/>
          <w:sz w:val="19"/>
        </w:rPr>
        <w:t>│   └── config.toml                  # UI configuration settings</w:t>
      </w:r>
    </w:p>
    <w:p>
      <w:pPr>
        <w:spacing w:before="0" w:after="0"/>
        <w:ind w:left="720" w:right="720"/>
        <w:shd w:fill="F4F4F5"/>
      </w:pPr>
      <w:r>
        <w:rPr>
          <w:rFonts w:ascii="Courier New" w:hAnsi="Courier New"/>
          <w:color w:val="3C3C3C"/>
          <w:sz w:val="19"/>
        </w:rPr>
        <w:t>├── bist_ai_dataset_real_30cols.csv.xz# Compressed xz dataset (50.1MB)</w:t>
      </w:r>
    </w:p>
    <w:p>
      <w:pPr>
        <w:spacing w:before="0" w:after="0"/>
        <w:ind w:left="720" w:right="720"/>
        <w:shd w:fill="F4F4F5"/>
      </w:pPr>
      <w:r>
        <w:rPr>
          <w:rFonts w:ascii="Courier New" w:hAnsi="Courier New"/>
          <w:color w:val="3C3C3C"/>
          <w:sz w:val="19"/>
        </w:rPr>
        <w:t>├── best_scaler_acm465.joblib         # Serialized StandardScaler weights</w:t>
      </w:r>
    </w:p>
    <w:p>
      <w:pPr>
        <w:spacing w:before="0" w:after="0"/>
        <w:ind w:left="720" w:right="720"/>
        <w:shd w:fill="F4F4F5"/>
      </w:pPr>
      <w:r>
        <w:rPr>
          <w:rFonts w:ascii="Courier New" w:hAnsi="Courier New"/>
          <w:color w:val="3C3C3C"/>
          <w:sz w:val="19"/>
        </w:rPr>
        <w:t>├── best_model_acm465.joblib          # Serialized MLP Neural Network weights</w:t>
      </w:r>
    </w:p>
    <w:p>
      <w:pPr>
        <w:spacing w:before="0" w:after="0"/>
        <w:ind w:left="720" w:right="720"/>
        <w:shd w:fill="F4F4F5"/>
      </w:pPr>
      <w:r>
        <w:rPr>
          <w:rFonts w:ascii="Courier New" w:hAnsi="Courier New"/>
          <w:color w:val="3C3C3C"/>
          <w:sz w:val="19"/>
        </w:rPr>
        <w:t>├── acm465_proje.py                   # Offline Data Mining and Modeling Pipeline</w:t>
      </w:r>
    </w:p>
    <w:p>
      <w:pPr>
        <w:spacing w:before="0" w:after="0"/>
        <w:ind w:left="720" w:right="720"/>
        <w:shd w:fill="F4F4F5"/>
      </w:pPr>
      <w:r>
        <w:rPr>
          <w:rFonts w:ascii="Courier New" w:hAnsi="Courier New"/>
          <w:color w:val="3C3C3C"/>
          <w:sz w:val="19"/>
        </w:rPr>
        <w:t>├── requirements.txt                  # Python package dependency list</w:t>
      </w:r>
    </w:p>
    <w:p>
      <w:pPr>
        <w:spacing w:before="0" w:after="0"/>
        <w:ind w:left="720" w:right="720"/>
        <w:shd w:fill="F4F4F5"/>
      </w:pPr>
      <w:r>
        <w:rPr>
          <w:rFonts w:ascii="Courier New" w:hAnsi="Courier New"/>
          <w:color w:val="3C3C3C"/>
          <w:sz w:val="19"/>
        </w:rPr>
        <w:t>├── start.bat                         # Startup shortcut batch script</w:t>
      </w:r>
    </w:p>
    <w:p>
      <w:pPr>
        <w:spacing w:before="0" w:after="0"/>
        <w:ind w:left="720" w:right="720"/>
        <w:shd w:fill="F4F4F5"/>
      </w:pPr>
      <w:r>
        <w:rPr>
          <w:rFonts w:ascii="Courier New" w:hAnsi="Courier New"/>
          <w:color w:val="3C3C3C"/>
          <w:sz w:val="19"/>
        </w:rPr>
        <w:t>├── Dockerfile                        # Docker container manifest</w:t>
      </w:r>
    </w:p>
    <w:p>
      <w:pPr>
        <w:spacing w:before="0" w:after="0"/>
        <w:ind w:left="720" w:right="720"/>
        <w:shd w:fill="F4F4F5"/>
      </w:pPr>
      <w:r>
        <w:rPr>
          <w:rFonts w:ascii="Courier New" w:hAnsi="Courier New"/>
          <w:color w:val="3C3C3C"/>
          <w:sz w:val="19"/>
        </w:rPr>
        <w:t>├── src/</w:t>
      </w:r>
    </w:p>
    <w:p>
      <w:pPr>
        <w:spacing w:before="0" w:after="0"/>
        <w:ind w:left="720" w:right="720"/>
        <w:shd w:fill="F4F4F5"/>
      </w:pPr>
      <w:r>
        <w:rPr>
          <w:rFonts w:ascii="Courier New" w:hAnsi="Courier New"/>
          <w:color w:val="3C3C3C"/>
          <w:sz w:val="19"/>
        </w:rPr>
        <w:t>│   ├── __init__.py</w:t>
      </w:r>
    </w:p>
    <w:p>
      <w:pPr>
        <w:spacing w:before="0" w:after="0"/>
        <w:ind w:left="720" w:right="720"/>
        <w:shd w:fill="F4F4F5"/>
      </w:pPr>
      <w:r>
        <w:rPr>
          <w:rFonts w:ascii="Courier New" w:hAnsi="Courier New"/>
          <w:color w:val="3C3C3C"/>
          <w:sz w:val="19"/>
        </w:rPr>
        <w:t>│   ├── app.py                        # Streamlit Web Application entrypoint</w:t>
      </w:r>
    </w:p>
    <w:p>
      <w:pPr>
        <w:spacing w:before="0" w:after="0"/>
        <w:ind w:left="720" w:right="720"/>
        <w:shd w:fill="F4F4F5"/>
      </w:pPr>
      <w:r>
        <w:rPr>
          <w:rFonts w:ascii="Courier New" w:hAnsi="Courier New"/>
          <w:color w:val="3C3C3C"/>
          <w:sz w:val="19"/>
        </w:rPr>
        <w:t>│   ├── theme.py                      # UI Color schemas and styling utilities</w:t>
      </w:r>
    </w:p>
    <w:p>
      <w:pPr>
        <w:spacing w:before="0" w:after="0"/>
        <w:ind w:left="720" w:right="720"/>
        <w:shd w:fill="F4F4F5"/>
      </w:pPr>
      <w:r>
        <w:rPr>
          <w:rFonts w:ascii="Courier New" w:hAnsi="Courier New"/>
          <w:color w:val="3C3C3C"/>
          <w:sz w:val="19"/>
        </w:rPr>
        <w:t>│   ├── data_manager.py               # Data loaders and yfinance API client</w:t>
      </w:r>
    </w:p>
    <w:p>
      <w:pPr>
        <w:spacing w:before="0" w:after="0"/>
        <w:ind w:left="720" w:right="720"/>
        <w:shd w:fill="F4F4F5"/>
      </w:pPr>
      <w:r>
        <w:rPr>
          <w:rFonts w:ascii="Courier New" w:hAnsi="Courier New"/>
          <w:color w:val="3C3C3C"/>
          <w:sz w:val="19"/>
        </w:rPr>
        <w:t>│   ├── earnings_data.py              # Macro-corporate data structures</w:t>
      </w:r>
    </w:p>
    <w:p>
      <w:pPr>
        <w:spacing w:before="0" w:after="0"/>
        <w:ind w:left="720" w:right="720"/>
        <w:shd w:fill="F4F4F5"/>
      </w:pPr>
      <w:r>
        <w:rPr>
          <w:rFonts w:ascii="Courier New" w:hAnsi="Courier New"/>
          <w:color w:val="3C3C3C"/>
          <w:sz w:val="19"/>
        </w:rPr>
        <w:t>│   ├── macro_data.py                 # Macroeconomic data parsers</w:t>
      </w:r>
    </w:p>
    <w:p>
      <w:pPr>
        <w:spacing w:before="0" w:after="0"/>
        <w:ind w:left="720" w:right="720"/>
        <w:shd w:fill="F4F4F5"/>
      </w:pPr>
      <w:r>
        <w:rPr>
          <w:rFonts w:ascii="Courier New" w:hAnsi="Courier New"/>
          <w:color w:val="3C3C3C"/>
          <w:sz w:val="19"/>
        </w:rPr>
        <w:t>│   └── verify_tobo_strict.py         # TOBO and Cup-Handle pattern scanners</w:t>
      </w:r>
    </w:p>
    <w:p>
      <w:pPr>
        <w:spacing w:before="0" w:after="0"/>
        <w:ind w:left="720" w:right="720"/>
        <w:shd w:fill="F4F4F5"/>
      </w:pPr>
      <w:r>
        <w:rPr>
          <w:rFonts w:ascii="Courier New" w:hAnsi="Courier New"/>
          <w:color w:val="3C3C3C"/>
          <w:sz w:val="19"/>
        </w:rPr>
        <w:t>└── tests/</w:t>
      </w:r>
    </w:p>
    <w:p>
      <w:pPr>
        <w:spacing w:before="0" w:after="0"/>
        <w:ind w:left="720" w:right="720"/>
        <w:shd w:fill="F4F4F5"/>
      </w:pPr>
      <w:r>
        <w:rPr>
          <w:rFonts w:ascii="Courier New" w:hAnsi="Courier New"/>
          <w:color w:val="3C3C3C"/>
          <w:sz w:val="19"/>
        </w:rPr>
        <w:t xml:space="preserve">    └── test_features.py              # Unit tests for technical indicator vectors</w:t>
      </w:r>
    </w:p>
    <w:p/>
    <w:p>
      <w:pPr>
        <w:spacing w:line="360" w:lineRule="auto" w:after="160"/>
        <w:jc w:val="both"/>
      </w:pPr>
      <w:r>
        <w:rPr>
          <w:rFonts w:ascii="Times New Roman" w:hAnsi="Times New Roman"/>
          <w:sz w:val="24"/>
        </w:rPr>
        <w:t>---</w:t>
      </w:r>
    </w:p>
    <w:p/>
    <w:p>
      <w:r>
        <w:br w:type="page"/>
      </w:r>
    </w:p>
    <w:p>
      <w:pPr>
        <w:pStyle w:val="Heading1"/>
        <w:spacing w:before="360" w:after="160"/>
        <w:jc w:val="left"/>
      </w:pPr>
      <w:r>
        <w:rPr>
          <w:rFonts w:ascii="Times New Roman" w:hAnsi="Times New Roman"/>
          <w:b/>
          <w:color w:val="111111"/>
          <w:sz w:val="36"/>
        </w:rPr>
        <w:t>TECH STACK</w:t>
      </w:r>
    </w:p>
    <w:p/>
    <w:tbl>
      <w:tblPr>
        <w:tblW w:type="auto" w:w="0"/>
        <w:tblLayout w:type="autofit"/>
        <w:tblLook w:firstColumn="1" w:firstRow="1" w:lastColumn="0" w:lastRow="0" w:noHBand="0" w:noVBand="1" w:val="04A0"/>
      </w:tblPr>
      <w:tblGrid>
        <w:gridCol w:w="3120"/>
        <w:gridCol w:w="3120"/>
        <w:gridCol w:w="3120"/>
      </w:tblGrid>
      <w:tr>
        <w:tc>
          <w:tcPr>
            <w:tcW w:type="dxa" w:w="3120"/>
            <w:shd w:fill="F2F2F2"/>
            <w:tcMar>
              <w:top w:w="120" w:type="dxa"/>
              <w:bottom w:w="120" w:type="dxa"/>
              <w:left w:w="150" w:type="dxa"/>
              <w:right w:w="150" w:type="dxa"/>
            </w:tcMar>
          </w:tcPr>
          <w:p>
            <w:pPr>
              <w:jc w:val="left"/>
            </w:pPr>
            <w:r/>
            <w:r>
              <w:rPr>
                <w:rFonts w:ascii="Times New Roman" w:hAnsi="Times New Roman"/>
                <w:b/>
                <w:sz w:val="21"/>
              </w:rPr>
              <w:t>Stack Layer</w:t>
            </w:r>
          </w:p>
        </w:tc>
        <w:tc>
          <w:tcPr>
            <w:tcW w:type="dxa" w:w="3120"/>
            <w:shd w:fill="F2F2F2"/>
            <w:tcMar>
              <w:top w:w="120" w:type="dxa"/>
              <w:bottom w:w="120" w:type="dxa"/>
              <w:left w:w="150" w:type="dxa"/>
              <w:right w:w="150" w:type="dxa"/>
            </w:tcMar>
          </w:tcPr>
          <w:p>
            <w:pPr>
              <w:jc w:val="left"/>
            </w:pPr>
            <w:r/>
            <w:r>
              <w:rPr>
                <w:rFonts w:ascii="Times New Roman" w:hAnsi="Times New Roman"/>
                <w:b/>
                <w:sz w:val="21"/>
              </w:rPr>
              <w:t>Technologies Used</w:t>
            </w:r>
          </w:p>
        </w:tc>
        <w:tc>
          <w:tcPr>
            <w:tcW w:type="dxa" w:w="3120"/>
            <w:shd w:fill="F2F2F2"/>
            <w:tcMar>
              <w:top w:w="120" w:type="dxa"/>
              <w:bottom w:w="120" w:type="dxa"/>
              <w:left w:w="150" w:type="dxa"/>
              <w:right w:w="150" w:type="dxa"/>
            </w:tcMar>
          </w:tcPr>
          <w:p>
            <w:pPr>
              <w:jc w:val="left"/>
            </w:pPr>
            <w:r/>
            <w:r>
              <w:rPr>
                <w:rFonts w:ascii="Times New Roman" w:hAnsi="Times New Roman"/>
                <w:b/>
                <w:sz w:val="21"/>
              </w:rPr>
              <w:t>Purpose</w:t>
            </w:r>
          </w:p>
        </w:tc>
      </w:tr>
      <w:tr>
        <w:tc>
          <w:tcPr>
            <w:tcW w:type="dxa" w:w="3120"/>
            <w:tcMar>
              <w:top w:w="120" w:type="dxa"/>
              <w:bottom w:w="120" w:type="dxa"/>
              <w:left w:w="150" w:type="dxa"/>
              <w:right w:w="150" w:type="dxa"/>
            </w:tcMar>
          </w:tcPr>
          <w:p>
            <w:pPr>
              <w:jc w:val="left"/>
            </w:pPr>
            <w:r/>
            <w:r>
              <w:rPr>
                <w:rFonts w:ascii="Times New Roman" w:hAnsi="Times New Roman"/>
                <w:sz w:val="21"/>
              </w:rPr>
              <w:t>**Core Programming**</w:t>
            </w:r>
          </w:p>
        </w:tc>
        <w:tc>
          <w:tcPr>
            <w:tcW w:type="dxa" w:w="3120"/>
            <w:tcMar>
              <w:top w:w="120" w:type="dxa"/>
              <w:bottom w:w="120" w:type="dxa"/>
              <w:left w:w="150" w:type="dxa"/>
              <w:right w:w="150" w:type="dxa"/>
            </w:tcMar>
          </w:tcPr>
          <w:p>
            <w:pPr>
              <w:jc w:val="left"/>
            </w:pPr>
            <w:r/>
            <w:r>
              <w:rPr>
                <w:rFonts w:ascii="Times New Roman" w:hAnsi="Times New Roman"/>
                <w:sz w:val="21"/>
              </w:rPr>
              <w:t>Python v3.9+</w:t>
            </w:r>
          </w:p>
        </w:tc>
        <w:tc>
          <w:tcPr>
            <w:tcW w:type="dxa" w:w="3120"/>
            <w:tcMar>
              <w:top w:w="120" w:type="dxa"/>
              <w:bottom w:w="120" w:type="dxa"/>
              <w:left w:w="150" w:type="dxa"/>
              <w:right w:w="150" w:type="dxa"/>
            </w:tcMar>
          </w:tcPr>
          <w:p>
            <w:pPr>
              <w:jc w:val="left"/>
            </w:pPr>
            <w:r/>
            <w:r>
              <w:rPr>
                <w:rFonts w:ascii="Times New Roman" w:hAnsi="Times New Roman"/>
                <w:sz w:val="21"/>
              </w:rPr>
              <w:t>Main scientific computation language</w:t>
            </w:r>
          </w:p>
        </w:tc>
      </w:tr>
      <w:tr>
        <w:tc>
          <w:tcPr>
            <w:tcW w:type="dxa" w:w="3120"/>
            <w:tcMar>
              <w:top w:w="120" w:type="dxa"/>
              <w:bottom w:w="120" w:type="dxa"/>
              <w:left w:w="150" w:type="dxa"/>
              <w:right w:w="150" w:type="dxa"/>
            </w:tcMar>
          </w:tcPr>
          <w:p>
            <w:pPr>
              <w:jc w:val="left"/>
            </w:pPr>
            <w:r/>
            <w:r>
              <w:rPr>
                <w:rFonts w:ascii="Times New Roman" w:hAnsi="Times New Roman"/>
                <w:sz w:val="21"/>
              </w:rPr>
              <w:t>**Data Engineering**</w:t>
            </w:r>
          </w:p>
        </w:tc>
        <w:tc>
          <w:tcPr>
            <w:tcW w:type="dxa" w:w="3120"/>
            <w:tcMar>
              <w:top w:w="120" w:type="dxa"/>
              <w:bottom w:w="120" w:type="dxa"/>
              <w:left w:w="150" w:type="dxa"/>
              <w:right w:w="150" w:type="dxa"/>
            </w:tcMar>
          </w:tcPr>
          <w:p>
            <w:pPr>
              <w:jc w:val="left"/>
            </w:pPr>
            <w:r/>
            <w:r>
              <w:rPr>
                <w:rFonts w:ascii="Times New Roman" w:hAnsi="Times New Roman"/>
                <w:sz w:val="21"/>
              </w:rPr>
              <w:t>Pandas, NumPy</w:t>
            </w:r>
          </w:p>
        </w:tc>
        <w:tc>
          <w:tcPr>
            <w:tcW w:type="dxa" w:w="3120"/>
            <w:tcMar>
              <w:top w:w="120" w:type="dxa"/>
              <w:bottom w:w="120" w:type="dxa"/>
              <w:left w:w="150" w:type="dxa"/>
              <w:right w:w="150" w:type="dxa"/>
            </w:tcMar>
          </w:tcPr>
          <w:p>
            <w:pPr>
              <w:jc w:val="left"/>
            </w:pPr>
            <w:r/>
            <w:r>
              <w:rPr>
                <w:rFonts w:ascii="Times New Roman" w:hAnsi="Times New Roman"/>
                <w:sz w:val="21"/>
              </w:rPr>
              <w:t>Data parsing, array operations, features calculation</w:t>
            </w:r>
          </w:p>
        </w:tc>
      </w:tr>
      <w:tr>
        <w:tc>
          <w:tcPr>
            <w:tcW w:type="dxa" w:w="3120"/>
            <w:tcMar>
              <w:top w:w="120" w:type="dxa"/>
              <w:bottom w:w="120" w:type="dxa"/>
              <w:left w:w="150" w:type="dxa"/>
              <w:right w:w="150" w:type="dxa"/>
            </w:tcMar>
          </w:tcPr>
          <w:p>
            <w:pPr>
              <w:jc w:val="left"/>
            </w:pPr>
            <w:r/>
            <w:r>
              <w:rPr>
                <w:rFonts w:ascii="Times New Roman" w:hAnsi="Times New Roman"/>
                <w:sz w:val="21"/>
              </w:rPr>
              <w:t>**Data Fetching**</w:t>
            </w:r>
          </w:p>
        </w:tc>
        <w:tc>
          <w:tcPr>
            <w:tcW w:type="dxa" w:w="3120"/>
            <w:tcMar>
              <w:top w:w="120" w:type="dxa"/>
              <w:bottom w:w="120" w:type="dxa"/>
              <w:left w:w="150" w:type="dxa"/>
              <w:right w:w="150" w:type="dxa"/>
            </w:tcMar>
          </w:tcPr>
          <w:p>
            <w:pPr>
              <w:jc w:val="left"/>
            </w:pPr>
            <w:r/>
            <w:r>
              <w:rPr>
                <w:rFonts w:ascii="Times New Roman" w:hAnsi="Times New Roman"/>
                <w:sz w:val="21"/>
              </w:rPr>
              <w:t>yFinance API</w:t>
            </w:r>
          </w:p>
        </w:tc>
        <w:tc>
          <w:tcPr>
            <w:tcW w:type="dxa" w:w="3120"/>
            <w:tcMar>
              <w:top w:w="120" w:type="dxa"/>
              <w:bottom w:w="120" w:type="dxa"/>
              <w:left w:w="150" w:type="dxa"/>
              <w:right w:w="150" w:type="dxa"/>
            </w:tcMar>
          </w:tcPr>
          <w:p>
            <w:pPr>
              <w:jc w:val="left"/>
            </w:pPr>
            <w:r/>
            <w:r>
              <w:rPr>
                <w:rFonts w:ascii="Times New Roman" w:hAnsi="Times New Roman"/>
                <w:sz w:val="21"/>
              </w:rPr>
              <w:t>Dynamic streaming of daily candle data</w:t>
            </w:r>
          </w:p>
        </w:tc>
      </w:tr>
      <w:tr>
        <w:tc>
          <w:tcPr>
            <w:tcW w:type="dxa" w:w="3120"/>
            <w:tcMar>
              <w:top w:w="120" w:type="dxa"/>
              <w:bottom w:w="120" w:type="dxa"/>
              <w:left w:w="150" w:type="dxa"/>
              <w:right w:w="150" w:type="dxa"/>
            </w:tcMar>
          </w:tcPr>
          <w:p>
            <w:pPr>
              <w:jc w:val="left"/>
            </w:pPr>
            <w:r/>
            <w:r>
              <w:rPr>
                <w:rFonts w:ascii="Times New Roman" w:hAnsi="Times New Roman"/>
                <w:sz w:val="21"/>
              </w:rPr>
              <w:t>**Data Mining &amp; Clustering**</w:t>
            </w:r>
          </w:p>
        </w:tc>
        <w:tc>
          <w:tcPr>
            <w:tcW w:type="dxa" w:w="3120"/>
            <w:tcMar>
              <w:top w:w="120" w:type="dxa"/>
              <w:bottom w:w="120" w:type="dxa"/>
              <w:left w:w="150" w:type="dxa"/>
              <w:right w:w="150" w:type="dxa"/>
            </w:tcMar>
          </w:tcPr>
          <w:p>
            <w:pPr>
              <w:jc w:val="left"/>
            </w:pPr>
            <w:r/>
            <w:r>
              <w:rPr>
                <w:rFonts w:ascii="Times New Roman" w:hAnsi="Times New Roman"/>
                <w:sz w:val="21"/>
              </w:rPr>
              <w:t>Scikit-learn (K-Means, PCA)</w:t>
            </w:r>
          </w:p>
        </w:tc>
        <w:tc>
          <w:tcPr>
            <w:tcW w:type="dxa" w:w="3120"/>
            <w:tcMar>
              <w:top w:w="120" w:type="dxa"/>
              <w:bottom w:w="120" w:type="dxa"/>
              <w:left w:w="150" w:type="dxa"/>
              <w:right w:w="150" w:type="dxa"/>
            </w:tcMar>
          </w:tcPr>
          <w:p>
            <w:pPr>
              <w:jc w:val="left"/>
            </w:pPr>
            <w:r/>
            <w:r>
              <w:rPr>
                <w:rFonts w:ascii="Times New Roman" w:hAnsi="Times New Roman"/>
                <w:sz w:val="21"/>
              </w:rPr>
              <w:t>Market regime classification and dimensionality reduction</w:t>
            </w:r>
          </w:p>
        </w:tc>
      </w:tr>
      <w:tr>
        <w:tc>
          <w:tcPr>
            <w:tcW w:type="dxa" w:w="3120"/>
            <w:tcMar>
              <w:top w:w="120" w:type="dxa"/>
              <w:bottom w:w="120" w:type="dxa"/>
              <w:left w:w="150" w:type="dxa"/>
              <w:right w:w="150" w:type="dxa"/>
            </w:tcMar>
          </w:tcPr>
          <w:p>
            <w:pPr>
              <w:jc w:val="left"/>
            </w:pPr>
            <w:r/>
            <w:r>
              <w:rPr>
                <w:rFonts w:ascii="Times New Roman" w:hAnsi="Times New Roman"/>
                <w:sz w:val="21"/>
              </w:rPr>
              <w:t>**Predictive Modeling**</w:t>
            </w:r>
          </w:p>
        </w:tc>
        <w:tc>
          <w:tcPr>
            <w:tcW w:type="dxa" w:w="3120"/>
            <w:tcMar>
              <w:top w:w="120" w:type="dxa"/>
              <w:bottom w:w="120" w:type="dxa"/>
              <w:left w:w="150" w:type="dxa"/>
              <w:right w:w="150" w:type="dxa"/>
            </w:tcMar>
          </w:tcPr>
          <w:p>
            <w:pPr>
              <w:jc w:val="left"/>
            </w:pPr>
            <w:r/>
            <w:r>
              <w:rPr>
                <w:rFonts w:ascii="Times New Roman" w:hAnsi="Times New Roman"/>
                <w:sz w:val="21"/>
              </w:rPr>
              <w:t>MLPClassifier (ANN), RandomForest, K-NN</w:t>
            </w:r>
          </w:p>
        </w:tc>
        <w:tc>
          <w:tcPr>
            <w:tcW w:type="dxa" w:w="3120"/>
            <w:tcMar>
              <w:top w:w="120" w:type="dxa"/>
              <w:bottom w:w="120" w:type="dxa"/>
              <w:left w:w="150" w:type="dxa"/>
              <w:right w:w="150" w:type="dxa"/>
            </w:tcMar>
          </w:tcPr>
          <w:p>
            <w:pPr>
              <w:jc w:val="left"/>
            </w:pPr>
            <w:r/>
            <w:r>
              <w:rPr>
                <w:rFonts w:ascii="Times New Roman" w:hAnsi="Times New Roman"/>
                <w:sz w:val="21"/>
              </w:rPr>
              <w:t>Future price direction classification</w:t>
            </w:r>
          </w:p>
        </w:tc>
      </w:tr>
      <w:tr>
        <w:tc>
          <w:tcPr>
            <w:tcW w:type="dxa" w:w="3120"/>
            <w:tcMar>
              <w:top w:w="120" w:type="dxa"/>
              <w:bottom w:w="120" w:type="dxa"/>
              <w:left w:w="150" w:type="dxa"/>
              <w:right w:w="150" w:type="dxa"/>
            </w:tcMar>
          </w:tcPr>
          <w:p>
            <w:pPr>
              <w:jc w:val="left"/>
            </w:pPr>
            <w:r/>
            <w:r>
              <w:rPr>
                <w:rFonts w:ascii="Times New Roman" w:hAnsi="Times New Roman"/>
                <w:sz w:val="21"/>
              </w:rPr>
              <w:t>**Serialization**</w:t>
            </w:r>
          </w:p>
        </w:tc>
        <w:tc>
          <w:tcPr>
            <w:tcW w:type="dxa" w:w="3120"/>
            <w:tcMar>
              <w:top w:w="120" w:type="dxa"/>
              <w:bottom w:w="120" w:type="dxa"/>
              <w:left w:w="150" w:type="dxa"/>
              <w:right w:w="150" w:type="dxa"/>
            </w:tcMar>
          </w:tcPr>
          <w:p>
            <w:pPr>
              <w:jc w:val="left"/>
            </w:pPr>
            <w:r/>
            <w:r>
              <w:rPr>
                <w:rFonts w:ascii="Times New Roman" w:hAnsi="Times New Roman"/>
                <w:sz w:val="21"/>
              </w:rPr>
              <w:t>Joblib</w:t>
            </w:r>
          </w:p>
        </w:tc>
        <w:tc>
          <w:tcPr>
            <w:tcW w:type="dxa" w:w="3120"/>
            <w:tcMar>
              <w:top w:w="120" w:type="dxa"/>
              <w:bottom w:w="120" w:type="dxa"/>
              <w:left w:w="150" w:type="dxa"/>
              <w:right w:w="150" w:type="dxa"/>
            </w:tcMar>
          </w:tcPr>
          <w:p>
            <w:pPr>
              <w:jc w:val="left"/>
            </w:pPr>
            <w:r/>
            <w:r>
              <w:rPr>
                <w:rFonts w:ascii="Times New Roman" w:hAnsi="Times New Roman"/>
                <w:sz w:val="21"/>
              </w:rPr>
              <w:t>Serializing trained weights and preprocessing scales</w:t>
            </w:r>
          </w:p>
        </w:tc>
      </w:tr>
      <w:tr>
        <w:tc>
          <w:tcPr>
            <w:tcW w:type="dxa" w:w="3120"/>
            <w:tcMar>
              <w:top w:w="120" w:type="dxa"/>
              <w:bottom w:w="120" w:type="dxa"/>
              <w:left w:w="150" w:type="dxa"/>
              <w:right w:w="150" w:type="dxa"/>
            </w:tcMar>
          </w:tcPr>
          <w:p>
            <w:pPr>
              <w:jc w:val="left"/>
            </w:pPr>
            <w:r/>
            <w:r>
              <w:rPr>
                <w:rFonts w:ascii="Times New Roman" w:hAnsi="Times New Roman"/>
                <w:sz w:val="21"/>
              </w:rPr>
              <w:t>**Interactive UI**</w:t>
            </w:r>
          </w:p>
        </w:tc>
        <w:tc>
          <w:tcPr>
            <w:tcW w:type="dxa" w:w="3120"/>
            <w:tcMar>
              <w:top w:w="120" w:type="dxa"/>
              <w:bottom w:w="120" w:type="dxa"/>
              <w:left w:w="150" w:type="dxa"/>
              <w:right w:w="150" w:type="dxa"/>
            </w:tcMar>
          </w:tcPr>
          <w:p>
            <w:pPr>
              <w:jc w:val="left"/>
            </w:pPr>
            <w:r/>
            <w:r>
              <w:rPr>
                <w:rFonts w:ascii="Times New Roman" w:hAnsi="Times New Roman"/>
                <w:sz w:val="21"/>
              </w:rPr>
              <w:t>Python Streamlit</w:t>
            </w:r>
          </w:p>
        </w:tc>
        <w:tc>
          <w:tcPr>
            <w:tcW w:type="dxa" w:w="3120"/>
            <w:tcMar>
              <w:top w:w="120" w:type="dxa"/>
              <w:bottom w:w="120" w:type="dxa"/>
              <w:left w:w="150" w:type="dxa"/>
              <w:right w:w="150" w:type="dxa"/>
            </w:tcMar>
          </w:tcPr>
          <w:p>
            <w:pPr>
              <w:jc w:val="left"/>
            </w:pPr>
            <w:r/>
            <w:r>
              <w:rPr>
                <w:rFonts w:ascii="Times New Roman" w:hAnsi="Times New Roman"/>
                <w:sz w:val="21"/>
              </w:rPr>
              <w:t>Premium dark-themed business intelligence frontend</w:t>
            </w:r>
          </w:p>
        </w:tc>
      </w:tr>
      <w:tr>
        <w:tc>
          <w:tcPr>
            <w:tcW w:type="dxa" w:w="3120"/>
            <w:tcMar>
              <w:top w:w="120" w:type="dxa"/>
              <w:bottom w:w="120" w:type="dxa"/>
              <w:left w:w="150" w:type="dxa"/>
              <w:right w:w="150" w:type="dxa"/>
            </w:tcMar>
          </w:tcPr>
          <w:p>
            <w:pPr>
              <w:jc w:val="left"/>
            </w:pPr>
            <w:r/>
            <w:r>
              <w:rPr>
                <w:rFonts w:ascii="Times New Roman" w:hAnsi="Times New Roman"/>
                <w:sz w:val="21"/>
              </w:rPr>
              <w:t>**Visualizations**</w:t>
            </w:r>
          </w:p>
        </w:tc>
        <w:tc>
          <w:tcPr>
            <w:tcW w:type="dxa" w:w="3120"/>
            <w:tcMar>
              <w:top w:w="120" w:type="dxa"/>
              <w:bottom w:w="120" w:type="dxa"/>
              <w:left w:w="150" w:type="dxa"/>
              <w:right w:w="150" w:type="dxa"/>
            </w:tcMar>
          </w:tcPr>
          <w:p>
            <w:pPr>
              <w:jc w:val="left"/>
            </w:pPr>
            <w:r/>
            <w:r>
              <w:rPr>
                <w:rFonts w:ascii="Times New Roman" w:hAnsi="Times New Roman"/>
                <w:sz w:val="21"/>
              </w:rPr>
              <w:t>Plotly Express &amp; Graph Objects</w:t>
            </w:r>
          </w:p>
        </w:tc>
        <w:tc>
          <w:tcPr>
            <w:tcW w:type="dxa" w:w="3120"/>
            <w:tcMar>
              <w:top w:w="120" w:type="dxa"/>
              <w:bottom w:w="120" w:type="dxa"/>
              <w:left w:w="150" w:type="dxa"/>
              <w:right w:w="150" w:type="dxa"/>
            </w:tcMar>
          </w:tcPr>
          <w:p>
            <w:pPr>
              <w:jc w:val="left"/>
            </w:pPr>
            <w:r/>
            <w:r>
              <w:rPr>
                <w:rFonts w:ascii="Times New Roman" w:hAnsi="Times New Roman"/>
                <w:sz w:val="21"/>
              </w:rPr>
              <w:t>Dynamic Candlesticks, backtesting curves, PCA plots</w:t>
            </w:r>
          </w:p>
        </w:tc>
      </w:tr>
      <w:tr>
        <w:tc>
          <w:tcPr>
            <w:tcW w:type="dxa" w:w="3120"/>
            <w:tcMar>
              <w:top w:w="120" w:type="dxa"/>
              <w:bottom w:w="120" w:type="dxa"/>
              <w:left w:w="150" w:type="dxa"/>
              <w:right w:w="150" w:type="dxa"/>
            </w:tcMar>
          </w:tcPr>
          <w:p>
            <w:pPr>
              <w:jc w:val="left"/>
            </w:pPr>
            <w:r/>
            <w:r>
              <w:rPr>
                <w:rFonts w:ascii="Times New Roman" w:hAnsi="Times New Roman"/>
                <w:sz w:val="21"/>
              </w:rPr>
              <w:t>**Containerization**</w:t>
            </w:r>
          </w:p>
        </w:tc>
        <w:tc>
          <w:tcPr>
            <w:tcW w:type="dxa" w:w="3120"/>
            <w:tcMar>
              <w:top w:w="120" w:type="dxa"/>
              <w:bottom w:w="120" w:type="dxa"/>
              <w:left w:w="150" w:type="dxa"/>
              <w:right w:w="150" w:type="dxa"/>
            </w:tcMar>
          </w:tcPr>
          <w:p>
            <w:pPr>
              <w:jc w:val="left"/>
            </w:pPr>
            <w:r/>
            <w:r>
              <w:rPr>
                <w:rFonts w:ascii="Times New Roman" w:hAnsi="Times New Roman"/>
                <w:sz w:val="21"/>
              </w:rPr>
              <w:t>Docker, Slim Runtime</w:t>
            </w:r>
          </w:p>
        </w:tc>
        <w:tc>
          <w:tcPr>
            <w:tcW w:type="dxa" w:w="3120"/>
            <w:tcMar>
              <w:top w:w="120" w:type="dxa"/>
              <w:bottom w:w="120" w:type="dxa"/>
              <w:left w:w="150" w:type="dxa"/>
              <w:right w:w="150" w:type="dxa"/>
            </w:tcMar>
          </w:tcPr>
          <w:p>
            <w:pPr>
              <w:jc w:val="left"/>
            </w:pPr>
            <w:r/>
            <w:r>
              <w:rPr>
                <w:rFonts w:ascii="Times New Roman" w:hAnsi="Times New Roman"/>
                <w:sz w:val="21"/>
              </w:rPr>
              <w:t>Ensuring platform portability and CI/CD pipelines</w:t>
            </w:r>
          </w:p>
        </w:tc>
      </w:tr>
    </w:tbl>
    <w:p>
      <w:pPr>
        <w:spacing w:line="360" w:lineRule="auto" w:after="160"/>
        <w:jc w:val="both"/>
      </w:pPr>
      <w:r>
        <w:rPr>
          <w:rFonts w:ascii="Times New Roman" w:hAnsi="Times New Roman"/>
          <w:sz w:val="24"/>
        </w:rPr>
        <w:t>---</w:t>
      </w:r>
    </w:p>
    <w:p/>
    <w:p>
      <w:r>
        <w:br w:type="page"/>
      </w:r>
    </w:p>
    <w:p>
      <w:pPr>
        <w:pStyle w:val="Heading1"/>
        <w:spacing w:before="360" w:after="160"/>
        <w:jc w:val="left"/>
      </w:pPr>
      <w:r>
        <w:rPr>
          <w:rFonts w:ascii="Times New Roman" w:hAnsi="Times New Roman"/>
          <w:b/>
          <w:color w:val="111111"/>
          <w:sz w:val="36"/>
        </w:rPr>
        <w:t>REFERENCES</w:t>
      </w:r>
    </w:p>
    <w:p/>
    <w:p>
      <w:pPr>
        <w:pStyle w:val="ListBullet"/>
        <w:spacing w:after="80" w:line="276" w:lineRule="auto"/>
      </w:pPr>
      <w:r>
        <w:rPr>
          <w:rFonts w:ascii="Times New Roman" w:hAnsi="Times New Roman"/>
          <w:sz w:val="24"/>
        </w:rPr>
        <w:t xml:space="preserve">Adebiyi, A. A., Adewumi, A. O., &amp; Ayo, C. K. (2014). </w:t>
      </w:r>
      <w:r>
        <w:rPr>
          <w:rFonts w:ascii="Times New Roman" w:hAnsi="Times New Roman"/>
          <w:i/>
          <w:sz w:val="24"/>
        </w:rPr>
        <w:t>Comparison of ARIMA and Artificial Neural Networks Models for Stock Price Prediction</w:t>
      </w:r>
      <w:r>
        <w:rPr>
          <w:rFonts w:ascii="Times New Roman" w:hAnsi="Times New Roman"/>
          <w:sz w:val="24"/>
        </w:rPr>
        <w:t>. Journal of Applied Mathematics, 2014, 1-10. https://doi.org/10.1155/2014/614342</w:t>
      </w:r>
    </w:p>
    <w:p>
      <w:pPr>
        <w:pStyle w:val="ListBullet"/>
        <w:spacing w:after="80" w:line="276" w:lineRule="auto"/>
      </w:pPr>
      <w:r>
        <w:rPr>
          <w:rFonts w:ascii="Times New Roman" w:hAnsi="Times New Roman"/>
          <w:sz w:val="24"/>
        </w:rPr>
        <w:t xml:space="preserve">Atayurt, O. (2021). </w:t>
      </w:r>
      <w:r>
        <w:rPr>
          <w:rFonts w:ascii="Times New Roman" w:hAnsi="Times New Roman"/>
          <w:i/>
          <w:sz w:val="24"/>
        </w:rPr>
        <w:t>Airbnb Demo Project</w:t>
      </w:r>
      <w:r>
        <w:rPr>
          <w:rFonts w:ascii="Times New Roman" w:hAnsi="Times New Roman"/>
          <w:sz w:val="24"/>
        </w:rPr>
        <w:t>. Yeditepe University, Faculty of Commerce, Department of Management Information Systems, Graduation Thesis. (Supervised by Dr. Lecturer Uğur Tevfik Kaplancalı)</w:t>
      </w:r>
    </w:p>
    <w:p>
      <w:pPr>
        <w:pStyle w:val="ListBullet"/>
        <w:spacing w:after="80" w:line="276" w:lineRule="auto"/>
      </w:pPr>
      <w:r>
        <w:rPr>
          <w:rFonts w:ascii="Times New Roman" w:hAnsi="Times New Roman"/>
          <w:sz w:val="24"/>
        </w:rPr>
        <w:t xml:space="preserve">Bahar, O., &amp; Bilen, K. (2023). </w:t>
      </w:r>
      <w:r>
        <w:rPr>
          <w:rFonts w:ascii="Times New Roman" w:hAnsi="Times New Roman"/>
          <w:i/>
          <w:sz w:val="24"/>
        </w:rPr>
        <w:t>Efficiency Analysis of Technical Analysis Indicators: An Application on Borsa İstanbul Tourism Industry</w:t>
      </w:r>
      <w:r>
        <w:rPr>
          <w:rFonts w:ascii="Times New Roman" w:hAnsi="Times New Roman"/>
          <w:sz w:val="24"/>
        </w:rPr>
        <w:t>. Anatolia: Turizm Araştırmaları Dergisi, 34(2), 83-94. https://doi.org/10.17123/atad.1291666</w:t>
      </w:r>
    </w:p>
    <w:p>
      <w:pPr>
        <w:pStyle w:val="ListBullet"/>
        <w:spacing w:after="80" w:line="276" w:lineRule="auto"/>
      </w:pPr>
      <w:r>
        <w:rPr>
          <w:rFonts w:ascii="Times New Roman" w:hAnsi="Times New Roman"/>
          <w:sz w:val="24"/>
        </w:rPr>
        <w:t xml:space="preserve">Ding, X., Zhang, Y., Liu, T., &amp; Duan, J. (2015). </w:t>
      </w:r>
      <w:r>
        <w:rPr>
          <w:rFonts w:ascii="Times New Roman" w:hAnsi="Times New Roman"/>
          <w:i/>
          <w:sz w:val="24"/>
        </w:rPr>
        <w:t>Deep learning for event-driven stock prediction</w:t>
      </w:r>
      <w:r>
        <w:rPr>
          <w:rFonts w:ascii="Times New Roman" w:hAnsi="Times New Roman"/>
          <w:sz w:val="24"/>
        </w:rPr>
        <w:t xml:space="preserve">. In </w:t>
      </w:r>
      <w:r>
        <w:rPr>
          <w:rFonts w:ascii="Times New Roman" w:hAnsi="Times New Roman"/>
          <w:i/>
          <w:sz w:val="24"/>
        </w:rPr>
        <w:t>Proceedings of the 24th International Joint Conference on Artificial Intelligence (IJCAI)</w:t>
      </w:r>
      <w:r>
        <w:rPr>
          <w:rFonts w:ascii="Times New Roman" w:hAnsi="Times New Roman"/>
          <w:sz w:val="24"/>
        </w:rPr>
        <w:t xml:space="preserve"> (pp. 2327-2333).</w:t>
      </w:r>
    </w:p>
    <w:p>
      <w:pPr>
        <w:pStyle w:val="ListBullet"/>
        <w:spacing w:after="80" w:line="276" w:lineRule="auto"/>
      </w:pPr>
      <w:r>
        <w:rPr>
          <w:rFonts w:ascii="Times New Roman" w:hAnsi="Times New Roman"/>
          <w:sz w:val="24"/>
        </w:rPr>
        <w:t xml:space="preserve">Htun, H. H., Biehl, M., &amp; Petkov, N. (2023). </w:t>
      </w:r>
      <w:r>
        <w:rPr>
          <w:rFonts w:ascii="Times New Roman" w:hAnsi="Times New Roman"/>
          <w:i/>
          <w:sz w:val="24"/>
        </w:rPr>
        <w:t>Survey of feature selection and extraction techniques for stock market prediction</w:t>
      </w:r>
      <w:r>
        <w:rPr>
          <w:rFonts w:ascii="Times New Roman" w:hAnsi="Times New Roman"/>
          <w:sz w:val="24"/>
        </w:rPr>
        <w:t>. Financial Innovation, 9(1), 26. https://doi.org/10.1186/s40854-022-00441-7</w:t>
      </w:r>
    </w:p>
    <w:p>
      <w:pPr>
        <w:pStyle w:val="ListBullet"/>
        <w:spacing w:after="80" w:line="276" w:lineRule="auto"/>
      </w:pPr>
      <w:r>
        <w:rPr>
          <w:rFonts w:ascii="Times New Roman" w:hAnsi="Times New Roman"/>
          <w:sz w:val="24"/>
        </w:rPr>
        <w:t xml:space="preserve">Kutlu, G. (2022). </w:t>
      </w:r>
      <w:r>
        <w:rPr>
          <w:rFonts w:ascii="Times New Roman" w:hAnsi="Times New Roman"/>
          <w:i/>
          <w:sz w:val="24"/>
        </w:rPr>
        <w:t>Intelligent Agent to Enhance Search Engine</w:t>
      </w:r>
      <w:r>
        <w:rPr>
          <w:rFonts w:ascii="Times New Roman" w:hAnsi="Times New Roman"/>
          <w:sz w:val="24"/>
        </w:rPr>
        <w:t>. Yeditepe University, Faculty of Commerce, Department of Management Information Systems, Graduation Thesis. (Supervised by Assoc. Prof. Dr. Uğur Tevfik Kaplancalı)</w:t>
      </w:r>
    </w:p>
    <w:p>
      <w:pPr>
        <w:pStyle w:val="ListBullet"/>
        <w:spacing w:after="80" w:line="276" w:lineRule="auto"/>
      </w:pPr>
      <w:r>
        <w:rPr>
          <w:rFonts w:ascii="Times New Roman" w:hAnsi="Times New Roman"/>
          <w:sz w:val="24"/>
        </w:rPr>
        <w:t xml:space="preserve">Li, A. W., &amp; Bastos, G. S. (2020). </w:t>
      </w:r>
      <w:r>
        <w:rPr>
          <w:rFonts w:ascii="Times New Roman" w:hAnsi="Times New Roman"/>
          <w:i/>
          <w:sz w:val="24"/>
        </w:rPr>
        <w:t>Stock Market Forecasting Using Deep Learning and Technical Analysis: A Systematic Review</w:t>
      </w:r>
      <w:r>
        <w:rPr>
          <w:rFonts w:ascii="Times New Roman" w:hAnsi="Times New Roman"/>
          <w:sz w:val="24"/>
        </w:rPr>
        <w:t>. IEEE Access, 8, 185107-185117. https://doi.org/10.1109/ACCESS.2020.3030226</w:t>
      </w:r>
    </w:p>
    <w:p>
      <w:pPr>
        <w:pStyle w:val="ListBullet"/>
        <w:spacing w:after="80" w:line="276" w:lineRule="auto"/>
      </w:pPr>
      <w:r>
        <w:rPr>
          <w:rFonts w:ascii="Times New Roman" w:hAnsi="Times New Roman"/>
          <w:sz w:val="24"/>
        </w:rPr>
        <w:t xml:space="preserve">Lin, Y., Guo, H., &amp; Hu, J. (2018). </w:t>
      </w:r>
      <w:r>
        <w:rPr>
          <w:rFonts w:ascii="Times New Roman" w:hAnsi="Times New Roman"/>
          <w:i/>
          <w:sz w:val="24"/>
        </w:rPr>
        <w:t>An SVM-based approach for stock market trend prediction</w:t>
      </w:r>
      <w:r>
        <w:rPr>
          <w:rFonts w:ascii="Times New Roman" w:hAnsi="Times New Roman"/>
          <w:sz w:val="24"/>
        </w:rPr>
        <w:t>. International Journal of Forecasting, 34(3), 452-465. https://doi.org/10.1016/j.ijforecast.2018.03.001</w:t>
      </w:r>
    </w:p>
    <w:p>
      <w:pPr>
        <w:pStyle w:val="ListBullet"/>
        <w:spacing w:after="80" w:line="276" w:lineRule="auto"/>
      </w:pPr>
      <w:r>
        <w:rPr>
          <w:rFonts w:ascii="Times New Roman" w:hAnsi="Times New Roman"/>
          <w:sz w:val="24"/>
        </w:rPr>
        <w:t xml:space="preserve">Nassirtoussi, A. K., Aghabozorgi, S., Wah, T. Y., &amp; Ngo, D. C. L. (2014). </w:t>
      </w:r>
      <w:r>
        <w:rPr>
          <w:rFonts w:ascii="Times New Roman" w:hAnsi="Times New Roman"/>
          <w:i/>
          <w:sz w:val="24"/>
        </w:rPr>
        <w:t>Text mining for market prediction: A systematic review</w:t>
      </w:r>
      <w:r>
        <w:rPr>
          <w:rFonts w:ascii="Times New Roman" w:hAnsi="Times New Roman"/>
          <w:sz w:val="24"/>
        </w:rPr>
        <w:t>. Expert Systems with Applications, 41(16), 7653-7670. https://doi.org/10.1016/j.eswa.2014.06.009</w:t>
      </w:r>
    </w:p>
    <w:p>
      <w:pPr>
        <w:pStyle w:val="ListBullet"/>
        <w:spacing w:after="80" w:line="276" w:lineRule="auto"/>
      </w:pPr>
      <w:r>
        <w:rPr>
          <w:rFonts w:ascii="Times New Roman" w:hAnsi="Times New Roman"/>
          <w:sz w:val="24"/>
        </w:rPr>
        <w:t xml:space="preserve">Nti, I. K., Adebiyi, M. O., &amp; Adebiyi, A. A. (2020). </w:t>
      </w:r>
      <w:r>
        <w:rPr>
          <w:rFonts w:ascii="Times New Roman" w:hAnsi="Times New Roman"/>
          <w:i/>
          <w:sz w:val="24"/>
        </w:rPr>
        <w:t>A systematic review of fundamental and technical analysis of stock market predictions</w:t>
      </w:r>
      <w:r>
        <w:rPr>
          <w:rFonts w:ascii="Times New Roman" w:hAnsi="Times New Roman"/>
          <w:sz w:val="24"/>
        </w:rPr>
        <w:t>. Artificial Intelligence Review, 53(4), 3007-3057. https://doi.org/10.1007/s10462-019-09754-y</w:t>
      </w:r>
    </w:p>
    <w:p>
      <w:pPr>
        <w:pStyle w:val="ListBullet"/>
        <w:spacing w:after="80" w:line="276" w:lineRule="auto"/>
      </w:pPr>
      <w:r>
        <w:rPr>
          <w:rFonts w:ascii="Times New Roman" w:hAnsi="Times New Roman"/>
          <w:sz w:val="24"/>
        </w:rPr>
        <w:t xml:space="preserve">Raşo, H., &amp; Demirci, M. (2019). </w:t>
      </w:r>
      <w:r>
        <w:rPr>
          <w:rFonts w:ascii="Times New Roman" w:hAnsi="Times New Roman"/>
          <w:i/>
          <w:sz w:val="24"/>
        </w:rPr>
        <w:t>Predicting the Turkish Stock Market BIST 30 Index using Deep Learning</w:t>
      </w:r>
      <w:r>
        <w:rPr>
          <w:rFonts w:ascii="Times New Roman" w:hAnsi="Times New Roman"/>
          <w:sz w:val="24"/>
        </w:rPr>
        <w:t>. International Journal of Engineering Research and Development, 11(1), 253-265. https://doi.org/10.29137/umagd.425560</w:t>
      </w:r>
    </w:p>
    <w:p>
      <w:pPr>
        <w:pStyle w:val="ListBullet"/>
        <w:spacing w:after="80" w:line="276" w:lineRule="auto"/>
      </w:pPr>
      <w:r>
        <w:rPr>
          <w:rFonts w:ascii="Times New Roman" w:hAnsi="Times New Roman"/>
          <w:sz w:val="24"/>
        </w:rPr>
        <w:t xml:space="preserve">Sonkavde, G., Dharrao, D. S., Bongale, A. M., Deokate, S. T., Doreswamy, D., &amp; Bhat, S. K. (2023). </w:t>
      </w:r>
      <w:r>
        <w:rPr>
          <w:rFonts w:ascii="Times New Roman" w:hAnsi="Times New Roman"/>
          <w:i/>
          <w:sz w:val="24"/>
        </w:rPr>
        <w:t>Forecasting Stock Market Prices Using Machine Learning and Deep Learning Models: A Systematic Review, Performance Analysis and Discussion of Implications</w:t>
      </w:r>
      <w:r>
        <w:rPr>
          <w:rFonts w:ascii="Times New Roman" w:hAnsi="Times New Roman"/>
          <w:sz w:val="24"/>
        </w:rPr>
        <w:t>. International Journal of Financial Studies, 11(3), 94. https://doi.org/10.3390/ijfs11030094</w:t>
      </w:r>
    </w:p>
    <w:p>
      <w:pPr>
        <w:pStyle w:val="ListBullet"/>
        <w:spacing w:after="80" w:line="276" w:lineRule="auto"/>
      </w:pPr>
      <w:r>
        <w:rPr>
          <w:rFonts w:ascii="Times New Roman" w:hAnsi="Times New Roman"/>
          <w:sz w:val="24"/>
        </w:rPr>
        <w:t xml:space="preserve">Taşkaya, E. (2021). </w:t>
      </w:r>
      <w:r>
        <w:rPr>
          <w:rFonts w:ascii="Times New Roman" w:hAnsi="Times New Roman"/>
          <w:i/>
          <w:sz w:val="24"/>
        </w:rPr>
        <w:t>The Difference between Amazon and Alibaba's Marketing Strategy</w:t>
      </w:r>
      <w:r>
        <w:rPr>
          <w:rFonts w:ascii="Times New Roman" w:hAnsi="Times New Roman"/>
          <w:sz w:val="24"/>
        </w:rPr>
        <w:t>. Yeditepe University, Faculty of Commerce, Department of Management Information Systems, Graduation Thesis. (Supervised by Dr. Lecturer Uğur Tevfik Kaplancalı)</w:t>
      </w:r>
    </w:p>
    <w:p>
      <w:pPr>
        <w:pStyle w:val="ListBullet"/>
        <w:spacing w:after="80" w:line="276" w:lineRule="auto"/>
      </w:pPr>
      <w:r>
        <w:rPr>
          <w:rFonts w:ascii="Times New Roman" w:hAnsi="Times New Roman"/>
          <w:sz w:val="24"/>
        </w:rPr>
        <w:t xml:space="preserve">Verma, S., Sahu, S. P., &amp; Sahu, T. P. (2023). </w:t>
      </w:r>
      <w:r>
        <w:rPr>
          <w:rFonts w:ascii="Times New Roman" w:hAnsi="Times New Roman"/>
          <w:i/>
          <w:sz w:val="24"/>
        </w:rPr>
        <w:t>Stock Market Forecasting with Different Input Indicators using Machine Learning and Deep Learning Techniques: A Review</w:t>
      </w:r>
      <w:r>
        <w:rPr>
          <w:rFonts w:ascii="Times New Roman" w:hAnsi="Times New Roman"/>
          <w:sz w:val="24"/>
        </w:rPr>
        <w:t>. IAENG International Journal of Computer Science, 50(4), 1-17.</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9"/>
      </w:rPr>
      <w:t xml:space="preserve">BorsaNeuron Graduation Thesis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