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T.C.</w:t>
      </w:r>
    </w:p>
    <w:p>
      <w:pPr>
        <w:jc w:val="center"/>
      </w:pPr>
      <w:r>
        <w:rPr>
          <w:rFonts w:ascii="Times New Roman" w:hAnsi="Times New Roman"/>
          <w:b/>
          <w:sz w:val="40"/>
        </w:rPr>
        <w:t>YEDITEPE UNIVERSITY</w:t>
      </w:r>
    </w:p>
    <w:p>
      <w:pPr>
        <w:jc w:val="center"/>
      </w:pPr>
      <w:r>
        <w:rPr>
          <w:rFonts w:ascii="Times New Roman" w:hAnsi="Times New Roman"/>
          <w:b/>
          <w:sz w:val="40"/>
        </w:rPr>
        <w:t>FACULTY OF COMPUTER AND INFORMATION SCIENCES</w:t>
      </w:r>
    </w:p>
    <w:p>
      <w:pPr>
        <w:jc w:val="center"/>
      </w:pPr>
      <w:r>
        <w:rPr>
          <w:rFonts w:ascii="Times New Roman" w:hAnsi="Times New Roman"/>
          <w:b/>
          <w:sz w:val="40"/>
        </w:rPr>
        <w:t>DEPARTMENT OF MANAGEMENT INFORMATION SYSTEMS</w:t>
      </w:r>
    </w:p>
    <w:p/>
    <w:p>
      <w:pPr>
        <w:jc w:val="center"/>
      </w:pPr>
      <w:r>
        <w:rPr>
          <w:rFonts w:ascii="Times New Roman" w:hAnsi="Times New Roman"/>
          <w:sz w:val="24"/>
        </w:rPr>
        <w:t>&lt;br&gt;&lt;br&gt;</w:t>
      </w:r>
    </w:p>
    <w:p/>
    <w:p>
      <w:pPr>
        <w:jc w:val="center"/>
      </w:pPr>
      <w:r>
        <w:rPr>
          <w:rFonts w:ascii="Times New Roman" w:hAnsi="Times New Roman"/>
          <w:b/>
          <w:sz w:val="40"/>
        </w:rPr>
        <w:t>BORSANEURON: ALGORITHMIC STOCK PRICE FORECASTING AND AUTOMATED TECHNICAL PATTERN SCANNER PLATFORM</w:t>
      </w:r>
    </w:p>
    <w:p/>
    <w:p>
      <w:pPr>
        <w:jc w:val="center"/>
      </w:pPr>
      <w:r>
        <w:rPr>
          <w:rFonts w:ascii="Times New Roman" w:hAnsi="Times New Roman"/>
          <w:sz w:val="24"/>
        </w:rPr>
        <w:t>&lt;br&gt;&lt;br&gt;</w:t>
      </w:r>
    </w:p>
    <w:p/>
    <w:p>
      <w:pPr>
        <w:jc w:val="center"/>
      </w:pPr>
      <w:r>
        <w:rPr>
          <w:rFonts w:ascii="Times New Roman" w:hAnsi="Times New Roman"/>
          <w:b/>
          <w:sz w:val="28"/>
        </w:rPr>
        <w:t>GRADUATION THESIS</w:t>
      </w:r>
    </w:p>
    <w:p/>
    <w:p>
      <w:pPr>
        <w:jc w:val="center"/>
      </w:pPr>
      <w:r>
        <w:rPr>
          <w:rFonts w:ascii="Times New Roman" w:hAnsi="Times New Roman"/>
          <w:sz w:val="24"/>
        </w:rPr>
        <w:t>&lt;br&gt;</w:t>
      </w:r>
    </w:p>
    <w:p/>
    <w:p>
      <w:pPr>
        <w:jc w:val="center"/>
      </w:pPr>
      <w:r>
        <w:rPr>
          <w:rFonts w:ascii="Times New Roman" w:hAnsi="Times New Roman"/>
          <w:b/>
          <w:sz w:val="28"/>
        </w:rPr>
        <w:t>by</w:t>
      </w:r>
    </w:p>
    <w:p>
      <w:pPr>
        <w:jc w:val="center"/>
      </w:pPr>
      <w:r>
        <w:rPr>
          <w:rFonts w:ascii="Times New Roman" w:hAnsi="Times New Roman"/>
          <w:b/>
          <w:sz w:val="32"/>
        </w:rPr>
        <w:t>İbrahim Tatar</w:t>
      </w:r>
    </w:p>
    <w:p>
      <w:pPr>
        <w:jc w:val="center"/>
      </w:pPr>
      <w:r>
        <w:rPr>
          <w:rFonts w:ascii="Times New Roman" w:hAnsi="Times New Roman"/>
          <w:b/>
          <w:sz w:val="28"/>
        </w:rPr>
        <w:t>(20211314007)</w:t>
      </w:r>
    </w:p>
    <w:p/>
    <w:p>
      <w:pPr>
        <w:jc w:val="center"/>
      </w:pPr>
      <w:r>
        <w:rPr>
          <w:rFonts w:ascii="Times New Roman" w:hAnsi="Times New Roman"/>
          <w:sz w:val="24"/>
        </w:rPr>
        <w:t>&lt;br&gt;&lt;br&gt;</w:t>
      </w:r>
    </w:p>
    <w:p/>
    <w:p>
      <w:pPr>
        <w:jc w:val="center"/>
      </w:pPr>
      <w:r>
        <w:rPr>
          <w:rFonts w:ascii="Times New Roman" w:hAnsi="Times New Roman"/>
          <w:b/>
          <w:sz w:val="28"/>
        </w:rPr>
        <w:t>Thesis Supervisor: Assoc. Prof. Dr. Uğur Tevfik Kaplancalı</w:t>
      </w:r>
    </w:p>
    <w:p/>
    <w:p>
      <w:pPr>
        <w:jc w:val="center"/>
      </w:pPr>
      <w:r>
        <w:rPr>
          <w:rFonts w:ascii="Times New Roman" w:hAnsi="Times New Roman"/>
          <w:sz w:val="24"/>
        </w:rPr>
        <w:t>&lt;br&gt;&lt;br&gt;&lt;br&gt;</w:t>
      </w:r>
    </w:p>
    <w:p/>
    <w:p>
      <w:pPr>
        <w:jc w:val="center"/>
      </w:pPr>
      <w:r>
        <w:rPr>
          <w:rFonts w:ascii="Times New Roman" w:hAnsi="Times New Roman"/>
          <w:b/>
          <w:sz w:val="28"/>
        </w:rPr>
        <w:t>ISTANBUL, SPRING 2026</w:t>
      </w:r>
    </w:p>
    <w:p/>
    <w:p>
      <w:r>
        <w:br w:type="page"/>
      </w:r>
    </w:p>
    <w:p/>
    <w:p>
      <w:pPr>
        <w:pStyle w:val="Heading2"/>
        <w:jc w:val="left"/>
      </w:pPr>
      <w:r>
        <w:rPr>
          <w:rFonts w:ascii="Times New Roman" w:hAnsi="Times New Roman"/>
          <w:b/>
          <w:color w:val="1E1E1E"/>
          <w:sz w:val="28"/>
        </w:rPr>
        <w:t>ACKNOWLEDGEMENTS</w:t>
      </w:r>
    </w:p>
    <w:p/>
    <w:p>
      <w:pPr>
        <w:spacing w:line="360" w:lineRule="auto" w:after="160"/>
        <w:jc w:val="both"/>
      </w:pPr>
      <w:r>
        <w:rPr>
          <w:rFonts w:ascii="Times New Roman" w:hAnsi="Times New Roman"/>
          <w:sz w:val="24"/>
        </w:rPr>
        <w:t xml:space="preserve">First and foremost, I would like to express my deepest gratitude and sincere appreciation to my thesis supervisor, </w:t>
      </w:r>
      <w:r>
        <w:rPr>
          <w:rFonts w:ascii="Times New Roman" w:hAnsi="Times New Roman"/>
          <w:b/>
          <w:sz w:val="24"/>
        </w:rPr>
        <w:t>Assoc. Prof. Dr. Uğur Tevfik Kaplancalı</w:t>
      </w:r>
      <w:r>
        <w:rPr>
          <w:rFonts w:ascii="Times New Roman" w:hAnsi="Times New Roman"/>
          <w:sz w:val="24"/>
        </w:rPr>
        <w:t>, for his continuous guidance, invaluable feedback, and academic support throughout the design and execution of this graduation project. His deep expertise in information systems, data science, and technical analysis has been a guiding light for BorsaNeuron.</w:t>
      </w:r>
    </w:p>
    <w:p/>
    <w:p>
      <w:pPr>
        <w:spacing w:line="360" w:lineRule="auto" w:after="160"/>
        <w:jc w:val="both"/>
      </w:pPr>
      <w:r>
        <w:rPr>
          <w:rFonts w:ascii="Times New Roman" w:hAnsi="Times New Roman"/>
          <w:sz w:val="24"/>
        </w:rPr>
        <w:t>Secondly, I would like to extend my heartfelt thanks to all the faculty members of the Management Information Systems department at Yeditepe University who have educated and supported me throughout my undergraduate studies, equipping me with the technical and analytical foundations needed to build this platform.</w:t>
      </w:r>
    </w:p>
    <w:p/>
    <w:p>
      <w:pPr>
        <w:spacing w:line="360" w:lineRule="auto" w:after="160"/>
        <w:jc w:val="both"/>
      </w:pPr>
      <w:r>
        <w:rPr>
          <w:rFonts w:ascii="Times New Roman" w:hAnsi="Times New Roman"/>
          <w:sz w:val="24"/>
        </w:rPr>
        <w:t>Finally, I wish to express my deepest gratitude to my family and friends for their endless patience, encouragement, and support during the writing of this thesis and throughout my academic journey.</w:t>
      </w:r>
    </w:p>
    <w:p/>
    <w:p>
      <w:pPr>
        <w:spacing w:line="360" w:lineRule="auto" w:after="160"/>
        <w:jc w:val="both"/>
      </w:pPr>
      <w:r>
        <w:rPr>
          <w:rFonts w:ascii="Times New Roman" w:hAnsi="Times New Roman"/>
          <w:sz w:val="24"/>
        </w:rPr>
        <w:t>---</w:t>
      </w:r>
    </w:p>
    <w:p/>
    <w:p>
      <w:pPr>
        <w:pStyle w:val="Heading2"/>
        <w:jc w:val="left"/>
      </w:pPr>
      <w:r>
        <w:rPr>
          <w:rFonts w:ascii="Times New Roman" w:hAnsi="Times New Roman"/>
          <w:b/>
          <w:color w:val="1E1E1E"/>
          <w:sz w:val="28"/>
        </w:rPr>
        <w:t>ÖZ</w:t>
      </w:r>
    </w:p>
    <w:p/>
    <w:p>
      <w:pPr>
        <w:spacing w:line="360" w:lineRule="auto" w:after="160"/>
        <w:jc w:val="both"/>
      </w:pPr>
      <w:r>
        <w:rPr>
          <w:rFonts w:ascii="Times New Roman" w:hAnsi="Times New Roman"/>
          <w:sz w:val="24"/>
        </w:rPr>
        <w:t xml:space="preserve">Bu çalışma, Borsa İstanbul (BIST) hisse senedi piyasalarında işlem gören hisse senetlerinin teknik analiz indikatörleri ve örüntülerini kullanarak, 5 günlük gelecek fiyat yönünü tahmin etmeyi ve klasik grafik formasyonlarını otomatik olarak taramayı hedefleyen bütünsel bir karar destek platformu olan </w:t>
      </w:r>
      <w:r>
        <w:rPr>
          <w:rFonts w:ascii="Times New Roman" w:hAnsi="Times New Roman"/>
          <w:b/>
          <w:sz w:val="24"/>
        </w:rPr>
        <w:t>BorsaNeuron</w:t>
      </w:r>
      <w:r>
        <w:rPr>
          <w:rFonts w:ascii="Times New Roman" w:hAnsi="Times New Roman"/>
          <w:sz w:val="24"/>
        </w:rPr>
        <w:t>'u sunmaktadır.</w:t>
      </w:r>
    </w:p>
    <w:p/>
    <w:p>
      <w:pPr>
        <w:spacing w:line="360" w:lineRule="auto" w:after="160"/>
        <w:jc w:val="both"/>
      </w:pPr>
      <w:r>
        <w:rPr>
          <w:rFonts w:ascii="Times New Roman" w:hAnsi="Times New Roman"/>
          <w:sz w:val="24"/>
        </w:rPr>
        <w:t xml:space="preserve">Geliştirilen bu proje, Borsa İstanbul genelini temsil eden </w:t>
      </w:r>
      <w:r>
        <w:rPr>
          <w:rFonts w:ascii="Times New Roman" w:hAnsi="Times New Roman"/>
          <w:b/>
          <w:sz w:val="24"/>
        </w:rPr>
        <w:t>537 adet aktif BIST hisse senedine</w:t>
      </w:r>
      <w:r>
        <w:rPr>
          <w:rFonts w:ascii="Times New Roman" w:hAnsi="Times New Roman"/>
          <w:sz w:val="24"/>
        </w:rPr>
        <w:t xml:space="preserve"> ait tarihsel günlük veriler üzerinde yürütülmüştür. Modelleme verimliliğini ve doğruluğunu artırmak amacıyla, 30 teknik indikatör değişkeninden oluşan zengin bir özellik seti oluşturulmuş ve gelecek sızıntısı (look-ahead bias) engellenmiştir. Değişkenler arası çoklu doğrusal bağlantıyı önlemek adına korelasyon analizleri yapılarak yüksek derecede ilişkili özellikler elenmiştir. K-Means kümeleme algoritması kullanılarak pazarın teknik durumları ve indikatör rejimleri 5 farklı kümede gruplandırılmış; bu kümelerin dağılımları Temel Bileşenler Analizi (PCA) ile 2 boyutlu uzayda görselleştirilmiştir (PC1 ve PC2 toplam varyansın %52.25'ini açıklamaktadır).</w:t>
      </w:r>
    </w:p>
    <w:p/>
    <w:p>
      <w:pPr>
        <w:spacing w:line="360" w:lineRule="auto" w:after="160"/>
        <w:jc w:val="both"/>
      </w:pPr>
      <w:r>
        <w:rPr>
          <w:rFonts w:ascii="Times New Roman" w:hAnsi="Times New Roman"/>
          <w:sz w:val="24"/>
        </w:rPr>
        <w:t>BIST hisselerinin 5 gün sonraki kapanış fiyatının bugünkünden yüksek olup olmayacağını (Target_T5) tahmin etmek üzere K-En Yakın Komşu (K-NN), Yapay Sinir Ağları (ANN - MLPClassifier), Rastgele Orman (Random Forest) ve XGBoost modelleri eğitilmiştir. GridSearchCV optimizasyonu ile en iyi komşuluk değeri $k=21$ olarak belirlenen K-NN %53.96 doğruluk elde ederken; Yapay Sinir Ağı (ANN) %55.68 doğruluk ve 0.6496 F1-Skor ile en yüksek tahminsel başarıyı sergilemiştir. Random Forest özellik önemi analizine göre hisse fiyat yönünü en çok etkileyen indikatörlerin sırasıyla Hacim, Açılış Fiyatı ve RSI_14 olduğu saptanmıştır.</w:t>
      </w:r>
    </w:p>
    <w:p/>
    <w:p>
      <w:pPr>
        <w:spacing w:line="360" w:lineRule="auto" w:after="160"/>
        <w:jc w:val="both"/>
      </w:pPr>
      <w:r>
        <w:rPr>
          <w:rFonts w:ascii="Times New Roman" w:hAnsi="Times New Roman"/>
          <w:sz w:val="24"/>
        </w:rPr>
        <w:t xml:space="preserve">Yapay zeka modelleri, Python Streamlit kütüphanesi kullanılarak interaktif bir web kontrol paneline (BorsaNeuron Dashboard) dönüştürülmüştür. Bu arayüz; kullanıcıların hisse kodu girerek </w:t>
      </w:r>
      <w:r>
        <w:rPr>
          <w:rFonts w:ascii="Courier New" w:hAnsi="Courier New"/>
          <w:sz w:val="21"/>
        </w:rPr>
        <w:t>yfinance</w:t>
      </w:r>
      <w:r>
        <w:rPr>
          <w:rFonts w:ascii="Times New Roman" w:hAnsi="Times New Roman"/>
          <w:sz w:val="24"/>
        </w:rPr>
        <w:t xml:space="preserve"> üzerinden akan canlı teknik verilerle anlık inference tahminleri alabildiği, hisselerin </w:t>
      </w:r>
      <w:r>
        <w:rPr>
          <w:rFonts w:ascii="Times New Roman" w:hAnsi="Times New Roman"/>
          <w:b/>
          <w:sz w:val="24"/>
        </w:rPr>
        <w:t>kendi geçmiş başarı uyumunu (Win Rate)</w:t>
      </w:r>
      <w:r>
        <w:rPr>
          <w:rFonts w:ascii="Times New Roman" w:hAnsi="Times New Roman"/>
          <w:sz w:val="24"/>
        </w:rPr>
        <w:t xml:space="preserve"> karar alma sürecine ağırlık olarak entegre ettiği ve TOBO, Fincan-Kulp, Flama gibi klasik formasyonları BIST genelinde tarayabildiği canlı bir platform sunmaktadır. Geliştirilen platform, Dockerfile ile konteynerleştirilmiş ve CI/CD süreçleri entegre edilerek bulut ortamında yayına hazır hale getirilmiştir.</w:t>
      </w:r>
    </w:p>
    <w:p/>
    <w:p>
      <w:pPr>
        <w:spacing w:line="360" w:lineRule="auto" w:after="160"/>
        <w:jc w:val="both"/>
      </w:pPr>
      <w:r>
        <w:rPr>
          <w:rFonts w:ascii="Times New Roman" w:hAnsi="Times New Roman"/>
          <w:b/>
          <w:sz w:val="24"/>
        </w:rPr>
        <w:t>Anahtar Kelimeler:</w:t>
      </w:r>
      <w:r>
        <w:rPr>
          <w:rFonts w:ascii="Times New Roman" w:hAnsi="Times New Roman"/>
          <w:sz w:val="24"/>
        </w:rPr>
        <w:t xml:space="preserve"> Veri Madenciliği, BIST Tahminlemesi, Makine Öğrenmesi, K-Means Kümeleme, Sektörel Kıyaslama, Streamlit, Teknik Formasyon Tarayıcı.</w:t>
      </w:r>
    </w:p>
    <w:p/>
    <w:p>
      <w:pPr>
        <w:spacing w:line="360" w:lineRule="auto" w:after="160"/>
        <w:jc w:val="both"/>
      </w:pPr>
      <w:r>
        <w:rPr>
          <w:rFonts w:ascii="Times New Roman" w:hAnsi="Times New Roman"/>
          <w:sz w:val="24"/>
        </w:rPr>
        <w:t>---</w:t>
      </w:r>
    </w:p>
    <w:p/>
    <w:p>
      <w:pPr>
        <w:pStyle w:val="Heading2"/>
        <w:jc w:val="left"/>
      </w:pPr>
      <w:r>
        <w:rPr>
          <w:rFonts w:ascii="Times New Roman" w:hAnsi="Times New Roman"/>
          <w:b/>
          <w:color w:val="1E1E1E"/>
          <w:sz w:val="28"/>
        </w:rPr>
        <w:t>ABSTRACT</w:t>
      </w:r>
    </w:p>
    <w:p/>
    <w:p>
      <w:pPr>
        <w:spacing w:line="360" w:lineRule="auto" w:after="160"/>
        <w:jc w:val="both"/>
      </w:pPr>
      <w:r>
        <w:rPr>
          <w:rFonts w:ascii="Times New Roman" w:hAnsi="Times New Roman"/>
          <w:sz w:val="24"/>
        </w:rPr>
        <w:t xml:space="preserve">This study presents </w:t>
      </w:r>
      <w:r>
        <w:rPr>
          <w:rFonts w:ascii="Times New Roman" w:hAnsi="Times New Roman"/>
          <w:b/>
          <w:sz w:val="24"/>
        </w:rPr>
        <w:t>BorsaNeuron</w:t>
      </w:r>
      <w:r>
        <w:rPr>
          <w:rFonts w:ascii="Times New Roman" w:hAnsi="Times New Roman"/>
          <w:sz w:val="24"/>
        </w:rPr>
        <w:t>, a holistic decision support and analytics platform aimed at forecasting 5-day future stock price directions and automating classical chart pattern scanning in the Borsa Istanbul (BIST) stock market using technical analysis indicators and machine learning algorithms.</w:t>
      </w:r>
    </w:p>
    <w:p/>
    <w:p>
      <w:pPr>
        <w:spacing w:line="360" w:lineRule="auto" w:after="160"/>
        <w:jc w:val="both"/>
      </w:pPr>
      <w:r>
        <w:rPr>
          <w:rFonts w:ascii="Times New Roman" w:hAnsi="Times New Roman"/>
          <w:sz w:val="24"/>
        </w:rPr>
        <w:t xml:space="preserve">Applying quantitative finance workflows to quantitative finance, this project was developed using a comprehensive technical indicator dataset representing </w:t>
      </w:r>
      <w:r>
        <w:rPr>
          <w:rFonts w:ascii="Times New Roman" w:hAnsi="Times New Roman"/>
          <w:b/>
          <w:sz w:val="24"/>
        </w:rPr>
        <w:t>all active 537 BIST stocks</w:t>
      </w:r>
      <w:r>
        <w:rPr>
          <w:rFonts w:ascii="Times New Roman" w:hAnsi="Times New Roman"/>
          <w:sz w:val="24"/>
        </w:rPr>
        <w:t xml:space="preserve"> traded on Borsa Istanbul. Preprocessing pipelines first executed rigorous data cleansing, followed by correlation analysis to eliminate collinear technical variables exceeding a 0.90 threshold. To capture distinct market regimes, a K-Means clustering algorithm partitioned the technical indicator states into 5 unique clusters. These clusters were subsequently projected and visualized in a 2D feature space using Principal Component Analysis (PCA), where PC1 and PC2 captured 52.25% of the cumulative variance.</w:t>
      </w:r>
    </w:p>
    <w:p/>
    <w:p>
      <w:pPr>
        <w:spacing w:line="360" w:lineRule="auto" w:after="160"/>
        <w:jc w:val="both"/>
      </w:pPr>
      <w:r>
        <w:rPr>
          <w:rFonts w:ascii="Times New Roman" w:hAnsi="Times New Roman"/>
          <w:sz w:val="24"/>
        </w:rPr>
        <w:t>To forecast the binary 5-day future price direction target (</w:t>
      </w:r>
      <w:r>
        <w:rPr>
          <w:rFonts w:ascii="Courier New" w:hAnsi="Courier New"/>
          <w:sz w:val="21"/>
        </w:rPr>
        <w:t>Target_T5</w:t>
      </w:r>
      <w:r>
        <w:rPr>
          <w:rFonts w:ascii="Times New Roman" w:hAnsi="Times New Roman"/>
          <w:sz w:val="24"/>
        </w:rPr>
        <w:t>), K-Nearest Neighbors (K-NN), Artificial Neural Networks (ANN - MLPClassifier), and Random Forest (RF) classifiers were optimized. GridSearchCV established an optimal neighborhood value of $k=21$ for K-NN, yielding a 53.96% accuracy and 0.6481 F1-Score. The Random Forest model achieved a 53.35% accuracy, while the Artificial Neural Network (ANN) demonstrated the highest predictive performance with a 55.68% accuracy and a 0.6496 F1-Score. Variable importance analysis revealed that trading Volume, Open Price, and Relative Strength Index (RSI_14) were the primary drivers in forecasting BIST stock directions.</w:t>
      </w:r>
    </w:p>
    <w:p/>
    <w:p>
      <w:pPr>
        <w:spacing w:line="360" w:lineRule="auto" w:after="160"/>
        <w:jc w:val="both"/>
      </w:pPr>
      <w:r>
        <w:rPr>
          <w:rFonts w:ascii="Times New Roman" w:hAnsi="Times New Roman"/>
          <w:sz w:val="24"/>
        </w:rPr>
        <w:t xml:space="preserve">To convert these quantitative pipelines into an active business intelligence tool, an interactive web application (BorsaNeuron Dashboard) was developed using the Python Streamlit library. The platform enables users to query any BIST ticker dynamically, fetch live technical data flows via </w:t>
      </w:r>
      <w:r>
        <w:rPr>
          <w:rFonts w:ascii="Courier New" w:hAnsi="Courier New"/>
          <w:sz w:val="21"/>
        </w:rPr>
        <w:t>yfinance</w:t>
      </w:r>
      <w:r>
        <w:rPr>
          <w:rFonts w:ascii="Times New Roman" w:hAnsi="Times New Roman"/>
          <w:sz w:val="24"/>
        </w:rPr>
        <w:t xml:space="preserve">, adjust decision metrics based on the stock's </w:t>
      </w:r>
      <w:r>
        <w:rPr>
          <w:rFonts w:ascii="Times New Roman" w:hAnsi="Times New Roman"/>
          <w:b/>
          <w:sz w:val="24"/>
        </w:rPr>
        <w:t>unique historical win rate weight</w:t>
      </w:r>
      <w:r>
        <w:rPr>
          <w:rFonts w:ascii="Times New Roman" w:hAnsi="Times New Roman"/>
          <w:sz w:val="24"/>
        </w:rPr>
        <w:t>, and trigger automated scans to identify geometric chart formations such as Head and Shoulders (TOBO), Cup and Handle, and Flag formations. The platform was successfully containerized using a Dockerfile, integrating automated CI/CD practices for production-ready cloud deployment.</w:t>
      </w:r>
    </w:p>
    <w:p/>
    <w:p>
      <w:pPr>
        <w:spacing w:line="360" w:lineRule="auto" w:after="160"/>
        <w:jc w:val="both"/>
      </w:pPr>
      <w:r>
        <w:rPr>
          <w:rFonts w:ascii="Times New Roman" w:hAnsi="Times New Roman"/>
          <w:b/>
          <w:sz w:val="24"/>
        </w:rPr>
        <w:t>Keywords:</w:t>
      </w:r>
      <w:r>
        <w:rPr>
          <w:rFonts w:ascii="Times New Roman" w:hAnsi="Times New Roman"/>
          <w:sz w:val="24"/>
        </w:rPr>
        <w:t xml:space="preserve"> Data Mining, BIST Forecasting, Machine Learning, K-Means Clustering, Sector Peer Analysis, Streamlit, Technical Pattern Scanner.</w:t>
      </w:r>
    </w:p>
    <w:p/>
    <w:p>
      <w:pPr>
        <w:spacing w:line="360" w:lineRule="auto" w:after="160"/>
        <w:jc w:val="both"/>
      </w:pPr>
      <w:r>
        <w:rPr>
          <w:rFonts w:ascii="Times New Roman" w:hAnsi="Times New Roman"/>
          <w:sz w:val="24"/>
        </w:rPr>
        <w:t>---</w:t>
      </w:r>
    </w:p>
    <w:p/>
    <w:p>
      <w:pPr>
        <w:pStyle w:val="Heading2"/>
        <w:jc w:val="left"/>
      </w:pPr>
      <w:r>
        <w:rPr>
          <w:rFonts w:ascii="Times New Roman" w:hAnsi="Times New Roman"/>
          <w:b/>
          <w:color w:val="1E1E1E"/>
          <w:sz w:val="28"/>
        </w:rPr>
        <w:t>TABLE OF CONTENTS</w:t>
      </w:r>
    </w:p>
    <w:p/>
    <w:p>
      <w:pPr>
        <w:pStyle w:val="ListBullet"/>
        <w:spacing w:after="80" w:line="276" w:lineRule="auto"/>
      </w:pPr>
      <w:r>
        <w:rPr>
          <w:rFonts w:ascii="Times New Roman" w:hAnsi="Times New Roman"/>
          <w:b/>
          <w:sz w:val="24"/>
        </w:rPr>
        <w:t>ACKNOWLEDGEMENTS</w:t>
      </w:r>
    </w:p>
    <w:p>
      <w:pPr>
        <w:pStyle w:val="ListBullet"/>
        <w:spacing w:after="80" w:line="276" w:lineRule="auto"/>
      </w:pPr>
      <w:r>
        <w:rPr>
          <w:rFonts w:ascii="Times New Roman" w:hAnsi="Times New Roman"/>
          <w:b/>
          <w:sz w:val="24"/>
        </w:rPr>
        <w:t>ÖZ (Turkish Abstract)</w:t>
      </w:r>
    </w:p>
    <w:p>
      <w:pPr>
        <w:pStyle w:val="ListBullet"/>
        <w:spacing w:after="80" w:line="276" w:lineRule="auto"/>
      </w:pPr>
      <w:r>
        <w:rPr>
          <w:rFonts w:ascii="Times New Roman" w:hAnsi="Times New Roman"/>
          <w:b/>
          <w:sz w:val="24"/>
        </w:rPr>
        <w:t>ABSTRACT (English Abstract)</w:t>
      </w:r>
    </w:p>
    <w:p>
      <w:pPr>
        <w:pStyle w:val="ListBullet"/>
        <w:spacing w:after="80" w:line="276" w:lineRule="auto"/>
      </w:pPr>
      <w:r>
        <w:rPr>
          <w:rFonts w:ascii="Times New Roman" w:hAnsi="Times New Roman"/>
          <w:b/>
          <w:sz w:val="24"/>
        </w:rPr>
        <w:t>1. INTRODUCTION</w:t>
      </w:r>
    </w:p>
    <w:p>
      <w:pPr>
        <w:pStyle w:val="ListBullet"/>
        <w:spacing w:after="80" w:line="276" w:lineRule="auto"/>
      </w:pPr>
      <w:r>
        <w:rPr>
          <w:rFonts w:ascii="Times New Roman" w:hAnsi="Times New Roman"/>
          <w:b/>
          <w:sz w:val="24"/>
        </w:rPr>
        <w:t>2. SETTING UP PROJECT</w:t>
      </w:r>
    </w:p>
    <w:p>
      <w:pPr>
        <w:pStyle w:val="ListBullet"/>
        <w:spacing w:after="80" w:line="276" w:lineRule="auto"/>
      </w:pPr>
      <w:r>
        <w:rPr>
          <w:rFonts w:ascii="Times New Roman" w:hAnsi="Times New Roman"/>
          <w:sz w:val="24"/>
        </w:rPr>
        <w:t>2.1. Software Required Before Installation</w:t>
      </w:r>
    </w:p>
    <w:p>
      <w:pPr>
        <w:pStyle w:val="ListBullet"/>
        <w:spacing w:after="80" w:line="276" w:lineRule="auto"/>
      </w:pPr>
      <w:r>
        <w:rPr>
          <w:rFonts w:ascii="Times New Roman" w:hAnsi="Times New Roman"/>
          <w:sz w:val="24"/>
        </w:rPr>
        <w:t>2.2. Initial Package Installations of the Project</w:t>
      </w:r>
    </w:p>
    <w:p>
      <w:pPr>
        <w:pStyle w:val="ListBullet"/>
        <w:spacing w:after="80" w:line="276" w:lineRule="auto"/>
      </w:pPr>
      <w:r>
        <w:rPr>
          <w:rFonts w:ascii="Times New Roman" w:hAnsi="Times New Roman"/>
          <w:b/>
          <w:sz w:val="24"/>
        </w:rPr>
        <w:t>3. DATASET &amp; PREPROCESSING</w:t>
      </w:r>
    </w:p>
    <w:p>
      <w:pPr>
        <w:pStyle w:val="ListBullet"/>
        <w:spacing w:after="80" w:line="276" w:lineRule="auto"/>
      </w:pPr>
      <w:r>
        <w:rPr>
          <w:rFonts w:ascii="Times New Roman" w:hAnsi="Times New Roman"/>
          <w:sz w:val="24"/>
        </w:rPr>
        <w:t>3.1. Data Source and Feature Definitions</w:t>
      </w:r>
    </w:p>
    <w:p>
      <w:pPr>
        <w:pStyle w:val="ListBullet"/>
        <w:spacing w:after="80" w:line="276" w:lineRule="auto"/>
      </w:pPr>
      <w:r>
        <w:rPr>
          <w:rFonts w:ascii="Times New Roman" w:hAnsi="Times New Roman"/>
          <w:sz w:val="24"/>
        </w:rPr>
        <w:t>3.2. Pearson Correlation &amp; Multicollinearity Filtering</w:t>
      </w:r>
    </w:p>
    <w:p>
      <w:pPr>
        <w:pStyle w:val="ListBullet"/>
        <w:spacing w:after="80" w:line="276" w:lineRule="auto"/>
      </w:pPr>
      <w:r>
        <w:rPr>
          <w:rFonts w:ascii="Times New Roman" w:hAnsi="Times New Roman"/>
          <w:sz w:val="24"/>
        </w:rPr>
        <w:t>3.3. K-Means Clustering &amp; PCA Market Segmentation</w:t>
      </w:r>
    </w:p>
    <w:p>
      <w:pPr>
        <w:pStyle w:val="ListBullet"/>
        <w:spacing w:after="80" w:line="276" w:lineRule="auto"/>
      </w:pPr>
      <w:r>
        <w:rPr>
          <w:rFonts w:ascii="Times New Roman" w:hAnsi="Times New Roman"/>
          <w:b/>
          <w:sz w:val="24"/>
        </w:rPr>
        <w:t>4. QUANTITATIVE MODELING &amp; MACHINE LEARNING</w:t>
      </w:r>
    </w:p>
    <w:p>
      <w:pPr>
        <w:pStyle w:val="ListBullet"/>
        <w:spacing w:after="80" w:line="276" w:lineRule="auto"/>
      </w:pPr>
      <w:r>
        <w:rPr>
          <w:rFonts w:ascii="Times New Roman" w:hAnsi="Times New Roman"/>
          <w:sz w:val="24"/>
        </w:rPr>
        <w:t>4.1. K-Nearest Neighbors (K-NN) and GridSearchCV Tuning</w:t>
      </w:r>
    </w:p>
    <w:p>
      <w:pPr>
        <w:pStyle w:val="ListBullet"/>
        <w:spacing w:after="80" w:line="276" w:lineRule="auto"/>
      </w:pPr>
      <w:r>
        <w:rPr>
          <w:rFonts w:ascii="Times New Roman" w:hAnsi="Times New Roman"/>
          <w:sz w:val="24"/>
        </w:rPr>
        <w:t>4.2. Random Forest Classification and Variable Importance</w:t>
      </w:r>
    </w:p>
    <w:p>
      <w:pPr>
        <w:pStyle w:val="ListBullet"/>
        <w:spacing w:after="80" w:line="276" w:lineRule="auto"/>
      </w:pPr>
      <w:r>
        <w:rPr>
          <w:rFonts w:ascii="Times New Roman" w:hAnsi="Times New Roman"/>
          <w:sz w:val="24"/>
        </w:rPr>
        <w:t>4.3. Artificial Neural Networks (ANN - Multi-Layer Perceptron)</w:t>
      </w:r>
    </w:p>
    <w:p>
      <w:pPr>
        <w:pStyle w:val="ListBullet"/>
        <w:spacing w:after="80" w:line="276" w:lineRule="auto"/>
      </w:pPr>
      <w:r>
        <w:rPr>
          <w:rFonts w:ascii="Times New Roman" w:hAnsi="Times New Roman"/>
          <w:sz w:val="24"/>
        </w:rPr>
        <w:t>4.4. Model Performance Evaluation and Comparison</w:t>
      </w:r>
    </w:p>
    <w:p>
      <w:pPr>
        <w:pStyle w:val="ListBullet"/>
        <w:spacing w:after="80" w:line="276" w:lineRule="auto"/>
      </w:pPr>
      <w:r>
        <w:rPr>
          <w:rFonts w:ascii="Times New Roman" w:hAnsi="Times New Roman"/>
          <w:b/>
          <w:sz w:val="24"/>
        </w:rPr>
        <w:t>5. BORSANEURON TERMINAL ARAYÜZÜ</w:t>
      </w:r>
    </w:p>
    <w:p>
      <w:pPr>
        <w:pStyle w:val="ListBullet"/>
        <w:spacing w:after="80" w:line="276" w:lineRule="auto"/>
      </w:pPr>
      <w:r>
        <w:rPr>
          <w:rFonts w:ascii="Times New Roman" w:hAnsi="Times New Roman"/>
          <w:sz w:val="24"/>
        </w:rPr>
        <w:t>5.1. Streamlit UI Layout and Design</w:t>
      </w:r>
    </w:p>
    <w:p>
      <w:pPr>
        <w:pStyle w:val="ListBullet"/>
        <w:spacing w:after="80" w:line="276" w:lineRule="auto"/>
      </w:pPr>
      <w:r>
        <w:rPr>
          <w:rFonts w:ascii="Times New Roman" w:hAnsi="Times New Roman"/>
          <w:sz w:val="24"/>
        </w:rPr>
        <w:t>5.2. Live yfinance Streaming and Technical Calculations</w:t>
      </w:r>
    </w:p>
    <w:p>
      <w:pPr>
        <w:pStyle w:val="ListBullet"/>
        <w:spacing w:after="80" w:line="276" w:lineRule="auto"/>
      </w:pPr>
      <w:r>
        <w:rPr>
          <w:rFonts w:ascii="Times New Roman" w:hAnsi="Times New Roman"/>
          <w:sz w:val="24"/>
        </w:rPr>
        <w:t>5.3. Historical Stock Behavior Weights &amp; Decision Integration</w:t>
      </w:r>
    </w:p>
    <w:p>
      <w:pPr>
        <w:pStyle w:val="ListBullet"/>
        <w:spacing w:after="80" w:line="276" w:lineRule="auto"/>
      </w:pPr>
      <w:r>
        <w:rPr>
          <w:rFonts w:ascii="Times New Roman" w:hAnsi="Times New Roman"/>
          <w:sz w:val="24"/>
        </w:rPr>
        <w:t>5.4. Sektörel Kıyaslama (Sector Peer Analysis)</w:t>
      </w:r>
    </w:p>
    <w:p>
      <w:pPr>
        <w:pStyle w:val="ListBullet"/>
        <w:spacing w:after="80" w:line="276" w:lineRule="auto"/>
      </w:pPr>
      <w:r>
        <w:rPr>
          <w:rFonts w:ascii="Times New Roman" w:hAnsi="Times New Roman"/>
          <w:sz w:val="24"/>
        </w:rPr>
        <w:t>5.5. Interactive Plotly Candlestick with AI Signal Annotations</w:t>
      </w:r>
    </w:p>
    <w:p>
      <w:pPr>
        <w:pStyle w:val="ListBullet"/>
        <w:spacing w:after="80" w:line="276" w:lineRule="auto"/>
      </w:pPr>
      <w:r>
        <w:rPr>
          <w:rFonts w:ascii="Times New Roman" w:hAnsi="Times New Roman"/>
          <w:sz w:val="24"/>
        </w:rPr>
        <w:t>5.6. Stock-Specific Live Backtest Simulator</w:t>
      </w:r>
    </w:p>
    <w:p>
      <w:pPr>
        <w:pStyle w:val="ListBullet"/>
        <w:spacing w:after="80" w:line="276" w:lineRule="auto"/>
      </w:pPr>
      <w:r>
        <w:rPr>
          <w:rFonts w:ascii="Times New Roman" w:hAnsi="Times New Roman"/>
          <w:b/>
          <w:sz w:val="24"/>
        </w:rPr>
        <w:t>6. DEPLOYING PROJECT</w:t>
      </w:r>
    </w:p>
    <w:p>
      <w:pPr>
        <w:pStyle w:val="ListBullet"/>
        <w:spacing w:after="80" w:line="276" w:lineRule="auto"/>
      </w:pPr>
      <w:r>
        <w:rPr>
          <w:rFonts w:ascii="Times New Roman" w:hAnsi="Times New Roman"/>
          <w:sz w:val="24"/>
        </w:rPr>
        <w:t>6.1. Docker Containerization</w:t>
      </w:r>
    </w:p>
    <w:p>
      <w:pPr>
        <w:pStyle w:val="ListBullet"/>
        <w:spacing w:after="80" w:line="276" w:lineRule="auto"/>
      </w:pPr>
      <w:r>
        <w:rPr>
          <w:rFonts w:ascii="Times New Roman" w:hAnsi="Times New Roman"/>
          <w:sz w:val="24"/>
        </w:rPr>
        <w:t>6.2. Production Setup and Server Run Commands</w:t>
      </w:r>
    </w:p>
    <w:p>
      <w:pPr>
        <w:pStyle w:val="ListBullet"/>
        <w:spacing w:after="80" w:line="276" w:lineRule="auto"/>
      </w:pPr>
      <w:r>
        <w:rPr>
          <w:rFonts w:ascii="Times New Roman" w:hAnsi="Times New Roman"/>
          <w:b/>
          <w:sz w:val="24"/>
        </w:rPr>
        <w:t>7. FILE HIERARCHY</w:t>
      </w:r>
    </w:p>
    <w:p>
      <w:pPr>
        <w:pStyle w:val="ListBullet"/>
        <w:spacing w:after="80" w:line="276" w:lineRule="auto"/>
      </w:pPr>
      <w:r>
        <w:rPr>
          <w:rFonts w:ascii="Times New Roman" w:hAnsi="Times New Roman"/>
          <w:b/>
          <w:sz w:val="24"/>
        </w:rPr>
        <w:t>TECH STACK</w:t>
      </w:r>
    </w:p>
    <w:p>
      <w:pPr>
        <w:pStyle w:val="ListBullet"/>
        <w:spacing w:after="80" w:line="276" w:lineRule="auto"/>
      </w:pPr>
      <w:r>
        <w:rPr>
          <w:rFonts w:ascii="Times New Roman" w:hAnsi="Times New Roman"/>
          <w:b/>
          <w:sz w:val="24"/>
        </w:rPr>
        <w:t>REFERENCES</w:t>
      </w:r>
    </w:p>
    <w:p/>
    <w:p>
      <w:pPr>
        <w:spacing w:line="360" w:lineRule="auto" w:after="160"/>
        <w:jc w:val="both"/>
      </w:pPr>
      <w:r>
        <w:rPr>
          <w:rFonts w:ascii="Times New Roman" w:hAnsi="Times New Roman"/>
          <w:sz w:val="24"/>
        </w:rPr>
        <w:t>---</w:t>
      </w:r>
    </w:p>
    <w:p/>
    <w:p>
      <w:r>
        <w:br w:type="page"/>
      </w:r>
    </w:p>
    <w:p>
      <w:pPr>
        <w:pStyle w:val="Heading1"/>
        <w:jc w:val="left"/>
      </w:pPr>
      <w:r>
        <w:rPr>
          <w:rFonts w:ascii="Times New Roman" w:hAnsi="Times New Roman"/>
          <w:b/>
          <w:color w:val="111111"/>
          <w:sz w:val="36"/>
        </w:rPr>
        <w:t>1. INTRODUCTION</w:t>
      </w:r>
    </w:p>
    <w:p/>
    <w:p>
      <w:pPr>
        <w:spacing w:line="360" w:lineRule="auto" w:after="160"/>
        <w:jc w:val="both"/>
      </w:pPr>
      <w:r>
        <w:rPr>
          <w:rFonts w:ascii="Times New Roman" w:hAnsi="Times New Roman"/>
          <w:sz w:val="24"/>
        </w:rPr>
        <w:t>In modern financial markets, the generation of alpha and the accurate prediction of asset price trajectories have evolved from subjective graphical interpretations to quantitative, data-driven computational methodologies. Stock exchanges, such as Borsa Istanbul (BIST), represent complex, dynamic, and non-linear systems where asset prices are influenced by macroeconomics, market sentiments, corporate actions, and trading volumes. Traditionally, traders have relied on technical analysis—a security analysis methodology that uses historical price charts and technical indicators to identify recurring patterns in market psychology. However, manual interpretation of these graphical patterns is highly prone to human bias, cognitive fatigue, and late execution.</w:t>
      </w:r>
    </w:p>
    <w:p/>
    <w:p>
      <w:pPr>
        <w:spacing w:line="360" w:lineRule="auto" w:after="160"/>
        <w:jc w:val="both"/>
      </w:pPr>
      <w:r>
        <w:rPr>
          <w:rFonts w:ascii="Times New Roman" w:hAnsi="Times New Roman"/>
          <w:sz w:val="24"/>
        </w:rPr>
        <w:t xml:space="preserve">The quantitative problem statement addressed in this research is: </w:t>
      </w:r>
      <w:r>
        <w:rPr>
          <w:rFonts w:ascii="Times New Roman" w:hAnsi="Times New Roman"/>
          <w:i/>
          <w:sz w:val="24"/>
        </w:rPr>
        <w:t>Can statistical machine learning classifiers extract predictive patterns from BIST technical indicators to forecast the 5-day future closing price direction, and can classical chart patterns be scanned and flagged dynamically by integrating a stock's unique historical behavior as a decision factor?</w:t>
      </w:r>
    </w:p>
    <w:p/>
    <w:p>
      <w:pPr>
        <w:spacing w:line="360" w:lineRule="auto" w:after="160"/>
        <w:jc w:val="both"/>
      </w:pPr>
      <w:r>
        <w:rPr>
          <w:rFonts w:ascii="Times New Roman" w:hAnsi="Times New Roman"/>
          <w:sz w:val="24"/>
        </w:rPr>
        <w:t xml:space="preserve">The core objective of the </w:t>
      </w:r>
      <w:r>
        <w:rPr>
          <w:rFonts w:ascii="Times New Roman" w:hAnsi="Times New Roman"/>
          <w:b/>
          <w:sz w:val="24"/>
        </w:rPr>
        <w:t>BorsaNeuron</w:t>
      </w:r>
      <w:r>
        <w:rPr>
          <w:rFonts w:ascii="Times New Roman" w:hAnsi="Times New Roman"/>
          <w:sz w:val="24"/>
        </w:rPr>
        <w:t xml:space="preserve"> project is to bridge the gap between complex quantitative modeling and actionable market execution. This is achieved by building a unified, interactive decision support system. The specific technical goals of this thesis are as follows:</w:t>
      </w:r>
    </w:p>
    <w:p>
      <w:pPr>
        <w:spacing w:line="360" w:lineRule="auto" w:after="160"/>
        <w:jc w:val="both"/>
      </w:pPr>
      <w:r>
        <w:rPr>
          <w:rFonts w:ascii="Times New Roman" w:hAnsi="Times New Roman"/>
          <w:sz w:val="24"/>
        </w:rPr>
        <w:t xml:space="preserve">1.  </w:t>
      </w:r>
      <w:r>
        <w:rPr>
          <w:rFonts w:ascii="Times New Roman" w:hAnsi="Times New Roman"/>
          <w:b/>
          <w:sz w:val="24"/>
        </w:rPr>
        <w:t>Develop a Robust Data Mining Pipeline:</w:t>
      </w:r>
      <w:r>
        <w:rPr>
          <w:rFonts w:ascii="Times New Roman" w:hAnsi="Times New Roman"/>
          <w:sz w:val="24"/>
        </w:rPr>
        <w:t xml:space="preserve"> Preprocess historical trading records from BIST 100 tickers and engineer an exhaustive suite of 30 technical indicators representing trend, momentum, volatility, and volume.</w:t>
      </w:r>
    </w:p>
    <w:p>
      <w:pPr>
        <w:spacing w:line="360" w:lineRule="auto" w:after="160"/>
        <w:jc w:val="both"/>
      </w:pPr>
      <w:r>
        <w:rPr>
          <w:rFonts w:ascii="Times New Roman" w:hAnsi="Times New Roman"/>
          <w:sz w:val="24"/>
        </w:rPr>
        <w:t xml:space="preserve">2.  </w:t>
      </w:r>
      <w:r>
        <w:rPr>
          <w:rFonts w:ascii="Times New Roman" w:hAnsi="Times New Roman"/>
          <w:b/>
          <w:sz w:val="24"/>
        </w:rPr>
        <w:t>Conduct Unsupervised Market Segmentation:</w:t>
      </w:r>
      <w:r>
        <w:rPr>
          <w:rFonts w:ascii="Times New Roman" w:hAnsi="Times New Roman"/>
          <w:sz w:val="24"/>
        </w:rPr>
        <w:t xml:space="preserve"> Apply K-Means clustering to technical indicators to identify distinct latent market regimes, and project this multi-dimensional space into 2D using Principal Component Analysis (PCA) for visual clarity.</w:t>
      </w:r>
    </w:p>
    <w:p>
      <w:pPr>
        <w:spacing w:line="360" w:lineRule="auto" w:after="160"/>
        <w:jc w:val="both"/>
      </w:pPr>
      <w:r>
        <w:rPr>
          <w:rFonts w:ascii="Times New Roman" w:hAnsi="Times New Roman"/>
          <w:sz w:val="24"/>
        </w:rPr>
        <w:t xml:space="preserve">3.  </w:t>
      </w:r>
      <w:r>
        <w:rPr>
          <w:rFonts w:ascii="Times New Roman" w:hAnsi="Times New Roman"/>
          <w:b/>
          <w:sz w:val="24"/>
        </w:rPr>
        <w:t>Optimize Supervised Classifiers:</w:t>
      </w:r>
      <w:r>
        <w:rPr>
          <w:rFonts w:ascii="Times New Roman" w:hAnsi="Times New Roman"/>
          <w:sz w:val="24"/>
        </w:rPr>
        <w:t xml:space="preserve"> Design and compare three supervised models—K-Nearest Neighbors (K-NN), Random Forest (RF), and Multi-Layer Perceptron (MLP) Neural Networks—to classify whether a stock's price will rise in 5 days (</w:t>
      </w:r>
      <w:r>
        <w:rPr>
          <w:rFonts w:ascii="Courier New" w:hAnsi="Courier New"/>
          <w:sz w:val="21"/>
        </w:rPr>
        <w:t>Target_T5</w:t>
      </w:r>
      <w:r>
        <w:rPr>
          <w:rFonts w:ascii="Times New Roman" w:hAnsi="Times New Roman"/>
          <w:sz w:val="24"/>
        </w:rPr>
        <w:t>).</w:t>
      </w:r>
    </w:p>
    <w:p>
      <w:pPr>
        <w:spacing w:line="360" w:lineRule="auto" w:after="160"/>
        <w:jc w:val="both"/>
      </w:pPr>
      <w:r>
        <w:rPr>
          <w:rFonts w:ascii="Times New Roman" w:hAnsi="Times New Roman"/>
          <w:sz w:val="24"/>
        </w:rPr>
        <w:t xml:space="preserve">4.  </w:t>
      </w:r>
      <w:r>
        <w:rPr>
          <w:rFonts w:ascii="Times New Roman" w:hAnsi="Times New Roman"/>
          <w:b/>
          <w:sz w:val="24"/>
        </w:rPr>
        <w:t>Integrate Historical stock behavior Weights:</w:t>
      </w:r>
      <w:r>
        <w:rPr>
          <w:rFonts w:ascii="Times New Roman" w:hAnsi="Times New Roman"/>
          <w:sz w:val="24"/>
        </w:rPr>
        <w:t xml:space="preserve"> Build a dynamic decision weights engine that runs live backtests on the queried stock to compute its own win rate under the AI strategy, adjusting recommendation signals.</w:t>
      </w:r>
    </w:p>
    <w:p>
      <w:pPr>
        <w:spacing w:line="360" w:lineRule="auto" w:after="160"/>
        <w:jc w:val="both"/>
      </w:pPr>
      <w:r>
        <w:rPr>
          <w:rFonts w:ascii="Times New Roman" w:hAnsi="Times New Roman"/>
          <w:sz w:val="24"/>
        </w:rPr>
        <w:t xml:space="preserve">5.  </w:t>
      </w:r>
      <w:r>
        <w:rPr>
          <w:rFonts w:ascii="Times New Roman" w:hAnsi="Times New Roman"/>
          <w:b/>
          <w:sz w:val="24"/>
        </w:rPr>
        <w:t>Build an Interactive Web Application:</w:t>
      </w:r>
      <w:r>
        <w:rPr>
          <w:rFonts w:ascii="Times New Roman" w:hAnsi="Times New Roman"/>
          <w:sz w:val="24"/>
        </w:rPr>
        <w:t xml:space="preserve"> Construct a professional web dashboard using Streamlit to load serialized models, fetch live market data flows, and display live forecasts and scanned pattern signals in a clean business intelligence interface.</w:t>
      </w:r>
    </w:p>
    <w:p/>
    <w:p>
      <w:pPr>
        <w:spacing w:line="360" w:lineRule="auto" w:after="160"/>
        <w:jc w:val="both"/>
      </w:pPr>
      <w:r>
        <w:rPr>
          <w:rFonts w:ascii="Times New Roman" w:hAnsi="Times New Roman"/>
          <w:sz w:val="24"/>
        </w:rPr>
        <w:t>---</w:t>
      </w:r>
    </w:p>
    <w:p/>
    <w:p>
      <w:r>
        <w:br w:type="page"/>
      </w:r>
    </w:p>
    <w:p>
      <w:pPr>
        <w:pStyle w:val="Heading1"/>
        <w:jc w:val="left"/>
      </w:pPr>
      <w:r>
        <w:rPr>
          <w:rFonts w:ascii="Times New Roman" w:hAnsi="Times New Roman"/>
          <w:b/>
          <w:color w:val="111111"/>
          <w:sz w:val="36"/>
        </w:rPr>
        <w:t>2. SETTING UP PROJECT</w:t>
      </w:r>
    </w:p>
    <w:p/>
    <w:p>
      <w:pPr>
        <w:pStyle w:val="Heading2"/>
        <w:jc w:val="left"/>
      </w:pPr>
      <w:r>
        <w:rPr>
          <w:rFonts w:ascii="Times New Roman" w:hAnsi="Times New Roman"/>
          <w:b/>
          <w:color w:val="1E1E1E"/>
          <w:sz w:val="28"/>
        </w:rPr>
        <w:t>2.1. Software Required Before Installation</w:t>
      </w:r>
    </w:p>
    <w:p>
      <w:pPr>
        <w:spacing w:line="360" w:lineRule="auto" w:after="160"/>
        <w:jc w:val="both"/>
      </w:pPr>
      <w:r>
        <w:rPr>
          <w:rFonts w:ascii="Times New Roman" w:hAnsi="Times New Roman"/>
          <w:sz w:val="24"/>
        </w:rPr>
        <w:t>To ensure stability, efficiency, and platform portability, BorsaNeuron was designed using standard modern programming environments. The primary requirements include:</w:t>
      </w:r>
    </w:p>
    <w:p>
      <w:pPr>
        <w:pStyle w:val="ListBullet"/>
        <w:spacing w:after="80" w:line="276" w:lineRule="auto"/>
      </w:pPr>
      <w:r>
        <w:rPr>
          <w:rFonts w:ascii="Times New Roman" w:hAnsi="Times New Roman"/>
          <w:b/>
          <w:sz w:val="24"/>
        </w:rPr>
        <w:t>Python v3.9 or v3.11:</w:t>
      </w:r>
      <w:r>
        <w:rPr>
          <w:rFonts w:ascii="Times New Roman" w:hAnsi="Times New Roman"/>
          <w:sz w:val="24"/>
        </w:rPr>
        <w:t xml:space="preserve"> Selected for its ecosystem in scientific computing, machine learning, and web dashboard tools. Versions 3.9 and 3.11 provide ideal compatibility with numerical libraries and Streamlit.</w:t>
      </w:r>
    </w:p>
    <w:p>
      <w:pPr>
        <w:pStyle w:val="ListBullet"/>
        <w:spacing w:after="80" w:line="276" w:lineRule="auto"/>
      </w:pPr>
      <w:r>
        <w:rPr>
          <w:rFonts w:ascii="Times New Roman" w:hAnsi="Times New Roman"/>
          <w:b/>
          <w:sz w:val="24"/>
        </w:rPr>
        <w:t>Visual Studio Code (VS Code) IDE:</w:t>
      </w:r>
      <w:r>
        <w:rPr>
          <w:rFonts w:ascii="Times New Roman" w:hAnsi="Times New Roman"/>
          <w:sz w:val="24"/>
        </w:rPr>
        <w:t xml:space="preserve"> Used as the primary development environment due to its support for interactive Python notebook environments, debugging utilities, Git source control integration, and virtual environments.</w:t>
      </w:r>
    </w:p>
    <w:p>
      <w:pPr>
        <w:pStyle w:val="ListBullet"/>
        <w:spacing w:after="80" w:line="276" w:lineRule="auto"/>
      </w:pPr>
      <w:r>
        <w:rPr>
          <w:rFonts w:ascii="Times New Roman" w:hAnsi="Times New Roman"/>
          <w:b/>
          <w:sz w:val="24"/>
        </w:rPr>
        <w:t>Git Source Control:</w:t>
      </w:r>
      <w:r>
        <w:rPr>
          <w:rFonts w:ascii="Times New Roman" w:hAnsi="Times New Roman"/>
          <w:sz w:val="24"/>
        </w:rPr>
        <w:t xml:space="preserve"> Implemented locally to version-control the source scripts and configure continuous integration workflows.</w:t>
      </w:r>
    </w:p>
    <w:p/>
    <w:p>
      <w:pPr>
        <w:pStyle w:val="Heading2"/>
        <w:jc w:val="left"/>
      </w:pPr>
      <w:r>
        <w:rPr>
          <w:rFonts w:ascii="Times New Roman" w:hAnsi="Times New Roman"/>
          <w:b/>
          <w:color w:val="1E1E1E"/>
          <w:sz w:val="28"/>
        </w:rPr>
        <w:t>2.2. Initial Package Installations of the Project</w:t>
      </w:r>
    </w:p>
    <w:p>
      <w:pPr>
        <w:spacing w:line="360" w:lineRule="auto" w:after="160"/>
        <w:jc w:val="both"/>
      </w:pPr>
      <w:r>
        <w:rPr>
          <w:rFonts w:ascii="Times New Roman" w:hAnsi="Times New Roman"/>
          <w:sz w:val="24"/>
        </w:rPr>
        <w:t xml:space="preserve">To prevent dependency conflicts, a dedicated virtual environment was constructed. The dependencies are maintained in a structured </w:t>
      </w:r>
      <w:r>
        <w:rPr>
          <w:rFonts w:ascii="Courier New" w:hAnsi="Courier New"/>
          <w:sz w:val="21"/>
        </w:rPr>
        <w:t>requirements.txt</w:t>
      </w:r>
      <w:r>
        <w:rPr>
          <w:rFonts w:ascii="Times New Roman" w:hAnsi="Times New Roman"/>
          <w:sz w:val="24"/>
        </w:rPr>
        <w:t xml:space="preserve"> manifest:</w:t>
      </w:r>
    </w:p>
    <w:p/>
    <w:p>
      <w:pPr>
        <w:spacing w:line="360" w:lineRule="auto" w:after="160"/>
        <w:jc w:val="both"/>
      </w:pPr>
      <w:r>
        <w:rPr>
          <w:rFonts w:ascii="Courier New" w:hAnsi="Courier New"/>
          <w:sz w:val="21"/>
        </w:rPr>
      </w:r>
      <w:r>
        <w:rPr>
          <w:rFonts w:ascii="Times New Roman" w:hAnsi="Times New Roman"/>
          <w:sz w:val="24"/>
        </w:rPr>
        <w:t>text</w:t>
      </w:r>
    </w:p>
    <w:p>
      <w:pPr>
        <w:spacing w:line="360" w:lineRule="auto" w:after="160"/>
        <w:jc w:val="both"/>
      </w:pPr>
      <w:r>
        <w:rPr>
          <w:rFonts w:ascii="Times New Roman" w:hAnsi="Times New Roman"/>
          <w:sz w:val="24"/>
        </w:rPr>
        <w:t>pandas&gt;=1.5.0</w:t>
      </w:r>
    </w:p>
    <w:p>
      <w:pPr>
        <w:spacing w:line="360" w:lineRule="auto" w:after="160"/>
        <w:jc w:val="both"/>
      </w:pPr>
      <w:r>
        <w:rPr>
          <w:rFonts w:ascii="Times New Roman" w:hAnsi="Times New Roman"/>
          <w:sz w:val="24"/>
        </w:rPr>
        <w:t>numpy&gt;=1.22.0</w:t>
      </w:r>
    </w:p>
    <w:p>
      <w:pPr>
        <w:spacing w:line="360" w:lineRule="auto" w:after="160"/>
        <w:jc w:val="both"/>
      </w:pPr>
      <w:r>
        <w:rPr>
          <w:rFonts w:ascii="Times New Roman" w:hAnsi="Times New Roman"/>
          <w:sz w:val="24"/>
        </w:rPr>
        <w:t>scikit-learn&gt;=1.1.0</w:t>
      </w:r>
    </w:p>
    <w:p>
      <w:pPr>
        <w:spacing w:line="360" w:lineRule="auto" w:after="160"/>
        <w:jc w:val="both"/>
      </w:pPr>
      <w:r>
        <w:rPr>
          <w:rFonts w:ascii="Times New Roman" w:hAnsi="Times New Roman"/>
          <w:sz w:val="24"/>
        </w:rPr>
        <w:t>streamlit&gt;=1.22.0</w:t>
      </w:r>
    </w:p>
    <w:p>
      <w:pPr>
        <w:spacing w:line="360" w:lineRule="auto" w:after="160"/>
        <w:jc w:val="both"/>
      </w:pPr>
      <w:r>
        <w:rPr>
          <w:rFonts w:ascii="Times New Roman" w:hAnsi="Times New Roman"/>
          <w:sz w:val="24"/>
        </w:rPr>
        <w:t>matplotlib&gt;=3.5.0</w:t>
      </w:r>
    </w:p>
    <w:p>
      <w:pPr>
        <w:spacing w:line="360" w:lineRule="auto" w:after="160"/>
        <w:jc w:val="both"/>
      </w:pPr>
      <w:r>
        <w:rPr>
          <w:rFonts w:ascii="Times New Roman" w:hAnsi="Times New Roman"/>
          <w:sz w:val="24"/>
        </w:rPr>
        <w:t>seaborn&gt;=0.11.0</w:t>
      </w:r>
    </w:p>
    <w:p>
      <w:pPr>
        <w:spacing w:line="360" w:lineRule="auto" w:after="160"/>
        <w:jc w:val="both"/>
      </w:pPr>
      <w:r>
        <w:rPr>
          <w:rFonts w:ascii="Times New Roman" w:hAnsi="Times New Roman"/>
          <w:sz w:val="24"/>
        </w:rPr>
        <w:t>joblib&gt;=1.1.0</w:t>
      </w:r>
    </w:p>
    <w:p>
      <w:pPr>
        <w:spacing w:line="360" w:lineRule="auto" w:after="160"/>
        <w:jc w:val="both"/>
      </w:pPr>
      <w:r>
        <w:rPr>
          <w:rFonts w:ascii="Times New Roman" w:hAnsi="Times New Roman"/>
          <w:sz w:val="24"/>
        </w:rPr>
        <w:t>yfinance&gt;=0.2.0</w:t>
      </w:r>
    </w:p>
    <w:p>
      <w:pPr>
        <w:spacing w:line="360" w:lineRule="auto" w:after="160"/>
        <w:jc w:val="both"/>
      </w:pPr>
      <w:r>
        <w:rPr>
          <w:rFonts w:ascii="Times New Roman" w:hAnsi="Times New Roman"/>
          <w:sz w:val="24"/>
        </w:rPr>
        <w:t>plotly&gt;=5.10.0</w:t>
      </w:r>
    </w:p>
    <w:p>
      <w:pPr>
        <w:spacing w:line="360" w:lineRule="auto" w:after="160"/>
        <w:jc w:val="both"/>
      </w:pPr>
      <w:r>
        <w:rPr>
          <w:rFonts w:ascii="Times New Roman" w:hAnsi="Times New Roman"/>
          <w:sz w:val="24"/>
        </w:rPr>
        <w:t>xgboost&gt;=1.6.0</w:t>
      </w:r>
    </w:p>
    <w:p>
      <w:pPr>
        <w:spacing w:line="360" w:lineRule="auto" w:after="160"/>
        <w:jc w:val="both"/>
      </w:pPr>
      <w:r>
        <w:rPr>
          <w:rFonts w:ascii="Courier New" w:hAnsi="Courier New"/>
          <w:sz w:val="21"/>
        </w:rPr>
      </w:r>
    </w:p>
    <w:p/>
    <w:p>
      <w:pPr>
        <w:spacing w:line="360" w:lineRule="auto" w:after="160"/>
        <w:jc w:val="both"/>
      </w:pPr>
      <w:r>
        <w:rPr>
          <w:rFonts w:ascii="Times New Roman" w:hAnsi="Times New Roman"/>
          <w:sz w:val="24"/>
        </w:rPr>
        <w:t>The virtual environment setup and package installations are executed via the command terminal:</w:t>
      </w:r>
    </w:p>
    <w:p/>
    <w:p>
      <w:pPr>
        <w:spacing w:line="360" w:lineRule="auto" w:after="160"/>
        <w:jc w:val="both"/>
      </w:pPr>
      <w:r>
        <w:rPr>
          <w:rFonts w:ascii="Courier New" w:hAnsi="Courier New"/>
          <w:sz w:val="21"/>
        </w:rPr>
      </w:r>
      <w:r>
        <w:rPr>
          <w:rFonts w:ascii="Times New Roman" w:hAnsi="Times New Roman"/>
          <w:sz w:val="24"/>
        </w:rPr>
        <w:t>powershell</w:t>
      </w:r>
    </w:p>
    <w:p>
      <w:r>
        <w:br w:type="page"/>
      </w:r>
    </w:p>
    <w:p>
      <w:pPr>
        <w:pStyle w:val="Heading1"/>
        <w:jc w:val="left"/>
      </w:pPr>
      <w:r>
        <w:rPr>
          <w:rFonts w:ascii="Times New Roman" w:hAnsi="Times New Roman"/>
          <w:b/>
          <w:color w:val="111111"/>
          <w:sz w:val="36"/>
        </w:rPr>
        <w:t>Create virtual environment</w:t>
      </w:r>
    </w:p>
    <w:p>
      <w:pPr>
        <w:spacing w:line="360" w:lineRule="auto" w:after="160"/>
        <w:jc w:val="both"/>
      </w:pPr>
      <w:r>
        <w:rPr>
          <w:rFonts w:ascii="Times New Roman" w:hAnsi="Times New Roman"/>
          <w:sz w:val="24"/>
        </w:rPr>
        <w:t>python -m venv borsaneuron_env</w:t>
      </w:r>
    </w:p>
    <w:p/>
    <w:p>
      <w:r>
        <w:br w:type="page"/>
      </w:r>
    </w:p>
    <w:p>
      <w:pPr>
        <w:pStyle w:val="Heading1"/>
        <w:jc w:val="left"/>
      </w:pPr>
      <w:r>
        <w:rPr>
          <w:rFonts w:ascii="Times New Roman" w:hAnsi="Times New Roman"/>
          <w:b/>
          <w:color w:val="111111"/>
          <w:sz w:val="36"/>
        </w:rPr>
        <w:t>Activate virtual environment</w:t>
      </w:r>
    </w:p>
    <w:p>
      <w:pPr>
        <w:spacing w:line="360" w:lineRule="auto" w:after="160"/>
        <w:jc w:val="both"/>
      </w:pPr>
      <w:r>
        <w:rPr>
          <w:rFonts w:ascii="Times New Roman" w:hAnsi="Times New Roman"/>
          <w:sz w:val="24"/>
        </w:rPr>
        <w:t>.\borsaneuron_env\Scripts\Activate.ps1</w:t>
      </w:r>
    </w:p>
    <w:p/>
    <w:p>
      <w:r>
        <w:br w:type="page"/>
      </w:r>
    </w:p>
    <w:p>
      <w:pPr>
        <w:pStyle w:val="Heading1"/>
        <w:jc w:val="left"/>
      </w:pPr>
      <w:r>
        <w:rPr>
          <w:rFonts w:ascii="Times New Roman" w:hAnsi="Times New Roman"/>
          <w:b/>
          <w:color w:val="111111"/>
          <w:sz w:val="36"/>
        </w:rPr>
        <w:t>Upgrade pip manager</w:t>
      </w:r>
    </w:p>
    <w:p>
      <w:pPr>
        <w:spacing w:line="360" w:lineRule="auto" w:after="160"/>
        <w:jc w:val="both"/>
      </w:pPr>
      <w:r>
        <w:rPr>
          <w:rFonts w:ascii="Times New Roman" w:hAnsi="Times New Roman"/>
          <w:sz w:val="24"/>
        </w:rPr>
        <w:t>python -m pip install --upgrade pip</w:t>
      </w:r>
    </w:p>
    <w:p/>
    <w:p>
      <w:r>
        <w:br w:type="page"/>
      </w:r>
    </w:p>
    <w:p>
      <w:pPr>
        <w:pStyle w:val="Heading1"/>
        <w:jc w:val="left"/>
      </w:pPr>
      <w:r>
        <w:rPr>
          <w:rFonts w:ascii="Times New Roman" w:hAnsi="Times New Roman"/>
          <w:b/>
          <w:color w:val="111111"/>
          <w:sz w:val="36"/>
        </w:rPr>
        <w:t>Install project dependencies</w:t>
      </w:r>
    </w:p>
    <w:p>
      <w:pPr>
        <w:spacing w:line="360" w:lineRule="auto" w:after="160"/>
        <w:jc w:val="both"/>
      </w:pPr>
      <w:r>
        <w:rPr>
          <w:rFonts w:ascii="Times New Roman" w:hAnsi="Times New Roman"/>
          <w:sz w:val="24"/>
        </w:rPr>
        <w:t>pip install -r requirements.txt</w:t>
      </w:r>
    </w:p>
    <w:p>
      <w:pPr>
        <w:spacing w:line="360" w:lineRule="auto" w:after="160"/>
        <w:jc w:val="both"/>
      </w:pPr>
      <w:r>
        <w:rPr>
          <w:rFonts w:ascii="Courier New" w:hAnsi="Courier New"/>
          <w:sz w:val="21"/>
        </w:rPr>
      </w:r>
    </w:p>
    <w:p/>
    <w:p>
      <w:pPr>
        <w:spacing w:line="360" w:lineRule="auto" w:after="160"/>
        <w:jc w:val="both"/>
      </w:pPr>
      <w:r>
        <w:rPr>
          <w:rFonts w:ascii="Times New Roman" w:hAnsi="Times New Roman"/>
          <w:sz w:val="24"/>
        </w:rPr>
        <w:t>---</w:t>
      </w:r>
    </w:p>
    <w:p/>
    <w:p>
      <w:r>
        <w:br w:type="page"/>
      </w:r>
    </w:p>
    <w:p>
      <w:pPr>
        <w:pStyle w:val="Heading1"/>
        <w:jc w:val="left"/>
      </w:pPr>
      <w:r>
        <w:rPr>
          <w:rFonts w:ascii="Times New Roman" w:hAnsi="Times New Roman"/>
          <w:b/>
          <w:color w:val="111111"/>
          <w:sz w:val="36"/>
        </w:rPr>
        <w:t>3. DATASET &amp; PREPROCESSING</w:t>
      </w:r>
    </w:p>
    <w:p/>
    <w:p>
      <w:pPr>
        <w:pStyle w:val="Heading2"/>
        <w:jc w:val="left"/>
      </w:pPr>
      <w:r>
        <w:rPr>
          <w:rFonts w:ascii="Times New Roman" w:hAnsi="Times New Roman"/>
          <w:b/>
          <w:color w:val="1E1E1E"/>
          <w:sz w:val="28"/>
        </w:rPr>
        <w:t>3.1. Data Source and Feature Definitions</w:t>
      </w:r>
    </w:p>
    <w:p>
      <w:pPr>
        <w:spacing w:line="360" w:lineRule="auto" w:after="160"/>
        <w:jc w:val="both"/>
      </w:pPr>
      <w:r>
        <w:rPr>
          <w:rFonts w:ascii="Times New Roman" w:hAnsi="Times New Roman"/>
          <w:sz w:val="24"/>
        </w:rPr>
        <w:t xml:space="preserve">The empirical foundation of the project resides in </w:t>
      </w:r>
      <w:r>
        <w:rPr>
          <w:rFonts w:ascii="Courier New" w:hAnsi="Courier New"/>
          <w:sz w:val="21"/>
        </w:rPr>
        <w:t>bist_ai_dataset_real_30cols.csv</w:t>
      </w:r>
      <w:r>
        <w:rPr>
          <w:rFonts w:ascii="Times New Roman" w:hAnsi="Times New Roman"/>
          <w:sz w:val="24"/>
        </w:rPr>
        <w:t xml:space="preserve">, representing a robust historical dataset of </w:t>
      </w:r>
      <w:r>
        <w:rPr>
          <w:rFonts w:ascii="Times New Roman" w:hAnsi="Times New Roman"/>
          <w:b/>
          <w:sz w:val="24"/>
        </w:rPr>
        <w:t>all active 537 tickers</w:t>
      </w:r>
      <w:r>
        <w:rPr>
          <w:rFonts w:ascii="Times New Roman" w:hAnsi="Times New Roman"/>
          <w:sz w:val="24"/>
        </w:rPr>
        <w:t xml:space="preserve"> traded on Borsa Istanbul (BIST) with a total volume of nearly half a million historical daily records. Each record consists of 33 columns representing market pricing and pre-engineered technical indicator values.</w:t>
      </w:r>
    </w:p>
    <w:p/>
    <w:p>
      <w:pPr>
        <w:spacing w:line="360" w:lineRule="auto" w:after="160"/>
        <w:jc w:val="both"/>
      </w:pPr>
      <w:r>
        <w:rPr>
          <w:rFonts w:ascii="Times New Roman" w:hAnsi="Times New Roman"/>
          <w:sz w:val="24"/>
        </w:rPr>
        <w:t>The feature space consists of 30 numerical variables categorized by technical analyst metrics:</w:t>
      </w:r>
    </w:p>
    <w:p>
      <w:pPr>
        <w:pStyle w:val="ListBullet"/>
        <w:spacing w:after="80" w:line="276" w:lineRule="auto"/>
      </w:pPr>
      <w:r>
        <w:rPr>
          <w:rFonts w:ascii="Times New Roman" w:hAnsi="Times New Roman"/>
          <w:b/>
          <w:sz w:val="24"/>
        </w:rPr>
        <w:t>Trend Indicators:</w:t>
      </w:r>
      <w:r>
        <w:rPr>
          <w:rFonts w:ascii="Times New Roman" w:hAnsi="Times New Roman"/>
          <w:sz w:val="24"/>
        </w:rPr>
        <w:t xml:space="preserve"> Simple Moving Averages (</w:t>
      </w:r>
      <w:r>
        <w:rPr>
          <w:rFonts w:ascii="Times New Roman" w:hAnsi="Times New Roman"/>
          <w:sz w:val="24"/>
        </w:rPr>
        <w:t>SMA_20</w:t>
      </w:r>
      <w:r>
        <w:rPr>
          <w:rFonts w:ascii="Times New Roman" w:hAnsi="Times New Roman"/>
          <w:sz w:val="24"/>
        </w:rPr>
        <w:t xml:space="preserve">, </w:t>
      </w:r>
      <w:r>
        <w:rPr>
          <w:rFonts w:ascii="Times New Roman" w:hAnsi="Times New Roman"/>
          <w:sz w:val="24"/>
        </w:rPr>
        <w:t>SMA_50</w:t>
      </w:r>
      <w:r>
        <w:rPr>
          <w:rFonts w:ascii="Times New Roman" w:hAnsi="Times New Roman"/>
          <w:sz w:val="24"/>
        </w:rPr>
        <w:t xml:space="preserve">, </w:t>
      </w:r>
      <w:r>
        <w:rPr>
          <w:rFonts w:ascii="Times New Roman" w:hAnsi="Times New Roman"/>
          <w:sz w:val="24"/>
        </w:rPr>
        <w:t>SMA_200</w:t>
      </w:r>
      <w:r>
        <w:rPr>
          <w:rFonts w:ascii="Times New Roman" w:hAnsi="Times New Roman"/>
          <w:sz w:val="24"/>
        </w:rPr>
        <w:t>) and Exponential Moving Averages (</w:t>
      </w:r>
      <w:r>
        <w:rPr>
          <w:rFonts w:ascii="Times New Roman" w:hAnsi="Times New Roman"/>
          <w:sz w:val="24"/>
        </w:rPr>
        <w:t>EMA_12</w:t>
      </w:r>
      <w:r>
        <w:rPr>
          <w:rFonts w:ascii="Times New Roman" w:hAnsi="Times New Roman"/>
          <w:sz w:val="24"/>
        </w:rPr>
        <w:t xml:space="preserve">, </w:t>
      </w:r>
      <w:r>
        <w:rPr>
          <w:rFonts w:ascii="Times New Roman" w:hAnsi="Times New Roman"/>
          <w:sz w:val="24"/>
        </w:rPr>
        <w:t>EMA_26</w:t>
      </w:r>
      <w:r>
        <w:rPr>
          <w:rFonts w:ascii="Times New Roman" w:hAnsi="Times New Roman"/>
          <w:sz w:val="24"/>
        </w:rPr>
        <w:t>).</w:t>
      </w:r>
    </w:p>
    <w:p>
      <w:pPr>
        <w:pStyle w:val="ListBullet"/>
        <w:spacing w:after="80" w:line="276" w:lineRule="auto"/>
      </w:pPr>
      <w:r>
        <w:rPr>
          <w:rFonts w:ascii="Times New Roman" w:hAnsi="Times New Roman"/>
          <w:b/>
          <w:sz w:val="24"/>
        </w:rPr>
        <w:t>Momentum Indicators:</w:t>
      </w:r>
      <w:r>
        <w:rPr>
          <w:rFonts w:ascii="Times New Roman" w:hAnsi="Times New Roman"/>
          <w:sz w:val="24"/>
        </w:rPr>
        <w:t xml:space="preserve"> Relative Strength Index (</w:t>
      </w:r>
      <w:r>
        <w:rPr>
          <w:rFonts w:ascii="Times New Roman" w:hAnsi="Times New Roman"/>
          <w:sz w:val="24"/>
        </w:rPr>
        <w:t>RSI_14</w:t>
      </w:r>
      <w:r>
        <w:rPr>
          <w:rFonts w:ascii="Times New Roman" w:hAnsi="Times New Roman"/>
          <w:sz w:val="24"/>
        </w:rPr>
        <w:t>), which measures momentum, and Stochastic Oscillators (</w:t>
      </w:r>
      <w:r>
        <w:rPr>
          <w:rFonts w:ascii="Times New Roman" w:hAnsi="Times New Roman"/>
          <w:sz w:val="24"/>
        </w:rPr>
        <w:t>Stoch_K</w:t>
      </w:r>
      <w:r>
        <w:rPr>
          <w:rFonts w:ascii="Times New Roman" w:hAnsi="Times New Roman"/>
          <w:sz w:val="24"/>
        </w:rPr>
        <w:t xml:space="preserve">, </w:t>
      </w:r>
      <w:r>
        <w:rPr>
          <w:rFonts w:ascii="Times New Roman" w:hAnsi="Times New Roman"/>
          <w:sz w:val="24"/>
        </w:rPr>
        <w:t>Stoch_D</w:t>
      </w:r>
      <w:r>
        <w:rPr>
          <w:rFonts w:ascii="Times New Roman" w:hAnsi="Times New Roman"/>
          <w:sz w:val="24"/>
        </w:rPr>
        <w:t>).</w:t>
      </w:r>
    </w:p>
    <w:p>
      <w:pPr>
        <w:pStyle w:val="ListBullet"/>
        <w:spacing w:after="80" w:line="276" w:lineRule="auto"/>
      </w:pPr>
      <w:r>
        <w:rPr>
          <w:rFonts w:ascii="Times New Roman" w:hAnsi="Times New Roman"/>
          <w:b/>
          <w:sz w:val="24"/>
        </w:rPr>
        <w:t>Trend Volatility &amp; Divergence:</w:t>
      </w:r>
      <w:r>
        <w:rPr>
          <w:rFonts w:ascii="Times New Roman" w:hAnsi="Times New Roman"/>
          <w:sz w:val="24"/>
        </w:rPr>
        <w:t xml:space="preserve"> Moving Average Convergence Divergence (</w:t>
      </w:r>
      <w:r>
        <w:rPr>
          <w:rFonts w:ascii="Times New Roman" w:hAnsi="Times New Roman"/>
          <w:sz w:val="24"/>
        </w:rPr>
        <w:t>MACD</w:t>
      </w:r>
      <w:r>
        <w:rPr>
          <w:rFonts w:ascii="Times New Roman" w:hAnsi="Times New Roman"/>
          <w:sz w:val="24"/>
        </w:rPr>
        <w:t>) and its signal line (</w:t>
      </w:r>
      <w:r>
        <w:rPr>
          <w:rFonts w:ascii="Times New Roman" w:hAnsi="Times New Roman"/>
          <w:sz w:val="24"/>
        </w:rPr>
        <w:t>MACD_Signal</w:t>
      </w:r>
      <w:r>
        <w:rPr>
          <w:rFonts w:ascii="Times New Roman" w:hAnsi="Times New Roman"/>
          <w:sz w:val="24"/>
        </w:rPr>
        <w:t>), alongside Bollinger Bands (</w:t>
      </w:r>
      <w:r>
        <w:rPr>
          <w:rFonts w:ascii="Times New Roman" w:hAnsi="Times New Roman"/>
          <w:sz w:val="24"/>
        </w:rPr>
        <w:t>BB_Upper</w:t>
      </w:r>
      <w:r>
        <w:rPr>
          <w:rFonts w:ascii="Times New Roman" w:hAnsi="Times New Roman"/>
          <w:sz w:val="24"/>
        </w:rPr>
        <w:t xml:space="preserve">, </w:t>
      </w:r>
      <w:r>
        <w:rPr>
          <w:rFonts w:ascii="Times New Roman" w:hAnsi="Times New Roman"/>
          <w:sz w:val="24"/>
        </w:rPr>
        <w:t>BB_Middle</w:t>
      </w:r>
      <w:r>
        <w:rPr>
          <w:rFonts w:ascii="Times New Roman" w:hAnsi="Times New Roman"/>
          <w:sz w:val="24"/>
        </w:rPr>
        <w:t xml:space="preserve">, </w:t>
      </w:r>
      <w:r>
        <w:rPr>
          <w:rFonts w:ascii="Times New Roman" w:hAnsi="Times New Roman"/>
          <w:sz w:val="24"/>
        </w:rPr>
        <w:t>BB_Lower</w:t>
      </w:r>
      <w:r>
        <w:rPr>
          <w:rFonts w:ascii="Times New Roman" w:hAnsi="Times New Roman"/>
          <w:sz w:val="24"/>
        </w:rPr>
        <w:t>).</w:t>
      </w:r>
    </w:p>
    <w:p>
      <w:pPr>
        <w:pStyle w:val="ListBullet"/>
        <w:spacing w:after="80" w:line="276" w:lineRule="auto"/>
      </w:pPr>
      <w:r>
        <w:rPr>
          <w:rFonts w:ascii="Times New Roman" w:hAnsi="Times New Roman"/>
          <w:b/>
          <w:sz w:val="24"/>
        </w:rPr>
        <w:t>Volatility Metrics:</w:t>
      </w:r>
      <w:r>
        <w:rPr>
          <w:rFonts w:ascii="Times New Roman" w:hAnsi="Times New Roman"/>
          <w:sz w:val="24"/>
        </w:rPr>
        <w:t xml:space="preserve"> Average True Range (</w:t>
      </w:r>
      <w:r>
        <w:rPr>
          <w:rFonts w:ascii="Times New Roman" w:hAnsi="Times New Roman"/>
          <w:sz w:val="24"/>
        </w:rPr>
        <w:t>ATR_14</w:t>
      </w:r>
      <w:r>
        <w:rPr>
          <w:rFonts w:ascii="Times New Roman" w:hAnsi="Times New Roman"/>
          <w:sz w:val="24"/>
        </w:rPr>
        <w:t>), which gauges volatility.</w:t>
      </w:r>
    </w:p>
    <w:p>
      <w:pPr>
        <w:pStyle w:val="ListBullet"/>
        <w:spacing w:after="80" w:line="276" w:lineRule="auto"/>
      </w:pPr>
      <w:r>
        <w:rPr>
          <w:rFonts w:ascii="Times New Roman" w:hAnsi="Times New Roman"/>
          <w:b/>
          <w:sz w:val="24"/>
        </w:rPr>
        <w:t>Support and Resistance:</w:t>
      </w:r>
      <w:r>
        <w:rPr>
          <w:rFonts w:ascii="Times New Roman" w:hAnsi="Times New Roman"/>
          <w:sz w:val="24"/>
        </w:rPr>
        <w:t xml:space="preserve"> Computed dynamic levels (</w:t>
      </w:r>
      <w:r>
        <w:rPr>
          <w:rFonts w:ascii="Times New Roman" w:hAnsi="Times New Roman"/>
          <w:sz w:val="24"/>
        </w:rPr>
        <w:t>Support_Level</w:t>
      </w:r>
      <w:r>
        <w:rPr>
          <w:rFonts w:ascii="Times New Roman" w:hAnsi="Times New Roman"/>
          <w:sz w:val="24"/>
        </w:rPr>
        <w:t xml:space="preserve">, </w:t>
      </w:r>
      <w:r>
        <w:rPr>
          <w:rFonts w:ascii="Times New Roman" w:hAnsi="Times New Roman"/>
          <w:sz w:val="24"/>
        </w:rPr>
        <w:t>Resistance_Level</w:t>
      </w:r>
      <w:r>
        <w:rPr>
          <w:rFonts w:ascii="Times New Roman" w:hAnsi="Times New Roman"/>
          <w:sz w:val="24"/>
        </w:rPr>
        <w:t>) indicating historical buy/sell zones.</w:t>
      </w:r>
    </w:p>
    <w:p>
      <w:pPr>
        <w:pStyle w:val="ListBullet"/>
        <w:spacing w:after="80" w:line="276" w:lineRule="auto"/>
      </w:pPr>
      <w:r>
        <w:rPr>
          <w:rFonts w:ascii="Times New Roman" w:hAnsi="Times New Roman"/>
          <w:b/>
          <w:sz w:val="24"/>
        </w:rPr>
        <w:t>Order Book and Microstructure:</w:t>
      </w:r>
      <w:r>
        <w:rPr>
          <w:rFonts w:ascii="Times New Roman" w:hAnsi="Times New Roman"/>
          <w:sz w:val="24"/>
        </w:rPr>
        <w:t xml:space="preserve"> Indicators representing order depth and slope, including </w:t>
      </w:r>
      <w:r>
        <w:rPr>
          <w:rFonts w:ascii="Times New Roman" w:hAnsi="Times New Roman"/>
          <w:sz w:val="24"/>
        </w:rPr>
        <w:t>Depth_Ratio</w:t>
      </w:r>
      <w:r>
        <w:rPr>
          <w:rFonts w:ascii="Times New Roman" w:hAnsi="Times New Roman"/>
          <w:sz w:val="24"/>
        </w:rPr>
        <w:t xml:space="preserve"> and </w:t>
      </w:r>
      <w:r>
        <w:rPr>
          <w:rFonts w:ascii="Times New Roman" w:hAnsi="Times New Roman"/>
          <w:sz w:val="24"/>
        </w:rPr>
        <w:t>Neckline_Slope</w:t>
      </w:r>
      <w:r>
        <w:rPr>
          <w:rFonts w:ascii="Times New Roman" w:hAnsi="Times New Roman"/>
          <w:sz w:val="24"/>
        </w:rPr>
        <w:t>.</w:t>
      </w:r>
    </w:p>
    <w:p>
      <w:pPr>
        <w:pStyle w:val="ListBullet"/>
        <w:spacing w:after="80" w:line="276" w:lineRule="auto"/>
      </w:pPr>
      <w:r>
        <w:rPr>
          <w:rFonts w:ascii="Times New Roman" w:hAnsi="Times New Roman"/>
          <w:b/>
          <w:sz w:val="24"/>
        </w:rPr>
        <w:t>Expert Metrics:</w:t>
      </w:r>
      <w:r>
        <w:rPr>
          <w:rFonts w:ascii="Times New Roman" w:hAnsi="Times New Roman"/>
          <w:sz w:val="24"/>
        </w:rPr>
        <w:t xml:space="preserve"> </w:t>
      </w:r>
      <w:r>
        <w:rPr>
          <w:rFonts w:ascii="Times New Roman" w:hAnsi="Times New Roman"/>
          <w:sz w:val="24"/>
        </w:rPr>
        <w:t>Expert_Signal</w:t>
      </w:r>
      <w:r>
        <w:rPr>
          <w:rFonts w:ascii="Times New Roman" w:hAnsi="Times New Roman"/>
          <w:sz w:val="24"/>
        </w:rPr>
        <w:t xml:space="preserve"> representing combined baseline rule indications.</w:t>
      </w:r>
    </w:p>
    <w:p/>
    <w:p>
      <w:pPr>
        <w:spacing w:line="360" w:lineRule="auto" w:after="160"/>
        <w:jc w:val="both"/>
      </w:pPr>
      <w:r>
        <w:rPr>
          <w:rFonts w:ascii="Times New Roman" w:hAnsi="Times New Roman"/>
          <w:sz w:val="24"/>
        </w:rPr>
        <w:t>To analyze the Relative Strength Index (RSI_14), distribution histograms and quantile ratings were generated. The statistical distribution of RSI_14 is highly normal, centered near an average of 54.34 with a standard deviation of approximately 12.5.</w:t>
      </w:r>
    </w:p>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hist_RSI_14.png"/>
                    <pic:cNvPicPr/>
                  </pic:nvPicPr>
                  <pic:blipFill>
                    <a:blip r:embed="rId10"/>
                    <a:stretch>
                      <a:fillRect/>
                    </a:stretch>
                  </pic:blipFill>
                  <pic:spPr>
                    <a:xfrm>
                      <a:off x="0" y="0"/>
                      <a:ext cx="5486400" cy="4114800"/>
                    </a:xfrm>
                    <a:prstGeom prst="rect"/>
                  </pic:spPr>
                </pic:pic>
              </a:graphicData>
            </a:graphic>
          </wp:inline>
        </w:drawing>
      </w:r>
    </w:p>
    <w:p>
      <w:pPr>
        <w:jc w:val="center"/>
      </w:pPr>
      <w:r>
        <w:rPr>
          <w:rFonts w:ascii="Times New Roman" w:hAnsi="Times New Roman"/>
          <w:i/>
          <w:color w:val="505050"/>
          <w:sz w:val="20"/>
        </w:rPr>
        <w:t>Figure: Exploratory Data Analysis - RSI_14 Histogram</w:t>
      </w:r>
    </w:p>
    <w:p>
      <w:pPr>
        <w:spacing w:line="360" w:lineRule="auto" w:after="160"/>
        <w:jc w:val="both"/>
      </w:pPr>
      <w:r>
        <w:rPr>
          <w:rFonts w:ascii="Times New Roman" w:hAnsi="Times New Roman"/>
          <w:i/>
          <w:sz w:val="24"/>
        </w:rPr>
        <w:t>Figure 3.1: Histogram distribution of Relative Strength Index (RSI_14) across the randomized BIST subset, displaying normal distribution patterns centered near a 54.34 index value.</w:t>
      </w:r>
    </w:p>
    <w:p/>
    <w:p>
      <w:pPr>
        <w:jc w:val="center"/>
      </w:pPr>
      <w:r>
        <w:drawing>
          <wp:inline xmlns:a="http://schemas.openxmlformats.org/drawingml/2006/main" xmlns:pic="http://schemas.openxmlformats.org/drawingml/2006/picture">
            <wp:extent cx="5486400" cy="3109471"/>
            <wp:docPr id="2" name="Picture 2"/>
            <wp:cNvGraphicFramePr>
              <a:graphicFrameLocks noChangeAspect="1"/>
            </wp:cNvGraphicFramePr>
            <a:graphic>
              <a:graphicData uri="http://schemas.openxmlformats.org/drawingml/2006/picture">
                <pic:pic>
                  <pic:nvPicPr>
                    <pic:cNvPr id="0" name="boxplot_indikatorler.png"/>
                    <pic:cNvPicPr/>
                  </pic:nvPicPr>
                  <pic:blipFill>
                    <a:blip r:embed="rId11"/>
                    <a:stretch>
                      <a:fillRect/>
                    </a:stretch>
                  </pic:blipFill>
                  <pic:spPr>
                    <a:xfrm>
                      <a:off x="0" y="0"/>
                      <a:ext cx="5486400" cy="3109471"/>
                    </a:xfrm>
                    <a:prstGeom prst="rect"/>
                  </pic:spPr>
                </pic:pic>
              </a:graphicData>
            </a:graphic>
          </wp:inline>
        </w:drawing>
      </w:r>
    </w:p>
    <w:p>
      <w:pPr>
        <w:jc w:val="center"/>
      </w:pPr>
      <w:r>
        <w:rPr>
          <w:rFonts w:ascii="Times New Roman" w:hAnsi="Times New Roman"/>
          <w:i/>
          <w:color w:val="505050"/>
          <w:sz w:val="20"/>
        </w:rPr>
        <w:t>Figure: Boxplot of Technical Indicators</w:t>
      </w:r>
    </w:p>
    <w:p>
      <w:pPr>
        <w:spacing w:line="360" w:lineRule="auto" w:after="160"/>
        <w:jc w:val="both"/>
      </w:pPr>
      <w:r>
        <w:rPr>
          <w:rFonts w:ascii="Times New Roman" w:hAnsi="Times New Roman"/>
          <w:i/>
          <w:sz w:val="24"/>
        </w:rPr>
        <w:t>Figure 3.2: Boxplot mapping showing price and volume distribution boundaries for BIST indicators, identifying extreme volatility thresholds.</w:t>
      </w:r>
    </w:p>
    <w:p/>
    <w:p>
      <w:pPr>
        <w:pStyle w:val="Heading2"/>
        <w:jc w:val="left"/>
      </w:pPr>
      <w:r>
        <w:rPr>
          <w:rFonts w:ascii="Times New Roman" w:hAnsi="Times New Roman"/>
          <w:b/>
          <w:color w:val="1E1E1E"/>
          <w:sz w:val="28"/>
        </w:rPr>
        <w:t>3.2. Pearson Correlation &amp; Multicollinearity Filtering</w:t>
      </w:r>
    </w:p>
    <w:p>
      <w:pPr>
        <w:spacing w:line="360" w:lineRule="auto" w:after="160"/>
        <w:jc w:val="both"/>
      </w:pPr>
      <w:r>
        <w:rPr>
          <w:rFonts w:ascii="Times New Roman" w:hAnsi="Times New Roman"/>
          <w:sz w:val="24"/>
        </w:rPr>
        <w:t>Technical indicators derived from price variables often exhibit extreme multicollinearity. For example, short-term and long-term moving averages (e.g., SMA_20 and EMA_12) move in close alignment, which can destabilize machine learning models like K-NN and linear models.</w:t>
      </w:r>
    </w:p>
    <w:p/>
    <w:p>
      <w:pPr>
        <w:spacing w:line="360" w:lineRule="auto" w:after="160"/>
        <w:jc w:val="both"/>
      </w:pPr>
      <w:r>
        <w:rPr>
          <w:rFonts w:ascii="Times New Roman" w:hAnsi="Times New Roman"/>
          <w:sz w:val="24"/>
        </w:rPr>
        <w:t>To resolve this, a Pearson Correlation Matrix was generated across all 30 technical indicators. Highly correlated feature pairs with a correlation coefficient exceeding 0.90 were identified:</w:t>
      </w:r>
    </w:p>
    <w:p/>
    <w:p>
      <w:pPr>
        <w:spacing w:line="360" w:lineRule="auto" w:after="160"/>
        <w:jc w:val="both"/>
      </w:pPr>
      <w:r>
        <w:rPr>
          <w:rFonts w:ascii="Times New Roman" w:hAnsi="Times New Roman"/>
          <w:sz w:val="24"/>
        </w:rPr>
        <w:t>$$|r_{ij}| &gt; 0.90$$</w:t>
      </w:r>
    </w:p>
    <w:p/>
    <w:p>
      <w:pPr>
        <w:spacing w:line="360" w:lineRule="auto" w:after="160"/>
        <w:jc w:val="both"/>
      </w:pPr>
      <w:r>
        <w:rPr>
          <w:rFonts w:ascii="Times New Roman" w:hAnsi="Times New Roman"/>
          <w:sz w:val="24"/>
        </w:rPr>
        <w:t>An upper-triangle matrix filter identified and removed these redundant variables, ensuring that only independent technical indicators were fed into our machine learning models. This reduced the dimensional complexity while preserving the core informational signals.</w:t>
      </w:r>
    </w:p>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04_korelasyon_heatmap.png"/>
                    <pic:cNvPicPr/>
                  </pic:nvPicPr>
                  <pic:blipFill>
                    <a:blip r:embed="rId12"/>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Pearson Correlation Matrix</w:t>
      </w:r>
    </w:p>
    <w:p>
      <w:pPr>
        <w:spacing w:line="360" w:lineRule="auto" w:after="160"/>
        <w:jc w:val="both"/>
      </w:pPr>
      <w:r>
        <w:rPr>
          <w:rFonts w:ascii="Times New Roman" w:hAnsi="Times New Roman"/>
          <w:i/>
          <w:sz w:val="24"/>
        </w:rPr>
        <w:t>Figure 3.3: Pearson Correlation Heatmap detailing correlation levels across the technical features. Redundancy was cleared by removing variables exceeding 0.90 threshold boundaries.</w:t>
      </w:r>
    </w:p>
    <w:p/>
    <w:p>
      <w:pPr>
        <w:pStyle w:val="Heading2"/>
        <w:jc w:val="left"/>
      </w:pPr>
      <w:r>
        <w:rPr>
          <w:rFonts w:ascii="Times New Roman" w:hAnsi="Times New Roman"/>
          <w:b/>
          <w:color w:val="1E1E1E"/>
          <w:sz w:val="28"/>
        </w:rPr>
        <w:t>3.3. K-Means Clustering &amp; PCA Market Segmentation</w:t>
      </w:r>
    </w:p>
    <w:p>
      <w:pPr>
        <w:spacing w:line="360" w:lineRule="auto" w:after="160"/>
        <w:jc w:val="both"/>
      </w:pPr>
      <w:r>
        <w:rPr>
          <w:rFonts w:ascii="Times New Roman" w:hAnsi="Times New Roman"/>
          <w:sz w:val="24"/>
        </w:rPr>
        <w:t>Unsupervised learning was applied using the K-Means algorithm to partition stock states into distinct market regimes based on their normalized technical indicators. Feature standardization was executed prior to clustering:</w:t>
      </w:r>
    </w:p>
    <w:p/>
    <w:p>
      <w:pPr>
        <w:spacing w:line="360" w:lineRule="auto" w:after="160"/>
        <w:jc w:val="both"/>
      </w:pPr>
      <w:r>
        <w:rPr>
          <w:rFonts w:ascii="Times New Roman" w:hAnsi="Times New Roman"/>
          <w:sz w:val="24"/>
        </w:rPr>
        <w:t>$$z = \frac{x - \mu}{\sigma}$$</w:t>
      </w:r>
    </w:p>
    <w:p/>
    <w:p>
      <w:pPr>
        <w:spacing w:line="360" w:lineRule="auto" w:after="160"/>
        <w:jc w:val="both"/>
      </w:pPr>
      <w:r>
        <w:rPr>
          <w:rFonts w:ascii="Times New Roman" w:hAnsi="Times New Roman"/>
          <w:sz w:val="24"/>
        </w:rPr>
        <w:t>An Elbow analysis was performed to determine the optimal number of clusters. Using the inertia drop metrics, the optimal number of clusters was determined to be $k=5$, balancing cluster variance against structural complexity.</w:t>
      </w:r>
    </w:p>
    <w:p/>
    <w:p>
      <w:pPr>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elbow_method.png"/>
                    <pic:cNvPicPr/>
                  </pic:nvPicPr>
                  <pic:blipFill>
                    <a:blip r:embed="rId13"/>
                    <a:stretch>
                      <a:fillRect/>
                    </a:stretch>
                  </pic:blipFill>
                  <pic:spPr>
                    <a:xfrm>
                      <a:off x="0" y="0"/>
                      <a:ext cx="5486400" cy="2743200"/>
                    </a:xfrm>
                    <a:prstGeom prst="rect"/>
                  </pic:spPr>
                </pic:pic>
              </a:graphicData>
            </a:graphic>
          </wp:inline>
        </w:drawing>
      </w:r>
    </w:p>
    <w:p>
      <w:pPr>
        <w:jc w:val="center"/>
      </w:pPr>
      <w:r>
        <w:rPr>
          <w:rFonts w:ascii="Times New Roman" w:hAnsi="Times New Roman"/>
          <w:i/>
          <w:color w:val="505050"/>
          <w:sz w:val="20"/>
        </w:rPr>
        <w:t>Figure: Elbow Method for Cluster Optimization</w:t>
      </w:r>
    </w:p>
    <w:p>
      <w:pPr>
        <w:spacing w:line="360" w:lineRule="auto" w:after="160"/>
        <w:jc w:val="both"/>
      </w:pPr>
      <w:r>
        <w:rPr>
          <w:rFonts w:ascii="Times New Roman" w:hAnsi="Times New Roman"/>
          <w:i/>
          <w:sz w:val="24"/>
        </w:rPr>
        <w:t>Figure 3.4: Elbow method showing inertia drop rates across clusters $k \in [2, 15]$. Optimum segment partitioning was selected at $k=5$ where the drop rate begins to flatten.</w:t>
      </w:r>
    </w:p>
    <w:p/>
    <w:p>
      <w:pPr>
        <w:spacing w:line="360" w:lineRule="auto" w:after="160"/>
        <w:jc w:val="both"/>
      </w:pPr>
      <w:r>
        <w:rPr>
          <w:rFonts w:ascii="Times New Roman" w:hAnsi="Times New Roman"/>
          <w:sz w:val="24"/>
        </w:rPr>
        <w:t>The K-Means algorithm (random_state=17, n_init=10) clustered the 4,928 subset technical vectors, resulting in the following regime distribution:</w:t>
      </w:r>
    </w:p>
    <w:p>
      <w:pPr>
        <w:pStyle w:val="ListBullet"/>
        <w:spacing w:after="80" w:line="276" w:lineRule="auto"/>
      </w:pPr>
      <w:r>
        <w:rPr>
          <w:rFonts w:ascii="Times New Roman" w:hAnsi="Times New Roman"/>
          <w:b/>
          <w:sz w:val="24"/>
        </w:rPr>
        <w:t>Cluster 1 (n=73):</w:t>
      </w:r>
      <w:r>
        <w:rPr>
          <w:rFonts w:ascii="Times New Roman" w:hAnsi="Times New Roman"/>
          <w:sz w:val="24"/>
        </w:rPr>
        <w:t xml:space="preserve"> Extreme bullish momentum state. Characterized by high average MACD (16.34) and positive Neckline Slope (2.39). This represents rare, explosive breakout regimes.</w:t>
      </w:r>
    </w:p>
    <w:p>
      <w:pPr>
        <w:pStyle w:val="ListBullet"/>
        <w:spacing w:after="80" w:line="276" w:lineRule="auto"/>
      </w:pPr>
      <w:r>
        <w:rPr>
          <w:rFonts w:ascii="Times New Roman" w:hAnsi="Times New Roman"/>
          <w:b/>
          <w:sz w:val="24"/>
        </w:rPr>
        <w:t>Cluster 2 (n=169):</w:t>
      </w:r>
      <w:r>
        <w:rPr>
          <w:rFonts w:ascii="Times New Roman" w:hAnsi="Times New Roman"/>
          <w:sz w:val="24"/>
        </w:rPr>
        <w:t xml:space="preserve"> Steady trend state. Average MACD of 0.16 and slightly positive Neckline Slope of 0.01.</w:t>
      </w:r>
    </w:p>
    <w:p>
      <w:pPr>
        <w:pStyle w:val="ListBullet"/>
        <w:spacing w:after="80" w:line="276" w:lineRule="auto"/>
      </w:pPr>
      <w:r>
        <w:rPr>
          <w:rFonts w:ascii="Times New Roman" w:hAnsi="Times New Roman"/>
          <w:b/>
          <w:sz w:val="24"/>
        </w:rPr>
        <w:t>Cluster 3 (n=1871):</w:t>
      </w:r>
      <w:r>
        <w:rPr>
          <w:rFonts w:ascii="Times New Roman" w:hAnsi="Times New Roman"/>
          <w:sz w:val="24"/>
        </w:rPr>
        <w:t xml:space="preserve"> Consolidation / Bearish pullbacks. The largest cluster, characterized by negative MACD (-0.30) and negative Neckline Slope (-0.05). Represents long base-building or accumulation zones.</w:t>
      </w:r>
    </w:p>
    <w:p>
      <w:pPr>
        <w:pStyle w:val="ListBullet"/>
        <w:spacing w:after="80" w:line="276" w:lineRule="auto"/>
      </w:pPr>
      <w:r>
        <w:rPr>
          <w:rFonts w:ascii="Times New Roman" w:hAnsi="Times New Roman"/>
          <w:b/>
          <w:sz w:val="24"/>
        </w:rPr>
        <w:t>Cluster 4 (n=1482):</w:t>
      </w:r>
      <w:r>
        <w:rPr>
          <w:rFonts w:ascii="Times New Roman" w:hAnsi="Times New Roman"/>
          <w:sz w:val="24"/>
        </w:rPr>
        <w:t xml:space="preserve"> Moderate bullish recovery. MACD of 0.79 and positive Neckline Slope of 0.08.</w:t>
      </w:r>
    </w:p>
    <w:p>
      <w:pPr>
        <w:pStyle w:val="ListBullet"/>
        <w:spacing w:after="80" w:line="276" w:lineRule="auto"/>
      </w:pPr>
      <w:r>
        <w:rPr>
          <w:rFonts w:ascii="Times New Roman" w:hAnsi="Times New Roman"/>
          <w:b/>
          <w:sz w:val="24"/>
        </w:rPr>
        <w:t>Cluster 5 (n=1333):</w:t>
      </w:r>
      <w:r>
        <w:rPr>
          <w:rFonts w:ascii="Times New Roman" w:hAnsi="Times New Roman"/>
          <w:sz w:val="24"/>
        </w:rPr>
        <w:t xml:space="preserve"> Confirmed upward momentum. MACD of 0.66 and Neckline Slope of 0.06.</w:t>
      </w:r>
    </w:p>
    <w:p/>
    <w:p>
      <w:pPr>
        <w:spacing w:line="360" w:lineRule="auto" w:after="160"/>
        <w:jc w:val="both"/>
      </w:pPr>
      <w:r>
        <w:rPr>
          <w:rFonts w:ascii="Times New Roman" w:hAnsi="Times New Roman"/>
          <w:sz w:val="24"/>
        </w:rPr>
        <w:t>To evaluate the cluster segregation and reduce high-dimensional complexity, Principal Component Analysis (PCA) was executed. PC1 and PC2 explain a total of 52.25% of overall database variance.</w:t>
      </w:r>
    </w:p>
    <w:p/>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05_kmeans_pca.png"/>
                    <pic:cNvPicPr/>
                  </pic:nvPicPr>
                  <pic:blipFill>
                    <a:blip r:embed="rId14"/>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K-Means Clustering projected via PCA 2D</w:t>
      </w:r>
    </w:p>
    <w:p>
      <w:pPr>
        <w:spacing w:line="360" w:lineRule="auto" w:after="160"/>
        <w:jc w:val="both"/>
      </w:pPr>
      <w:r>
        <w:rPr>
          <w:rFonts w:ascii="Times New Roman" w:hAnsi="Times New Roman"/>
          <w:i/>
          <w:sz w:val="24"/>
        </w:rPr>
        <w:t>Figure 3.5: PCA 2D scatter visualization of K-Means clusters ($k=5$). PC1 and PC2 explain a total of 52.25% of overall database variance, displaying clear cluster partitions.</w:t>
      </w:r>
    </w:p>
    <w:p/>
    <w:p>
      <w:pPr>
        <w:spacing w:line="360" w:lineRule="auto" w:after="160"/>
        <w:jc w:val="both"/>
      </w:pPr>
      <w:r>
        <w:rPr>
          <w:rFonts w:ascii="Times New Roman" w:hAnsi="Times New Roman"/>
          <w:sz w:val="24"/>
        </w:rPr>
        <w:t>---</w:t>
      </w:r>
    </w:p>
    <w:p/>
    <w:p>
      <w:r>
        <w:br w:type="page"/>
      </w:r>
    </w:p>
    <w:p>
      <w:pPr>
        <w:pStyle w:val="Heading1"/>
        <w:jc w:val="left"/>
      </w:pPr>
      <w:r>
        <w:rPr>
          <w:rFonts w:ascii="Times New Roman" w:hAnsi="Times New Roman"/>
          <w:b/>
          <w:color w:val="111111"/>
          <w:sz w:val="36"/>
        </w:rPr>
        <w:t>4. QUANTITATIVE MODELING &amp; MACHINE LEARNING</w:t>
      </w:r>
    </w:p>
    <w:p/>
    <w:p>
      <w:pPr>
        <w:pStyle w:val="Heading2"/>
        <w:jc w:val="left"/>
      </w:pPr>
      <w:r>
        <w:rPr>
          <w:rFonts w:ascii="Times New Roman" w:hAnsi="Times New Roman"/>
          <w:b/>
          <w:color w:val="1E1E1E"/>
          <w:sz w:val="28"/>
        </w:rPr>
        <w:t>4.1. K-Nearest Neighbors (K-NN) and GridSearchCV Tuning</w:t>
      </w:r>
    </w:p>
    <w:p>
      <w:pPr>
        <w:spacing w:line="360" w:lineRule="auto" w:after="160"/>
        <w:jc w:val="both"/>
      </w:pPr>
      <w:r>
        <w:rPr>
          <w:rFonts w:ascii="Times New Roman" w:hAnsi="Times New Roman"/>
          <w:sz w:val="24"/>
        </w:rPr>
        <w:t>The first supervised model implemented was the K-Nearest Neighbors (K-NN) classifier. K-NN is a non-parametric instance-based model that classifies data points based on feature similarity in Euclidean space. Since distance metrics are highly sensitive to feature scales, standardized features ($X_{\text{scaled}}$) were utilized.</w:t>
      </w:r>
    </w:p>
    <w:p/>
    <w:p>
      <w:pPr>
        <w:spacing w:line="360" w:lineRule="auto" w:after="160"/>
        <w:jc w:val="both"/>
      </w:pPr>
      <w:r>
        <w:rPr>
          <w:rFonts w:ascii="Times New Roman" w:hAnsi="Times New Roman"/>
          <w:sz w:val="24"/>
        </w:rPr>
        <w:t>To optimize the neighborhood size parameter ($k$), a grid search with 5-fold cross-validation was performed:</w:t>
      </w:r>
    </w:p>
    <w:p/>
    <w:p>
      <w:pPr>
        <w:spacing w:line="360" w:lineRule="auto" w:after="160"/>
        <w:jc w:val="both"/>
      </w:pPr>
      <w:r>
        <w:rPr>
          <w:rFonts w:ascii="Times New Roman" w:hAnsi="Times New Roman"/>
          <w:sz w:val="24"/>
        </w:rPr>
        <w:t>$$\text{Search Space} = k \in \{3, 5, 7, 9, 11, 15, 21\}$$</w:t>
      </w:r>
    </w:p>
    <w:p/>
    <w:p>
      <w:pPr>
        <w:spacing w:line="360" w:lineRule="auto" w:after="160"/>
        <w:jc w:val="both"/>
      </w:pPr>
      <w:r>
        <w:rPr>
          <w:rFonts w:ascii="Times New Roman" w:hAnsi="Times New Roman"/>
          <w:sz w:val="24"/>
        </w:rPr>
        <w:t xml:space="preserve">The optimal hyperparameter was determined to be </w:t>
      </w:r>
      <w:r>
        <w:rPr>
          <w:rFonts w:ascii="Times New Roman" w:hAnsi="Times New Roman"/>
          <w:b/>
          <w:sz w:val="24"/>
        </w:rPr>
        <w:t>$k=21$</w:t>
      </w:r>
      <w:r>
        <w:rPr>
          <w:rFonts w:ascii="Times New Roman" w:hAnsi="Times New Roman"/>
          <w:sz w:val="24"/>
        </w:rPr>
        <w:t>, achieving the highest cross-validated accuracy of 54.01%.</w:t>
      </w:r>
    </w:p>
    <w:p/>
    <w:p>
      <w:pPr>
        <w:jc w:val="center"/>
      </w:pPr>
      <w:r>
        <w:drawing>
          <wp:inline xmlns:a="http://schemas.openxmlformats.org/drawingml/2006/main" xmlns:pic="http://schemas.openxmlformats.org/drawingml/2006/picture">
            <wp:extent cx="5486400" cy="2711286"/>
            <wp:docPr id="6" name="Picture 6"/>
            <wp:cNvGraphicFramePr>
              <a:graphicFrameLocks noChangeAspect="1"/>
            </wp:cNvGraphicFramePr>
            <a:graphic>
              <a:graphicData uri="http://schemas.openxmlformats.org/drawingml/2006/picture">
                <pic:pic>
                  <pic:nvPicPr>
                    <pic:cNvPr id="0" name="07_gridsearch_knn.png"/>
                    <pic:cNvPicPr/>
                  </pic:nvPicPr>
                  <pic:blipFill>
                    <a:blip r:embed="rId15"/>
                    <a:stretch>
                      <a:fillRect/>
                    </a:stretch>
                  </pic:blipFill>
                  <pic:spPr>
                    <a:xfrm>
                      <a:off x="0" y="0"/>
                      <a:ext cx="5486400" cy="2711286"/>
                    </a:xfrm>
                    <a:prstGeom prst="rect"/>
                  </pic:spPr>
                </pic:pic>
              </a:graphicData>
            </a:graphic>
          </wp:inline>
        </w:drawing>
      </w:r>
    </w:p>
    <w:p>
      <w:pPr>
        <w:jc w:val="center"/>
      </w:pPr>
      <w:r>
        <w:rPr>
          <w:rFonts w:ascii="Times New Roman" w:hAnsi="Times New Roman"/>
          <w:i/>
          <w:color w:val="505050"/>
          <w:sz w:val="20"/>
        </w:rPr>
        <w:t>Figure: K-NN GridSearchCV Parameter Tuning</w:t>
      </w:r>
    </w:p>
    <w:p>
      <w:pPr>
        <w:spacing w:line="360" w:lineRule="auto" w:after="160"/>
        <w:jc w:val="both"/>
      </w:pPr>
      <w:r>
        <w:rPr>
          <w:rFonts w:ascii="Times New Roman" w:hAnsi="Times New Roman"/>
          <w:i/>
          <w:sz w:val="24"/>
        </w:rPr>
        <w:t>Figure 4.1: K-NN GridSearchCV accuracy values plotted against neighborhood size parameter $k$, demonstrating peak cross-validated performance at $k=21$.</w:t>
      </w:r>
    </w:p>
    <w:p/>
    <w:p>
      <w:pPr>
        <w:spacing w:line="360" w:lineRule="auto" w:after="160"/>
        <w:jc w:val="both"/>
      </w:pPr>
      <w:r>
        <w:rPr>
          <w:rFonts w:ascii="Times New Roman" w:hAnsi="Times New Roman"/>
          <w:sz w:val="24"/>
        </w:rPr>
        <w:t>When evaluated on the independent test split (20% of data), the final K-NN ($k=21$) model achieved:</w:t>
      </w:r>
    </w:p>
    <w:p>
      <w:pPr>
        <w:pStyle w:val="ListBullet"/>
        <w:spacing w:after="80" w:line="276" w:lineRule="auto"/>
      </w:pPr>
      <w:r>
        <w:rPr>
          <w:rFonts w:ascii="Times New Roman" w:hAnsi="Times New Roman"/>
          <w:b/>
          <w:sz w:val="24"/>
        </w:rPr>
        <w:t>Test Accuracy:</w:t>
      </w:r>
      <w:r>
        <w:rPr>
          <w:rFonts w:ascii="Times New Roman" w:hAnsi="Times New Roman"/>
          <w:sz w:val="24"/>
        </w:rPr>
        <w:t xml:space="preserve"> 53.96%</w:t>
      </w:r>
    </w:p>
    <w:p>
      <w:pPr>
        <w:pStyle w:val="ListBullet"/>
        <w:spacing w:after="80" w:line="276" w:lineRule="auto"/>
      </w:pPr>
      <w:r>
        <w:rPr>
          <w:rFonts w:ascii="Times New Roman" w:hAnsi="Times New Roman"/>
          <w:b/>
          <w:sz w:val="24"/>
        </w:rPr>
        <w:t>F1-Score:</w:t>
      </w:r>
      <w:r>
        <w:rPr>
          <w:rFonts w:ascii="Times New Roman" w:hAnsi="Times New Roman"/>
          <w:sz w:val="24"/>
        </w:rPr>
        <w:t xml:space="preserve"> 0.6481</w:t>
      </w:r>
    </w:p>
    <w:p/>
    <w:p>
      <w:pPr>
        <w:pStyle w:val="Heading2"/>
        <w:jc w:val="left"/>
      </w:pPr>
      <w:r>
        <w:rPr>
          <w:rFonts w:ascii="Times New Roman" w:hAnsi="Times New Roman"/>
          <w:b/>
          <w:color w:val="1E1E1E"/>
          <w:sz w:val="28"/>
        </w:rPr>
        <w:t>4.2. Random Forest Classification and Variable Importance</w:t>
      </w:r>
    </w:p>
    <w:p>
      <w:pPr>
        <w:spacing w:line="360" w:lineRule="auto" w:after="160"/>
        <w:jc w:val="both"/>
      </w:pPr>
      <w:r>
        <w:rPr>
          <w:rFonts w:ascii="Times New Roman" w:hAnsi="Times New Roman"/>
          <w:sz w:val="24"/>
        </w:rPr>
        <w:t>The second model implemented was the Random Forest (RF) classifier. Random Forest is an ensemble tree model that constructs a multitude of decision trees during training and outputs the mode of the classes. A forest of 100 estimators was trained.</w:t>
      </w:r>
    </w:p>
    <w:p/>
    <w:p>
      <w:pPr>
        <w:spacing w:line="360" w:lineRule="auto" w:after="160"/>
        <w:jc w:val="both"/>
      </w:pPr>
      <w:r>
        <w:rPr>
          <w:rFonts w:ascii="Times New Roman" w:hAnsi="Times New Roman"/>
          <w:sz w:val="24"/>
        </w:rPr>
        <w:t>The Random Forest model achieved:</w:t>
      </w:r>
    </w:p>
    <w:p>
      <w:pPr>
        <w:pStyle w:val="ListBullet"/>
        <w:spacing w:after="80" w:line="276" w:lineRule="auto"/>
      </w:pPr>
      <w:r>
        <w:rPr>
          <w:rFonts w:ascii="Times New Roman" w:hAnsi="Times New Roman"/>
          <w:b/>
          <w:sz w:val="24"/>
        </w:rPr>
        <w:t>Test Accuracy:</w:t>
      </w:r>
      <w:r>
        <w:rPr>
          <w:rFonts w:ascii="Times New Roman" w:hAnsi="Times New Roman"/>
          <w:sz w:val="24"/>
        </w:rPr>
        <w:t xml:space="preserve"> 53.35%</w:t>
      </w:r>
    </w:p>
    <w:p>
      <w:pPr>
        <w:pStyle w:val="ListBullet"/>
        <w:spacing w:after="80" w:line="276" w:lineRule="auto"/>
      </w:pPr>
      <w:r>
        <w:rPr>
          <w:rFonts w:ascii="Times New Roman" w:hAnsi="Times New Roman"/>
          <w:b/>
          <w:sz w:val="24"/>
        </w:rPr>
        <w:t>F1-Score:</w:t>
      </w:r>
      <w:r>
        <w:rPr>
          <w:rFonts w:ascii="Times New Roman" w:hAnsi="Times New Roman"/>
          <w:sz w:val="24"/>
        </w:rPr>
        <w:t xml:space="preserve"> 0.6367</w:t>
      </w:r>
    </w:p>
    <w:p/>
    <w:p>
      <w:pPr>
        <w:spacing w:line="360" w:lineRule="auto" w:after="160"/>
        <w:jc w:val="both"/>
      </w:pPr>
      <w:r>
        <w:rPr>
          <w:rFonts w:ascii="Times New Roman" w:hAnsi="Times New Roman"/>
          <w:sz w:val="24"/>
        </w:rPr>
        <w:t>A key advantage of Random Forest is its capability to calculate feature importances by measuring the Gini impurity decrease across all trees. The top indicators driving BIST price directions were identified as trading Volume, Open pricing, and RSI_14 momentum.</w:t>
      </w:r>
    </w:p>
    <w:p/>
    <w:p>
      <w:pPr>
        <w:jc w:val="center"/>
      </w:pPr>
      <w:r>
        <w:drawing>
          <wp:inline xmlns:a="http://schemas.openxmlformats.org/drawingml/2006/main" xmlns:pic="http://schemas.openxmlformats.org/drawingml/2006/picture">
            <wp:extent cx="5486400" cy="3265780"/>
            <wp:docPr id="7" name="Picture 7"/>
            <wp:cNvGraphicFramePr>
              <a:graphicFrameLocks noChangeAspect="1"/>
            </wp:cNvGraphicFramePr>
            <a:graphic>
              <a:graphicData uri="http://schemas.openxmlformats.org/drawingml/2006/picture">
                <pic:pic>
                  <pic:nvPicPr>
                    <pic:cNvPr id="0" name="08_feature_importance.png"/>
                    <pic:cNvPicPr/>
                  </pic:nvPicPr>
                  <pic:blipFill>
                    <a:blip r:embed="rId16"/>
                    <a:stretch>
                      <a:fillRect/>
                    </a:stretch>
                  </pic:blipFill>
                  <pic:spPr>
                    <a:xfrm>
                      <a:off x="0" y="0"/>
                      <a:ext cx="5486400" cy="3265780"/>
                    </a:xfrm>
                    <a:prstGeom prst="rect"/>
                  </pic:spPr>
                </pic:pic>
              </a:graphicData>
            </a:graphic>
          </wp:inline>
        </w:drawing>
      </w:r>
    </w:p>
    <w:p>
      <w:pPr>
        <w:jc w:val="center"/>
      </w:pPr>
      <w:r>
        <w:rPr>
          <w:rFonts w:ascii="Times New Roman" w:hAnsi="Times New Roman"/>
          <w:i/>
          <w:color w:val="505050"/>
          <w:sz w:val="20"/>
        </w:rPr>
        <w:t>Figure: Random Forest Feature Importance Analysis</w:t>
      </w:r>
    </w:p>
    <w:p>
      <w:pPr>
        <w:spacing w:line="360" w:lineRule="auto" w:after="160"/>
        <w:jc w:val="both"/>
      </w:pPr>
      <w:r>
        <w:rPr>
          <w:rFonts w:ascii="Times New Roman" w:hAnsi="Times New Roman"/>
          <w:i/>
          <w:sz w:val="24"/>
        </w:rPr>
        <w:t>Figure 4.2: Random Forest Feature Importance rating, displaying that trading Volume, Open pricing, and RSI_14 momentum are the primary analytical drivers.</w:t>
      </w:r>
    </w:p>
    <w:p/>
    <w:p>
      <w:pPr>
        <w:pStyle w:val="Heading2"/>
        <w:jc w:val="left"/>
      </w:pPr>
      <w:r>
        <w:rPr>
          <w:rFonts w:ascii="Times New Roman" w:hAnsi="Times New Roman"/>
          <w:b/>
          <w:color w:val="1E1E1E"/>
          <w:sz w:val="28"/>
        </w:rPr>
        <w:t>4.3. Artificial Neural Networks (ANN - Multi-Layer Perceptron)</w:t>
      </w:r>
    </w:p>
    <w:p>
      <w:pPr>
        <w:spacing w:line="360" w:lineRule="auto" w:after="160"/>
        <w:jc w:val="both"/>
      </w:pPr>
      <w:r>
        <w:rPr>
          <w:rFonts w:ascii="Times New Roman" w:hAnsi="Times New Roman"/>
          <w:sz w:val="24"/>
        </w:rPr>
        <w:t>The final classifier implemented was a Multi-Layer Perceptron (MLP) Artificial Neural Network. Neural networks can extract highly non-linear, complex mappings through hidden layer weight structures and activation functions.</w:t>
      </w:r>
    </w:p>
    <w:p/>
    <w:p>
      <w:pPr>
        <w:spacing w:line="360" w:lineRule="auto" w:after="160"/>
        <w:jc w:val="both"/>
      </w:pPr>
      <w:r>
        <w:rPr>
          <w:rFonts w:ascii="Times New Roman" w:hAnsi="Times New Roman"/>
          <w:sz w:val="24"/>
        </w:rPr>
        <w:t>The MLP classifier was configured with the following architecture:</w:t>
      </w:r>
    </w:p>
    <w:p>
      <w:pPr>
        <w:pStyle w:val="ListBullet"/>
        <w:spacing w:after="80" w:line="276" w:lineRule="auto"/>
      </w:pPr>
      <w:r>
        <w:rPr>
          <w:rFonts w:ascii="Times New Roman" w:hAnsi="Times New Roman"/>
          <w:b/>
          <w:sz w:val="24"/>
        </w:rPr>
        <w:t>Hidden Layer Structure:</w:t>
      </w:r>
      <w:r>
        <w:rPr>
          <w:rFonts w:ascii="Times New Roman" w:hAnsi="Times New Roman"/>
          <w:sz w:val="24"/>
        </w:rPr>
        <w:t xml:space="preserve"> Three hidden layers containing 64, 32, and 16 neurons respectively </w:t>
      </w:r>
      <w:r>
        <w:rPr>
          <w:rFonts w:ascii="Times New Roman" w:hAnsi="Times New Roman"/>
          <w:sz w:val="24"/>
        </w:rPr>
        <w:t>(64, 32, 16)</w:t>
      </w:r>
      <w:r>
        <w:rPr>
          <w:rFonts w:ascii="Times New Roman" w:hAnsi="Times New Roman"/>
          <w:sz w:val="24"/>
        </w:rPr>
        <w:t>.</w:t>
      </w:r>
    </w:p>
    <w:p>
      <w:pPr>
        <w:pStyle w:val="ListBullet"/>
        <w:spacing w:after="80" w:line="276" w:lineRule="auto"/>
      </w:pPr>
      <w:r>
        <w:rPr>
          <w:rFonts w:ascii="Times New Roman" w:hAnsi="Times New Roman"/>
          <w:b/>
          <w:sz w:val="24"/>
        </w:rPr>
        <w:t>Activation Function:</w:t>
      </w:r>
      <w:r>
        <w:rPr>
          <w:rFonts w:ascii="Times New Roman" w:hAnsi="Times New Roman"/>
          <w:sz w:val="24"/>
        </w:rPr>
        <w:t xml:space="preserve"> Rectified Linear Unit (ReLU) for non-linear mappings.</w:t>
      </w:r>
    </w:p>
    <w:p>
      <w:pPr>
        <w:pStyle w:val="ListBullet"/>
        <w:spacing w:after="80" w:line="276" w:lineRule="auto"/>
      </w:pPr>
      <w:r>
        <w:rPr>
          <w:rFonts w:ascii="Times New Roman" w:hAnsi="Times New Roman"/>
          <w:b/>
          <w:sz w:val="24"/>
        </w:rPr>
        <w:t>Optimization Solver:</w:t>
      </w:r>
      <w:r>
        <w:rPr>
          <w:rFonts w:ascii="Times New Roman" w:hAnsi="Times New Roman"/>
          <w:sz w:val="24"/>
        </w:rPr>
        <w:t xml:space="preserve"> Adam solver with a batch size of 128.</w:t>
      </w:r>
    </w:p>
    <w:p>
      <w:pPr>
        <w:pStyle w:val="ListBullet"/>
        <w:spacing w:after="80" w:line="276" w:lineRule="auto"/>
      </w:pPr>
      <w:r>
        <w:rPr>
          <w:rFonts w:ascii="Times New Roman" w:hAnsi="Times New Roman"/>
          <w:b/>
          <w:sz w:val="24"/>
        </w:rPr>
        <w:t>Maximum Iterations:</w:t>
      </w:r>
      <w:r>
        <w:rPr>
          <w:rFonts w:ascii="Times New Roman" w:hAnsi="Times New Roman"/>
          <w:sz w:val="24"/>
        </w:rPr>
        <w:t xml:space="preserve"> 100 epochs.</w:t>
      </w:r>
    </w:p>
    <w:p/>
    <w:p>
      <w:pPr>
        <w:spacing w:line="360" w:lineRule="auto" w:after="160"/>
        <w:jc w:val="both"/>
      </w:pPr>
      <w:r>
        <w:rPr>
          <w:rFonts w:ascii="Times New Roman" w:hAnsi="Times New Roman"/>
          <w:sz w:val="24"/>
        </w:rPr>
        <w:t>The MLP neural network demonstrated the highest predictive performance, achieving:</w:t>
      </w:r>
    </w:p>
    <w:p>
      <w:pPr>
        <w:pStyle w:val="ListBullet"/>
        <w:spacing w:after="80" w:line="276" w:lineRule="auto"/>
      </w:pPr>
      <w:r>
        <w:rPr>
          <w:rFonts w:ascii="Times New Roman" w:hAnsi="Times New Roman"/>
          <w:b/>
          <w:sz w:val="24"/>
        </w:rPr>
        <w:t>Test Accuracy:</w:t>
      </w:r>
      <w:r>
        <w:rPr>
          <w:rFonts w:ascii="Times New Roman" w:hAnsi="Times New Roman"/>
          <w:sz w:val="24"/>
        </w:rPr>
        <w:t xml:space="preserve"> 55.68%</w:t>
      </w:r>
    </w:p>
    <w:p>
      <w:pPr>
        <w:pStyle w:val="ListBullet"/>
        <w:spacing w:after="80" w:line="276" w:lineRule="auto"/>
      </w:pPr>
      <w:r>
        <w:rPr>
          <w:rFonts w:ascii="Times New Roman" w:hAnsi="Times New Roman"/>
          <w:b/>
          <w:sz w:val="24"/>
        </w:rPr>
        <w:t>F1-Score:</w:t>
      </w:r>
      <w:r>
        <w:rPr>
          <w:rFonts w:ascii="Times New Roman" w:hAnsi="Times New Roman"/>
          <w:sz w:val="24"/>
        </w:rPr>
        <w:t xml:space="preserve"> 0.6496</w:t>
      </w:r>
    </w:p>
    <w:p/>
    <w:p>
      <w:pPr>
        <w:pStyle w:val="Heading2"/>
        <w:jc w:val="left"/>
      </w:pPr>
      <w:r>
        <w:rPr>
          <w:rFonts w:ascii="Times New Roman" w:hAnsi="Times New Roman"/>
          <w:b/>
          <w:color w:val="1E1E1E"/>
          <w:sz w:val="28"/>
        </w:rPr>
        <w:t>4.4. Model Performance Evaluation and Comparison</w:t>
      </w:r>
    </w:p>
    <w:p>
      <w:pPr>
        <w:spacing w:line="360" w:lineRule="auto" w:after="160"/>
        <w:jc w:val="both"/>
      </w:pPr>
      <w:r>
        <w:rPr>
          <w:rFonts w:ascii="Times New Roman" w:hAnsi="Times New Roman"/>
          <w:sz w:val="24"/>
        </w:rPr>
        <w:t>Predicting asset prices is a notoriously difficult financial task due to the high noise-to-signal ratio, transaction costs, and hyper-competitive market environments. In quantitative finance and high-frequency trading literature, an out-of-sample accuracy rate above the 51-53% mark represents a highly significant active statistical edge, capable of generating substantial alpha under proper risk management.</w:t>
      </w:r>
    </w:p>
    <w:p/>
    <w:p>
      <w:pPr>
        <w:spacing w:line="360" w:lineRule="auto" w:after="160"/>
        <w:jc w:val="both"/>
      </w:pPr>
      <w:r>
        <w:rPr>
          <w:rFonts w:ascii="Times New Roman" w:hAnsi="Times New Roman"/>
          <w:sz w:val="24"/>
        </w:rPr>
        <w:t xml:space="preserve">To evaluate BorsaNeuron at the maximum possible scale, we expanded the training dataset from a restricted subset to the </w:t>
      </w:r>
      <w:r>
        <w:rPr>
          <w:rFonts w:ascii="Times New Roman" w:hAnsi="Times New Roman"/>
          <w:b/>
          <w:sz w:val="24"/>
        </w:rPr>
        <w:t>entire BIST market</w:t>
      </w:r>
      <w:r>
        <w:rPr>
          <w:rFonts w:ascii="Times New Roman" w:hAnsi="Times New Roman"/>
          <w:sz w:val="24"/>
        </w:rPr>
        <w:t xml:space="preserve"> (2019-10-07 to 2026-04-27). This resulted in a massive dataset consisting of </w:t>
      </w:r>
      <w:r>
        <w:rPr>
          <w:rFonts w:ascii="Times New Roman" w:hAnsi="Times New Roman"/>
          <w:b/>
          <w:sz w:val="24"/>
        </w:rPr>
        <w:t>666,225 rows</w:t>
      </w:r>
      <w:r>
        <w:rPr>
          <w:rFonts w:ascii="Times New Roman" w:hAnsi="Times New Roman"/>
          <w:sz w:val="24"/>
        </w:rPr>
        <w:t xml:space="preserve"> across </w:t>
      </w:r>
      <w:r>
        <w:rPr>
          <w:rFonts w:ascii="Times New Roman" w:hAnsi="Times New Roman"/>
          <w:b/>
          <w:sz w:val="24"/>
        </w:rPr>
        <w:t>491 active BIST stocks</w:t>
      </w:r>
      <w:r>
        <w:rPr>
          <w:rFonts w:ascii="Times New Roman" w:hAnsi="Times New Roman"/>
          <w:sz w:val="24"/>
        </w:rPr>
        <w:t xml:space="preserve"> after strict data cleansing.</w:t>
      </w:r>
    </w:p>
    <w:p/>
    <w:p>
      <w:pPr>
        <w:spacing w:line="360" w:lineRule="auto" w:after="160"/>
        <w:jc w:val="both"/>
      </w:pPr>
      <w:r>
        <w:rPr>
          <w:rFonts w:ascii="Times New Roman" w:hAnsi="Times New Roman"/>
          <w:sz w:val="24"/>
        </w:rPr>
        <w:t xml:space="preserve">On this comprehensive high-dimension dataset, we executed a rigorous chronological split (80% train / 20% test, splitting at 532,980 rows for training and 133,245 rows for testing) to prevent look-ahead bias and model leakage. We trained and serialized two high-performance classifiers for the active production terminal: </w:t>
      </w:r>
      <w:r>
        <w:rPr>
          <w:rFonts w:ascii="Times New Roman" w:hAnsi="Times New Roman"/>
          <w:b/>
          <w:sz w:val="24"/>
        </w:rPr>
        <w:t>Random Forest</w:t>
      </w:r>
      <w:r>
        <w:rPr>
          <w:rFonts w:ascii="Times New Roman" w:hAnsi="Times New Roman"/>
          <w:sz w:val="24"/>
        </w:rPr>
        <w:t xml:space="preserve"> and </w:t>
      </w:r>
      <w:r>
        <w:rPr>
          <w:rFonts w:ascii="Times New Roman" w:hAnsi="Times New Roman"/>
          <w:b/>
          <w:sz w:val="24"/>
        </w:rPr>
        <w:t>XGBoost Classifier</w:t>
      </w:r>
      <w:r>
        <w:rPr>
          <w:rFonts w:ascii="Times New Roman" w:hAnsi="Times New Roman"/>
          <w:sz w:val="24"/>
        </w:rPr>
        <w:t>.</w:t>
      </w:r>
    </w:p>
    <w:p/>
    <w:p>
      <w:pPr>
        <w:spacing w:line="360" w:lineRule="auto" w:after="160"/>
        <w:jc w:val="both"/>
      </w:pPr>
      <w:r>
        <w:rPr>
          <w:rFonts w:ascii="Times New Roman" w:hAnsi="Times New Roman"/>
          <w:sz w:val="24"/>
        </w:rPr>
        <w:t>The comparative performance metrics of the models on the complete BIST 537 dataset are summarized in the table below:</w:t>
      </w:r>
    </w:p>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F2F2F2"/>
            <w:tcMar>
              <w:top w:w="120" w:type="dxa"/>
              <w:bottom w:w="120" w:type="dxa"/>
              <w:left w:w="150" w:type="dxa"/>
              <w:right w:w="150" w:type="dxa"/>
            </w:tcMar>
          </w:tcPr>
          <w:p>
            <w:pPr>
              <w:jc w:val="left"/>
            </w:pPr>
            <w:r/>
            <w:r>
              <w:rPr>
                <w:rFonts w:ascii="Times New Roman" w:hAnsi="Times New Roman"/>
                <w:b/>
                <w:sz w:val="21"/>
              </w:rPr>
              <w:t>Machine Learning Model</w:t>
            </w:r>
          </w:p>
        </w:tc>
        <w:tc>
          <w:tcPr>
            <w:tcW w:type="dxa" w:w="2340"/>
            <w:shd w:fill="F2F2F2"/>
            <w:tcMar>
              <w:top w:w="120" w:type="dxa"/>
              <w:bottom w:w="120" w:type="dxa"/>
              <w:left w:w="150" w:type="dxa"/>
              <w:right w:w="150" w:type="dxa"/>
            </w:tcMar>
          </w:tcPr>
          <w:p>
            <w:pPr>
              <w:jc w:val="left"/>
            </w:pPr>
            <w:r/>
            <w:r>
              <w:rPr>
                <w:rFonts w:ascii="Times New Roman" w:hAnsi="Times New Roman"/>
                <w:b/>
                <w:sz w:val="21"/>
              </w:rPr>
              <w:t>Out-of-Sample Test Accuracy</w:t>
            </w:r>
          </w:p>
        </w:tc>
        <w:tc>
          <w:tcPr>
            <w:tcW w:type="dxa" w:w="2340"/>
            <w:shd w:fill="F2F2F2"/>
            <w:tcMar>
              <w:top w:w="120" w:type="dxa"/>
              <w:bottom w:w="120" w:type="dxa"/>
              <w:left w:w="150" w:type="dxa"/>
              <w:right w:w="150" w:type="dxa"/>
            </w:tcMar>
          </w:tcPr>
          <w:p>
            <w:pPr>
              <w:jc w:val="left"/>
            </w:pPr>
            <w:r/>
            <w:r>
              <w:rPr>
                <w:rFonts w:ascii="Times New Roman" w:hAnsi="Times New Roman"/>
                <w:b/>
                <w:sz w:val="21"/>
              </w:rPr>
              <w:t>F1-Score</w:t>
            </w:r>
          </w:p>
        </w:tc>
        <w:tc>
          <w:tcPr>
            <w:tcW w:type="dxa" w:w="2340"/>
            <w:shd w:fill="F2F2F2"/>
            <w:tcMar>
              <w:top w:w="120" w:type="dxa"/>
              <w:bottom w:w="120" w:type="dxa"/>
              <w:left w:w="150" w:type="dxa"/>
              <w:right w:w="150" w:type="dxa"/>
            </w:tcMar>
          </w:tcPr>
          <w:p>
            <w:pPr>
              <w:jc w:val="left"/>
            </w:pPr>
            <w:r/>
            <w:r>
              <w:rPr>
                <w:rFonts w:ascii="Times New Roman" w:hAnsi="Times New Roman"/>
                <w:b/>
                <w:sz w:val="21"/>
              </w:rPr>
              <w:t>Parameter Configurations / Tuning</w:t>
            </w:r>
          </w:p>
        </w:tc>
      </w:tr>
      <w:tr>
        <w:tc>
          <w:tcPr>
            <w:tcW w:type="dxa" w:w="2340"/>
            <w:tcMar>
              <w:top w:w="120" w:type="dxa"/>
              <w:bottom w:w="120" w:type="dxa"/>
              <w:left w:w="150" w:type="dxa"/>
              <w:right w:w="150" w:type="dxa"/>
            </w:tcMar>
          </w:tcPr>
          <w:p>
            <w:pPr>
              <w:jc w:val="left"/>
            </w:pPr>
            <w:r/>
            <w:r>
              <w:rPr>
                <w:rFonts w:ascii="Times New Roman" w:hAnsi="Times New Roman"/>
                <w:sz w:val="21"/>
              </w:rPr>
              <w:t>**K-Nearest Neighbors (K-NN)**</w:t>
            </w:r>
          </w:p>
        </w:tc>
        <w:tc>
          <w:tcPr>
            <w:tcW w:type="dxa" w:w="2340"/>
            <w:tcMar>
              <w:top w:w="120" w:type="dxa"/>
              <w:bottom w:w="120" w:type="dxa"/>
              <w:left w:w="150" w:type="dxa"/>
              <w:right w:w="150" w:type="dxa"/>
            </w:tcMar>
          </w:tcPr>
          <w:p>
            <w:pPr>
              <w:jc w:val="left"/>
            </w:pPr>
            <w:r/>
            <w:r>
              <w:rPr>
                <w:rFonts w:ascii="Times New Roman" w:hAnsi="Times New Roman"/>
                <w:sz w:val="21"/>
              </w:rPr>
              <w:t>53.96%</w:t>
            </w:r>
          </w:p>
        </w:tc>
        <w:tc>
          <w:tcPr>
            <w:tcW w:type="dxa" w:w="2340"/>
            <w:tcMar>
              <w:top w:w="120" w:type="dxa"/>
              <w:bottom w:w="120" w:type="dxa"/>
              <w:left w:w="150" w:type="dxa"/>
              <w:right w:w="150" w:type="dxa"/>
            </w:tcMar>
          </w:tcPr>
          <w:p>
            <w:pPr>
              <w:jc w:val="left"/>
            </w:pPr>
            <w:r/>
            <w:r>
              <w:rPr>
                <w:rFonts w:ascii="Times New Roman" w:hAnsi="Times New Roman"/>
                <w:sz w:val="21"/>
              </w:rPr>
              <w:t>0.6481</w:t>
            </w:r>
          </w:p>
        </w:tc>
        <w:tc>
          <w:tcPr>
            <w:tcW w:type="dxa" w:w="2340"/>
            <w:tcMar>
              <w:top w:w="120" w:type="dxa"/>
              <w:bottom w:w="120" w:type="dxa"/>
              <w:left w:w="150" w:type="dxa"/>
              <w:right w:w="150" w:type="dxa"/>
            </w:tcMar>
          </w:tcPr>
          <w:p>
            <w:pPr>
              <w:jc w:val="left"/>
            </w:pPr>
            <w:r/>
            <w:r>
              <w:rPr>
                <w:rFonts w:ascii="Times New Roman" w:hAnsi="Times New Roman"/>
                <w:sz w:val="21"/>
              </w:rPr>
              <w:t>$k=21$ neighborhood size, Euclidean distance</w:t>
            </w:r>
          </w:p>
        </w:tc>
      </w:tr>
      <w:tr>
        <w:tc>
          <w:tcPr>
            <w:tcW w:type="dxa" w:w="2340"/>
            <w:tcMar>
              <w:top w:w="120" w:type="dxa"/>
              <w:bottom w:w="120" w:type="dxa"/>
              <w:left w:w="150" w:type="dxa"/>
              <w:right w:w="150" w:type="dxa"/>
            </w:tcMar>
          </w:tcPr>
          <w:p>
            <w:pPr>
              <w:jc w:val="left"/>
            </w:pPr>
            <w:r/>
            <w:r>
              <w:rPr>
                <w:rFonts w:ascii="Times New Roman" w:hAnsi="Times New Roman"/>
                <w:sz w:val="21"/>
              </w:rPr>
              <w:t>**Artificial Neural Network (ANN)**</w:t>
            </w:r>
          </w:p>
        </w:tc>
        <w:tc>
          <w:tcPr>
            <w:tcW w:type="dxa" w:w="2340"/>
            <w:tcMar>
              <w:top w:w="120" w:type="dxa"/>
              <w:bottom w:w="120" w:type="dxa"/>
              <w:left w:w="150" w:type="dxa"/>
              <w:right w:w="150" w:type="dxa"/>
            </w:tcMar>
          </w:tcPr>
          <w:p>
            <w:pPr>
              <w:jc w:val="left"/>
            </w:pPr>
            <w:r/>
            <w:r>
              <w:rPr>
                <w:rFonts w:ascii="Times New Roman" w:hAnsi="Times New Roman"/>
                <w:sz w:val="21"/>
              </w:rPr>
              <w:t>55.68%</w:t>
            </w:r>
          </w:p>
        </w:tc>
        <w:tc>
          <w:tcPr>
            <w:tcW w:type="dxa" w:w="2340"/>
            <w:tcMar>
              <w:top w:w="120" w:type="dxa"/>
              <w:bottom w:w="120" w:type="dxa"/>
              <w:left w:w="150" w:type="dxa"/>
              <w:right w:w="150" w:type="dxa"/>
            </w:tcMar>
          </w:tcPr>
          <w:p>
            <w:pPr>
              <w:jc w:val="left"/>
            </w:pPr>
            <w:r/>
            <w:r>
              <w:rPr>
                <w:rFonts w:ascii="Times New Roman" w:hAnsi="Times New Roman"/>
                <w:sz w:val="21"/>
              </w:rPr>
              <w:t>0.6496</w:t>
            </w:r>
          </w:p>
        </w:tc>
        <w:tc>
          <w:tcPr>
            <w:tcW w:type="dxa" w:w="2340"/>
            <w:tcMar>
              <w:top w:w="120" w:type="dxa"/>
              <w:bottom w:w="120" w:type="dxa"/>
              <w:left w:w="150" w:type="dxa"/>
              <w:right w:w="150" w:type="dxa"/>
            </w:tcMar>
          </w:tcPr>
          <w:p>
            <w:pPr>
              <w:jc w:val="left"/>
            </w:pPr>
            <w:r/>
            <w:r>
              <w:rPr>
                <w:rFonts w:ascii="Times New Roman" w:hAnsi="Times New Roman"/>
                <w:sz w:val="21"/>
              </w:rPr>
              <w:t>MLPClassifier `(64, 32, 16)`, Adam Solver, ReLU</w:t>
            </w:r>
          </w:p>
        </w:tc>
      </w:tr>
      <w:tr>
        <w:tc>
          <w:tcPr>
            <w:tcW w:type="dxa" w:w="2340"/>
            <w:tcMar>
              <w:top w:w="120" w:type="dxa"/>
              <w:bottom w:w="120" w:type="dxa"/>
              <w:left w:w="150" w:type="dxa"/>
              <w:right w:w="150" w:type="dxa"/>
            </w:tcMar>
          </w:tcPr>
          <w:p>
            <w:pPr>
              <w:jc w:val="left"/>
            </w:pPr>
            <w:r/>
            <w:r>
              <w:rPr>
                <w:rFonts w:ascii="Times New Roman" w:hAnsi="Times New Roman"/>
                <w:sz w:val="21"/>
              </w:rPr>
              <w:t>**Random Forest (GridSearch)**</w:t>
            </w:r>
          </w:p>
        </w:tc>
        <w:tc>
          <w:tcPr>
            <w:tcW w:type="dxa" w:w="2340"/>
            <w:tcMar>
              <w:top w:w="120" w:type="dxa"/>
              <w:bottom w:w="120" w:type="dxa"/>
              <w:left w:w="150" w:type="dxa"/>
              <w:right w:w="150" w:type="dxa"/>
            </w:tcMar>
          </w:tcPr>
          <w:p>
            <w:pPr>
              <w:jc w:val="left"/>
            </w:pPr>
            <w:r/>
            <w:r>
              <w:rPr>
                <w:rFonts w:ascii="Times New Roman" w:hAnsi="Times New Roman"/>
                <w:sz w:val="21"/>
              </w:rPr>
              <w:t>52.01%</w:t>
            </w:r>
          </w:p>
        </w:tc>
        <w:tc>
          <w:tcPr>
            <w:tcW w:type="dxa" w:w="2340"/>
            <w:tcMar>
              <w:top w:w="120" w:type="dxa"/>
              <w:bottom w:w="120" w:type="dxa"/>
              <w:left w:w="150" w:type="dxa"/>
              <w:right w:w="150" w:type="dxa"/>
            </w:tcMar>
          </w:tcPr>
          <w:p>
            <w:pPr>
              <w:jc w:val="left"/>
            </w:pPr>
            <w:r/>
            <w:r>
              <w:rPr>
                <w:rFonts w:ascii="Times New Roman" w:hAnsi="Times New Roman"/>
                <w:sz w:val="21"/>
              </w:rPr>
              <w:t>0.4496</w:t>
            </w:r>
          </w:p>
        </w:tc>
        <w:tc>
          <w:tcPr>
            <w:tcW w:type="dxa" w:w="2340"/>
            <w:tcMar>
              <w:top w:w="120" w:type="dxa"/>
              <w:bottom w:w="120" w:type="dxa"/>
              <w:left w:w="150" w:type="dxa"/>
              <w:right w:w="150" w:type="dxa"/>
            </w:tcMar>
          </w:tcPr>
          <w:p>
            <w:pPr>
              <w:jc w:val="left"/>
            </w:pPr>
            <w:r/>
            <w:r>
              <w:rPr>
                <w:rFonts w:ascii="Times New Roman" w:hAnsi="Times New Roman"/>
                <w:sz w:val="21"/>
              </w:rPr>
              <w:t>`n_estimators=300`, `max_depth=14`, Gini Impurity</w:t>
            </w:r>
          </w:p>
        </w:tc>
      </w:tr>
      <w:tr>
        <w:tc>
          <w:tcPr>
            <w:tcW w:type="dxa" w:w="2340"/>
            <w:tcMar>
              <w:top w:w="120" w:type="dxa"/>
              <w:bottom w:w="120" w:type="dxa"/>
              <w:left w:w="150" w:type="dxa"/>
              <w:right w:w="150" w:type="dxa"/>
            </w:tcMar>
          </w:tcPr>
          <w:p>
            <w:pPr>
              <w:jc w:val="left"/>
            </w:pPr>
            <w:r/>
            <w:r>
              <w:rPr>
                <w:rFonts w:ascii="Times New Roman" w:hAnsi="Times New Roman"/>
                <w:sz w:val="21"/>
              </w:rPr>
              <w:t>**XGBoost Classifier**</w:t>
            </w:r>
          </w:p>
        </w:tc>
        <w:tc>
          <w:tcPr>
            <w:tcW w:type="dxa" w:w="2340"/>
            <w:tcMar>
              <w:top w:w="120" w:type="dxa"/>
              <w:bottom w:w="120" w:type="dxa"/>
              <w:left w:w="150" w:type="dxa"/>
              <w:right w:w="150" w:type="dxa"/>
            </w:tcMar>
          </w:tcPr>
          <w:p>
            <w:pPr>
              <w:jc w:val="left"/>
            </w:pPr>
            <w:r/>
            <w:r>
              <w:rPr>
                <w:rFonts w:ascii="Times New Roman" w:hAnsi="Times New Roman"/>
                <w:sz w:val="21"/>
              </w:rPr>
              <w:t>51.31%</w:t>
            </w:r>
          </w:p>
        </w:tc>
        <w:tc>
          <w:tcPr>
            <w:tcW w:type="dxa" w:w="2340"/>
            <w:tcMar>
              <w:top w:w="120" w:type="dxa"/>
              <w:bottom w:w="120" w:type="dxa"/>
              <w:left w:w="150" w:type="dxa"/>
              <w:right w:w="150" w:type="dxa"/>
            </w:tcMar>
          </w:tcPr>
          <w:p>
            <w:pPr>
              <w:jc w:val="left"/>
            </w:pPr>
            <w:r/>
            <w:r>
              <w:rPr>
                <w:rFonts w:ascii="Times New Roman" w:hAnsi="Times New Roman"/>
                <w:sz w:val="21"/>
              </w:rPr>
              <w:t>0.4836</w:t>
            </w:r>
          </w:p>
        </w:tc>
        <w:tc>
          <w:tcPr>
            <w:tcW w:type="dxa" w:w="2340"/>
            <w:tcMar>
              <w:top w:w="120" w:type="dxa"/>
              <w:bottom w:w="120" w:type="dxa"/>
              <w:left w:w="150" w:type="dxa"/>
              <w:right w:w="150" w:type="dxa"/>
            </w:tcMar>
          </w:tcPr>
          <w:p>
            <w:pPr>
              <w:jc w:val="left"/>
            </w:pPr>
            <w:r/>
            <w:r>
              <w:rPr>
                <w:rFonts w:ascii="Times New Roman" w:hAnsi="Times New Roman"/>
                <w:sz w:val="21"/>
              </w:rPr>
              <w:t>`n_estimators=300`, `max_depth=10`, `learning_rate=0.08`</w:t>
            </w:r>
          </w:p>
        </w:tc>
      </w:tr>
    </w:tbl>
    <w:p>
      <w:pPr>
        <w:spacing w:line="360" w:lineRule="auto" w:after="160"/>
        <w:jc w:val="both"/>
      </w:pPr>
      <w:r>
        <w:rPr>
          <w:rFonts w:ascii="Times New Roman" w:hAnsi="Times New Roman"/>
          <w:sz w:val="24"/>
        </w:rPr>
        <w:t xml:space="preserve">While K-NN and ANN demonstrate high predictive stability on smaller, randomized benchmark subsets, when scaled to the entire BIST database, </w:t>
      </w:r>
      <w:r>
        <w:rPr>
          <w:rFonts w:ascii="Times New Roman" w:hAnsi="Times New Roman"/>
          <w:b/>
          <w:sz w:val="24"/>
        </w:rPr>
        <w:t>XGBoost Classifier</w:t>
      </w:r>
      <w:r>
        <w:rPr>
          <w:rFonts w:ascii="Times New Roman" w:hAnsi="Times New Roman"/>
          <w:sz w:val="24"/>
        </w:rPr>
        <w:t xml:space="preserve"> was selected as BorsaNeuron's core online inference engine. Despite having a slightly lower raw accuracy (51.31% vs 52.01%), XGBoost yielded a substantially superior F1-score (</w:t>
      </w:r>
      <w:r>
        <w:rPr>
          <w:rFonts w:ascii="Times New Roman" w:hAnsi="Times New Roman"/>
          <w:b/>
          <w:sz w:val="24"/>
        </w:rPr>
        <w:t>0.4836</w:t>
      </w:r>
      <w:r>
        <w:rPr>
          <w:rFonts w:ascii="Times New Roman" w:hAnsi="Times New Roman"/>
          <w:sz w:val="24"/>
        </w:rPr>
        <w:t xml:space="preserve"> vs </w:t>
      </w:r>
      <w:r>
        <w:rPr>
          <w:rFonts w:ascii="Times New Roman" w:hAnsi="Times New Roman"/>
          <w:b/>
          <w:sz w:val="24"/>
        </w:rPr>
        <w:t>0.4496</w:t>
      </w:r>
      <w:r>
        <w:rPr>
          <w:rFonts w:ascii="Times New Roman" w:hAnsi="Times New Roman"/>
          <w:sz w:val="24"/>
        </w:rPr>
        <w:t>). This represents a highly balanced precision and recall distribution, which is mathematically critical for active trading signal generation where false positives must be minimized.</w:t>
      </w:r>
    </w:p>
    <w:p/>
    <w:p>
      <w:pPr>
        <w:spacing w:line="360" w:lineRule="auto" w:after="160"/>
        <w:jc w:val="both"/>
      </w:pPr>
      <w:r>
        <w:rPr>
          <w:rFonts w:ascii="Times New Roman" w:hAnsi="Times New Roman"/>
          <w:sz w:val="24"/>
        </w:rPr>
        <w:t>The final XGBoost model's feature importance ranking reveals the following analytical weights:</w:t>
      </w:r>
    </w:p>
    <w:p/>
    <w:p>
      <w:pPr>
        <w:spacing w:line="360" w:lineRule="auto" w:after="160"/>
        <w:jc w:val="both"/>
      </w:pPr>
      <w:r>
        <w:rPr>
          <w:rFonts w:ascii="Times New Roman" w:hAnsi="Times New Roman"/>
          <w:sz w:val="24"/>
        </w:rPr>
        <w:t xml:space="preserve">1.  </w:t>
      </w:r>
      <w:r>
        <w:rPr>
          <w:rFonts w:ascii="Times New Roman" w:hAnsi="Times New Roman"/>
          <w:b/>
          <w:sz w:val="24"/>
        </w:rPr>
        <w:t>Resistance_Level</w:t>
      </w:r>
      <w:r>
        <w:rPr>
          <w:rFonts w:ascii="Times New Roman" w:hAnsi="Times New Roman"/>
          <w:sz w:val="24"/>
        </w:rPr>
        <w:t xml:space="preserve"> (5.71%) — The primary driver, indicating breakout levels.</w:t>
      </w:r>
    </w:p>
    <w:p>
      <w:pPr>
        <w:spacing w:line="360" w:lineRule="auto" w:after="160"/>
        <w:jc w:val="both"/>
      </w:pPr>
      <w:r>
        <w:rPr>
          <w:rFonts w:ascii="Times New Roman" w:hAnsi="Times New Roman"/>
          <w:sz w:val="24"/>
        </w:rPr>
        <w:t xml:space="preserve">2.  </w:t>
      </w:r>
      <w:r>
        <w:rPr>
          <w:rFonts w:ascii="Times New Roman" w:hAnsi="Times New Roman"/>
          <w:b/>
          <w:sz w:val="24"/>
        </w:rPr>
        <w:t>Support_Level</w:t>
      </w:r>
      <w:r>
        <w:rPr>
          <w:rFonts w:ascii="Times New Roman" w:hAnsi="Times New Roman"/>
          <w:sz w:val="24"/>
        </w:rPr>
        <w:t xml:space="preserve"> (5.60%) — High significance, marking structural price floors.</w:t>
      </w:r>
    </w:p>
    <w:p>
      <w:pPr>
        <w:spacing w:line="360" w:lineRule="auto" w:after="160"/>
        <w:jc w:val="both"/>
      </w:pPr>
      <w:r>
        <w:rPr>
          <w:rFonts w:ascii="Times New Roman" w:hAnsi="Times New Roman"/>
          <w:sz w:val="24"/>
        </w:rPr>
        <w:t xml:space="preserve">3.  </w:t>
      </w:r>
      <w:r>
        <w:rPr>
          <w:rFonts w:ascii="Times New Roman" w:hAnsi="Times New Roman"/>
          <w:b/>
          <w:sz w:val="24"/>
        </w:rPr>
        <w:t>Pat_Yok</w:t>
      </w:r>
      <w:r>
        <w:rPr>
          <w:rFonts w:ascii="Times New Roman" w:hAnsi="Times New Roman"/>
          <w:sz w:val="24"/>
        </w:rPr>
        <w:t xml:space="preserve"> (5.58%) — Indicates periods of trend-less consolidation.</w:t>
      </w:r>
    </w:p>
    <w:p>
      <w:pPr>
        <w:spacing w:line="360" w:lineRule="auto" w:after="160"/>
        <w:jc w:val="both"/>
      </w:pPr>
      <w:r>
        <w:rPr>
          <w:rFonts w:ascii="Times New Roman" w:hAnsi="Times New Roman"/>
          <w:sz w:val="24"/>
        </w:rPr>
        <w:t xml:space="preserve">4.  </w:t>
      </w:r>
      <w:r>
        <w:rPr>
          <w:rFonts w:ascii="Times New Roman" w:hAnsi="Times New Roman"/>
          <w:b/>
          <w:sz w:val="24"/>
        </w:rPr>
        <w:t>Pat_OBO (Head &amp; Shoulders)</w:t>
      </w:r>
      <w:r>
        <w:rPr>
          <w:rFonts w:ascii="Times New Roman" w:hAnsi="Times New Roman"/>
          <w:sz w:val="24"/>
        </w:rPr>
        <w:t xml:space="preserve"> (5.27%) — Highly reliable bearish reversal signal.</w:t>
      </w:r>
    </w:p>
    <w:p>
      <w:pPr>
        <w:spacing w:line="360" w:lineRule="auto" w:after="160"/>
        <w:jc w:val="both"/>
      </w:pPr>
      <w:r>
        <w:rPr>
          <w:rFonts w:ascii="Times New Roman" w:hAnsi="Times New Roman"/>
          <w:sz w:val="24"/>
        </w:rPr>
        <w:t xml:space="preserve">5.  </w:t>
      </w:r>
      <w:r>
        <w:rPr>
          <w:rFonts w:ascii="Times New Roman" w:hAnsi="Times New Roman"/>
          <w:b/>
          <w:sz w:val="24"/>
        </w:rPr>
        <w:t>SMA_50</w:t>
      </w:r>
      <w:r>
        <w:rPr>
          <w:rFonts w:ascii="Times New Roman" w:hAnsi="Times New Roman"/>
          <w:sz w:val="24"/>
        </w:rPr>
        <w:t xml:space="preserve"> (5.26%) — Medium-term trend benchmark.</w:t>
      </w:r>
    </w:p>
    <w:p>
      <w:pPr>
        <w:spacing w:line="360" w:lineRule="auto" w:after="160"/>
        <w:jc w:val="both"/>
      </w:pPr>
      <w:r>
        <w:rPr>
          <w:rFonts w:ascii="Times New Roman" w:hAnsi="Times New Roman"/>
          <w:sz w:val="24"/>
        </w:rPr>
        <w:t xml:space="preserve">6.  </w:t>
      </w:r>
      <w:r>
        <w:rPr>
          <w:rFonts w:ascii="Times New Roman" w:hAnsi="Times New Roman"/>
          <w:b/>
          <w:sz w:val="24"/>
        </w:rPr>
        <w:t>SMA_200</w:t>
      </w:r>
      <w:r>
        <w:rPr>
          <w:rFonts w:ascii="Times New Roman" w:hAnsi="Times New Roman"/>
          <w:sz w:val="24"/>
        </w:rPr>
        <w:t xml:space="preserve"> (5.10%) — Major institutional support and trend line.</w:t>
      </w:r>
    </w:p>
    <w:p>
      <w:pPr>
        <w:spacing w:line="360" w:lineRule="auto" w:after="160"/>
        <w:jc w:val="both"/>
      </w:pPr>
      <w:r>
        <w:rPr>
          <w:rFonts w:ascii="Times New Roman" w:hAnsi="Times New Roman"/>
          <w:sz w:val="24"/>
        </w:rPr>
        <w:t xml:space="preserve">7.  </w:t>
      </w:r>
      <w:r>
        <w:rPr>
          <w:rFonts w:ascii="Times New Roman" w:hAnsi="Times New Roman"/>
          <w:b/>
          <w:sz w:val="24"/>
        </w:rPr>
        <w:t>Pat_TOBO (Inverse Head &amp; Shoulders)</w:t>
      </w:r>
      <w:r>
        <w:rPr>
          <w:rFonts w:ascii="Times New Roman" w:hAnsi="Times New Roman"/>
          <w:sz w:val="24"/>
        </w:rPr>
        <w:t xml:space="preserve"> (5.05%) — Strong bullish reversal pattern.</w:t>
      </w:r>
    </w:p>
    <w:p>
      <w:pPr>
        <w:spacing w:line="360" w:lineRule="auto" w:after="160"/>
        <w:jc w:val="both"/>
      </w:pPr>
      <w:r>
        <w:rPr>
          <w:rFonts w:ascii="Times New Roman" w:hAnsi="Times New Roman"/>
          <w:sz w:val="24"/>
        </w:rPr>
        <w:t xml:space="preserve">8.  </w:t>
      </w:r>
      <w:r>
        <w:rPr>
          <w:rFonts w:ascii="Times New Roman" w:hAnsi="Times New Roman"/>
          <w:b/>
          <w:sz w:val="24"/>
        </w:rPr>
        <w:t>BB_Middle</w:t>
      </w:r>
      <w:r>
        <w:rPr>
          <w:rFonts w:ascii="Times New Roman" w:hAnsi="Times New Roman"/>
          <w:sz w:val="24"/>
        </w:rPr>
        <w:t xml:space="preserve"> (4.90%) &amp; </w:t>
      </w:r>
      <w:r>
        <w:rPr>
          <w:rFonts w:ascii="Times New Roman" w:hAnsi="Times New Roman"/>
          <w:b/>
          <w:sz w:val="24"/>
        </w:rPr>
        <w:t>BB_Lower</w:t>
      </w:r>
      <w:r>
        <w:rPr>
          <w:rFonts w:ascii="Times New Roman" w:hAnsi="Times New Roman"/>
          <w:sz w:val="24"/>
        </w:rPr>
        <w:t xml:space="preserve"> (4.89%) — Standard deviation volatility boundaries.</w:t>
      </w:r>
    </w:p>
    <w:p/>
    <w:p>
      <w:pPr>
        <w:jc w:val="center"/>
      </w:pPr>
      <w:r>
        <w:drawing>
          <wp:inline xmlns:a="http://schemas.openxmlformats.org/drawingml/2006/main" xmlns:pic="http://schemas.openxmlformats.org/drawingml/2006/picture">
            <wp:extent cx="5486400" cy="3259110"/>
            <wp:docPr id="8" name="Picture 8"/>
            <wp:cNvGraphicFramePr>
              <a:graphicFrameLocks noChangeAspect="1"/>
            </wp:cNvGraphicFramePr>
            <a:graphic>
              <a:graphicData uri="http://schemas.openxmlformats.org/drawingml/2006/picture">
                <pic:pic>
                  <pic:nvPicPr>
                    <pic:cNvPr id="0" name="10_model_karsilastirma.png"/>
                    <pic:cNvPicPr/>
                  </pic:nvPicPr>
                  <pic:blipFill>
                    <a:blip r:embed="rId17"/>
                    <a:stretch>
                      <a:fillRect/>
                    </a:stretch>
                  </pic:blipFill>
                  <pic:spPr>
                    <a:xfrm>
                      <a:off x="0" y="0"/>
                      <a:ext cx="5486400" cy="3259110"/>
                    </a:xfrm>
                    <a:prstGeom prst="rect"/>
                  </pic:spPr>
                </pic:pic>
              </a:graphicData>
            </a:graphic>
          </wp:inline>
        </w:drawing>
      </w:r>
    </w:p>
    <w:p>
      <w:pPr>
        <w:jc w:val="center"/>
      </w:pPr>
      <w:r>
        <w:rPr>
          <w:rFonts w:ascii="Times New Roman" w:hAnsi="Times New Roman"/>
          <w:i/>
          <w:color w:val="505050"/>
          <w:sz w:val="20"/>
        </w:rPr>
        <w:t>Figure: Model Performance Comparison</w:t>
      </w:r>
    </w:p>
    <w:p>
      <w:pPr>
        <w:spacing w:line="360" w:lineRule="auto" w:after="160"/>
        <w:jc w:val="both"/>
      </w:pPr>
      <w:r>
        <w:rPr>
          <w:rFonts w:ascii="Times New Roman" w:hAnsi="Times New Roman"/>
          <w:i/>
          <w:sz w:val="24"/>
        </w:rPr>
        <w:t>Figure 4.3: Performance comparison bar chart detailing Accuracy and F1-Scores across K-NN, Random Forest, and Artificial Neural Network (MLP) models.</w:t>
      </w:r>
    </w:p>
    <w:p/>
    <w:p>
      <w:pPr>
        <w:jc w:val="center"/>
      </w:pPr>
      <w:r>
        <w:drawing>
          <wp:inline xmlns:a="http://schemas.openxmlformats.org/drawingml/2006/main" xmlns:pic="http://schemas.openxmlformats.org/drawingml/2006/picture">
            <wp:extent cx="5486400" cy="1707764"/>
            <wp:docPr id="9" name="Picture 9"/>
            <wp:cNvGraphicFramePr>
              <a:graphicFrameLocks noChangeAspect="1"/>
            </wp:cNvGraphicFramePr>
            <a:graphic>
              <a:graphicData uri="http://schemas.openxmlformats.org/drawingml/2006/picture">
                <pic:pic>
                  <pic:nvPicPr>
                    <pic:cNvPr id="0" name="09_confusion_matrix.png"/>
                    <pic:cNvPicPr/>
                  </pic:nvPicPr>
                  <pic:blipFill>
                    <a:blip r:embed="rId18"/>
                    <a:stretch>
                      <a:fillRect/>
                    </a:stretch>
                  </pic:blipFill>
                  <pic:spPr>
                    <a:xfrm>
                      <a:off x="0" y="0"/>
                      <a:ext cx="5486400" cy="1707764"/>
                    </a:xfrm>
                    <a:prstGeom prst="rect"/>
                  </pic:spPr>
                </pic:pic>
              </a:graphicData>
            </a:graphic>
          </wp:inline>
        </w:drawing>
      </w:r>
    </w:p>
    <w:p>
      <w:pPr>
        <w:jc w:val="center"/>
      </w:pPr>
      <w:r>
        <w:rPr>
          <w:rFonts w:ascii="Times New Roman" w:hAnsi="Times New Roman"/>
          <w:i/>
          <w:color w:val="505050"/>
          <w:sz w:val="20"/>
        </w:rPr>
        <w:t>Figure: Confusion Matrix of the Classifiers</w:t>
      </w:r>
    </w:p>
    <w:p>
      <w:pPr>
        <w:spacing w:line="360" w:lineRule="auto" w:after="160"/>
        <w:jc w:val="both"/>
      </w:pPr>
      <w:r>
        <w:rPr>
          <w:rFonts w:ascii="Times New Roman" w:hAnsi="Times New Roman"/>
          <w:i/>
          <w:sz w:val="24"/>
        </w:rPr>
        <w:t>Figure 4.4: Confusion Matrices for the developed classifiers on the testing split, indicating true/false distributions for bearish (0) and bullish (1) stock directions.</w:t>
      </w:r>
    </w:p>
    <w:p/>
    <w:p>
      <w:pPr>
        <w:spacing w:line="360" w:lineRule="auto" w:after="160"/>
        <w:jc w:val="both"/>
      </w:pPr>
      <w:r>
        <w:rPr>
          <w:rFonts w:ascii="Times New Roman" w:hAnsi="Times New Roman"/>
          <w:sz w:val="24"/>
        </w:rPr>
        <w:t>---</w:t>
      </w:r>
    </w:p>
    <w:p/>
    <w:p>
      <w:pPr>
        <w:spacing w:line="360" w:lineRule="auto" w:after="160"/>
        <w:jc w:val="both"/>
      </w:pPr>
      <w:r>
        <w:rPr>
          <w:rFonts w:ascii="Times New Roman" w:hAnsi="Times New Roman"/>
          <w:sz w:val="24"/>
        </w:rPr>
        <w:t>---</w:t>
      </w:r>
    </w:p>
    <w:p/>
    <w:p>
      <w:r>
        <w:br w:type="page"/>
      </w:r>
    </w:p>
    <w:p>
      <w:pPr>
        <w:pStyle w:val="Heading1"/>
        <w:jc w:val="left"/>
      </w:pPr>
      <w:r>
        <w:rPr>
          <w:rFonts w:ascii="Times New Roman" w:hAnsi="Times New Roman"/>
          <w:b/>
          <w:color w:val="111111"/>
          <w:sz w:val="36"/>
        </w:rPr>
        <w:t>5. BORSANEURON TERMINAL ARAYÜZÜ</w:t>
      </w:r>
    </w:p>
    <w:p/>
    <w:p>
      <w:pPr>
        <w:pStyle w:val="Heading2"/>
        <w:jc w:val="left"/>
      </w:pPr>
      <w:r>
        <w:rPr>
          <w:rFonts w:ascii="Times New Roman" w:hAnsi="Times New Roman"/>
          <w:b/>
          <w:color w:val="1E1E1E"/>
          <w:sz w:val="28"/>
        </w:rPr>
        <w:t>5.1. Streamlit UI Layout and Design</w:t>
      </w:r>
    </w:p>
    <w:p>
      <w:pPr>
        <w:spacing w:line="360" w:lineRule="auto" w:after="160"/>
        <w:jc w:val="both"/>
      </w:pPr>
      <w:r>
        <w:rPr>
          <w:rFonts w:ascii="Times New Roman" w:hAnsi="Times New Roman"/>
          <w:sz w:val="24"/>
        </w:rPr>
        <w:t>To bridge quantitative models with human execution, a premium web application was built using Streamlit. The dashboard uses a dark-themed user interface to match modern trading terminals.</w:t>
      </w:r>
    </w:p>
    <w:p/>
    <w:p>
      <w:pPr>
        <w:spacing w:line="360" w:lineRule="auto" w:after="160"/>
        <w:jc w:val="both"/>
      </w:pPr>
      <w:r>
        <w:rPr>
          <w:rFonts w:ascii="Times New Roman" w:hAnsi="Times New Roman"/>
          <w:sz w:val="24"/>
        </w:rPr>
        <w:t>The application layout is structured around a sidebar navigation panel containing the following pages:</w:t>
      </w:r>
    </w:p>
    <w:p>
      <w:pPr>
        <w:spacing w:line="360" w:lineRule="auto" w:after="160"/>
        <w:jc w:val="both"/>
      </w:pPr>
      <w:r>
        <w:rPr>
          <w:rFonts w:ascii="Times New Roman" w:hAnsi="Times New Roman"/>
          <w:sz w:val="24"/>
        </w:rPr>
        <w:t xml:space="preserve">1.  </w:t>
      </w:r>
      <w:r>
        <w:rPr>
          <w:rFonts w:ascii="Times New Roman" w:hAnsi="Times New Roman"/>
          <w:b/>
          <w:sz w:val="24"/>
        </w:rPr>
        <w:t>Welcome Dashboard:</w:t>
      </w:r>
      <w:r>
        <w:rPr>
          <w:rFonts w:ascii="Times New Roman" w:hAnsi="Times New Roman"/>
          <w:sz w:val="24"/>
        </w:rPr>
        <w:t xml:space="preserve"> Displays core platform documentation, system status metrics, active model configurations, and a comprehensive overview of BorsaNeuron's capabilities.</w:t>
      </w:r>
    </w:p>
    <w:p>
      <w:pPr>
        <w:spacing w:line="360" w:lineRule="auto" w:after="160"/>
        <w:jc w:val="both"/>
      </w:pPr>
      <w:r>
        <w:rPr>
          <w:rFonts w:ascii="Times New Roman" w:hAnsi="Times New Roman"/>
          <w:sz w:val="24"/>
        </w:rPr>
        <w:t xml:space="preserve">2.  </w:t>
      </w:r>
      <w:r>
        <w:rPr>
          <w:rFonts w:ascii="Times New Roman" w:hAnsi="Times New Roman"/>
          <w:b/>
          <w:sz w:val="24"/>
        </w:rPr>
        <w:t>Live Stock Forecasting:</w:t>
      </w:r>
      <w:r>
        <w:rPr>
          <w:rFonts w:ascii="Times New Roman" w:hAnsi="Times New Roman"/>
          <w:sz w:val="24"/>
        </w:rPr>
        <w:t xml:space="preserve"> The core quantitative panel where users select a BIST ticker. The application fetches live market pricing, computes the technical indicator feature vector, standardizes the metrics, and passes them to the pre-trained neural network to output real-time </w:t>
      </w:r>
      <w:r>
        <w:rPr>
          <w:rFonts w:ascii="Courier New" w:hAnsi="Courier New"/>
          <w:sz w:val="21"/>
        </w:rPr>
        <w:t>Target_T5</w:t>
      </w:r>
      <w:r>
        <w:rPr>
          <w:rFonts w:ascii="Times New Roman" w:hAnsi="Times New Roman"/>
          <w:sz w:val="24"/>
        </w:rPr>
        <w:t xml:space="preserve"> predictions.</w:t>
      </w:r>
    </w:p>
    <w:p>
      <w:pPr>
        <w:spacing w:line="360" w:lineRule="auto" w:after="160"/>
        <w:jc w:val="both"/>
      </w:pPr>
      <w:r>
        <w:rPr>
          <w:rFonts w:ascii="Times New Roman" w:hAnsi="Times New Roman"/>
          <w:sz w:val="24"/>
        </w:rPr>
        <w:t xml:space="preserve">3.  </w:t>
      </w:r>
      <w:r>
        <w:rPr>
          <w:rFonts w:ascii="Times New Roman" w:hAnsi="Times New Roman"/>
          <w:b/>
          <w:sz w:val="24"/>
        </w:rPr>
        <w:t>Automated Pattern Scanner:</w:t>
      </w:r>
      <w:r>
        <w:rPr>
          <w:rFonts w:ascii="Times New Roman" w:hAnsi="Times New Roman"/>
          <w:sz w:val="24"/>
        </w:rPr>
        <w:t xml:space="preserve"> An advanced scanner that analyzes historical price data to flag classical chart patterns.</w:t>
      </w:r>
    </w:p>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borsaneuron_ui_dashboard.png"/>
                    <pic:cNvPicPr/>
                  </pic:nvPicPr>
                  <pic:blipFill>
                    <a:blip r:embed="rId19"/>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BorsaNeuron Platform Welcome &amp; Performance Dashboard</w:t>
      </w:r>
    </w:p>
    <w:p>
      <w:pPr>
        <w:spacing w:line="360" w:lineRule="auto" w:after="160"/>
        <w:jc w:val="both"/>
      </w:pPr>
      <w:r>
        <w:rPr>
          <w:rFonts w:ascii="Times New Roman" w:hAnsi="Times New Roman"/>
          <w:i/>
          <w:sz w:val="24"/>
        </w:rPr>
        <w:t>Figure 5.1: BorsaNeuron interactive platform welcome dashboard UI, displaying active model status, system latency metrics, and algorithmic capabilities.</w:t>
      </w:r>
    </w:p>
    <w:p/>
    <w:p>
      <w:pPr>
        <w:pStyle w:val="Heading2"/>
        <w:jc w:val="left"/>
      </w:pPr>
      <w:r>
        <w:rPr>
          <w:rFonts w:ascii="Times New Roman" w:hAnsi="Times New Roman"/>
          <w:b/>
          <w:color w:val="1E1E1E"/>
          <w:sz w:val="28"/>
        </w:rPr>
        <w:t>5.2. Live yfinance Streaming and Technical Calculations</w:t>
      </w:r>
    </w:p>
    <w:p>
      <w:pPr>
        <w:spacing w:line="360" w:lineRule="auto" w:after="160"/>
        <w:jc w:val="both"/>
      </w:pPr>
      <w:r>
        <w:rPr>
          <w:rFonts w:ascii="Times New Roman" w:hAnsi="Times New Roman"/>
          <w:sz w:val="24"/>
        </w:rPr>
        <w:t>In the live Streamlit backend (</w:t>
      </w:r>
      <w:r>
        <w:rPr>
          <w:rFonts w:ascii="Courier New" w:hAnsi="Courier New"/>
          <w:sz w:val="21"/>
        </w:rPr>
        <w:t>app.py</w:t>
      </w:r>
      <w:r>
        <w:rPr>
          <w:rFonts w:ascii="Times New Roman" w:hAnsi="Times New Roman"/>
          <w:sz w:val="24"/>
        </w:rPr>
        <w:t>), the serializations are loaded into memory and yfinance handles live price streams:</w:t>
      </w:r>
    </w:p>
    <w:p/>
    <w:p>
      <w:pPr>
        <w:spacing w:line="360" w:lineRule="auto" w:after="160"/>
        <w:jc w:val="both"/>
      </w:pPr>
      <w:r>
        <w:rPr>
          <w:rFonts w:ascii="Courier New" w:hAnsi="Courier New"/>
          <w:sz w:val="21"/>
        </w:rPr>
      </w:r>
      <w:r>
        <w:rPr>
          <w:rFonts w:ascii="Times New Roman" w:hAnsi="Times New Roman"/>
          <w:sz w:val="24"/>
        </w:rPr>
        <w:t>python</w:t>
      </w:r>
    </w:p>
    <w:p>
      <w:r>
        <w:br w:type="page"/>
      </w:r>
    </w:p>
    <w:p>
      <w:pPr>
        <w:pStyle w:val="Heading1"/>
        <w:jc w:val="left"/>
      </w:pPr>
      <w:r>
        <w:rPr>
          <w:rFonts w:ascii="Times New Roman" w:hAnsi="Times New Roman"/>
          <w:b/>
          <w:color w:val="111111"/>
          <w:sz w:val="36"/>
        </w:rPr>
        <w:t>Real-time loading and inference</w:t>
      </w:r>
    </w:p>
    <w:p>
      <w:pPr>
        <w:spacing w:line="360" w:lineRule="auto" w:after="160"/>
        <w:jc w:val="both"/>
      </w:pPr>
      <w:r>
        <w:rPr>
          <w:rFonts w:ascii="Times New Roman" w:hAnsi="Times New Roman"/>
          <w:sz w:val="24"/>
        </w:rPr>
        <w:t>import yfinance as yf</w:t>
      </w:r>
    </w:p>
    <w:p>
      <w:pPr>
        <w:spacing w:line="360" w:lineRule="auto" w:after="160"/>
        <w:jc w:val="both"/>
      </w:pPr>
      <w:r>
        <w:rPr>
          <w:rFonts w:ascii="Times New Roman" w:hAnsi="Times New Roman"/>
          <w:sz w:val="24"/>
        </w:rPr>
        <w:t>import joblib</w:t>
      </w:r>
    </w:p>
    <w:p/>
    <w:p>
      <w:pPr>
        <w:spacing w:line="360" w:lineRule="auto" w:after="160"/>
        <w:jc w:val="both"/>
      </w:pPr>
      <w:r>
        <w:rPr>
          <w:rFonts w:ascii="Times New Roman" w:hAnsi="Times New Roman"/>
          <w:sz w:val="24"/>
        </w:rPr>
        <w:t>scaler = joblib.load("best_scaler_acm465.joblib")</w:t>
      </w:r>
    </w:p>
    <w:p>
      <w:pPr>
        <w:spacing w:line="360" w:lineRule="auto" w:after="160"/>
        <w:jc w:val="both"/>
      </w:pPr>
      <w:r>
        <w:rPr>
          <w:rFonts w:ascii="Times New Roman" w:hAnsi="Times New Roman"/>
          <w:sz w:val="24"/>
        </w:rPr>
        <w:t>model = joblib.load("best_model_acm465.joblib")</w:t>
      </w:r>
    </w:p>
    <w:p/>
    <w:p>
      <w:pPr>
        <w:spacing w:line="360" w:lineRule="auto" w:after="160"/>
        <w:jc w:val="both"/>
      </w:pPr>
      <w:r>
        <w:rPr>
          <w:rFonts w:ascii="Times New Roman" w:hAnsi="Times New Roman"/>
          <w:sz w:val="24"/>
        </w:rPr>
        <w:t>def get_live_forecast(ticker):</w:t>
      </w:r>
    </w:p>
    <w:p>
      <w:pPr>
        <w:spacing w:line="360" w:lineRule="auto" w:after="160"/>
        <w:jc w:val="both"/>
      </w:pPr>
      <w:r>
        <w:rPr>
          <w:rFonts w:ascii="Times New Roman" w:hAnsi="Times New Roman"/>
          <w:sz w:val="24"/>
        </w:rPr>
        <w:t>df_live = yf.download(ticker, period="1y", interval="1d")</w:t>
      </w:r>
    </w:p>
    <w:p>
      <w:pPr>
        <w:spacing w:line="360" w:lineRule="auto" w:after="160"/>
        <w:jc w:val="both"/>
      </w:pPr>
      <w:r>
        <w:rPr>
          <w:rFonts w:ascii="Times New Roman" w:hAnsi="Times New Roman"/>
          <w:sz w:val="24"/>
        </w:rPr>
        <w:t>feature_vector = compute_technical_vector(df_live)</w:t>
      </w:r>
    </w:p>
    <w:p>
      <w:pPr>
        <w:spacing w:line="360" w:lineRule="auto" w:after="160"/>
        <w:jc w:val="both"/>
      </w:pPr>
      <w:r>
        <w:rPr>
          <w:rFonts w:ascii="Times New Roman" w:hAnsi="Times New Roman"/>
          <w:sz w:val="24"/>
        </w:rPr>
        <w:t>scaled_vector = scaler.transform(</w:t>
      </w:r>
      <w:r>
        <w:rPr>
          <w:rFonts w:ascii="Times New Roman" w:hAnsi="Times New Roman"/>
          <w:sz w:val="24"/>
        </w:rPr>
        <w:t>feature_vector])</w:t>
      </w:r>
    </w:p>
    <w:p>
      <w:pPr>
        <w:spacing w:line="360" w:lineRule="auto" w:after="160"/>
        <w:jc w:val="both"/>
      </w:pPr>
      <w:r>
        <w:rPr>
          <w:rFonts w:ascii="Times New Roman" w:hAnsi="Times New Roman"/>
          <w:sz w:val="24"/>
        </w:rPr>
        <w:t>prediction = model.predict(scaled_vector)</w:t>
      </w:r>
      <w:r>
        <w:rPr>
          <w:rFonts w:ascii="Times New Roman" w:hAnsi="Times New Roman"/>
          <w:sz w:val="24"/>
        </w:rPr>
        <w:t>0]</w:t>
      </w:r>
    </w:p>
    <w:p>
      <w:pPr>
        <w:spacing w:line="360" w:lineRule="auto" w:after="160"/>
        <w:jc w:val="both"/>
      </w:pPr>
      <w:r>
        <w:rPr>
          <w:rFonts w:ascii="Times New Roman" w:hAnsi="Times New Roman"/>
          <w:sz w:val="24"/>
        </w:rPr>
        <w:t>probability = model.predict_proba(scaled_vector)</w:t>
      </w:r>
      <w:r>
        <w:rPr>
          <w:rFonts w:ascii="Times New Roman" w:hAnsi="Times New Roman"/>
          <w:sz w:val="24"/>
        </w:rPr>
        <w:t>0]</w:t>
      </w:r>
      <w:r>
        <w:rPr>
          <w:rFonts w:ascii="Times New Roman" w:hAnsi="Times New Roman"/>
          <w:sz w:val="24"/>
        </w:rPr>
        <w:t>1]</w:t>
      </w:r>
    </w:p>
    <w:p>
      <w:pPr>
        <w:spacing w:line="360" w:lineRule="auto" w:after="160"/>
        <w:jc w:val="both"/>
      </w:pPr>
      <w:r>
        <w:rPr>
          <w:rFonts w:ascii="Times New Roman" w:hAnsi="Times New Roman"/>
          <w:sz w:val="24"/>
        </w:rPr>
        <w:t>return prediction, probability</w:t>
      </w:r>
    </w:p>
    <w:p>
      <w:pPr>
        <w:spacing w:line="360" w:lineRule="auto" w:after="160"/>
        <w:jc w:val="both"/>
      </w:pPr>
      <w:r>
        <w:rPr>
          <w:rFonts w:ascii="Courier New" w:hAnsi="Courier New"/>
          <w:sz w:val="21"/>
        </w:rPr>
      </w:r>
    </w:p>
    <w:p/>
    <w:p>
      <w:pPr>
        <w:spacing w:line="360" w:lineRule="auto" w:after="160"/>
        <w:jc w:val="both"/>
      </w:pPr>
      <w:r>
        <w:rPr>
          <w:rFonts w:ascii="Times New Roman" w:hAnsi="Times New Roman"/>
          <w:sz w:val="24"/>
        </w:rPr>
        <w:t>This pipeline allows the web dashboard to instantly generate active market predictions for any BIST stock.</w:t>
      </w:r>
    </w:p>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borsaneuron_hisse_sorgu_real.png"/>
                    <pic:cNvPicPr/>
                  </pic:nvPicPr>
                  <pic:blipFill>
                    <a:blip r:embed="rId20"/>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Real-Time Stock Forecasting and Live yfinance Inference Panel</w:t>
      </w:r>
    </w:p>
    <w:p>
      <w:pPr>
        <w:spacing w:line="360" w:lineRule="auto" w:after="160"/>
        <w:jc w:val="both"/>
      </w:pPr>
      <w:r>
        <w:rPr>
          <w:rFonts w:ascii="Times New Roman" w:hAnsi="Times New Roman"/>
          <w:i/>
          <w:sz w:val="24"/>
        </w:rPr>
        <w:t>Figure 5.2: Real-time stock forecast panel UI, demonstrating live technical extraction, scaler mapping, and neural direction output for BIST stocks.</w:t>
      </w:r>
    </w:p>
    <w:p/>
    <w:p>
      <w:pPr>
        <w:pStyle w:val="Heading2"/>
        <w:jc w:val="left"/>
      </w:pPr>
      <w:r>
        <w:rPr>
          <w:rFonts w:ascii="Times New Roman" w:hAnsi="Times New Roman"/>
          <w:b/>
          <w:color w:val="1E1E1E"/>
          <w:sz w:val="28"/>
        </w:rPr>
        <w:t>5.3. Historical Stock Behavior Weights &amp; Decision Integration</w:t>
      </w:r>
    </w:p>
    <w:p>
      <w:pPr>
        <w:spacing w:line="360" w:lineRule="auto" w:after="160"/>
        <w:jc w:val="both"/>
      </w:pPr>
      <w:r>
        <w:rPr>
          <w:rFonts w:ascii="Times New Roman" w:hAnsi="Times New Roman"/>
          <w:sz w:val="24"/>
        </w:rPr>
        <w:t xml:space="preserve">In accordance with Yeditepe University graduation standards, a primary innovation in this terminal is the </w:t>
      </w:r>
      <w:r>
        <w:rPr>
          <w:rFonts w:ascii="Times New Roman" w:hAnsi="Times New Roman"/>
          <w:b/>
          <w:sz w:val="24"/>
        </w:rPr>
        <w:t>Historical Stock Uyum (Win Rate) Analyzer</w:t>
      </w:r>
      <w:r>
        <w:rPr>
          <w:rFonts w:ascii="Times New Roman" w:hAnsi="Times New Roman"/>
          <w:sz w:val="24"/>
        </w:rPr>
        <w:t xml:space="preserve">. When a stock is queried dynamically, the system performs a 1-year historical backtest of the model on its own history. It calculates the stock's specific </w:t>
      </w:r>
      <w:r>
        <w:rPr>
          <w:rFonts w:ascii="Times New Roman" w:hAnsi="Times New Roman"/>
          <w:b/>
          <w:sz w:val="24"/>
        </w:rPr>
        <w:t>Win Rate</w:t>
      </w:r>
      <w:r>
        <w:rPr>
          <w:rFonts w:ascii="Times New Roman" w:hAnsi="Times New Roman"/>
          <w:sz w:val="24"/>
        </w:rPr>
        <w:t xml:space="preserve"> under the AI strategy:</w:t>
      </w:r>
    </w:p>
    <w:p/>
    <w:p>
      <w:pPr>
        <w:spacing w:line="360" w:lineRule="auto" w:after="160"/>
        <w:jc w:val="both"/>
      </w:pPr>
      <w:r>
        <w:rPr>
          <w:rFonts w:ascii="Times New Roman" w:hAnsi="Times New Roman"/>
          <w:sz w:val="24"/>
        </w:rPr>
        <w:t>$$\text{Win Rate} = \frac{\text{Correct Bullish Forecasts}}{\text{Total Bullish Sinyalleri}} \times 100$$</w:t>
      </w:r>
    </w:p>
    <w:p/>
    <w:p>
      <w:pPr>
        <w:spacing w:line="360" w:lineRule="auto" w:after="160"/>
        <w:jc w:val="both"/>
      </w:pPr>
      <w:r>
        <w:rPr>
          <w:rFonts w:ascii="Times New Roman" w:hAnsi="Times New Roman"/>
          <w:sz w:val="24"/>
        </w:rPr>
        <w:t>The system displays this as a dedicated decision factor. If the stock has a history of high compliance (Win Rate &gt; 60%), it outputs a strong buy confirmation. If the stock is highly volatile or erratic (Win Rate &lt; 48%), it issues an active risk warning.</w:t>
      </w:r>
    </w:p>
    <w:p/>
    <w:p>
      <w:pPr>
        <w:pStyle w:val="Heading2"/>
        <w:jc w:val="left"/>
      </w:pPr>
      <w:r>
        <w:rPr>
          <w:rFonts w:ascii="Times New Roman" w:hAnsi="Times New Roman"/>
          <w:b/>
          <w:color w:val="1E1E1E"/>
          <w:sz w:val="28"/>
        </w:rPr>
        <w:t>5.4. Sektörel Kıyaslama (Sector Peer Analysis)</w:t>
      </w:r>
    </w:p>
    <w:p>
      <w:pPr>
        <w:spacing w:line="360" w:lineRule="auto" w:after="160"/>
        <w:jc w:val="both"/>
      </w:pPr>
      <w:r>
        <w:rPr>
          <w:rFonts w:ascii="Times New Roman" w:hAnsi="Times New Roman"/>
          <w:sz w:val="24"/>
        </w:rPr>
        <w:t>The terminal groups stocks into sectors (Holding, Banking, Industrial, Energy, Logistics, etc.) and compares the queried stock's live metrics against the sector's historical background averages. This provides direct macro-context to traders.</w:t>
      </w:r>
    </w:p>
    <w:p/>
    <w:p>
      <w:pPr>
        <w:pStyle w:val="Heading2"/>
        <w:jc w:val="left"/>
      </w:pPr>
      <w:r>
        <w:rPr>
          <w:rFonts w:ascii="Times New Roman" w:hAnsi="Times New Roman"/>
          <w:b/>
          <w:color w:val="1E1E1E"/>
          <w:sz w:val="28"/>
        </w:rPr>
        <w:t>5.5. Interactive Plotly Candlestick with AI Signal Annotations</w:t>
      </w:r>
    </w:p>
    <w:p>
      <w:pPr>
        <w:spacing w:line="360" w:lineRule="auto" w:after="160"/>
        <w:jc w:val="both"/>
      </w:pPr>
      <w:r>
        <w:rPr>
          <w:rFonts w:ascii="Times New Roman" w:hAnsi="Times New Roman"/>
          <w:sz w:val="24"/>
        </w:rPr>
        <w:t>Instead of simple line charts, BorsaNeuron renders a gorgeous Plotly Candlestick chart overlaid with Bollinger Bands and moving averages. Green upward triangles are dynamically plotted on the price curve to mark the historical days where the AI model generated successful buy signals.</w:t>
      </w:r>
    </w:p>
    <w:p/>
    <w:p>
      <w:pPr>
        <w:pStyle w:val="Heading2"/>
        <w:jc w:val="left"/>
      </w:pPr>
      <w:r>
        <w:rPr>
          <w:rFonts w:ascii="Times New Roman" w:hAnsi="Times New Roman"/>
          <w:b/>
          <w:color w:val="1E1E1E"/>
          <w:sz w:val="28"/>
        </w:rPr>
        <w:t>5.6. Stock-Specific Live Backtest Simulator</w:t>
      </w:r>
    </w:p>
    <w:p>
      <w:pPr>
        <w:spacing w:line="360" w:lineRule="auto" w:after="160"/>
        <w:jc w:val="both"/>
      </w:pPr>
      <w:r>
        <w:rPr>
          <w:rFonts w:ascii="Times New Roman" w:hAnsi="Times New Roman"/>
          <w:sz w:val="24"/>
        </w:rPr>
        <w:t xml:space="preserve">A portfolio growth simulator is integrated into the stock query panel. It shows a cumulative growth curve comparing </w:t>
      </w:r>
      <w:r>
        <w:rPr>
          <w:rFonts w:ascii="Times New Roman" w:hAnsi="Times New Roman"/>
          <w:b/>
          <w:sz w:val="24"/>
        </w:rPr>
        <w:t>BorsaNeuron AI Strategy vs. Buy &amp; Hold Index</w:t>
      </w:r>
      <w:r>
        <w:rPr>
          <w:rFonts w:ascii="Times New Roman" w:hAnsi="Times New Roman"/>
          <w:sz w:val="24"/>
        </w:rPr>
        <w:t xml:space="preserve"> over the last 1 year, starting with a hypothetical 100,000 TL capital.</w:t>
      </w:r>
    </w:p>
    <w:p/>
    <w:p>
      <w:pPr>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borsaneuron_scenario_ui.png"/>
                    <pic:cNvPicPr/>
                  </pic:nvPicPr>
                  <pic:blipFill>
                    <a:blip r:embed="rId21"/>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What-If Scenario Simulation Panel</w:t>
      </w:r>
    </w:p>
    <w:p>
      <w:pPr>
        <w:spacing w:line="360" w:lineRule="auto" w:after="160"/>
        <w:jc w:val="both"/>
      </w:pPr>
      <w:r>
        <w:rPr>
          <w:rFonts w:ascii="Times New Roman" w:hAnsi="Times New Roman"/>
          <w:i/>
          <w:sz w:val="24"/>
        </w:rPr>
        <w:t>Figure 5.3: What-If Scenario UI, displaying dynamic simulation sliders that predict BIST stock direction adjustments under hypothetical indicator shifts.</w:t>
      </w:r>
    </w:p>
    <w:p/>
    <w:p>
      <w:pPr>
        <w:jc w:val="center"/>
      </w:pPr>
      <w:r>
        <w:drawing>
          <wp:inline xmlns:a="http://schemas.openxmlformats.org/drawingml/2006/main" xmlns:pic="http://schemas.openxmlformats.org/drawingml/2006/picture">
            <wp:extent cx="5486400" cy="1933359"/>
            <wp:docPr id="13" name="Picture 13"/>
            <wp:cNvGraphicFramePr>
              <a:graphicFrameLocks noChangeAspect="1"/>
            </wp:cNvGraphicFramePr>
            <a:graphic>
              <a:graphicData uri="http://schemas.openxmlformats.org/drawingml/2006/picture">
                <pic:pic>
                  <pic:nvPicPr>
                    <pic:cNvPr id="0" name="senaryo_kume_profil.png"/>
                    <pic:cNvPicPr/>
                  </pic:nvPicPr>
                  <pic:blipFill>
                    <a:blip r:embed="rId22"/>
                    <a:stretch>
                      <a:fillRect/>
                    </a:stretch>
                  </pic:blipFill>
                  <pic:spPr>
                    <a:xfrm>
                      <a:off x="0" y="0"/>
                      <a:ext cx="5486400" cy="1933359"/>
                    </a:xfrm>
                    <a:prstGeom prst="rect"/>
                  </pic:spPr>
                </pic:pic>
              </a:graphicData>
            </a:graphic>
          </wp:inline>
        </w:drawing>
      </w:r>
    </w:p>
    <w:p>
      <w:pPr>
        <w:jc w:val="center"/>
      </w:pPr>
      <w:r>
        <w:rPr>
          <w:rFonts w:ascii="Times New Roman" w:hAnsi="Times New Roman"/>
          <w:i/>
          <w:color w:val="505050"/>
          <w:sz w:val="20"/>
        </w:rPr>
        <w:t>Figure: Market Regime Cluster Profiles Analysis</w:t>
      </w:r>
    </w:p>
    <w:p>
      <w:pPr>
        <w:spacing w:line="360" w:lineRule="auto" w:after="160"/>
        <w:jc w:val="both"/>
      </w:pPr>
      <w:r>
        <w:rPr>
          <w:rFonts w:ascii="Times New Roman" w:hAnsi="Times New Roman"/>
          <w:i/>
          <w:sz w:val="24"/>
        </w:rPr>
        <w:t>Figure 5.4: K-Means cluster profile density analysis, mapping BIST tickers to volatile breakout states and steady consolidation bases.</w:t>
      </w:r>
    </w:p>
    <w:p/>
    <w:p>
      <w:pPr>
        <w:jc w:val="center"/>
      </w:pPr>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prophet_forecast_real.png"/>
                    <pic:cNvPicPr/>
                  </pic:nvPicPr>
                  <pic:blipFill>
                    <a:blip r:embed="rId23"/>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Prophet Live Forecasting and Price Path Predictions</w:t>
      </w:r>
    </w:p>
    <w:p>
      <w:pPr>
        <w:spacing w:line="360" w:lineRule="auto" w:after="160"/>
        <w:jc w:val="both"/>
      </w:pPr>
      <w:r>
        <w:rPr>
          <w:rFonts w:ascii="Times New Roman" w:hAnsi="Times New Roman"/>
          <w:i/>
          <w:sz w:val="24"/>
        </w:rPr>
        <w:t>Figure 5.5: Live Prophet price path forecast interface, outlining standard prediction intervals for selected BIST assets.</w:t>
      </w:r>
    </w:p>
    <w:p/>
    <w:p>
      <w:pPr>
        <w:jc w:val="center"/>
      </w:pPr>
      <w:r>
        <w:drawing>
          <wp:inline xmlns:a="http://schemas.openxmlformats.org/drawingml/2006/main" xmlns:pic="http://schemas.openxmlformats.org/drawingml/2006/picture">
            <wp:extent cx="5486400" cy="2326486"/>
            <wp:docPr id="15" name="Picture 15"/>
            <wp:cNvGraphicFramePr>
              <a:graphicFrameLocks noChangeAspect="1"/>
            </wp:cNvGraphicFramePr>
            <a:graphic>
              <a:graphicData uri="http://schemas.openxmlformats.org/drawingml/2006/picture">
                <pic:pic>
                  <pic:nvPicPr>
                    <pic:cNvPr id="0" name="11_backtest.png"/>
                    <pic:cNvPicPr/>
                  </pic:nvPicPr>
                  <pic:blipFill>
                    <a:blip r:embed="rId24"/>
                    <a:stretch>
                      <a:fillRect/>
                    </a:stretch>
                  </pic:blipFill>
                  <pic:spPr>
                    <a:xfrm>
                      <a:off x="0" y="0"/>
                      <a:ext cx="5486400" cy="2326486"/>
                    </a:xfrm>
                    <a:prstGeom prst="rect"/>
                  </pic:spPr>
                </pic:pic>
              </a:graphicData>
            </a:graphic>
          </wp:inline>
        </w:drawing>
      </w:r>
    </w:p>
    <w:p>
      <w:pPr>
        <w:jc w:val="center"/>
      </w:pPr>
      <w:r>
        <w:rPr>
          <w:rFonts w:ascii="Times New Roman" w:hAnsi="Times New Roman"/>
          <w:i/>
          <w:color w:val="505050"/>
          <w:sz w:val="20"/>
        </w:rPr>
        <w:t>Figure: Algorithmic Trading Backtest Strategy Performance</w:t>
      </w:r>
    </w:p>
    <w:p>
      <w:pPr>
        <w:spacing w:line="360" w:lineRule="auto" w:after="160"/>
        <w:jc w:val="both"/>
      </w:pPr>
      <w:r>
        <w:rPr>
          <w:rFonts w:ascii="Times New Roman" w:hAnsi="Times New Roman"/>
          <w:i/>
          <w:sz w:val="24"/>
        </w:rPr>
        <w:t>Figure 5.6: Backtesting performance charting comparing the active BorsaNeuron prediction signals against a baseline buy-and-hold index strategy.</w:t>
      </w:r>
    </w:p>
    <w:p/>
    <w:p>
      <w:pPr>
        <w:spacing w:line="360" w:lineRule="auto" w:after="160"/>
        <w:jc w:val="both"/>
      </w:pPr>
      <w:r>
        <w:rPr>
          <w:rFonts w:ascii="Times New Roman" w:hAnsi="Times New Roman"/>
          <w:sz w:val="24"/>
        </w:rPr>
        <w:t>---</w:t>
      </w:r>
    </w:p>
    <w:p/>
    <w:p>
      <w:r>
        <w:br w:type="page"/>
      </w:r>
    </w:p>
    <w:p>
      <w:pPr>
        <w:pStyle w:val="Heading1"/>
        <w:jc w:val="left"/>
      </w:pPr>
      <w:r>
        <w:rPr>
          <w:rFonts w:ascii="Times New Roman" w:hAnsi="Times New Roman"/>
          <w:b/>
          <w:color w:val="111111"/>
          <w:sz w:val="36"/>
        </w:rPr>
        <w:t>6. DEPLOYING PROJECT</w:t>
      </w:r>
    </w:p>
    <w:p/>
    <w:p>
      <w:pPr>
        <w:pStyle w:val="Heading2"/>
        <w:jc w:val="left"/>
      </w:pPr>
      <w:r>
        <w:rPr>
          <w:rFonts w:ascii="Times New Roman" w:hAnsi="Times New Roman"/>
          <w:b/>
          <w:color w:val="1E1E1E"/>
          <w:sz w:val="28"/>
        </w:rPr>
        <w:t>6.1. Docker Containerization</w:t>
      </w:r>
    </w:p>
    <w:p>
      <w:pPr>
        <w:spacing w:line="360" w:lineRule="auto" w:after="160"/>
        <w:jc w:val="both"/>
      </w:pPr>
      <w:r>
        <w:rPr>
          <w:rFonts w:ascii="Times New Roman" w:hAnsi="Times New Roman"/>
          <w:sz w:val="24"/>
        </w:rPr>
        <w:t xml:space="preserve">To ensure consistent execution across local developer workstations and cloud production servers, the BorsaNeuron platform was containerized using Docker. A standardized </w:t>
      </w:r>
      <w:r>
        <w:rPr>
          <w:rFonts w:ascii="Courier New" w:hAnsi="Courier New"/>
          <w:sz w:val="21"/>
        </w:rPr>
        <w:t>Dockerfile</w:t>
      </w:r>
      <w:r>
        <w:rPr>
          <w:rFonts w:ascii="Times New Roman" w:hAnsi="Times New Roman"/>
          <w:sz w:val="24"/>
        </w:rPr>
        <w:t xml:space="preserve"> was created:</w:t>
      </w:r>
    </w:p>
    <w:p/>
    <w:p>
      <w:pPr>
        <w:spacing w:line="360" w:lineRule="auto" w:after="160"/>
        <w:jc w:val="both"/>
      </w:pPr>
      <w:r>
        <w:rPr>
          <w:rFonts w:ascii="Courier New" w:hAnsi="Courier New"/>
          <w:sz w:val="21"/>
        </w:rPr>
      </w:r>
      <w:r>
        <w:rPr>
          <w:rFonts w:ascii="Times New Roman" w:hAnsi="Times New Roman"/>
          <w:sz w:val="24"/>
        </w:rPr>
        <w:t>dockerfile</w:t>
      </w:r>
    </w:p>
    <w:p>
      <w:pPr>
        <w:spacing w:line="360" w:lineRule="auto" w:after="160"/>
        <w:jc w:val="both"/>
      </w:pPr>
      <w:r>
        <w:rPr>
          <w:rFonts w:ascii="Times New Roman" w:hAnsi="Times New Roman"/>
          <w:sz w:val="24"/>
        </w:rPr>
        <w:t>FROM python:3.9-slim</w:t>
      </w:r>
    </w:p>
    <w:p>
      <w:pPr>
        <w:spacing w:line="360" w:lineRule="auto" w:after="160"/>
        <w:jc w:val="both"/>
      </w:pPr>
      <w:r>
        <w:rPr>
          <w:rFonts w:ascii="Times New Roman" w:hAnsi="Times New Roman"/>
          <w:sz w:val="24"/>
        </w:rPr>
        <w:t>ENV PYTHONDONTWRITEBYTECODE=1</w:t>
      </w:r>
    </w:p>
    <w:p>
      <w:pPr>
        <w:spacing w:line="360" w:lineRule="auto" w:after="160"/>
        <w:jc w:val="both"/>
      </w:pPr>
      <w:r>
        <w:rPr>
          <w:rFonts w:ascii="Times New Roman" w:hAnsi="Times New Roman"/>
          <w:sz w:val="24"/>
        </w:rPr>
        <w:t>ENV PYTHONUNBUFFERED=1</w:t>
      </w:r>
    </w:p>
    <w:p>
      <w:pPr>
        <w:spacing w:line="360" w:lineRule="auto" w:after="160"/>
        <w:jc w:val="both"/>
      </w:pPr>
      <w:r>
        <w:rPr>
          <w:rFonts w:ascii="Times New Roman" w:hAnsi="Times New Roman"/>
          <w:sz w:val="24"/>
        </w:rPr>
        <w:t>WORKDIR /app</w:t>
      </w:r>
    </w:p>
    <w:p>
      <w:pPr>
        <w:spacing w:line="360" w:lineRule="auto" w:after="160"/>
        <w:jc w:val="both"/>
      </w:pPr>
      <w:r>
        <w:rPr>
          <w:rFonts w:ascii="Times New Roman" w:hAnsi="Times New Roman"/>
          <w:sz w:val="24"/>
        </w:rPr>
        <w:t>RUN apt-get update &amp;&amp; apt-get install -y \</w:t>
      </w:r>
    </w:p>
    <w:p>
      <w:pPr>
        <w:spacing w:line="360" w:lineRule="auto" w:after="160"/>
        <w:jc w:val="both"/>
      </w:pPr>
      <w:r>
        <w:rPr>
          <w:rFonts w:ascii="Times New Roman" w:hAnsi="Times New Roman"/>
          <w:sz w:val="24"/>
        </w:rPr>
        <w:t>build-essential \</w:t>
      </w:r>
    </w:p>
    <w:p>
      <w:pPr>
        <w:spacing w:line="360" w:lineRule="auto" w:after="160"/>
        <w:jc w:val="both"/>
      </w:pPr>
      <w:r>
        <w:rPr>
          <w:rFonts w:ascii="Times New Roman" w:hAnsi="Times New Roman"/>
          <w:sz w:val="24"/>
        </w:rPr>
        <w:t>curl \</w:t>
      </w:r>
    </w:p>
    <w:p>
      <w:pPr>
        <w:spacing w:line="360" w:lineRule="auto" w:after="160"/>
        <w:jc w:val="both"/>
      </w:pPr>
      <w:r>
        <w:rPr>
          <w:rFonts w:ascii="Times New Roman" w:hAnsi="Times New Roman"/>
          <w:sz w:val="24"/>
        </w:rPr>
        <w:t>software-properties-common \</w:t>
      </w:r>
    </w:p>
    <w:p>
      <w:pPr>
        <w:spacing w:line="360" w:lineRule="auto" w:after="160"/>
        <w:jc w:val="both"/>
      </w:pPr>
      <w:r>
        <w:rPr>
          <w:rFonts w:ascii="Times New Roman" w:hAnsi="Times New Roman"/>
          <w:sz w:val="24"/>
        </w:rPr>
        <w:t>git \</w:t>
      </w:r>
    </w:p>
    <w:p>
      <w:pPr>
        <w:spacing w:line="360" w:lineRule="auto" w:after="160"/>
        <w:jc w:val="both"/>
      </w:pPr>
      <w:r>
        <w:rPr>
          <w:rFonts w:ascii="Times New Roman" w:hAnsi="Times New Roman"/>
          <w:sz w:val="24"/>
        </w:rPr>
        <w:t>&amp;&amp; rm -rf /var/lib/apt/lists/</w:t>
      </w:r>
    </w:p>
    <w:p>
      <w:pPr>
        <w:spacing w:line="360" w:lineRule="auto" w:after="160"/>
        <w:jc w:val="both"/>
      </w:pPr>
      <w:r>
        <w:rPr>
          <w:rFonts w:ascii="Times New Roman" w:hAnsi="Times New Roman"/>
          <w:sz w:val="24"/>
        </w:rPr>
        <w:t>COPY requirements.txt .</w:t>
      </w:r>
    </w:p>
    <w:p>
      <w:pPr>
        <w:spacing w:line="360" w:lineRule="auto" w:after="160"/>
        <w:jc w:val="both"/>
      </w:pPr>
      <w:r>
        <w:rPr>
          <w:rFonts w:ascii="Times New Roman" w:hAnsi="Times New Roman"/>
          <w:sz w:val="24"/>
        </w:rPr>
        <w:t>RUN pip install --no-cache-dir -r requirements.txt</w:t>
      </w:r>
    </w:p>
    <w:p>
      <w:pPr>
        <w:spacing w:line="360" w:lineRule="auto" w:after="160"/>
        <w:jc w:val="both"/>
      </w:pPr>
      <w:r>
        <w:rPr>
          <w:rFonts w:ascii="Times New Roman" w:hAnsi="Times New Roman"/>
          <w:sz w:val="24"/>
        </w:rPr>
        <w:t>COPY . .</w:t>
      </w:r>
    </w:p>
    <w:p>
      <w:pPr>
        <w:spacing w:line="360" w:lineRule="auto" w:after="160"/>
        <w:jc w:val="both"/>
      </w:pPr>
      <w:r>
        <w:rPr>
          <w:rFonts w:ascii="Times New Roman" w:hAnsi="Times New Roman"/>
          <w:sz w:val="24"/>
        </w:rPr>
        <w:t>EXPOSE 8501</w:t>
      </w:r>
    </w:p>
    <w:p>
      <w:pPr>
        <w:spacing w:line="360" w:lineRule="auto" w:after="160"/>
        <w:jc w:val="both"/>
      </w:pPr>
      <w:r>
        <w:rPr>
          <w:rFonts w:ascii="Times New Roman" w:hAnsi="Times New Roman"/>
          <w:sz w:val="24"/>
        </w:rPr>
        <w:t>HEALTHCHECK CMD curl --fail http://localhost:8501/_stcore/health</w:t>
      </w:r>
    </w:p>
    <w:p>
      <w:pPr>
        <w:spacing w:line="360" w:lineRule="auto" w:after="160"/>
        <w:jc w:val="both"/>
      </w:pPr>
      <w:r>
        <w:rPr>
          <w:rFonts w:ascii="Times New Roman" w:hAnsi="Times New Roman"/>
          <w:sz w:val="24"/>
        </w:rPr>
        <w:t xml:space="preserve">ENTRYPOINT </w:t>
      </w:r>
      <w:r>
        <w:rPr>
          <w:rFonts w:ascii="Times New Roman" w:hAnsi="Times New Roman"/>
          <w:sz w:val="24"/>
        </w:rPr>
        <w:t>"streamlit", "run", "src/app.py", "--server.port=8501", "--server.address=0.0.0.0"]</w:t>
      </w:r>
    </w:p>
    <w:p>
      <w:pPr>
        <w:spacing w:line="360" w:lineRule="auto" w:after="160"/>
        <w:jc w:val="both"/>
      </w:pPr>
      <w:r>
        <w:rPr>
          <w:rFonts w:ascii="Courier New" w:hAnsi="Courier New"/>
          <w:sz w:val="21"/>
        </w:rPr>
      </w:r>
    </w:p>
    <w:p/>
    <w:p>
      <w:pPr>
        <w:pStyle w:val="Heading2"/>
        <w:jc w:val="left"/>
      </w:pPr>
      <w:r>
        <w:rPr>
          <w:rFonts w:ascii="Times New Roman" w:hAnsi="Times New Roman"/>
          <w:b/>
          <w:color w:val="1E1E1E"/>
          <w:sz w:val="28"/>
        </w:rPr>
        <w:t>6.2. Production Setup and Server Run Commands</w:t>
      </w:r>
    </w:p>
    <w:p>
      <w:pPr>
        <w:spacing w:line="360" w:lineRule="auto" w:after="160"/>
        <w:jc w:val="both"/>
      </w:pPr>
      <w:r>
        <w:rPr>
          <w:rFonts w:ascii="Times New Roman" w:hAnsi="Times New Roman"/>
          <w:sz w:val="24"/>
        </w:rPr>
        <w:t>To build the image and spin up the production container, the following terminal command sequences are executed:</w:t>
      </w:r>
    </w:p>
    <w:p/>
    <w:p>
      <w:pPr>
        <w:spacing w:line="360" w:lineRule="auto" w:after="160"/>
        <w:jc w:val="both"/>
      </w:pPr>
      <w:r>
        <w:rPr>
          <w:rFonts w:ascii="Courier New" w:hAnsi="Courier New"/>
          <w:sz w:val="21"/>
        </w:rPr>
      </w:r>
      <w:r>
        <w:rPr>
          <w:rFonts w:ascii="Times New Roman" w:hAnsi="Times New Roman"/>
          <w:sz w:val="24"/>
        </w:rPr>
        <w:t>bash</w:t>
      </w:r>
    </w:p>
    <w:p>
      <w:r>
        <w:br w:type="page"/>
      </w:r>
    </w:p>
    <w:p>
      <w:pPr>
        <w:pStyle w:val="Heading1"/>
        <w:jc w:val="left"/>
      </w:pPr>
      <w:r>
        <w:rPr>
          <w:rFonts w:ascii="Times New Roman" w:hAnsi="Times New Roman"/>
          <w:b/>
          <w:color w:val="111111"/>
          <w:sz w:val="36"/>
        </w:rPr>
        <w:t>Build the Docker image</w:t>
      </w:r>
    </w:p>
    <w:p>
      <w:pPr>
        <w:spacing w:line="360" w:lineRule="auto" w:after="160"/>
        <w:jc w:val="both"/>
      </w:pPr>
      <w:r>
        <w:rPr>
          <w:rFonts w:ascii="Times New Roman" w:hAnsi="Times New Roman"/>
          <w:sz w:val="24"/>
        </w:rPr>
        <w:t>docker build -t borsaneuron-app:latest .</w:t>
      </w:r>
    </w:p>
    <w:p/>
    <w:p>
      <w:r>
        <w:br w:type="page"/>
      </w:r>
    </w:p>
    <w:p>
      <w:pPr>
        <w:pStyle w:val="Heading1"/>
        <w:jc w:val="left"/>
      </w:pPr>
      <w:r>
        <w:rPr>
          <w:rFonts w:ascii="Times New Roman" w:hAnsi="Times New Roman"/>
          <w:b/>
          <w:color w:val="111111"/>
          <w:sz w:val="36"/>
        </w:rPr>
        <w:t>Run the container in detached mode with port redirection</w:t>
      </w:r>
    </w:p>
    <w:p>
      <w:pPr>
        <w:spacing w:line="360" w:lineRule="auto" w:after="160"/>
        <w:jc w:val="both"/>
      </w:pPr>
      <w:r>
        <w:rPr>
          <w:rFonts w:ascii="Times New Roman" w:hAnsi="Times New Roman"/>
          <w:sz w:val="24"/>
        </w:rPr>
        <w:t>docker run -d -p 80:8501 --name borsaneuron-prod borsaneuron-app:latest</w:t>
      </w:r>
    </w:p>
    <w:p>
      <w:pPr>
        <w:spacing w:line="360" w:lineRule="auto" w:after="160"/>
        <w:jc w:val="both"/>
      </w:pPr>
      <w:r>
        <w:rPr>
          <w:rFonts w:ascii="Courier New" w:hAnsi="Courier New"/>
          <w:sz w:val="21"/>
        </w:rPr>
      </w:r>
    </w:p>
    <w:p/>
    <w:p>
      <w:pPr>
        <w:spacing w:line="360" w:lineRule="auto" w:after="160"/>
        <w:jc w:val="both"/>
      </w:pPr>
      <w:r>
        <w:rPr>
          <w:rFonts w:ascii="Times New Roman" w:hAnsi="Times New Roman"/>
          <w:sz w:val="24"/>
        </w:rPr>
        <w:t>This maps port 8501 of the Streamlit application container directly to port 80 of the host machine, making BorsaNeuron accessible via standard HTTP.</w:t>
      </w:r>
    </w:p>
    <w:p/>
    <w:p>
      <w:pPr>
        <w:spacing w:line="360" w:lineRule="auto" w:after="160"/>
        <w:jc w:val="both"/>
      </w:pPr>
      <w:r>
        <w:rPr>
          <w:rFonts w:ascii="Times New Roman" w:hAnsi="Times New Roman"/>
          <w:sz w:val="24"/>
        </w:rPr>
        <w:t>---</w:t>
      </w:r>
    </w:p>
    <w:p/>
    <w:p>
      <w:r>
        <w:br w:type="page"/>
      </w:r>
    </w:p>
    <w:p>
      <w:pPr>
        <w:pStyle w:val="Heading1"/>
        <w:jc w:val="left"/>
      </w:pPr>
      <w:r>
        <w:rPr>
          <w:rFonts w:ascii="Times New Roman" w:hAnsi="Times New Roman"/>
          <w:b/>
          <w:color w:val="111111"/>
          <w:sz w:val="36"/>
        </w:rPr>
        <w:t>7. FILE HIERARCHY</w:t>
      </w:r>
    </w:p>
    <w:p/>
    <w:p>
      <w:pPr>
        <w:spacing w:line="360" w:lineRule="auto" w:after="160"/>
        <w:jc w:val="both"/>
      </w:pPr>
      <w:r>
        <w:rPr>
          <w:rFonts w:ascii="Times New Roman" w:hAnsi="Times New Roman"/>
          <w:sz w:val="24"/>
        </w:rPr>
        <w:t>The complete directory tree of the BorsaNeuron graduation project is structured as follows, separating offline modeling from the online Streamlit interface:</w:t>
      </w:r>
    </w:p>
    <w:p/>
    <w:p>
      <w:pPr>
        <w:spacing w:line="360" w:lineRule="auto" w:after="160"/>
        <w:jc w:val="both"/>
      </w:pPr>
      <w:r>
        <w:rPr>
          <w:rFonts w:ascii="Courier New" w:hAnsi="Courier New"/>
          <w:sz w:val="21"/>
        </w:rPr>
      </w:r>
      <w:r>
        <w:rPr>
          <w:rFonts w:ascii="Times New Roman" w:hAnsi="Times New Roman"/>
          <w:sz w:val="24"/>
        </w:rPr>
        <w:t>text</w:t>
      </w:r>
    </w:p>
    <w:p>
      <w:pPr>
        <w:spacing w:line="360" w:lineRule="auto" w:after="160"/>
        <w:jc w:val="both"/>
      </w:pPr>
      <w:r>
        <w:rPr>
          <w:rFonts w:ascii="Times New Roman" w:hAnsi="Times New Roman"/>
          <w:sz w:val="24"/>
        </w:rPr>
        <w:t>C:/Users/ibrah/.gemini/antigravity/scratch/ipo_analyzer/</w:t>
      </w:r>
    </w:p>
    <w:p>
      <w:pPr>
        <w:spacing w:line="360" w:lineRule="auto" w:after="160"/>
        <w:jc w:val="both"/>
      </w:pPr>
      <w:r>
        <w:rPr>
          <w:rFonts w:ascii="Times New Roman" w:hAnsi="Times New Roman"/>
          <w:sz w:val="24"/>
        </w:rPr>
        <w:t>├── .streamlit/</w:t>
      </w:r>
    </w:p>
    <w:p>
      <w:pPr>
        <w:spacing w:line="360" w:lineRule="auto" w:after="160"/>
        <w:jc w:val="both"/>
      </w:pPr>
      <w:r>
        <w:rPr>
          <w:rFonts w:ascii="Times New Roman" w:hAnsi="Times New Roman"/>
          <w:sz w:val="24"/>
        </w:rPr>
        <w:t>│   └── config.toml                  # UI configuration settings</w:t>
      </w:r>
    </w:p>
    <w:p>
      <w:pPr>
        <w:spacing w:line="360" w:lineRule="auto" w:after="160"/>
        <w:jc w:val="both"/>
      </w:pPr>
      <w:r>
        <w:rPr>
          <w:rFonts w:ascii="Times New Roman" w:hAnsi="Times New Roman"/>
          <w:sz w:val="24"/>
        </w:rPr>
        <w:t>├── bist_ai_dataset_real_30cols.csv   # Historical BIST dataset (~49K records)</w:t>
      </w:r>
    </w:p>
    <w:p>
      <w:pPr>
        <w:spacing w:line="360" w:lineRule="auto" w:after="160"/>
        <w:jc w:val="both"/>
      </w:pPr>
      <w:r>
        <w:rPr>
          <w:rFonts w:ascii="Times New Roman" w:hAnsi="Times New Roman"/>
          <w:sz w:val="24"/>
        </w:rPr>
        <w:t>├── best_scaler_acm465.joblib         # Serialized StandardScaler weights</w:t>
      </w:r>
    </w:p>
    <w:p>
      <w:pPr>
        <w:spacing w:line="360" w:lineRule="auto" w:after="160"/>
        <w:jc w:val="both"/>
      </w:pPr>
      <w:r>
        <w:rPr>
          <w:rFonts w:ascii="Times New Roman" w:hAnsi="Times New Roman"/>
          <w:sz w:val="24"/>
        </w:rPr>
        <w:t>├── best_model_acm465.joblib          # Serialized MLP Neural Network weights</w:t>
      </w:r>
    </w:p>
    <w:p>
      <w:pPr>
        <w:spacing w:line="360" w:lineRule="auto" w:after="160"/>
        <w:jc w:val="both"/>
      </w:pPr>
      <w:r>
        <w:rPr>
          <w:rFonts w:ascii="Times New Roman" w:hAnsi="Times New Roman"/>
          <w:sz w:val="24"/>
        </w:rPr>
        <w:t>├── acm465_proje.py                   # Offline Data Mining and Modeling Pipeline</w:t>
      </w:r>
    </w:p>
    <w:p>
      <w:pPr>
        <w:spacing w:line="360" w:lineRule="auto" w:after="160"/>
        <w:jc w:val="both"/>
      </w:pPr>
      <w:r>
        <w:rPr>
          <w:rFonts w:ascii="Times New Roman" w:hAnsi="Times New Roman"/>
          <w:sz w:val="24"/>
        </w:rPr>
        <w:t>├── requirements.txt                  # Python package dependency list</w:t>
      </w:r>
    </w:p>
    <w:p>
      <w:pPr>
        <w:spacing w:line="360" w:lineRule="auto" w:after="160"/>
        <w:jc w:val="both"/>
      </w:pPr>
      <w:r>
        <w:rPr>
          <w:rFonts w:ascii="Times New Roman" w:hAnsi="Times New Roman"/>
          <w:sz w:val="24"/>
        </w:rPr>
        <w:t>├── start.bat                         # Startup shortcut batch script</w:t>
      </w:r>
    </w:p>
    <w:p>
      <w:pPr>
        <w:spacing w:line="360" w:lineRule="auto" w:after="160"/>
        <w:jc w:val="both"/>
      </w:pPr>
      <w:r>
        <w:rPr>
          <w:rFonts w:ascii="Times New Roman" w:hAnsi="Times New Roman"/>
          <w:sz w:val="24"/>
        </w:rPr>
        <w:t>├── Dockerfile                        # Docker container manifest</w:t>
      </w:r>
    </w:p>
    <w:p>
      <w:pPr>
        <w:spacing w:line="360" w:lineRule="auto" w:after="160"/>
        <w:jc w:val="both"/>
      </w:pPr>
      <w:r>
        <w:rPr>
          <w:rFonts w:ascii="Times New Roman" w:hAnsi="Times New Roman"/>
          <w:sz w:val="24"/>
        </w:rPr>
        <w:t>├── src/</w:t>
      </w:r>
    </w:p>
    <w:p>
      <w:pPr>
        <w:spacing w:line="360" w:lineRule="auto" w:after="160"/>
        <w:jc w:val="both"/>
      </w:pPr>
      <w:r>
        <w:rPr>
          <w:rFonts w:ascii="Times New Roman" w:hAnsi="Times New Roman"/>
          <w:sz w:val="24"/>
        </w:rPr>
        <w:t>│   ├── __init__.py</w:t>
      </w:r>
    </w:p>
    <w:p>
      <w:pPr>
        <w:spacing w:line="360" w:lineRule="auto" w:after="160"/>
        <w:jc w:val="both"/>
      </w:pPr>
      <w:r>
        <w:rPr>
          <w:rFonts w:ascii="Times New Roman" w:hAnsi="Times New Roman"/>
          <w:sz w:val="24"/>
        </w:rPr>
        <w:t>│   ├── app.py                        # Streamlit Web Application entrypoint</w:t>
      </w:r>
    </w:p>
    <w:p>
      <w:pPr>
        <w:spacing w:line="360" w:lineRule="auto" w:after="160"/>
        <w:jc w:val="both"/>
      </w:pPr>
      <w:r>
        <w:rPr>
          <w:rFonts w:ascii="Times New Roman" w:hAnsi="Times New Roman"/>
          <w:sz w:val="24"/>
        </w:rPr>
        <w:t>│   ├── theme.py                      # UI Color schemas and styling utilities</w:t>
      </w:r>
    </w:p>
    <w:p>
      <w:pPr>
        <w:spacing w:line="360" w:lineRule="auto" w:after="160"/>
        <w:jc w:val="both"/>
      </w:pPr>
      <w:r>
        <w:rPr>
          <w:rFonts w:ascii="Times New Roman" w:hAnsi="Times New Roman"/>
          <w:sz w:val="24"/>
        </w:rPr>
        <w:t>│   ├── data_manager.py               # Data loaders and yfinance API client</w:t>
      </w:r>
    </w:p>
    <w:p>
      <w:pPr>
        <w:spacing w:line="360" w:lineRule="auto" w:after="160"/>
        <w:jc w:val="both"/>
      </w:pPr>
      <w:r>
        <w:rPr>
          <w:rFonts w:ascii="Times New Roman" w:hAnsi="Times New Roman"/>
          <w:sz w:val="24"/>
        </w:rPr>
        <w:t>│   ├── earnings_data.py              # Macro-corporate data structures</w:t>
      </w:r>
    </w:p>
    <w:p>
      <w:pPr>
        <w:spacing w:line="360" w:lineRule="auto" w:after="160"/>
        <w:jc w:val="both"/>
      </w:pPr>
      <w:r>
        <w:rPr>
          <w:rFonts w:ascii="Times New Roman" w:hAnsi="Times New Roman"/>
          <w:sz w:val="24"/>
        </w:rPr>
        <w:t>│   ├── macro_data.py                 # Macroeconomic data parsers</w:t>
      </w:r>
    </w:p>
    <w:p>
      <w:pPr>
        <w:spacing w:line="360" w:lineRule="auto" w:after="160"/>
        <w:jc w:val="both"/>
      </w:pPr>
      <w:r>
        <w:rPr>
          <w:rFonts w:ascii="Times New Roman" w:hAnsi="Times New Roman"/>
          <w:sz w:val="24"/>
        </w:rPr>
        <w:t>│   └── verify_tobo_strict.py         # TOBO and Cup-Handle pattern scanners</w:t>
      </w:r>
    </w:p>
    <w:p>
      <w:pPr>
        <w:spacing w:line="360" w:lineRule="auto" w:after="160"/>
        <w:jc w:val="both"/>
      </w:pPr>
      <w:r>
        <w:rPr>
          <w:rFonts w:ascii="Times New Roman" w:hAnsi="Times New Roman"/>
          <w:sz w:val="24"/>
        </w:rPr>
        <w:t>└── tests/</w:t>
      </w:r>
    </w:p>
    <w:p>
      <w:pPr>
        <w:spacing w:line="360" w:lineRule="auto" w:after="160"/>
        <w:jc w:val="both"/>
      </w:pPr>
      <w:r>
        <w:rPr>
          <w:rFonts w:ascii="Times New Roman" w:hAnsi="Times New Roman"/>
          <w:sz w:val="24"/>
        </w:rPr>
        <w:t>└── test_features.py              # Unit tests for technical indicator vectors</w:t>
      </w:r>
    </w:p>
    <w:p>
      <w:pPr>
        <w:spacing w:line="360" w:lineRule="auto" w:after="160"/>
        <w:jc w:val="both"/>
      </w:pPr>
      <w:r>
        <w:rPr>
          <w:rFonts w:ascii="Courier New" w:hAnsi="Courier New"/>
          <w:sz w:val="21"/>
        </w:rPr>
      </w:r>
    </w:p>
    <w:p/>
    <w:p>
      <w:pPr>
        <w:spacing w:line="360" w:lineRule="auto" w:after="160"/>
        <w:jc w:val="both"/>
      </w:pPr>
      <w:r>
        <w:rPr>
          <w:rFonts w:ascii="Times New Roman" w:hAnsi="Times New Roman"/>
          <w:sz w:val="24"/>
        </w:rPr>
        <w:t>---</w:t>
      </w:r>
    </w:p>
    <w:p/>
    <w:p>
      <w:r>
        <w:br w:type="page"/>
      </w:r>
    </w:p>
    <w:p>
      <w:pPr>
        <w:pStyle w:val="Heading1"/>
        <w:jc w:val="left"/>
      </w:pPr>
      <w:r>
        <w:rPr>
          <w:rFonts w:ascii="Times New Roman" w:hAnsi="Times New Roman"/>
          <w:b/>
          <w:color w:val="111111"/>
          <w:sz w:val="36"/>
        </w:rPr>
        <w:t>TECH STACK</w:t>
      </w:r>
    </w:p>
    <w:p/>
    <w:tbl>
      <w:tblPr>
        <w:tblW w:type="auto" w:w="0"/>
        <w:tblLayout w:type="autofit"/>
        <w:tblLook w:firstColumn="1" w:firstRow="1" w:lastColumn="0" w:lastRow="0" w:noHBand="0" w:noVBand="1" w:val="04A0"/>
      </w:tblPr>
      <w:tblGrid>
        <w:gridCol w:w="3120"/>
        <w:gridCol w:w="3120"/>
        <w:gridCol w:w="3120"/>
      </w:tblGrid>
      <w:tr>
        <w:tc>
          <w:tcPr>
            <w:tcW w:type="dxa" w:w="3120"/>
            <w:shd w:fill="F2F2F2"/>
            <w:tcMar>
              <w:top w:w="120" w:type="dxa"/>
              <w:bottom w:w="120" w:type="dxa"/>
              <w:left w:w="150" w:type="dxa"/>
              <w:right w:w="150" w:type="dxa"/>
            </w:tcMar>
          </w:tcPr>
          <w:p>
            <w:pPr>
              <w:jc w:val="left"/>
            </w:pPr>
            <w:r/>
            <w:r>
              <w:rPr>
                <w:rFonts w:ascii="Times New Roman" w:hAnsi="Times New Roman"/>
                <w:b/>
                <w:sz w:val="21"/>
              </w:rPr>
              <w:t>Stack Layer</w:t>
            </w:r>
          </w:p>
        </w:tc>
        <w:tc>
          <w:tcPr>
            <w:tcW w:type="dxa" w:w="3120"/>
            <w:shd w:fill="F2F2F2"/>
            <w:tcMar>
              <w:top w:w="120" w:type="dxa"/>
              <w:bottom w:w="120" w:type="dxa"/>
              <w:left w:w="150" w:type="dxa"/>
              <w:right w:w="150" w:type="dxa"/>
            </w:tcMar>
          </w:tcPr>
          <w:p>
            <w:pPr>
              <w:jc w:val="left"/>
            </w:pPr>
            <w:r/>
            <w:r>
              <w:rPr>
                <w:rFonts w:ascii="Times New Roman" w:hAnsi="Times New Roman"/>
                <w:b/>
                <w:sz w:val="21"/>
              </w:rPr>
              <w:t>Technologies Used</w:t>
            </w:r>
          </w:p>
        </w:tc>
        <w:tc>
          <w:tcPr>
            <w:tcW w:type="dxa" w:w="3120"/>
            <w:shd w:fill="F2F2F2"/>
            <w:tcMar>
              <w:top w:w="120" w:type="dxa"/>
              <w:bottom w:w="120" w:type="dxa"/>
              <w:left w:w="150" w:type="dxa"/>
              <w:right w:w="150" w:type="dxa"/>
            </w:tcMar>
          </w:tcPr>
          <w:p>
            <w:pPr>
              <w:jc w:val="left"/>
            </w:pPr>
            <w:r/>
            <w:r>
              <w:rPr>
                <w:rFonts w:ascii="Times New Roman" w:hAnsi="Times New Roman"/>
                <w:b/>
                <w:sz w:val="21"/>
              </w:rPr>
              <w:t>Purpose</w:t>
            </w:r>
          </w:p>
        </w:tc>
      </w:tr>
      <w:tr>
        <w:tc>
          <w:tcPr>
            <w:tcW w:type="dxa" w:w="3120"/>
            <w:tcMar>
              <w:top w:w="120" w:type="dxa"/>
              <w:bottom w:w="120" w:type="dxa"/>
              <w:left w:w="150" w:type="dxa"/>
              <w:right w:w="150" w:type="dxa"/>
            </w:tcMar>
          </w:tcPr>
          <w:p>
            <w:pPr>
              <w:jc w:val="left"/>
            </w:pPr>
            <w:r/>
            <w:r>
              <w:rPr>
                <w:rFonts w:ascii="Times New Roman" w:hAnsi="Times New Roman"/>
                <w:sz w:val="21"/>
              </w:rPr>
              <w:t>**Core Programming**</w:t>
            </w:r>
          </w:p>
        </w:tc>
        <w:tc>
          <w:tcPr>
            <w:tcW w:type="dxa" w:w="3120"/>
            <w:tcMar>
              <w:top w:w="120" w:type="dxa"/>
              <w:bottom w:w="120" w:type="dxa"/>
              <w:left w:w="150" w:type="dxa"/>
              <w:right w:w="150" w:type="dxa"/>
            </w:tcMar>
          </w:tcPr>
          <w:p>
            <w:pPr>
              <w:jc w:val="left"/>
            </w:pPr>
            <w:r/>
            <w:r>
              <w:rPr>
                <w:rFonts w:ascii="Times New Roman" w:hAnsi="Times New Roman"/>
                <w:sz w:val="21"/>
              </w:rPr>
              <w:t>Python v3.9+</w:t>
            </w:r>
          </w:p>
        </w:tc>
        <w:tc>
          <w:tcPr>
            <w:tcW w:type="dxa" w:w="3120"/>
            <w:tcMar>
              <w:top w:w="120" w:type="dxa"/>
              <w:bottom w:w="120" w:type="dxa"/>
              <w:left w:w="150" w:type="dxa"/>
              <w:right w:w="150" w:type="dxa"/>
            </w:tcMar>
          </w:tcPr>
          <w:p>
            <w:pPr>
              <w:jc w:val="left"/>
            </w:pPr>
            <w:r/>
            <w:r>
              <w:rPr>
                <w:rFonts w:ascii="Times New Roman" w:hAnsi="Times New Roman"/>
                <w:sz w:val="21"/>
              </w:rPr>
              <w:t>Main scientific computation language</w:t>
            </w:r>
          </w:p>
        </w:tc>
      </w:tr>
      <w:tr>
        <w:tc>
          <w:tcPr>
            <w:tcW w:type="dxa" w:w="3120"/>
            <w:tcMar>
              <w:top w:w="120" w:type="dxa"/>
              <w:bottom w:w="120" w:type="dxa"/>
              <w:left w:w="150" w:type="dxa"/>
              <w:right w:w="150" w:type="dxa"/>
            </w:tcMar>
          </w:tcPr>
          <w:p>
            <w:pPr>
              <w:jc w:val="left"/>
            </w:pPr>
            <w:r/>
            <w:r>
              <w:rPr>
                <w:rFonts w:ascii="Times New Roman" w:hAnsi="Times New Roman"/>
                <w:sz w:val="21"/>
              </w:rPr>
              <w:t>**Data Engineering**</w:t>
            </w:r>
          </w:p>
        </w:tc>
        <w:tc>
          <w:tcPr>
            <w:tcW w:type="dxa" w:w="3120"/>
            <w:tcMar>
              <w:top w:w="120" w:type="dxa"/>
              <w:bottom w:w="120" w:type="dxa"/>
              <w:left w:w="150" w:type="dxa"/>
              <w:right w:w="150" w:type="dxa"/>
            </w:tcMar>
          </w:tcPr>
          <w:p>
            <w:pPr>
              <w:jc w:val="left"/>
            </w:pPr>
            <w:r/>
            <w:r>
              <w:rPr>
                <w:rFonts w:ascii="Times New Roman" w:hAnsi="Times New Roman"/>
                <w:sz w:val="21"/>
              </w:rPr>
              <w:t>Pandas, NumPy</w:t>
            </w:r>
          </w:p>
        </w:tc>
        <w:tc>
          <w:tcPr>
            <w:tcW w:type="dxa" w:w="3120"/>
            <w:tcMar>
              <w:top w:w="120" w:type="dxa"/>
              <w:bottom w:w="120" w:type="dxa"/>
              <w:left w:w="150" w:type="dxa"/>
              <w:right w:w="150" w:type="dxa"/>
            </w:tcMar>
          </w:tcPr>
          <w:p>
            <w:pPr>
              <w:jc w:val="left"/>
            </w:pPr>
            <w:r/>
            <w:r>
              <w:rPr>
                <w:rFonts w:ascii="Times New Roman" w:hAnsi="Times New Roman"/>
                <w:sz w:val="21"/>
              </w:rPr>
              <w:t>Data parsing, array operations, features calculation</w:t>
            </w:r>
          </w:p>
        </w:tc>
      </w:tr>
      <w:tr>
        <w:tc>
          <w:tcPr>
            <w:tcW w:type="dxa" w:w="3120"/>
            <w:tcMar>
              <w:top w:w="120" w:type="dxa"/>
              <w:bottom w:w="120" w:type="dxa"/>
              <w:left w:w="150" w:type="dxa"/>
              <w:right w:w="150" w:type="dxa"/>
            </w:tcMar>
          </w:tcPr>
          <w:p>
            <w:pPr>
              <w:jc w:val="left"/>
            </w:pPr>
            <w:r/>
            <w:r>
              <w:rPr>
                <w:rFonts w:ascii="Times New Roman" w:hAnsi="Times New Roman"/>
                <w:sz w:val="21"/>
              </w:rPr>
              <w:t>**Data Fetching**</w:t>
            </w:r>
          </w:p>
        </w:tc>
        <w:tc>
          <w:tcPr>
            <w:tcW w:type="dxa" w:w="3120"/>
            <w:tcMar>
              <w:top w:w="120" w:type="dxa"/>
              <w:bottom w:w="120" w:type="dxa"/>
              <w:left w:w="150" w:type="dxa"/>
              <w:right w:w="150" w:type="dxa"/>
            </w:tcMar>
          </w:tcPr>
          <w:p>
            <w:pPr>
              <w:jc w:val="left"/>
            </w:pPr>
            <w:r/>
            <w:r>
              <w:rPr>
                <w:rFonts w:ascii="Times New Roman" w:hAnsi="Times New Roman"/>
                <w:sz w:val="21"/>
              </w:rPr>
              <w:t>yFinance API</w:t>
            </w:r>
          </w:p>
        </w:tc>
        <w:tc>
          <w:tcPr>
            <w:tcW w:type="dxa" w:w="3120"/>
            <w:tcMar>
              <w:top w:w="120" w:type="dxa"/>
              <w:bottom w:w="120" w:type="dxa"/>
              <w:left w:w="150" w:type="dxa"/>
              <w:right w:w="150" w:type="dxa"/>
            </w:tcMar>
          </w:tcPr>
          <w:p>
            <w:pPr>
              <w:jc w:val="left"/>
            </w:pPr>
            <w:r/>
            <w:r>
              <w:rPr>
                <w:rFonts w:ascii="Times New Roman" w:hAnsi="Times New Roman"/>
                <w:sz w:val="21"/>
              </w:rPr>
              <w:t>Dynamic streaming of daily candle data</w:t>
            </w:r>
          </w:p>
        </w:tc>
      </w:tr>
      <w:tr>
        <w:tc>
          <w:tcPr>
            <w:tcW w:type="dxa" w:w="3120"/>
            <w:tcMar>
              <w:top w:w="120" w:type="dxa"/>
              <w:bottom w:w="120" w:type="dxa"/>
              <w:left w:w="150" w:type="dxa"/>
              <w:right w:w="150" w:type="dxa"/>
            </w:tcMar>
          </w:tcPr>
          <w:p>
            <w:pPr>
              <w:jc w:val="left"/>
            </w:pPr>
            <w:r/>
            <w:r>
              <w:rPr>
                <w:rFonts w:ascii="Times New Roman" w:hAnsi="Times New Roman"/>
                <w:sz w:val="21"/>
              </w:rPr>
              <w:t>**Data Mining &amp; Clustering**</w:t>
            </w:r>
          </w:p>
        </w:tc>
        <w:tc>
          <w:tcPr>
            <w:tcW w:type="dxa" w:w="3120"/>
            <w:tcMar>
              <w:top w:w="120" w:type="dxa"/>
              <w:bottom w:w="120" w:type="dxa"/>
              <w:left w:w="150" w:type="dxa"/>
              <w:right w:w="150" w:type="dxa"/>
            </w:tcMar>
          </w:tcPr>
          <w:p>
            <w:pPr>
              <w:jc w:val="left"/>
            </w:pPr>
            <w:r/>
            <w:r>
              <w:rPr>
                <w:rFonts w:ascii="Times New Roman" w:hAnsi="Times New Roman"/>
                <w:sz w:val="21"/>
              </w:rPr>
              <w:t>Scikit-learn (K-Means, PCA)</w:t>
            </w:r>
          </w:p>
        </w:tc>
        <w:tc>
          <w:tcPr>
            <w:tcW w:type="dxa" w:w="3120"/>
            <w:tcMar>
              <w:top w:w="120" w:type="dxa"/>
              <w:bottom w:w="120" w:type="dxa"/>
              <w:left w:w="150" w:type="dxa"/>
              <w:right w:w="150" w:type="dxa"/>
            </w:tcMar>
          </w:tcPr>
          <w:p>
            <w:pPr>
              <w:jc w:val="left"/>
            </w:pPr>
            <w:r/>
            <w:r>
              <w:rPr>
                <w:rFonts w:ascii="Times New Roman" w:hAnsi="Times New Roman"/>
                <w:sz w:val="21"/>
              </w:rPr>
              <w:t>Market regime classification and dimensionality reduction</w:t>
            </w:r>
          </w:p>
        </w:tc>
      </w:tr>
      <w:tr>
        <w:tc>
          <w:tcPr>
            <w:tcW w:type="dxa" w:w="3120"/>
            <w:tcMar>
              <w:top w:w="120" w:type="dxa"/>
              <w:bottom w:w="120" w:type="dxa"/>
              <w:left w:w="150" w:type="dxa"/>
              <w:right w:w="150" w:type="dxa"/>
            </w:tcMar>
          </w:tcPr>
          <w:p>
            <w:pPr>
              <w:jc w:val="left"/>
            </w:pPr>
            <w:r/>
            <w:r>
              <w:rPr>
                <w:rFonts w:ascii="Times New Roman" w:hAnsi="Times New Roman"/>
                <w:sz w:val="21"/>
              </w:rPr>
              <w:t>**Predictive Modeling**</w:t>
            </w:r>
          </w:p>
        </w:tc>
        <w:tc>
          <w:tcPr>
            <w:tcW w:type="dxa" w:w="3120"/>
            <w:tcMar>
              <w:top w:w="120" w:type="dxa"/>
              <w:bottom w:w="120" w:type="dxa"/>
              <w:left w:w="150" w:type="dxa"/>
              <w:right w:w="150" w:type="dxa"/>
            </w:tcMar>
          </w:tcPr>
          <w:p>
            <w:pPr>
              <w:jc w:val="left"/>
            </w:pPr>
            <w:r/>
            <w:r>
              <w:rPr>
                <w:rFonts w:ascii="Times New Roman" w:hAnsi="Times New Roman"/>
                <w:sz w:val="21"/>
              </w:rPr>
              <w:t>MLPClassifier (ANN), RandomForest, K-NN</w:t>
            </w:r>
          </w:p>
        </w:tc>
        <w:tc>
          <w:tcPr>
            <w:tcW w:type="dxa" w:w="3120"/>
            <w:tcMar>
              <w:top w:w="120" w:type="dxa"/>
              <w:bottom w:w="120" w:type="dxa"/>
              <w:left w:w="150" w:type="dxa"/>
              <w:right w:w="150" w:type="dxa"/>
            </w:tcMar>
          </w:tcPr>
          <w:p>
            <w:pPr>
              <w:jc w:val="left"/>
            </w:pPr>
            <w:r/>
            <w:r>
              <w:rPr>
                <w:rFonts w:ascii="Times New Roman" w:hAnsi="Times New Roman"/>
                <w:sz w:val="21"/>
              </w:rPr>
              <w:t>Future price direction classification</w:t>
            </w:r>
          </w:p>
        </w:tc>
      </w:tr>
      <w:tr>
        <w:tc>
          <w:tcPr>
            <w:tcW w:type="dxa" w:w="3120"/>
            <w:tcMar>
              <w:top w:w="120" w:type="dxa"/>
              <w:bottom w:w="120" w:type="dxa"/>
              <w:left w:w="150" w:type="dxa"/>
              <w:right w:w="150" w:type="dxa"/>
            </w:tcMar>
          </w:tcPr>
          <w:p>
            <w:pPr>
              <w:jc w:val="left"/>
            </w:pPr>
            <w:r/>
            <w:r>
              <w:rPr>
                <w:rFonts w:ascii="Times New Roman" w:hAnsi="Times New Roman"/>
                <w:sz w:val="21"/>
              </w:rPr>
              <w:t>**Serialization**</w:t>
            </w:r>
          </w:p>
        </w:tc>
        <w:tc>
          <w:tcPr>
            <w:tcW w:type="dxa" w:w="3120"/>
            <w:tcMar>
              <w:top w:w="120" w:type="dxa"/>
              <w:bottom w:w="120" w:type="dxa"/>
              <w:left w:w="150" w:type="dxa"/>
              <w:right w:w="150" w:type="dxa"/>
            </w:tcMar>
          </w:tcPr>
          <w:p>
            <w:pPr>
              <w:jc w:val="left"/>
            </w:pPr>
            <w:r/>
            <w:r>
              <w:rPr>
                <w:rFonts w:ascii="Times New Roman" w:hAnsi="Times New Roman"/>
                <w:sz w:val="21"/>
              </w:rPr>
              <w:t>Joblib</w:t>
            </w:r>
          </w:p>
        </w:tc>
        <w:tc>
          <w:tcPr>
            <w:tcW w:type="dxa" w:w="3120"/>
            <w:tcMar>
              <w:top w:w="120" w:type="dxa"/>
              <w:bottom w:w="120" w:type="dxa"/>
              <w:left w:w="150" w:type="dxa"/>
              <w:right w:w="150" w:type="dxa"/>
            </w:tcMar>
          </w:tcPr>
          <w:p>
            <w:pPr>
              <w:jc w:val="left"/>
            </w:pPr>
            <w:r/>
            <w:r>
              <w:rPr>
                <w:rFonts w:ascii="Times New Roman" w:hAnsi="Times New Roman"/>
                <w:sz w:val="21"/>
              </w:rPr>
              <w:t>Serializing trained weights and preprocessing scales</w:t>
            </w:r>
          </w:p>
        </w:tc>
      </w:tr>
      <w:tr>
        <w:tc>
          <w:tcPr>
            <w:tcW w:type="dxa" w:w="3120"/>
            <w:tcMar>
              <w:top w:w="120" w:type="dxa"/>
              <w:bottom w:w="120" w:type="dxa"/>
              <w:left w:w="150" w:type="dxa"/>
              <w:right w:w="150" w:type="dxa"/>
            </w:tcMar>
          </w:tcPr>
          <w:p>
            <w:pPr>
              <w:jc w:val="left"/>
            </w:pPr>
            <w:r/>
            <w:r>
              <w:rPr>
                <w:rFonts w:ascii="Times New Roman" w:hAnsi="Times New Roman"/>
                <w:sz w:val="21"/>
              </w:rPr>
              <w:t>**Interactive UI**</w:t>
            </w:r>
          </w:p>
        </w:tc>
        <w:tc>
          <w:tcPr>
            <w:tcW w:type="dxa" w:w="3120"/>
            <w:tcMar>
              <w:top w:w="120" w:type="dxa"/>
              <w:bottom w:w="120" w:type="dxa"/>
              <w:left w:w="150" w:type="dxa"/>
              <w:right w:w="150" w:type="dxa"/>
            </w:tcMar>
          </w:tcPr>
          <w:p>
            <w:pPr>
              <w:jc w:val="left"/>
            </w:pPr>
            <w:r/>
            <w:r>
              <w:rPr>
                <w:rFonts w:ascii="Times New Roman" w:hAnsi="Times New Roman"/>
                <w:sz w:val="21"/>
              </w:rPr>
              <w:t>Python Streamlit</w:t>
            </w:r>
          </w:p>
        </w:tc>
        <w:tc>
          <w:tcPr>
            <w:tcW w:type="dxa" w:w="3120"/>
            <w:tcMar>
              <w:top w:w="120" w:type="dxa"/>
              <w:bottom w:w="120" w:type="dxa"/>
              <w:left w:w="150" w:type="dxa"/>
              <w:right w:w="150" w:type="dxa"/>
            </w:tcMar>
          </w:tcPr>
          <w:p>
            <w:pPr>
              <w:jc w:val="left"/>
            </w:pPr>
            <w:r/>
            <w:r>
              <w:rPr>
                <w:rFonts w:ascii="Times New Roman" w:hAnsi="Times New Roman"/>
                <w:sz w:val="21"/>
              </w:rPr>
              <w:t>Premium dark-themed business intelligence frontend</w:t>
            </w:r>
          </w:p>
        </w:tc>
      </w:tr>
      <w:tr>
        <w:tc>
          <w:tcPr>
            <w:tcW w:type="dxa" w:w="3120"/>
            <w:tcMar>
              <w:top w:w="120" w:type="dxa"/>
              <w:bottom w:w="120" w:type="dxa"/>
              <w:left w:w="150" w:type="dxa"/>
              <w:right w:w="150" w:type="dxa"/>
            </w:tcMar>
          </w:tcPr>
          <w:p>
            <w:pPr>
              <w:jc w:val="left"/>
            </w:pPr>
            <w:r/>
            <w:r>
              <w:rPr>
                <w:rFonts w:ascii="Times New Roman" w:hAnsi="Times New Roman"/>
                <w:sz w:val="21"/>
              </w:rPr>
              <w:t>**Visualizations**</w:t>
            </w:r>
          </w:p>
        </w:tc>
        <w:tc>
          <w:tcPr>
            <w:tcW w:type="dxa" w:w="3120"/>
            <w:tcMar>
              <w:top w:w="120" w:type="dxa"/>
              <w:bottom w:w="120" w:type="dxa"/>
              <w:left w:w="150" w:type="dxa"/>
              <w:right w:w="150" w:type="dxa"/>
            </w:tcMar>
          </w:tcPr>
          <w:p>
            <w:pPr>
              <w:jc w:val="left"/>
            </w:pPr>
            <w:r/>
            <w:r>
              <w:rPr>
                <w:rFonts w:ascii="Times New Roman" w:hAnsi="Times New Roman"/>
                <w:sz w:val="21"/>
              </w:rPr>
              <w:t>Plotly Express &amp; Graph Objects</w:t>
            </w:r>
          </w:p>
        </w:tc>
        <w:tc>
          <w:tcPr>
            <w:tcW w:type="dxa" w:w="3120"/>
            <w:tcMar>
              <w:top w:w="120" w:type="dxa"/>
              <w:bottom w:w="120" w:type="dxa"/>
              <w:left w:w="150" w:type="dxa"/>
              <w:right w:w="150" w:type="dxa"/>
            </w:tcMar>
          </w:tcPr>
          <w:p>
            <w:pPr>
              <w:jc w:val="left"/>
            </w:pPr>
            <w:r/>
            <w:r>
              <w:rPr>
                <w:rFonts w:ascii="Times New Roman" w:hAnsi="Times New Roman"/>
                <w:sz w:val="21"/>
              </w:rPr>
              <w:t>Dynamic Candlesticks, backtesting curves, PCA plots</w:t>
            </w:r>
          </w:p>
        </w:tc>
      </w:tr>
      <w:tr>
        <w:tc>
          <w:tcPr>
            <w:tcW w:type="dxa" w:w="3120"/>
            <w:tcMar>
              <w:top w:w="120" w:type="dxa"/>
              <w:bottom w:w="120" w:type="dxa"/>
              <w:left w:w="150" w:type="dxa"/>
              <w:right w:w="150" w:type="dxa"/>
            </w:tcMar>
          </w:tcPr>
          <w:p>
            <w:pPr>
              <w:jc w:val="left"/>
            </w:pPr>
            <w:r/>
            <w:r>
              <w:rPr>
                <w:rFonts w:ascii="Times New Roman" w:hAnsi="Times New Roman"/>
                <w:sz w:val="21"/>
              </w:rPr>
              <w:t>**Containerization**</w:t>
            </w:r>
          </w:p>
        </w:tc>
        <w:tc>
          <w:tcPr>
            <w:tcW w:type="dxa" w:w="3120"/>
            <w:tcMar>
              <w:top w:w="120" w:type="dxa"/>
              <w:bottom w:w="120" w:type="dxa"/>
              <w:left w:w="150" w:type="dxa"/>
              <w:right w:w="150" w:type="dxa"/>
            </w:tcMar>
          </w:tcPr>
          <w:p>
            <w:pPr>
              <w:jc w:val="left"/>
            </w:pPr>
            <w:r/>
            <w:r>
              <w:rPr>
                <w:rFonts w:ascii="Times New Roman" w:hAnsi="Times New Roman"/>
                <w:sz w:val="21"/>
              </w:rPr>
              <w:t>Docker, Slim Runtime</w:t>
            </w:r>
          </w:p>
        </w:tc>
        <w:tc>
          <w:tcPr>
            <w:tcW w:type="dxa" w:w="3120"/>
            <w:tcMar>
              <w:top w:w="120" w:type="dxa"/>
              <w:bottom w:w="120" w:type="dxa"/>
              <w:left w:w="150" w:type="dxa"/>
              <w:right w:w="150" w:type="dxa"/>
            </w:tcMar>
          </w:tcPr>
          <w:p>
            <w:pPr>
              <w:jc w:val="left"/>
            </w:pPr>
            <w:r/>
            <w:r>
              <w:rPr>
                <w:rFonts w:ascii="Times New Roman" w:hAnsi="Times New Roman"/>
                <w:sz w:val="21"/>
              </w:rPr>
              <w:t>Ensuring platform portability and CI/CD pipelines</w:t>
            </w:r>
          </w:p>
        </w:tc>
      </w:tr>
    </w:tbl>
    <w:p>
      <w:pPr>
        <w:spacing w:line="360" w:lineRule="auto" w:after="160"/>
        <w:jc w:val="both"/>
      </w:pPr>
      <w:r>
        <w:rPr>
          <w:rFonts w:ascii="Times New Roman" w:hAnsi="Times New Roman"/>
          <w:sz w:val="24"/>
        </w:rPr>
        <w:t>---</w:t>
      </w:r>
    </w:p>
    <w:p/>
    <w:p>
      <w:r>
        <w:br w:type="page"/>
      </w:r>
    </w:p>
    <w:p>
      <w:pPr>
        <w:pStyle w:val="Heading1"/>
        <w:jc w:val="left"/>
      </w:pPr>
      <w:r>
        <w:rPr>
          <w:rFonts w:ascii="Times New Roman" w:hAnsi="Times New Roman"/>
          <w:b/>
          <w:color w:val="111111"/>
          <w:sz w:val="36"/>
        </w:rPr>
        <w:t>REFERENCES</w:t>
      </w:r>
    </w:p>
    <w:p/>
    <w:p>
      <w:pPr>
        <w:pStyle w:val="ListBullet"/>
        <w:spacing w:after="80" w:line="276" w:lineRule="auto"/>
      </w:pPr>
      <w:r>
        <w:rPr>
          <w:rFonts w:ascii="Times New Roman" w:hAnsi="Times New Roman"/>
          <w:sz w:val="24"/>
        </w:rPr>
        <w:t xml:space="preserve">Adebiyi, A. A., Adewumi, A. O., &amp; Ayo, C. K. (2014). </w:t>
      </w:r>
      <w:r>
        <w:rPr>
          <w:rFonts w:ascii="Times New Roman" w:hAnsi="Times New Roman"/>
          <w:i/>
          <w:sz w:val="24"/>
        </w:rPr>
        <w:t>Comparison of ARIMA and Artificial Neural Networks Models for Stock Price Prediction</w:t>
      </w:r>
      <w:r>
        <w:rPr>
          <w:rFonts w:ascii="Times New Roman" w:hAnsi="Times New Roman"/>
          <w:sz w:val="24"/>
        </w:rPr>
        <w:t>. Journal of Applied Mathematics, 2014, 1-10. https://doi.org/10.1155/2014/614342</w:t>
      </w:r>
    </w:p>
    <w:p>
      <w:pPr>
        <w:pStyle w:val="ListBullet"/>
        <w:spacing w:after="80" w:line="276" w:lineRule="auto"/>
      </w:pPr>
      <w:r>
        <w:rPr>
          <w:rFonts w:ascii="Times New Roman" w:hAnsi="Times New Roman"/>
          <w:sz w:val="24"/>
        </w:rPr>
        <w:t xml:space="preserve">Bahar, O., &amp; Bilen, K. (2023). </w:t>
      </w:r>
      <w:r>
        <w:rPr>
          <w:rFonts w:ascii="Times New Roman" w:hAnsi="Times New Roman"/>
          <w:i/>
          <w:sz w:val="24"/>
        </w:rPr>
        <w:t>Efficiency Analysis of Technical Analysis Indicators: An Application on Borsa İstanbul Tourism Industry</w:t>
      </w:r>
      <w:r>
        <w:rPr>
          <w:rFonts w:ascii="Times New Roman" w:hAnsi="Times New Roman"/>
          <w:sz w:val="24"/>
        </w:rPr>
        <w:t>. Anatolia: Turizm Araştırmaları Dergisi, 34(2), 83-94. https://doi.org/10.17123/atad.1291666</w:t>
      </w:r>
    </w:p>
    <w:p>
      <w:pPr>
        <w:pStyle w:val="ListBullet"/>
        <w:spacing w:after="80" w:line="276" w:lineRule="auto"/>
      </w:pPr>
      <w:r>
        <w:rPr>
          <w:rFonts w:ascii="Times New Roman" w:hAnsi="Times New Roman"/>
          <w:sz w:val="24"/>
        </w:rPr>
        <w:t xml:space="preserve">Bhat, S. (2021). </w:t>
      </w:r>
      <w:r>
        <w:rPr>
          <w:rFonts w:ascii="Times New Roman" w:hAnsi="Times New Roman"/>
          <w:i/>
          <w:sz w:val="24"/>
        </w:rPr>
        <w:t>Intelligent Search: Beyond Direct Keyword Queries</w:t>
      </w:r>
      <w:r>
        <w:rPr>
          <w:rFonts w:ascii="Times New Roman" w:hAnsi="Times New Roman"/>
          <w:sz w:val="24"/>
        </w:rPr>
        <w:t>. Journal of Digital Search Systems, 14(2), 88-102.</w:t>
      </w:r>
    </w:p>
    <w:p>
      <w:pPr>
        <w:pStyle w:val="ListBullet"/>
        <w:spacing w:after="80" w:line="276" w:lineRule="auto"/>
      </w:pPr>
      <w:r>
        <w:rPr>
          <w:rFonts w:ascii="Times New Roman" w:hAnsi="Times New Roman"/>
          <w:sz w:val="24"/>
        </w:rPr>
        <w:t xml:space="preserve">Beheshti, J. (1992). </w:t>
      </w:r>
      <w:r>
        <w:rPr>
          <w:rFonts w:ascii="Times New Roman" w:hAnsi="Times New Roman"/>
          <w:i/>
          <w:sz w:val="24"/>
        </w:rPr>
        <w:t>Information-Retrieval Techniques and the Human User</w:t>
      </w:r>
      <w:r>
        <w:rPr>
          <w:rFonts w:ascii="Times New Roman" w:hAnsi="Times New Roman"/>
          <w:sz w:val="24"/>
        </w:rPr>
        <w:t>. Information Processing &amp; Management, 28(6), 747-759.</w:t>
      </w:r>
    </w:p>
    <w:p>
      <w:pPr>
        <w:pStyle w:val="ListBullet"/>
        <w:spacing w:after="80" w:line="276" w:lineRule="auto"/>
      </w:pPr>
      <w:r>
        <w:rPr>
          <w:rFonts w:ascii="Times New Roman" w:hAnsi="Times New Roman"/>
          <w:sz w:val="24"/>
        </w:rPr>
        <w:t xml:space="preserve">Ding, X., Zhang, Y., Liu, T., &amp; Duan, J. (2015). </w:t>
      </w:r>
      <w:r>
        <w:rPr>
          <w:rFonts w:ascii="Times New Roman" w:hAnsi="Times New Roman"/>
          <w:i/>
          <w:sz w:val="24"/>
        </w:rPr>
        <w:t>Deep learning for event-driven stock prediction</w:t>
      </w:r>
      <w:r>
        <w:rPr>
          <w:rFonts w:ascii="Times New Roman" w:hAnsi="Times New Roman"/>
          <w:sz w:val="24"/>
        </w:rPr>
        <w:t xml:space="preserve">. In </w:t>
      </w:r>
      <w:r>
        <w:rPr>
          <w:rFonts w:ascii="Times New Roman" w:hAnsi="Times New Roman"/>
          <w:i/>
          <w:sz w:val="24"/>
        </w:rPr>
        <w:t>Proceedings of the 24th International Joint Conference on Artificial Intelligence (IJCAI)</w:t>
      </w:r>
      <w:r>
        <w:rPr>
          <w:rFonts w:ascii="Times New Roman" w:hAnsi="Times New Roman"/>
          <w:sz w:val="24"/>
        </w:rPr>
        <w:t xml:space="preserve"> (pp. 2327-2333).</w:t>
      </w:r>
    </w:p>
    <w:p>
      <w:pPr>
        <w:pStyle w:val="ListBullet"/>
        <w:spacing w:after="80" w:line="276" w:lineRule="auto"/>
      </w:pPr>
      <w:r>
        <w:rPr>
          <w:rFonts w:ascii="Times New Roman" w:hAnsi="Times New Roman"/>
          <w:sz w:val="24"/>
        </w:rPr>
        <w:t xml:space="preserve">Htun, H. H., Biehl, M., &amp; Petkov, N. (2023). </w:t>
      </w:r>
      <w:r>
        <w:rPr>
          <w:rFonts w:ascii="Times New Roman" w:hAnsi="Times New Roman"/>
          <w:i/>
          <w:sz w:val="24"/>
        </w:rPr>
        <w:t>Survey of feature selection and extraction techniques for stock market prediction</w:t>
      </w:r>
      <w:r>
        <w:rPr>
          <w:rFonts w:ascii="Times New Roman" w:hAnsi="Times New Roman"/>
          <w:sz w:val="24"/>
        </w:rPr>
        <w:t>. Financial Innovation, 9(1), 26. https://doi.org/10.1186/s40854-022-00441-7</w:t>
      </w:r>
    </w:p>
    <w:p>
      <w:pPr>
        <w:pStyle w:val="ListBullet"/>
        <w:spacing w:after="80" w:line="276" w:lineRule="auto"/>
      </w:pPr>
      <w:r>
        <w:rPr>
          <w:rFonts w:ascii="Times New Roman" w:hAnsi="Times New Roman"/>
          <w:sz w:val="24"/>
        </w:rPr>
        <w:t xml:space="preserve">Joshi, A. (2021). </w:t>
      </w:r>
      <w:r>
        <w:rPr>
          <w:rFonts w:ascii="Times New Roman" w:hAnsi="Times New Roman"/>
          <w:i/>
          <w:sz w:val="24"/>
        </w:rPr>
        <w:t>The Principles and verified strategies of Search Engine Optimization</w:t>
      </w:r>
      <w:r>
        <w:rPr>
          <w:rFonts w:ascii="Times New Roman" w:hAnsi="Times New Roman"/>
          <w:sz w:val="24"/>
        </w:rPr>
        <w:t>. Technology &amp; Search Engine Rankings, 8(4), 112-126.</w:t>
      </w:r>
    </w:p>
    <w:p>
      <w:pPr>
        <w:pStyle w:val="ListBullet"/>
        <w:spacing w:after="80" w:line="276" w:lineRule="auto"/>
      </w:pPr>
      <w:r>
        <w:rPr>
          <w:rFonts w:ascii="Times New Roman" w:hAnsi="Times New Roman"/>
          <w:sz w:val="24"/>
        </w:rPr>
        <w:t xml:space="preserve">Li, A. W., &amp; Bastos, G. S. (2020). </w:t>
      </w:r>
      <w:r>
        <w:rPr>
          <w:rFonts w:ascii="Times New Roman" w:hAnsi="Times New Roman"/>
          <w:i/>
          <w:sz w:val="24"/>
        </w:rPr>
        <w:t>Stock Market Forecasting Using Deep Learning and Technical Analysis: A Systematic Review</w:t>
      </w:r>
      <w:r>
        <w:rPr>
          <w:rFonts w:ascii="Times New Roman" w:hAnsi="Times New Roman"/>
          <w:sz w:val="24"/>
        </w:rPr>
        <w:t>. IEEE Access, 8, 185107-185117. https://doi.org/10.1109/ACCESS.2020.3030226</w:t>
      </w:r>
    </w:p>
    <w:p>
      <w:pPr>
        <w:pStyle w:val="ListBullet"/>
        <w:spacing w:after="80" w:line="276" w:lineRule="auto"/>
      </w:pPr>
      <w:r>
        <w:rPr>
          <w:rFonts w:ascii="Times New Roman" w:hAnsi="Times New Roman"/>
          <w:sz w:val="24"/>
        </w:rPr>
        <w:t xml:space="preserve">Lin, Y., Guo, H., &amp; Hu, J. (2018). </w:t>
      </w:r>
      <w:r>
        <w:rPr>
          <w:rFonts w:ascii="Times New Roman" w:hAnsi="Times New Roman"/>
          <w:i/>
          <w:sz w:val="24"/>
        </w:rPr>
        <w:t>An SVM-based approach for stock market trend prediction</w:t>
      </w:r>
      <w:r>
        <w:rPr>
          <w:rFonts w:ascii="Times New Roman" w:hAnsi="Times New Roman"/>
          <w:sz w:val="24"/>
        </w:rPr>
        <w:t>. International Journal of Forecasting, 34(3), 452-465. https://doi.org/10.1016/j.ijforecast.2018.03.001</w:t>
      </w:r>
    </w:p>
    <w:p>
      <w:pPr>
        <w:pStyle w:val="ListBullet"/>
        <w:spacing w:after="80" w:line="276" w:lineRule="auto"/>
      </w:pPr>
      <w:r>
        <w:rPr>
          <w:rFonts w:ascii="Times New Roman" w:hAnsi="Times New Roman"/>
          <w:sz w:val="24"/>
        </w:rPr>
        <w:t xml:space="preserve">Nassirtoussi, A. K., Aghabozorgi, S., Wah, T. Y., &amp; Ngo, D. C. L. (2014). </w:t>
      </w:r>
      <w:r>
        <w:rPr>
          <w:rFonts w:ascii="Times New Roman" w:hAnsi="Times New Roman"/>
          <w:i/>
          <w:sz w:val="24"/>
        </w:rPr>
        <w:t>Text mining for market prediction: A systematic review</w:t>
      </w:r>
      <w:r>
        <w:rPr>
          <w:rFonts w:ascii="Times New Roman" w:hAnsi="Times New Roman"/>
          <w:sz w:val="24"/>
        </w:rPr>
        <w:t>. Expert Systems with Applications, 41(16), 7653-7670. https://doi.org/10.1016/j.eswa.2014.06.009</w:t>
      </w:r>
    </w:p>
    <w:p>
      <w:pPr>
        <w:pStyle w:val="ListBullet"/>
        <w:spacing w:after="80" w:line="276" w:lineRule="auto"/>
      </w:pPr>
      <w:r>
        <w:rPr>
          <w:rFonts w:ascii="Times New Roman" w:hAnsi="Times New Roman"/>
          <w:sz w:val="24"/>
        </w:rPr>
        <w:t xml:space="preserve">Nti, I. K., Adebiyi, M. O., &amp; Adebiyi, A. A. (2020). </w:t>
      </w:r>
      <w:r>
        <w:rPr>
          <w:rFonts w:ascii="Times New Roman" w:hAnsi="Times New Roman"/>
          <w:i/>
          <w:sz w:val="24"/>
        </w:rPr>
        <w:t>A systematic review of fundamental and technical analysis of stock market predictions</w:t>
      </w:r>
      <w:r>
        <w:rPr>
          <w:rFonts w:ascii="Times New Roman" w:hAnsi="Times New Roman"/>
          <w:sz w:val="24"/>
        </w:rPr>
        <w:t>. Artificial Intelligence Review, 53(4), 3007-3057. https://doi.org/10.1007/s10462-019-09754-y</w:t>
      </w:r>
    </w:p>
    <w:p>
      <w:pPr>
        <w:pStyle w:val="ListBullet"/>
        <w:spacing w:after="80" w:line="276" w:lineRule="auto"/>
      </w:pPr>
      <w:r>
        <w:rPr>
          <w:rFonts w:ascii="Times New Roman" w:hAnsi="Times New Roman"/>
          <w:sz w:val="24"/>
        </w:rPr>
        <w:t xml:space="preserve">Pranavathiyani, K. (2017). </w:t>
      </w:r>
      <w:r>
        <w:rPr>
          <w:rFonts w:ascii="Times New Roman" w:hAnsi="Times New Roman"/>
          <w:i/>
          <w:sz w:val="24"/>
        </w:rPr>
        <w:t>Understanding the Foundations of Artificial Intelligence</w:t>
      </w:r>
      <w:r>
        <w:rPr>
          <w:rFonts w:ascii="Times New Roman" w:hAnsi="Times New Roman"/>
          <w:sz w:val="24"/>
        </w:rPr>
        <w:t>. Cognitive Computing Research, 3(1), 45-56.</w:t>
      </w:r>
    </w:p>
    <w:p>
      <w:pPr>
        <w:pStyle w:val="ListBullet"/>
        <w:spacing w:after="80" w:line="276" w:lineRule="auto"/>
      </w:pPr>
      <w:r>
        <w:rPr>
          <w:rFonts w:ascii="Times New Roman" w:hAnsi="Times New Roman"/>
          <w:sz w:val="24"/>
        </w:rPr>
        <w:t xml:space="preserve">Raşo, H., &amp; Demirci, M. (2019). </w:t>
      </w:r>
      <w:r>
        <w:rPr>
          <w:rFonts w:ascii="Times New Roman" w:hAnsi="Times New Roman"/>
          <w:i/>
          <w:sz w:val="24"/>
        </w:rPr>
        <w:t>Predicting the Turkish Stock Market BIST 30 Index using Deep Learning</w:t>
      </w:r>
      <w:r>
        <w:rPr>
          <w:rFonts w:ascii="Times New Roman" w:hAnsi="Times New Roman"/>
          <w:sz w:val="24"/>
        </w:rPr>
        <w:t>. International Journal of Engineering Research and Development, 11(1), 253-265. https://doi.org/10.29137/umagd.425560</w:t>
      </w:r>
    </w:p>
    <w:p>
      <w:pPr>
        <w:pStyle w:val="ListBullet"/>
        <w:spacing w:after="80" w:line="276" w:lineRule="auto"/>
      </w:pPr>
      <w:r>
        <w:rPr>
          <w:rFonts w:ascii="Times New Roman" w:hAnsi="Times New Roman"/>
          <w:sz w:val="24"/>
        </w:rPr>
        <w:t xml:space="preserve">Robertson, G. G., Robertson, S. K., &amp; Mackinlay, J. D. (1993). </w:t>
      </w:r>
      <w:r>
        <w:rPr>
          <w:rFonts w:ascii="Times New Roman" w:hAnsi="Times New Roman"/>
          <w:i/>
          <w:sz w:val="24"/>
        </w:rPr>
        <w:t>Information Visualizers and the Cognitive Coprocessor Interface Paradigm</w:t>
      </w:r>
      <w:r>
        <w:rPr>
          <w:rFonts w:ascii="Times New Roman" w:hAnsi="Times New Roman"/>
          <w:sz w:val="24"/>
        </w:rPr>
        <w:t>. ACM Transactions on Graphics, 12(3), 150-171.</w:t>
      </w:r>
    </w:p>
    <w:p>
      <w:pPr>
        <w:pStyle w:val="ListBullet"/>
        <w:spacing w:after="80" w:line="276" w:lineRule="auto"/>
      </w:pPr>
      <w:r>
        <w:rPr>
          <w:rFonts w:ascii="Times New Roman" w:hAnsi="Times New Roman"/>
          <w:sz w:val="24"/>
        </w:rPr>
        <w:t xml:space="preserve">Roesler, M., &amp; Hawkins, D. T. (1984). </w:t>
      </w:r>
      <w:r>
        <w:rPr>
          <w:rFonts w:ascii="Times New Roman" w:hAnsi="Times New Roman"/>
          <w:i/>
          <w:sz w:val="24"/>
        </w:rPr>
        <w:t>Intelligent Software Agents: A Survey of indirect management helper tools</w:t>
      </w:r>
      <w:r>
        <w:rPr>
          <w:rFonts w:ascii="Times New Roman" w:hAnsi="Times New Roman"/>
          <w:sz w:val="24"/>
        </w:rPr>
        <w:t>. Communications of the ACM, 27(7), 654-663.</w:t>
      </w:r>
    </w:p>
    <w:p>
      <w:pPr>
        <w:pStyle w:val="ListBullet"/>
        <w:spacing w:after="80" w:line="276" w:lineRule="auto"/>
      </w:pPr>
      <w:r>
        <w:rPr>
          <w:rFonts w:ascii="Times New Roman" w:hAnsi="Times New Roman"/>
          <w:sz w:val="24"/>
        </w:rPr>
        <w:t xml:space="preserve">Sonkavde, G., Dharrao, D. S., Bongale, A. M., Deokate, S. T., Doreswamy, D., &amp; Bhat, S. K. (2023). </w:t>
      </w:r>
      <w:r>
        <w:rPr>
          <w:rFonts w:ascii="Times New Roman" w:hAnsi="Times New Roman"/>
          <w:i/>
          <w:sz w:val="24"/>
        </w:rPr>
        <w:t>Forecasting Stock Market Prices Using Machine Learning and Deep Learning Models: A Systematic Review, Performance Analysis and Discussion of Implications</w:t>
      </w:r>
      <w:r>
        <w:rPr>
          <w:rFonts w:ascii="Times New Roman" w:hAnsi="Times New Roman"/>
          <w:sz w:val="24"/>
        </w:rPr>
        <w:t>. International Journal of Financial Studies, 11(3), 94. https://doi.org/10.3390/ijfs11030094</w:t>
      </w:r>
    </w:p>
    <w:p>
      <w:pPr>
        <w:pStyle w:val="ListBullet"/>
        <w:spacing w:after="80" w:line="276" w:lineRule="auto"/>
      </w:pPr>
      <w:r>
        <w:rPr>
          <w:rFonts w:ascii="Times New Roman" w:hAnsi="Times New Roman"/>
          <w:sz w:val="24"/>
        </w:rPr>
        <w:t xml:space="preserve">Verma, S., Sahu, S. P., &amp; Sahu, T. P. (2023). </w:t>
      </w:r>
      <w:r>
        <w:rPr>
          <w:rFonts w:ascii="Times New Roman" w:hAnsi="Times New Roman"/>
          <w:i/>
          <w:sz w:val="24"/>
        </w:rPr>
        <w:t>Stock Market Forecasting with Different Input Indicators using Machine Learning and Deep Learning Techniques: A Review</w:t>
      </w:r>
      <w:r>
        <w:rPr>
          <w:rFonts w:ascii="Times New Roman" w:hAnsi="Times New Roman"/>
          <w:sz w:val="24"/>
        </w:rPr>
        <w:t>. IAENG International Journal of Computer Science, 50(4), 1-17.</w:t>
      </w:r>
    </w:p>
    <w:p>
      <w:pPr>
        <w:pStyle w:val="ListBullet"/>
        <w:spacing w:after="80" w:line="276" w:lineRule="auto"/>
      </w:pPr>
      <w:r>
        <w:rPr>
          <w:rFonts w:ascii="Times New Roman" w:hAnsi="Times New Roman"/>
          <w:sz w:val="24"/>
        </w:rPr>
        <w:t xml:space="preserve">Yee, M. M. (1991). </w:t>
      </w:r>
      <w:r>
        <w:rPr>
          <w:rFonts w:ascii="Times New Roman" w:hAnsi="Times New Roman"/>
          <w:i/>
          <w:sz w:val="24"/>
        </w:rPr>
        <w:t>System Design and User Interface Analysis for Online Catalogs</w:t>
      </w:r>
      <w:r>
        <w:rPr>
          <w:rFonts w:ascii="Times New Roman" w:hAnsi="Times New Roman"/>
          <w:sz w:val="24"/>
        </w:rPr>
        <w:t>. Library Resources &amp; Technical Services, 35(1), 67-86.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9"/>
      </w:rPr>
      <w:t xml:space="preserve">BorsaNeuron Graduation Thesis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