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6534" w14:textId="052FE4FA" w:rsidR="00B44BBA" w:rsidRDefault="008912EE">
      <w:r>
        <w:t xml:space="preserve">Last time we said some things about different models of rigid analytic geometry and defined the category of </w:t>
      </w:r>
      <w:proofErr w:type="spellStart"/>
      <w:r>
        <w:t>adic</w:t>
      </w:r>
      <w:proofErr w:type="spellEnd"/>
      <w:r>
        <w:t xml:space="preserve"> spaces over a fixed field k.</w:t>
      </w:r>
      <w:r w:rsidR="00522563">
        <w:t xml:space="preserve"> Such objects locally look like </w:t>
      </w:r>
      <w:proofErr w:type="spellStart"/>
      <w:r w:rsidR="00522563">
        <w:t>affinoid</w:t>
      </w:r>
      <w:proofErr w:type="spellEnd"/>
      <w:r w:rsidR="00522563">
        <w:t xml:space="preserve"> </w:t>
      </w:r>
      <w:proofErr w:type="spellStart"/>
      <w:r w:rsidR="00522563">
        <w:t>adic</w:t>
      </w:r>
      <w:proofErr w:type="spellEnd"/>
      <w:r w:rsidR="00522563">
        <w:t xml:space="preserve"> spaces over k, whose distinguished opens are rational sets and global sections are given by </w:t>
      </w:r>
      <w:proofErr w:type="spellStart"/>
      <w:r w:rsidR="00522563">
        <w:t>affinoid</w:t>
      </w:r>
      <w:proofErr w:type="spellEnd"/>
      <w:r w:rsidR="00522563">
        <w:t xml:space="preserve"> k-algebras. Today, our goal will be to define the pro-</w:t>
      </w:r>
      <w:proofErr w:type="spellStart"/>
      <w:r w:rsidR="00522563">
        <w:t>etale</w:t>
      </w:r>
      <w:proofErr w:type="spellEnd"/>
      <w:r w:rsidR="00522563">
        <w:t xml:space="preserve"> site and start tackling Section 8 of BMS I. To that end, fix a field k and X a locally Noetherian </w:t>
      </w:r>
      <w:proofErr w:type="spellStart"/>
      <w:r w:rsidR="00522563">
        <w:t>adic</w:t>
      </w:r>
      <w:proofErr w:type="spellEnd"/>
      <w:r w:rsidR="00522563">
        <w:t xml:space="preserve"> space over k (by definition, this means that X is locally given by strongly Noetherian k-algebras). We start with the notion of an </w:t>
      </w:r>
      <w:proofErr w:type="spellStart"/>
      <w:r w:rsidR="00522563">
        <w:t>etale</w:t>
      </w:r>
      <w:proofErr w:type="spellEnd"/>
      <w:r w:rsidR="00522563">
        <w:t xml:space="preserve"> map of </w:t>
      </w:r>
      <w:proofErr w:type="spellStart"/>
      <w:r w:rsidR="00522563">
        <w:t>adic</w:t>
      </w:r>
      <w:proofErr w:type="spellEnd"/>
      <w:r w:rsidR="00522563">
        <w:t xml:space="preserve"> spaces.</w:t>
      </w:r>
    </w:p>
    <w:p w14:paraId="196FFE60" w14:textId="41D7C9BF" w:rsidR="008C7175" w:rsidRPr="008C7175" w:rsidRDefault="008C7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Pro-</w:t>
      </w:r>
      <w:proofErr w:type="spellStart"/>
      <w:r>
        <w:rPr>
          <w:b/>
          <w:sz w:val="32"/>
          <w:szCs w:val="32"/>
        </w:rPr>
        <w:t>Etale</w:t>
      </w:r>
      <w:proofErr w:type="spellEnd"/>
      <w:r>
        <w:rPr>
          <w:b/>
          <w:sz w:val="32"/>
          <w:szCs w:val="32"/>
        </w:rPr>
        <w:t xml:space="preserve"> Site</w:t>
      </w:r>
    </w:p>
    <w:p w14:paraId="171C688F" w14:textId="407D8B4A" w:rsidR="00522563" w:rsidRDefault="00522563">
      <w:r>
        <w:rPr>
          <w:noProof/>
        </w:rPr>
        <w:drawing>
          <wp:inline distT="0" distB="0" distL="0" distR="0" wp14:anchorId="555EC8A2" wp14:editId="33F87A73">
            <wp:extent cx="5943600" cy="32181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24F" w14:textId="77777777" w:rsidR="00ED3FE8" w:rsidRDefault="00522563">
      <w:r>
        <w:t>Remark</w:t>
      </w:r>
      <w:r w:rsidR="00ED3FE8">
        <w:t>s</w:t>
      </w:r>
      <w:r>
        <w:t xml:space="preserve">: </w:t>
      </w:r>
    </w:p>
    <w:p w14:paraId="02B27841" w14:textId="7032CCA0" w:rsidR="00ED3FE8" w:rsidRDefault="00ED3FE8" w:rsidP="00ED3FE8">
      <w:pPr>
        <w:pStyle w:val="ListParagraph"/>
        <w:numPr>
          <w:ilvl w:val="0"/>
          <w:numId w:val="1"/>
        </w:numPr>
      </w:pPr>
      <w:r>
        <w:t>In condition (</w:t>
      </w:r>
      <w:proofErr w:type="spellStart"/>
      <w:r>
        <w:t>i</w:t>
      </w:r>
      <w:proofErr w:type="spellEnd"/>
      <w:r>
        <w:t xml:space="preserve">) the topology issue is a little touchy. The morphism from R to S gives S the structure of a finitely generated R-module. There is then a unique way to topologize S so that is it a </w:t>
      </w:r>
      <w:proofErr w:type="spellStart"/>
      <w:r>
        <w:t>Hausdorff</w:t>
      </w:r>
      <w:proofErr w:type="spellEnd"/>
      <w:r>
        <w:t xml:space="preserve"> complete topological R-module having a countable local base at 0. </w:t>
      </w:r>
      <w:r w:rsidR="00A06936">
        <w:t xml:space="preserve">One consequence of this is that morphisms that would be </w:t>
      </w:r>
      <w:proofErr w:type="spellStart"/>
      <w:r w:rsidR="00A06936">
        <w:t>etale</w:t>
      </w:r>
      <w:proofErr w:type="spellEnd"/>
      <w:r w:rsidR="00A06936">
        <w:t xml:space="preserve"> in the usual scheme theoretic sense (e.g., an open embedding) need not be </w:t>
      </w:r>
      <w:proofErr w:type="spellStart"/>
      <w:r w:rsidR="00A06936">
        <w:t>etale</w:t>
      </w:r>
      <w:proofErr w:type="spellEnd"/>
      <w:r w:rsidR="00A06936">
        <w:t xml:space="preserve"> in our sense. This is so even for inclusions of open discs. Nonetheless, Huber does give a Jacobian-type criterion for </w:t>
      </w:r>
      <w:proofErr w:type="spellStart"/>
      <w:r w:rsidR="00A06936">
        <w:t>etaleness</w:t>
      </w:r>
      <w:proofErr w:type="spellEnd"/>
      <w:r w:rsidR="00A06936">
        <w:t xml:space="preserve"> that holds under suitable conditions.</w:t>
      </w:r>
    </w:p>
    <w:p w14:paraId="0ACA8DC7" w14:textId="17ADD433" w:rsidR="00ED3FE8" w:rsidRDefault="00522563" w:rsidP="00ED3FE8">
      <w:pPr>
        <w:pStyle w:val="ListParagraph"/>
        <w:numPr>
          <w:ilvl w:val="0"/>
          <w:numId w:val="1"/>
        </w:numPr>
      </w:pPr>
      <w:r>
        <w:t xml:space="preserve">In condition (ii) one might borrow intuition from scheme theory and define the first listed property as being </w:t>
      </w:r>
      <w:proofErr w:type="spellStart"/>
      <w:r w:rsidRPr="00ED3FE8">
        <w:rPr>
          <w:b/>
          <w:i/>
        </w:rPr>
        <w:t>affinoid</w:t>
      </w:r>
      <w:proofErr w:type="spellEnd"/>
      <w:r>
        <w:t xml:space="preserve">. </w:t>
      </w:r>
      <w:r w:rsidR="00F87972">
        <w:t xml:space="preserve">This condition is </w:t>
      </w:r>
      <w:proofErr w:type="spellStart"/>
      <w:r w:rsidR="007068E7">
        <w:t>affinoid</w:t>
      </w:r>
      <w:proofErr w:type="spellEnd"/>
      <w:r w:rsidR="007068E7">
        <w:t xml:space="preserve"> </w:t>
      </w:r>
      <w:r w:rsidR="00F87972">
        <w:t xml:space="preserve">local on the target. </w:t>
      </w:r>
    </w:p>
    <w:p w14:paraId="4D3747FF" w14:textId="757E5688" w:rsidR="002A16DC" w:rsidRDefault="007068E7" w:rsidP="00ED3FE8">
      <w:pPr>
        <w:pStyle w:val="ListParagraph"/>
        <w:numPr>
          <w:ilvl w:val="0"/>
          <w:numId w:val="1"/>
        </w:numPr>
      </w:pPr>
      <w:r>
        <w:t xml:space="preserve">The definition of </w:t>
      </w:r>
      <w:proofErr w:type="spellStart"/>
      <w:r>
        <w:t>etale</w:t>
      </w:r>
      <w:proofErr w:type="spellEnd"/>
      <w:r>
        <w:t xml:space="preserve"> given here is different from the original one given by Huber. </w:t>
      </w:r>
      <w:r w:rsidR="002A16DC">
        <w:t xml:space="preserve">We favor this definition since it works well for locally </w:t>
      </w:r>
      <w:proofErr w:type="spellStart"/>
      <w:r w:rsidR="002A16DC">
        <w:t>perfectoid</w:t>
      </w:r>
      <w:proofErr w:type="spellEnd"/>
      <w:r w:rsidR="002A16DC">
        <w:t xml:space="preserve"> </w:t>
      </w:r>
      <w:proofErr w:type="spellStart"/>
      <w:r w:rsidR="002A16DC">
        <w:t>adic</w:t>
      </w:r>
      <w:proofErr w:type="spellEnd"/>
      <w:r w:rsidR="002A16DC">
        <w:t xml:space="preserve"> spaces (i.e., </w:t>
      </w:r>
      <w:proofErr w:type="spellStart"/>
      <w:r w:rsidR="002A16DC">
        <w:t>adic</w:t>
      </w:r>
      <w:proofErr w:type="spellEnd"/>
      <w:r w:rsidR="002A16DC">
        <w:t xml:space="preserve"> spaces whose local sections are </w:t>
      </w:r>
      <w:proofErr w:type="spellStart"/>
      <w:r w:rsidR="002A16DC">
        <w:t>perfectoid</w:t>
      </w:r>
      <w:proofErr w:type="spellEnd"/>
      <w:r w:rsidR="002A16DC">
        <w:t xml:space="preserve"> </w:t>
      </w:r>
      <w:proofErr w:type="spellStart"/>
      <w:r w:rsidR="002A16DC">
        <w:t>affinoid</w:t>
      </w:r>
      <w:proofErr w:type="spellEnd"/>
      <w:r w:rsidR="002A16DC">
        <w:t xml:space="preserve"> k-algebras). </w:t>
      </w:r>
    </w:p>
    <w:p w14:paraId="7E7E5DD6" w14:textId="26C41DE5" w:rsidR="002A16DC" w:rsidRDefault="002A16DC">
      <w:r>
        <w:t xml:space="preserve">This lets us </w:t>
      </w:r>
      <w:r w:rsidR="008C7175">
        <w:t xml:space="preserve">construct </w:t>
      </w:r>
      <w:r>
        <w:t xml:space="preserve">the </w:t>
      </w:r>
      <w:proofErr w:type="spellStart"/>
      <w:r w:rsidRPr="002A16DC">
        <w:rPr>
          <w:b/>
          <w:i/>
        </w:rPr>
        <w:t>etale</w:t>
      </w:r>
      <w:proofErr w:type="spellEnd"/>
      <w:r w:rsidRPr="002A16DC">
        <w:rPr>
          <w:b/>
          <w:i/>
        </w:rPr>
        <w:t xml:space="preserve"> site</w:t>
      </w:r>
      <w:r>
        <w:t xml:space="preserve"> of X (ignore the word “</w:t>
      </w:r>
      <w:proofErr w:type="spellStart"/>
      <w:r>
        <w:t>perfectoid</w:t>
      </w:r>
      <w:proofErr w:type="spellEnd"/>
      <w:r>
        <w:t>” in what follows).</w:t>
      </w:r>
      <w:r w:rsidR="008C7175">
        <w:t xml:space="preserve"> Of course, one must check that the site axioms actually hold.</w:t>
      </w:r>
    </w:p>
    <w:p w14:paraId="39FB405C" w14:textId="67E117F9" w:rsidR="00ED3FE8" w:rsidRDefault="002A16DC">
      <w:r>
        <w:rPr>
          <w:noProof/>
        </w:rPr>
        <w:lastRenderedPageBreak/>
        <w:drawing>
          <wp:inline distT="0" distB="0" distL="0" distR="0" wp14:anchorId="09EA7B94" wp14:editId="0E62EE37">
            <wp:extent cx="5943600" cy="64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36B" w14:textId="534CC767" w:rsidR="00A06936" w:rsidRDefault="00B115A5">
      <w:r>
        <w:t xml:space="preserve">Now that we have the </w:t>
      </w:r>
      <w:proofErr w:type="spellStart"/>
      <w:r>
        <w:t>etale</w:t>
      </w:r>
      <w:proofErr w:type="spellEnd"/>
      <w:r>
        <w:t xml:space="preserve"> site of X, what about the pro-</w:t>
      </w:r>
      <w:proofErr w:type="spellStart"/>
      <w:r>
        <w:t>etale</w:t>
      </w:r>
      <w:proofErr w:type="spellEnd"/>
      <w:r>
        <w:t xml:space="preserve"> site of X? Intuitively, the “open sets” of X_{</w:t>
      </w:r>
      <w:proofErr w:type="spellStart"/>
      <w:r>
        <w:t>proet</w:t>
      </w:r>
      <w:proofErr w:type="spellEnd"/>
      <w:r>
        <w:t xml:space="preserve">} should be thought of as V\to U\to X with U\to X </w:t>
      </w:r>
      <w:proofErr w:type="spellStart"/>
      <w:r>
        <w:t>etale</w:t>
      </w:r>
      <w:proofErr w:type="spellEnd"/>
      <w:r>
        <w:t xml:space="preserve"> and V\to U an inverse limit of finite </w:t>
      </w:r>
      <w:proofErr w:type="spellStart"/>
      <w:r>
        <w:t>etale</w:t>
      </w:r>
      <w:proofErr w:type="spellEnd"/>
      <w:r>
        <w:t xml:space="preserve"> surjective maps. To rigorously define X_{</w:t>
      </w:r>
      <w:proofErr w:type="spellStart"/>
      <w:r>
        <w:t>proet</w:t>
      </w:r>
      <w:proofErr w:type="spellEnd"/>
      <w:r>
        <w:t>}, we first discuss the notion of a pro-category.</w:t>
      </w:r>
    </w:p>
    <w:p w14:paraId="438A8A84" w14:textId="77ABD53D" w:rsidR="00B115A5" w:rsidRDefault="00B115A5">
      <w:r>
        <w:rPr>
          <w:noProof/>
        </w:rPr>
        <w:drawing>
          <wp:inline distT="0" distB="0" distL="0" distR="0" wp14:anchorId="3BFBEF67" wp14:editId="307CD8F9">
            <wp:extent cx="6704059" cy="34036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826" cy="34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CF5" w14:textId="77777777" w:rsidR="007222D9" w:rsidRDefault="007222D9">
      <w:r>
        <w:t xml:space="preserve">Remarks: </w:t>
      </w:r>
    </w:p>
    <w:p w14:paraId="16208A63" w14:textId="049507FD" w:rsidR="007222D9" w:rsidRDefault="007222D9" w:rsidP="007222D9">
      <w:pPr>
        <w:pStyle w:val="ListParagraph"/>
        <w:numPr>
          <w:ilvl w:val="0"/>
          <w:numId w:val="3"/>
        </w:numPr>
      </w:pPr>
      <w:r>
        <w:t>The definition of \</w:t>
      </w:r>
      <w:proofErr w:type="spellStart"/>
      <w:r>
        <w:t>widehat</w:t>
      </w:r>
      <w:proofErr w:type="spellEnd"/>
      <w:r>
        <w:t>{\</w:t>
      </w:r>
      <w:proofErr w:type="spellStart"/>
      <w:r>
        <w:t>mathcal</w:t>
      </w:r>
      <w:proofErr w:type="spellEnd"/>
      <w:r>
        <w:t>{C}} above is wrong since the op should be on the \</w:t>
      </w:r>
      <w:proofErr w:type="spellStart"/>
      <w:r>
        <w:t>mathcal</w:t>
      </w:r>
      <w:proofErr w:type="spellEnd"/>
      <w:r>
        <w:t>{C} factor.</w:t>
      </w:r>
    </w:p>
    <w:p w14:paraId="6460313A" w14:textId="71BFFB02" w:rsidR="007222D9" w:rsidRDefault="007222D9" w:rsidP="007222D9">
      <w:pPr>
        <w:pStyle w:val="ListParagraph"/>
        <w:numPr>
          <w:ilvl w:val="0"/>
          <w:numId w:val="3"/>
        </w:numPr>
      </w:pPr>
      <w:r>
        <w:t>It’s worthwhile to consider why the two descriptions of the pro-category are equivalent.</w:t>
      </w:r>
      <w:r w:rsidR="00F16EDD">
        <w:t xml:space="preserve"> In the second description, it’s also important to understand exactly what we mean by a morphism.</w:t>
      </w:r>
      <w:bookmarkStart w:id="0" w:name="_GoBack"/>
      <w:bookmarkEnd w:id="0"/>
    </w:p>
    <w:p w14:paraId="39A66CA0" w14:textId="325CD858" w:rsidR="003308BF" w:rsidRDefault="003308BF">
      <w:r>
        <w:t xml:space="preserve">This allows us to obtain the category pro-X_{et}. </w:t>
      </w:r>
    </w:p>
    <w:p w14:paraId="2EE475BF" w14:textId="01F9CE2D" w:rsidR="003308BF" w:rsidRDefault="003308BF">
      <w:r>
        <w:rPr>
          <w:noProof/>
        </w:rPr>
        <w:lastRenderedPageBreak/>
        <w:drawing>
          <wp:inline distT="0" distB="0" distL="0" distR="0" wp14:anchorId="39AE0636" wp14:editId="059762DE">
            <wp:extent cx="6801387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1277" cy="25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08B" w14:textId="4FF818E7" w:rsidR="003308BF" w:rsidRDefault="003308BF" w:rsidP="003308BF">
      <w:r>
        <w:rPr>
          <w:noProof/>
        </w:rPr>
        <w:drawing>
          <wp:inline distT="0" distB="0" distL="0" distR="0" wp14:anchorId="2BD406FF" wp14:editId="6A06B1BE">
            <wp:extent cx="6831193" cy="9334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1985" cy="9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7D0" w14:textId="77777777" w:rsidR="003308BF" w:rsidRDefault="003308BF" w:rsidP="003308BF">
      <w:r>
        <w:t>The following shows us that pro-X_{et} and hence also X_{</w:t>
      </w:r>
      <w:proofErr w:type="spellStart"/>
      <w:r>
        <w:t>proet</w:t>
      </w:r>
      <w:proofErr w:type="spellEnd"/>
      <w:r>
        <w:t>} is well-behaved.</w:t>
      </w:r>
    </w:p>
    <w:p w14:paraId="5441ACD3" w14:textId="02A45222" w:rsidR="003308BF" w:rsidRDefault="003308BF" w:rsidP="003308BF">
      <w:r>
        <w:rPr>
          <w:noProof/>
        </w:rPr>
        <w:drawing>
          <wp:inline distT="0" distB="0" distL="0" distR="0" wp14:anchorId="2D360A05" wp14:editId="0D4AE0F6">
            <wp:extent cx="5943600" cy="2867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556" w14:textId="27A8D2B9" w:rsidR="003308BF" w:rsidRDefault="003308BF" w:rsidP="003308BF">
      <w:r>
        <w:rPr>
          <w:noProof/>
        </w:rPr>
        <w:drawing>
          <wp:inline distT="0" distB="0" distL="0" distR="0" wp14:anchorId="2ED71E53" wp14:editId="0AC44C1E">
            <wp:extent cx="5943600" cy="652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C30D" w14:textId="00C534EC" w:rsidR="003308BF" w:rsidRDefault="00027CCB" w:rsidP="003308BF">
      <w:r>
        <w:t>In the case that X is locally Noetherian over Spa(</w:t>
      </w:r>
      <w:proofErr w:type="gramStart"/>
      <w:r>
        <w:t>K,K</w:t>
      </w:r>
      <w:proofErr w:type="gramEnd"/>
      <w:r>
        <w:t xml:space="preserve">^+) for K a characteristic 0 perfect field, a theorem of </w:t>
      </w:r>
      <w:proofErr w:type="spellStart"/>
      <w:r>
        <w:t>Colmez</w:t>
      </w:r>
      <w:proofErr w:type="spellEnd"/>
      <w:r>
        <w:t xml:space="preserve"> says that </w:t>
      </w:r>
      <w:proofErr w:type="spellStart"/>
      <w:r>
        <w:t>affinoid</w:t>
      </w:r>
      <w:proofErr w:type="spellEnd"/>
      <w:r>
        <w:t xml:space="preserve"> </w:t>
      </w:r>
      <w:proofErr w:type="spellStart"/>
      <w:r>
        <w:t>perfectoids</w:t>
      </w:r>
      <w:proofErr w:type="spellEnd"/>
      <w:r>
        <w:t xml:space="preserve"> form a base for the topology on X_{</w:t>
      </w:r>
      <w:proofErr w:type="spellStart"/>
      <w:r>
        <w:t>proet</w:t>
      </w:r>
      <w:proofErr w:type="spellEnd"/>
      <w:r>
        <w:t>}. What this means is:</w:t>
      </w:r>
    </w:p>
    <w:p w14:paraId="288BE387" w14:textId="71BDE1FD" w:rsidR="00027CCB" w:rsidRDefault="00027CCB" w:rsidP="003308BF">
      <w:r>
        <w:rPr>
          <w:noProof/>
        </w:rPr>
        <w:lastRenderedPageBreak/>
        <w:drawing>
          <wp:inline distT="0" distB="0" distL="0" distR="0" wp14:anchorId="1AF1AE18" wp14:editId="51D088C1">
            <wp:extent cx="6892384" cy="15176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4368" cy="15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5BD" w14:textId="2239B2CE" w:rsidR="00027CCB" w:rsidRDefault="0068423D" w:rsidP="003308BF">
      <w:pPr>
        <w:rPr>
          <w:b/>
          <w:i/>
        </w:rPr>
      </w:pPr>
      <w:r>
        <w:t xml:space="preserve">Example: Consider the </w:t>
      </w:r>
      <w:proofErr w:type="spellStart"/>
      <w:r w:rsidRPr="0068423D">
        <w:rPr>
          <w:b/>
          <w:i/>
        </w:rPr>
        <w:t>adic</w:t>
      </w:r>
      <w:proofErr w:type="spellEnd"/>
      <w:r w:rsidRPr="0068423D">
        <w:rPr>
          <w:b/>
          <w:i/>
        </w:rPr>
        <w:t xml:space="preserve"> torus</w:t>
      </w:r>
      <w:r>
        <w:rPr>
          <w:b/>
          <w:i/>
        </w:rPr>
        <w:t xml:space="preserve"> n-torus (over K)</w:t>
      </w:r>
    </w:p>
    <w:p w14:paraId="12BFAB53" w14:textId="61294624" w:rsidR="0068423D" w:rsidRDefault="008233EF" w:rsidP="008233EF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71E2134" wp14:editId="4777FCC7">
            <wp:extent cx="4711700" cy="547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213" cy="5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C9D8" w14:textId="1A897EC9" w:rsidR="008233EF" w:rsidRDefault="008233EF" w:rsidP="008233EF">
      <w:r>
        <w:t xml:space="preserve">which has an open cover by the </w:t>
      </w:r>
      <w:proofErr w:type="spellStart"/>
      <w:r>
        <w:t>affinoid</w:t>
      </w:r>
      <w:proofErr w:type="spellEnd"/>
      <w:r>
        <w:t xml:space="preserve"> </w:t>
      </w:r>
      <w:proofErr w:type="spellStart"/>
      <w:r>
        <w:t>perfectoid</w:t>
      </w:r>
      <w:proofErr w:type="spellEnd"/>
      <w:r>
        <w:t xml:space="preserve"> space</w:t>
      </w:r>
    </w:p>
    <w:p w14:paraId="36FD7453" w14:textId="7A70098B" w:rsidR="008233EF" w:rsidRDefault="008233EF" w:rsidP="008233EF">
      <w:pPr>
        <w:jc w:val="center"/>
      </w:pPr>
      <w:r>
        <w:rPr>
          <w:noProof/>
        </w:rPr>
        <w:drawing>
          <wp:inline distT="0" distB="0" distL="0" distR="0" wp14:anchorId="1072F5D2" wp14:editId="7CD4AECC">
            <wp:extent cx="5308600" cy="530293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690" cy="5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40C" w14:textId="59D3F076" w:rsidR="004D5932" w:rsidRDefault="000764C0" w:rsidP="000764C0">
      <w:r>
        <w:t>where for convenience we denote the spaces in this inverse system by \</w:t>
      </w:r>
      <w:proofErr w:type="spellStart"/>
      <w:r>
        <w:t>mathbb</w:t>
      </w:r>
      <w:proofErr w:type="spellEnd"/>
      <w:r>
        <w:t>{T}_</w:t>
      </w:r>
      <w:proofErr w:type="spellStart"/>
      <w:r>
        <w:t>m^n</w:t>
      </w:r>
      <w:proofErr w:type="spellEnd"/>
      <w:r>
        <w:t>.</w:t>
      </w:r>
    </w:p>
    <w:p w14:paraId="4A423FDD" w14:textId="4D1B7419" w:rsidR="008233EF" w:rsidRDefault="008233EF" w:rsidP="008233EF">
      <w:r>
        <w:t>Remarks:</w:t>
      </w:r>
    </w:p>
    <w:p w14:paraId="29CD895D" w14:textId="5AAAFAD4" w:rsidR="008233EF" w:rsidRDefault="008233EF" w:rsidP="008233EF">
      <w:pPr>
        <w:pStyle w:val="ListParagraph"/>
        <w:numPr>
          <w:ilvl w:val="0"/>
          <w:numId w:val="2"/>
        </w:numPr>
      </w:pPr>
      <w:r>
        <w:t>The ring K\</w:t>
      </w:r>
      <w:proofErr w:type="spellStart"/>
      <w:r>
        <w:t>ip</w:t>
      </w:r>
      <w:proofErr w:type="spellEnd"/>
      <w:r>
        <w:t>{T^{\pm1}} should be viewed as the ring of convergent bi-infinite power series in T on the unit disc in K.</w:t>
      </w:r>
    </w:p>
    <w:p w14:paraId="0B3CA32A" w14:textId="77777777" w:rsidR="00AE3ABF" w:rsidRDefault="00E42F7D" w:rsidP="008233EF">
      <w:pPr>
        <w:pStyle w:val="ListParagraph"/>
        <w:numPr>
          <w:ilvl w:val="0"/>
          <w:numId w:val="2"/>
        </w:numPr>
      </w:pPr>
      <w:r>
        <w:t xml:space="preserve">In the above we have </w:t>
      </w:r>
      <w:r w:rsidR="00AE3ABF">
        <w:t>implicitly embedded X_{et} as a full subcategory of X_{</w:t>
      </w:r>
      <w:proofErr w:type="spellStart"/>
      <w:r w:rsidR="00AE3ABF">
        <w:t>proet</w:t>
      </w:r>
      <w:proofErr w:type="spellEnd"/>
      <w:r w:rsidR="00AE3ABF">
        <w:t xml:space="preserve">}. </w:t>
      </w:r>
    </w:p>
    <w:p w14:paraId="541B15B1" w14:textId="1F127C72" w:rsidR="000764C0" w:rsidRDefault="00AE3ABF" w:rsidP="00AE3ABF">
      <w:r>
        <w:t xml:space="preserve">We won’t prove </w:t>
      </w:r>
      <w:proofErr w:type="spellStart"/>
      <w:r>
        <w:t>Colmez’s</w:t>
      </w:r>
      <w:proofErr w:type="spellEnd"/>
      <w:r>
        <w:t xml:space="preserve"> theorem, though we will quickly say something about the case where X is smooth over Spa(</w:t>
      </w:r>
      <w:proofErr w:type="gramStart"/>
      <w:r>
        <w:t>K,\</w:t>
      </w:r>
      <w:proofErr w:type="gramEnd"/>
      <w:r>
        <w:t xml:space="preserve">O). Such X locally admits an </w:t>
      </w:r>
      <w:proofErr w:type="spellStart"/>
      <w:r>
        <w:t>etale</w:t>
      </w:r>
      <w:proofErr w:type="spellEnd"/>
      <w:r>
        <w:t xml:space="preserve"> map to some \</w:t>
      </w:r>
      <w:proofErr w:type="spellStart"/>
      <w:r>
        <w:t>mathbb</w:t>
      </w:r>
      <w:proofErr w:type="spellEnd"/>
      <w:r>
        <w:t xml:space="preserve">{T}^d which factors as a composite of rational embeddings and finite </w:t>
      </w:r>
      <w:proofErr w:type="spellStart"/>
      <w:r>
        <w:t>etale</w:t>
      </w:r>
      <w:proofErr w:type="spellEnd"/>
      <w:r>
        <w:t xml:space="preserve"> covers</w:t>
      </w:r>
      <w:r w:rsidR="000764C0">
        <w:t xml:space="preserve"> (we will encounter a related notion later when we discuss framings)</w:t>
      </w:r>
      <w:r>
        <w:t xml:space="preserve">. </w:t>
      </w:r>
      <w:r w:rsidR="00E42F7D">
        <w:t xml:space="preserve"> </w:t>
      </w:r>
      <w:r w:rsidR="000764C0">
        <w:t>Given r \</w:t>
      </w:r>
      <w:proofErr w:type="spellStart"/>
      <w:r w:rsidR="000764C0">
        <w:t>geq</w:t>
      </w:r>
      <w:proofErr w:type="spellEnd"/>
      <w:r w:rsidR="000764C0">
        <w:t xml:space="preserve"> 1, define</w:t>
      </w:r>
    </w:p>
    <w:p w14:paraId="6C656FE1" w14:textId="2E1BFB12" w:rsidR="008233EF" w:rsidRDefault="000764C0" w:rsidP="000764C0">
      <w:pPr>
        <w:jc w:val="center"/>
      </w:pPr>
      <w:proofErr w:type="spellStart"/>
      <w:r w:rsidRPr="000764C0">
        <w:t>X_</w:t>
      </w:r>
      <w:proofErr w:type="gramStart"/>
      <w:r w:rsidRPr="000764C0">
        <w:t>r</w:t>
      </w:r>
      <w:proofErr w:type="spellEnd"/>
      <w:r w:rsidRPr="000764C0">
        <w:t>:=</w:t>
      </w:r>
      <w:proofErr w:type="gramEnd"/>
      <w:r w:rsidRPr="000764C0">
        <w:t>X\times_{\</w:t>
      </w:r>
      <w:proofErr w:type="spellStart"/>
      <w:r w:rsidRPr="000764C0">
        <w:t>T^d</w:t>
      </w:r>
      <w:proofErr w:type="spellEnd"/>
      <w:r w:rsidRPr="000764C0">
        <w:t>}\</w:t>
      </w:r>
      <w:proofErr w:type="spellStart"/>
      <w:r w:rsidRPr="000764C0">
        <w:t>T_r^d</w:t>
      </w:r>
      <w:proofErr w:type="spellEnd"/>
    </w:p>
    <w:p w14:paraId="027BBE3B" w14:textId="233CF45D" w:rsidR="000764C0" w:rsidRDefault="000764C0" w:rsidP="00AE3ABF">
      <w:r>
        <w:t xml:space="preserve">Then, the inverse limit over the </w:t>
      </w:r>
      <w:proofErr w:type="spellStart"/>
      <w:r>
        <w:t>X_r</w:t>
      </w:r>
      <w:proofErr w:type="spellEnd"/>
      <w:r>
        <w:t xml:space="preserve"> is an </w:t>
      </w:r>
      <w:proofErr w:type="spellStart"/>
      <w:r>
        <w:t>affinoid</w:t>
      </w:r>
      <w:proofErr w:type="spellEnd"/>
      <w:r>
        <w:t xml:space="preserve"> </w:t>
      </w:r>
      <w:proofErr w:type="spellStart"/>
      <w:r>
        <w:t>perfectoid</w:t>
      </w:r>
      <w:proofErr w:type="spellEnd"/>
      <w:r>
        <w:t xml:space="preserve"> object in X_{</w:t>
      </w:r>
      <w:proofErr w:type="spellStart"/>
      <w:r>
        <w:t>proet</w:t>
      </w:r>
      <w:proofErr w:type="spellEnd"/>
      <w:r>
        <w:t>}.</w:t>
      </w:r>
    </w:p>
    <w:p w14:paraId="3F0D883A" w14:textId="77777777" w:rsidR="008C7175" w:rsidRPr="00887168" w:rsidRDefault="008C7175" w:rsidP="008C7175">
      <w:pPr>
        <w:rPr>
          <w:b/>
          <w:sz w:val="32"/>
          <w:szCs w:val="32"/>
        </w:rPr>
      </w:pPr>
      <w:r w:rsidRPr="00887168">
        <w:rPr>
          <w:b/>
          <w:sz w:val="32"/>
          <w:szCs w:val="32"/>
        </w:rPr>
        <w:t>Projection and Sheaves of Interest</w:t>
      </w:r>
    </w:p>
    <w:p w14:paraId="322238D4" w14:textId="0B8BB570" w:rsidR="003308BF" w:rsidRDefault="008C7175" w:rsidP="003308BF">
      <w:r>
        <w:rPr>
          <w:noProof/>
        </w:rPr>
        <w:lastRenderedPageBreak/>
        <w:drawing>
          <wp:inline distT="0" distB="0" distL="0" distR="0" wp14:anchorId="3790A12B" wp14:editId="25CCED85">
            <wp:extent cx="6829649" cy="288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404" cy="28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3C6B" w14:textId="4C579D6D" w:rsidR="00DE0ECA" w:rsidRDefault="006F5E40" w:rsidP="003308BF">
      <w:r>
        <w:t>To get an idea of the</w:t>
      </w:r>
      <w:r w:rsidR="00DE0ECA">
        <w:t xml:space="preserve"> proof for the lemma</w:t>
      </w:r>
      <w:r>
        <w:t xml:space="preserve">, we first </w:t>
      </w:r>
      <w:r w:rsidR="00DE0ECA">
        <w:t xml:space="preserve">assume without loss of generality that \F is injective and </w:t>
      </w:r>
      <w:r>
        <w:t xml:space="preserve">X is </w:t>
      </w:r>
      <w:proofErr w:type="spellStart"/>
      <w:r>
        <w:t>qcqs</w:t>
      </w:r>
      <w:proofErr w:type="spellEnd"/>
      <w:r>
        <w:t>. The site X_{</w:t>
      </w:r>
      <w:proofErr w:type="spellStart"/>
      <w:r>
        <w:t>proet</w:t>
      </w:r>
      <w:proofErr w:type="spellEnd"/>
      <w:r>
        <w:t>} has a subsite X_{</w:t>
      </w:r>
      <w:proofErr w:type="spellStart"/>
      <w:r>
        <w:t>proetqc</w:t>
      </w:r>
      <w:proofErr w:type="spellEnd"/>
      <w:r>
        <w:t xml:space="preserve">} consisting of qc objects which has an equivalent </w:t>
      </w:r>
      <w:proofErr w:type="spellStart"/>
      <w:r>
        <w:t>topos</w:t>
      </w:r>
      <w:proofErr w:type="spellEnd"/>
      <w:r>
        <w:t xml:space="preserve"> to X_{</w:t>
      </w:r>
      <w:proofErr w:type="spellStart"/>
      <w:r>
        <w:t>proet</w:t>
      </w:r>
      <w:proofErr w:type="spellEnd"/>
      <w:r>
        <w:t xml:space="preserve">} since X is </w:t>
      </w:r>
      <w:proofErr w:type="spellStart"/>
      <w:r>
        <w:t>qs</w:t>
      </w:r>
      <w:proofErr w:type="spellEnd"/>
      <w:r>
        <w:t xml:space="preserve">. </w:t>
      </w:r>
      <w:r w:rsidR="004E7F73">
        <w:t>The sheaf \F induces a presheaf on X_{</w:t>
      </w:r>
      <w:proofErr w:type="spellStart"/>
      <w:r w:rsidR="004E7F73">
        <w:t>proetqc</w:t>
      </w:r>
      <w:proofErr w:type="spellEnd"/>
      <w:r w:rsidR="004E7F73">
        <w:t xml:space="preserve">} which one must check is a sheaf and satisfies the analogous conditions on </w:t>
      </w:r>
      <w:proofErr w:type="spellStart"/>
      <w:r w:rsidR="004E7F73">
        <w:t>cohomology</w:t>
      </w:r>
      <w:proofErr w:type="spellEnd"/>
      <w:r w:rsidR="004E7F73">
        <w:t xml:space="preserve">. This is done </w:t>
      </w:r>
      <w:r>
        <w:t xml:space="preserve">explicitly using Cech </w:t>
      </w:r>
      <w:proofErr w:type="spellStart"/>
      <w:r>
        <w:t>cohomology</w:t>
      </w:r>
      <w:proofErr w:type="spellEnd"/>
      <w:r>
        <w:t xml:space="preserve">, reducing ultimately to the assumed acyclicity of </w:t>
      </w:r>
      <w:r w:rsidR="004E7F73">
        <w:t>\</w:t>
      </w:r>
      <w:r>
        <w:t>F.</w:t>
      </w:r>
    </w:p>
    <w:p w14:paraId="78B50A2C" w14:textId="133A1E5A" w:rsidR="008C7175" w:rsidRDefault="008C7175" w:rsidP="003308BF">
      <w:r>
        <w:rPr>
          <w:noProof/>
        </w:rPr>
        <w:drawing>
          <wp:inline distT="0" distB="0" distL="0" distR="0" wp14:anchorId="04F19722" wp14:editId="6B398234">
            <wp:extent cx="5739130" cy="29462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897" cy="29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224F" w14:textId="10277764" w:rsidR="008C7175" w:rsidRDefault="008C7175" w:rsidP="003308BF">
      <w:r>
        <w:t>What do these sheaves look like?</w:t>
      </w:r>
      <w:r w:rsidR="00BF3D50">
        <w:t xml:space="preserve"> Recall from last time the following result</w:t>
      </w:r>
      <w:r w:rsidR="00F57065">
        <w:t xml:space="preserve"> (which holds for any </w:t>
      </w:r>
      <w:proofErr w:type="spellStart"/>
      <w:r w:rsidR="00F57065">
        <w:t>adic</w:t>
      </w:r>
      <w:proofErr w:type="spellEnd"/>
      <w:r w:rsidR="00F57065">
        <w:t xml:space="preserve"> space X</w:t>
      </w:r>
      <w:r w:rsidR="008D2AFA">
        <w:t xml:space="preserve"> thinking about sheaves on the “rational” site of X</w:t>
      </w:r>
      <w:r w:rsidR="00F57065">
        <w:t>)</w:t>
      </w:r>
      <w:r w:rsidR="00BF3D50">
        <w:t>.</w:t>
      </w:r>
    </w:p>
    <w:p w14:paraId="0504632D" w14:textId="4A7DFFE4" w:rsidR="00BF3D50" w:rsidRDefault="00BF3D50" w:rsidP="003308BF">
      <w:r>
        <w:rPr>
          <w:noProof/>
        </w:rPr>
        <w:lastRenderedPageBreak/>
        <w:drawing>
          <wp:inline distT="0" distB="0" distL="0" distR="0" wp14:anchorId="5F574F24" wp14:editId="379782B4">
            <wp:extent cx="5943600" cy="1974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920" w14:textId="4E6287D6" w:rsidR="00BF3D50" w:rsidRDefault="00F57065" w:rsidP="003308BF">
      <w:r>
        <w:t>We wish to adapt this to our setting.</w:t>
      </w:r>
    </w:p>
    <w:p w14:paraId="5925FFF4" w14:textId="21D91606" w:rsidR="00240439" w:rsidRDefault="008C7175" w:rsidP="003308BF">
      <w:r>
        <w:rPr>
          <w:noProof/>
        </w:rPr>
        <w:drawing>
          <wp:inline distT="0" distB="0" distL="0" distR="0" wp14:anchorId="252BDB87" wp14:editId="3ED5C0E3">
            <wp:extent cx="5702300" cy="2194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628" cy="22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759"/>
    <w:multiLevelType w:val="hybridMultilevel"/>
    <w:tmpl w:val="C61A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44C4"/>
    <w:multiLevelType w:val="hybridMultilevel"/>
    <w:tmpl w:val="BAF8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12B9"/>
    <w:multiLevelType w:val="hybridMultilevel"/>
    <w:tmpl w:val="F3D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0F"/>
    <w:rsid w:val="00027CCB"/>
    <w:rsid w:val="000764C0"/>
    <w:rsid w:val="00240439"/>
    <w:rsid w:val="002A16DC"/>
    <w:rsid w:val="003308BF"/>
    <w:rsid w:val="00446F0F"/>
    <w:rsid w:val="004D5932"/>
    <w:rsid w:val="004E7F73"/>
    <w:rsid w:val="005159FC"/>
    <w:rsid w:val="00522563"/>
    <w:rsid w:val="0068423D"/>
    <w:rsid w:val="006F5E40"/>
    <w:rsid w:val="007068E7"/>
    <w:rsid w:val="007222D9"/>
    <w:rsid w:val="008233EF"/>
    <w:rsid w:val="008912EE"/>
    <w:rsid w:val="008C7175"/>
    <w:rsid w:val="008D2AFA"/>
    <w:rsid w:val="00A06936"/>
    <w:rsid w:val="00AE3ABF"/>
    <w:rsid w:val="00B115A5"/>
    <w:rsid w:val="00B44BBA"/>
    <w:rsid w:val="00BF3D50"/>
    <w:rsid w:val="00DE0ECA"/>
    <w:rsid w:val="00E42F7D"/>
    <w:rsid w:val="00ED3FE8"/>
    <w:rsid w:val="00F16EDD"/>
    <w:rsid w:val="00F57065"/>
    <w:rsid w:val="00F8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3B83"/>
  <w15:chartTrackingRefBased/>
  <w15:docId w15:val="{5F54349B-FDFA-4325-8909-03AAD81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Gardner</dc:creator>
  <cp:keywords/>
  <dc:description/>
  <cp:lastModifiedBy>Zachary Gardner</cp:lastModifiedBy>
  <cp:revision>13</cp:revision>
  <dcterms:created xsi:type="dcterms:W3CDTF">2021-04-13T12:05:00Z</dcterms:created>
  <dcterms:modified xsi:type="dcterms:W3CDTF">2021-04-13T21:18:00Z</dcterms:modified>
</cp:coreProperties>
</file>