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738" w:rsidRDefault="00B13D09">
      <w:r>
        <w:t xml:space="preserve">Huber’s theory of </w:t>
      </w:r>
      <w:proofErr w:type="spellStart"/>
      <w:r>
        <w:t>adic</w:t>
      </w:r>
      <w:proofErr w:type="spellEnd"/>
      <w:r>
        <w:t xml:space="preserve"> spaces is one of many possible models for rigid</w:t>
      </w:r>
      <w:r w:rsidR="006943AB">
        <w:t xml:space="preserve"> </w:t>
      </w:r>
      <w:r>
        <w:t xml:space="preserve">analytic geometry, and the model that </w:t>
      </w:r>
      <w:proofErr w:type="spellStart"/>
      <w:r>
        <w:t>Scholze</w:t>
      </w:r>
      <w:proofErr w:type="spellEnd"/>
      <w:r>
        <w:t xml:space="preserve"> </w:t>
      </w:r>
      <w:r w:rsidR="00187FBE">
        <w:t xml:space="preserve">often </w:t>
      </w:r>
      <w:r>
        <w:t xml:space="preserve">chooses to adopt. This model seeks to mimic general scheme theory, and has many of the same advantages and disadvantages of that theory. </w:t>
      </w:r>
      <w:r w:rsidR="006943AB">
        <w:t>Here are some other models.</w:t>
      </w:r>
    </w:p>
    <w:p w:rsidR="006943AB" w:rsidRDefault="006943AB" w:rsidP="006943AB">
      <w:pPr>
        <w:pStyle w:val="ListParagraph"/>
        <w:numPr>
          <w:ilvl w:val="0"/>
          <w:numId w:val="1"/>
        </w:numPr>
      </w:pPr>
      <w:r>
        <w:t>Tate’s theory of rigid analytic varieties – mimics classical theory of varieties over algebraically closed fields</w:t>
      </w:r>
    </w:p>
    <w:p w:rsidR="006943AB" w:rsidRDefault="006943AB" w:rsidP="006943AB">
      <w:pPr>
        <w:pStyle w:val="ListParagraph"/>
        <w:numPr>
          <w:ilvl w:val="0"/>
          <w:numId w:val="1"/>
        </w:numPr>
      </w:pPr>
      <w:proofErr w:type="spellStart"/>
      <w:r>
        <w:t>Berkovich’s</w:t>
      </w:r>
      <w:proofErr w:type="spellEnd"/>
      <w:r>
        <w:t xml:space="preserve"> theory of </w:t>
      </w:r>
      <w:proofErr w:type="spellStart"/>
      <w:r>
        <w:t>Berkovich</w:t>
      </w:r>
      <w:proofErr w:type="spellEnd"/>
      <w:r>
        <w:t xml:space="preserve"> analytic spaces – intermediate between Tate’s and Huber’s theories</w:t>
      </w:r>
    </w:p>
    <w:p w:rsidR="006943AB" w:rsidRDefault="006943AB" w:rsidP="006943AB">
      <w:pPr>
        <w:pStyle w:val="ListParagraph"/>
        <w:numPr>
          <w:ilvl w:val="0"/>
          <w:numId w:val="1"/>
        </w:numPr>
      </w:pPr>
      <w:r>
        <w:t>Raynaud’s theory of birational geometry of formal schemes – makes precise the notion that rigid analytic varieties over \</w:t>
      </w:r>
      <w:proofErr w:type="spellStart"/>
      <w:r>
        <w:t>Q_p</w:t>
      </w:r>
      <w:proofErr w:type="spellEnd"/>
      <w:r>
        <w:t xml:space="preserve"> are “generic fibers” of formal schemes over \</w:t>
      </w:r>
      <w:proofErr w:type="spellStart"/>
      <w:r>
        <w:t>Z_p</w:t>
      </w:r>
      <w:proofErr w:type="spellEnd"/>
    </w:p>
    <w:p w:rsidR="006943AB" w:rsidRDefault="006943AB" w:rsidP="006943AB">
      <w:pPr>
        <w:pStyle w:val="ListParagraph"/>
        <w:numPr>
          <w:ilvl w:val="0"/>
          <w:numId w:val="1"/>
        </w:numPr>
      </w:pPr>
      <w:r>
        <w:t>Fujiwara-Kato theory – Generalizes Raynaud’s theory by constructing analogue of so-called “Zariski-Riemann space” of a formal scheme</w:t>
      </w:r>
    </w:p>
    <w:p w:rsidR="00187FBE" w:rsidRDefault="00187FBE" w:rsidP="00187FBE">
      <w:r>
        <w:t>Sources:</w:t>
      </w:r>
    </w:p>
    <w:p w:rsidR="00187FBE" w:rsidRDefault="00187FBE" w:rsidP="00187FBE">
      <w:pPr>
        <w:pStyle w:val="ListParagraph"/>
        <w:numPr>
          <w:ilvl w:val="0"/>
          <w:numId w:val="2"/>
        </w:numPr>
      </w:pPr>
      <w:r>
        <w:t xml:space="preserve">Bhatt, Morrow, and </w:t>
      </w:r>
      <w:proofErr w:type="spellStart"/>
      <w:r>
        <w:t>Scholze</w:t>
      </w:r>
      <w:proofErr w:type="spellEnd"/>
      <w:r>
        <w:t xml:space="preserve">, </w:t>
      </w:r>
      <w:r>
        <w:rPr>
          <w:i/>
        </w:rPr>
        <w:t>Integral p-</w:t>
      </w:r>
      <w:proofErr w:type="spellStart"/>
      <w:r>
        <w:rPr>
          <w:i/>
        </w:rPr>
        <w:t>adic</w:t>
      </w:r>
      <w:proofErr w:type="spellEnd"/>
      <w:r>
        <w:rPr>
          <w:i/>
        </w:rPr>
        <w:t xml:space="preserve"> Hodge Theory</w:t>
      </w:r>
    </w:p>
    <w:p w:rsidR="00187FBE" w:rsidRDefault="00187FBE" w:rsidP="00187FBE">
      <w:pPr>
        <w:pStyle w:val="ListParagraph"/>
        <w:numPr>
          <w:ilvl w:val="0"/>
          <w:numId w:val="2"/>
        </w:numPr>
      </w:pPr>
      <w:proofErr w:type="spellStart"/>
      <w:r>
        <w:t>Scholze</w:t>
      </w:r>
      <w:proofErr w:type="spellEnd"/>
      <w:r>
        <w:t xml:space="preserve">, </w:t>
      </w:r>
      <w:r>
        <w:rPr>
          <w:i/>
        </w:rPr>
        <w:t>p-</w:t>
      </w:r>
      <w:proofErr w:type="spellStart"/>
      <w:r>
        <w:rPr>
          <w:i/>
        </w:rPr>
        <w:t>adic</w:t>
      </w:r>
      <w:proofErr w:type="spellEnd"/>
      <w:r>
        <w:rPr>
          <w:i/>
        </w:rPr>
        <w:t xml:space="preserve"> Hodge Theory for Rigid Analytic Varieties</w:t>
      </w:r>
    </w:p>
    <w:p w:rsidR="00187FBE" w:rsidRPr="00AC56A2" w:rsidRDefault="00187FBE" w:rsidP="00187FBE">
      <w:pPr>
        <w:pStyle w:val="ListParagraph"/>
        <w:numPr>
          <w:ilvl w:val="0"/>
          <w:numId w:val="2"/>
        </w:numPr>
      </w:pPr>
      <w:proofErr w:type="spellStart"/>
      <w:r>
        <w:t>Scholze</w:t>
      </w:r>
      <w:proofErr w:type="spellEnd"/>
      <w:r>
        <w:t xml:space="preserve">, </w:t>
      </w:r>
      <w:proofErr w:type="spellStart"/>
      <w:r>
        <w:rPr>
          <w:i/>
        </w:rPr>
        <w:t>Perfectoid</w:t>
      </w:r>
      <w:proofErr w:type="spellEnd"/>
      <w:r>
        <w:rPr>
          <w:i/>
        </w:rPr>
        <w:t xml:space="preserve"> Spaces</w:t>
      </w:r>
    </w:p>
    <w:p w:rsidR="00AC56A2" w:rsidRDefault="00AC56A2" w:rsidP="00187FBE">
      <w:pPr>
        <w:pStyle w:val="ListParagraph"/>
        <w:numPr>
          <w:ilvl w:val="0"/>
          <w:numId w:val="2"/>
        </w:numPr>
      </w:pPr>
      <w:proofErr w:type="spellStart"/>
      <w:r>
        <w:t>Youcis</w:t>
      </w:r>
      <w:proofErr w:type="spellEnd"/>
      <w:r>
        <w:t>, “A Taster of Rigid Geometry (Pt I: The Tate Perspective)” [blog post]</w:t>
      </w:r>
    </w:p>
    <w:p w:rsidR="00AC56A2" w:rsidRDefault="003917B6" w:rsidP="00AC56A2">
      <w:r>
        <w:t>Here’s the initial setup.</w:t>
      </w:r>
    </w:p>
    <w:p w:rsidR="003917B6" w:rsidRDefault="003917B6" w:rsidP="00AC56A2">
      <w:r>
        <w:rPr>
          <w:noProof/>
        </w:rPr>
        <w:drawing>
          <wp:inline distT="0" distB="0" distL="0" distR="0" wp14:anchorId="0CB27F48" wp14:editId="5D507632">
            <wp:extent cx="5943600" cy="2564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64765"/>
                    </a:xfrm>
                    <a:prstGeom prst="rect">
                      <a:avLst/>
                    </a:prstGeom>
                  </pic:spPr>
                </pic:pic>
              </a:graphicData>
            </a:graphic>
          </wp:inline>
        </w:drawing>
      </w:r>
    </w:p>
    <w:p w:rsidR="003917B6" w:rsidRDefault="00D22B77" w:rsidP="00AC56A2">
      <w:r>
        <w:t>Note that the ideal (\zeta_p-1) is independent of the choice of \</w:t>
      </w:r>
      <w:proofErr w:type="spellStart"/>
      <w:r>
        <w:t>zeta_p</w:t>
      </w:r>
      <w:proofErr w:type="spellEnd"/>
      <w:r>
        <w:t xml:space="preserve">. Our ultimate goal is to study the </w:t>
      </w:r>
      <w:proofErr w:type="spellStart"/>
      <w:r>
        <w:t>cohomology</w:t>
      </w:r>
      <w:proofErr w:type="spellEnd"/>
      <w:r>
        <w:t xml:space="preserve"> groups of this complex and identify them with differential forms on \</w:t>
      </w:r>
      <w:proofErr w:type="spellStart"/>
      <w:r>
        <w:t>mathfrak</w:t>
      </w:r>
      <w:proofErr w:type="spellEnd"/>
      <w:r>
        <w:t xml:space="preserve">{X}. </w:t>
      </w:r>
      <w:r w:rsidR="003917B6">
        <w:t>In order to understand what this complex looks like, we first need to understand all of the ingredients. At this point we’ve already spent some time studying decalage. The advantage of this tool is that it will allow us to convert almost results into genuine results (</w:t>
      </w:r>
      <w:r w:rsidR="00011167">
        <w:t>almost in the sense of almost mathematics</w:t>
      </w:r>
      <w:r w:rsidR="003917B6">
        <w:t xml:space="preserve">). </w:t>
      </w:r>
      <w:r>
        <w:t>Here are the things we still need to understand.</w:t>
      </w:r>
    </w:p>
    <w:p w:rsidR="00D22B77" w:rsidRDefault="00D22B77" w:rsidP="00D22B77">
      <w:pPr>
        <w:pStyle w:val="ListParagraph"/>
        <w:numPr>
          <w:ilvl w:val="0"/>
          <w:numId w:val="3"/>
        </w:numPr>
      </w:pPr>
      <w:r>
        <w:t>Formal schemes</w:t>
      </w:r>
    </w:p>
    <w:p w:rsidR="00D22B77" w:rsidRDefault="00D22B77" w:rsidP="00D22B77">
      <w:pPr>
        <w:pStyle w:val="ListParagraph"/>
        <w:numPr>
          <w:ilvl w:val="0"/>
          <w:numId w:val="3"/>
        </w:numPr>
      </w:pPr>
      <w:proofErr w:type="spellStart"/>
      <w:r>
        <w:t>Adic</w:t>
      </w:r>
      <w:proofErr w:type="spellEnd"/>
      <w:r>
        <w:t xml:space="preserve"> spaces</w:t>
      </w:r>
    </w:p>
    <w:p w:rsidR="003875F4" w:rsidRDefault="003875F4" w:rsidP="00D22B77">
      <w:pPr>
        <w:pStyle w:val="ListParagraph"/>
        <w:numPr>
          <w:ilvl w:val="0"/>
          <w:numId w:val="3"/>
        </w:numPr>
      </w:pPr>
      <w:r>
        <w:t>The pro-</w:t>
      </w:r>
      <w:proofErr w:type="spellStart"/>
      <w:r>
        <w:t>etale</w:t>
      </w:r>
      <w:proofErr w:type="spellEnd"/>
      <w:r>
        <w:t xml:space="preserve"> site associated to X</w:t>
      </w:r>
    </w:p>
    <w:p w:rsidR="00D22B77" w:rsidRDefault="00D22B77" w:rsidP="00D22B77">
      <w:pPr>
        <w:pStyle w:val="ListParagraph"/>
        <w:numPr>
          <w:ilvl w:val="0"/>
          <w:numId w:val="3"/>
        </w:numPr>
      </w:pPr>
      <w:r>
        <w:lastRenderedPageBreak/>
        <w:t>The projection \nu</w:t>
      </w:r>
    </w:p>
    <w:p w:rsidR="00D22B77" w:rsidRDefault="00D22B77" w:rsidP="00D22B77">
      <w:pPr>
        <w:pStyle w:val="ListParagraph"/>
        <w:numPr>
          <w:ilvl w:val="0"/>
          <w:numId w:val="3"/>
        </w:numPr>
      </w:pPr>
      <w:r>
        <w:t>The sheaf \w{\</w:t>
      </w:r>
      <w:proofErr w:type="gramStart"/>
      <w:r>
        <w:t>O}_</w:t>
      </w:r>
      <w:proofErr w:type="gramEnd"/>
      <w:r>
        <w:t>X^+</w:t>
      </w:r>
    </w:p>
    <w:p w:rsidR="00D10091" w:rsidRDefault="00D22B77" w:rsidP="00D22B77">
      <w:r>
        <w:t xml:space="preserve">For now, we will put off discussion of formal schemes. Suffice it to say that they capture important infinitesimal data often not present with </w:t>
      </w:r>
      <w:r w:rsidR="003D3FE1">
        <w:t>ordinary</w:t>
      </w:r>
      <w:r>
        <w:t xml:space="preserve"> schemes. </w:t>
      </w:r>
    </w:p>
    <w:p w:rsidR="003875F4" w:rsidRPr="003875F4" w:rsidRDefault="003875F4" w:rsidP="00D22B77">
      <w:pPr>
        <w:rPr>
          <w:b/>
          <w:sz w:val="32"/>
          <w:szCs w:val="32"/>
        </w:rPr>
      </w:pPr>
      <w:proofErr w:type="spellStart"/>
      <w:r w:rsidRPr="003875F4">
        <w:rPr>
          <w:b/>
          <w:sz w:val="32"/>
          <w:szCs w:val="32"/>
        </w:rPr>
        <w:t>Adic</w:t>
      </w:r>
      <w:proofErr w:type="spellEnd"/>
      <w:r w:rsidRPr="003875F4">
        <w:rPr>
          <w:b/>
          <w:sz w:val="32"/>
          <w:szCs w:val="32"/>
        </w:rPr>
        <w:t xml:space="preserve"> Spaces</w:t>
      </w:r>
    </w:p>
    <w:p w:rsidR="00D22B77" w:rsidRDefault="00D22B77" w:rsidP="00D22B77">
      <w:r>
        <w:t xml:space="preserve">Let’s now think about </w:t>
      </w:r>
      <w:proofErr w:type="spellStart"/>
      <w:r>
        <w:t>adic</w:t>
      </w:r>
      <w:proofErr w:type="spellEnd"/>
      <w:r>
        <w:t xml:space="preserve"> spaces. One of the motivations is that we would like to cut out open subsets in a nonarchimedean setting using inequalities and analytic functions, much as we would in an </w:t>
      </w:r>
      <w:proofErr w:type="spellStart"/>
      <w:r>
        <w:t>archimedean</w:t>
      </w:r>
      <w:proofErr w:type="spellEnd"/>
      <w:r>
        <w:t xml:space="preserve"> setting. Letting B_{\</w:t>
      </w:r>
      <w:proofErr w:type="spellStart"/>
      <w:r>
        <w:t>C_p</w:t>
      </w:r>
      <w:proofErr w:type="spellEnd"/>
      <w:r>
        <w:t>} be the closed unit disc (don’t worry about a precise definition), B_{\</w:t>
      </w:r>
      <w:proofErr w:type="spellStart"/>
      <w:r>
        <w:t>C_p</w:t>
      </w:r>
      <w:proofErr w:type="spellEnd"/>
      <w:r>
        <w:t xml:space="preserve">} should be connected and quasicompact, and the global sections of its structure sheaf should </w:t>
      </w:r>
      <w:r w:rsidR="00D10091">
        <w:t>consist of something like convergent power series. Doing things naively turns out not to meet these conditions.</w:t>
      </w:r>
    </w:p>
    <w:p w:rsidR="00187FBE" w:rsidRDefault="0076108E" w:rsidP="00187FBE">
      <w:r>
        <w:rPr>
          <w:noProof/>
        </w:rPr>
        <w:drawing>
          <wp:inline distT="0" distB="0" distL="0" distR="0" wp14:anchorId="085ED060" wp14:editId="2FE0BCB9">
            <wp:extent cx="5943600" cy="544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4195"/>
                    </a:xfrm>
                    <a:prstGeom prst="rect">
                      <a:avLst/>
                    </a:prstGeom>
                  </pic:spPr>
                </pic:pic>
              </a:graphicData>
            </a:graphic>
          </wp:inline>
        </w:drawing>
      </w:r>
    </w:p>
    <w:p w:rsidR="0076108E" w:rsidRDefault="0076108E" w:rsidP="00187FBE">
      <w:r>
        <w:rPr>
          <w:noProof/>
        </w:rPr>
        <w:drawing>
          <wp:inline distT="0" distB="0" distL="0" distR="0" wp14:anchorId="291A3C7A" wp14:editId="0668FC58">
            <wp:extent cx="5943600" cy="59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5630"/>
                    </a:xfrm>
                    <a:prstGeom prst="rect">
                      <a:avLst/>
                    </a:prstGeom>
                  </pic:spPr>
                </pic:pic>
              </a:graphicData>
            </a:graphic>
          </wp:inline>
        </w:drawing>
      </w:r>
    </w:p>
    <w:p w:rsidR="00A556FE" w:rsidRDefault="00A556FE" w:rsidP="00187FBE">
      <w:r>
        <w:t xml:space="preserve">These valuations give rise to a generalized notion of point, calling back to the work of Weil and his predecessors in algebraic geometry. Given a field k, the following captures the notion of an </w:t>
      </w:r>
      <w:proofErr w:type="spellStart"/>
      <w:r>
        <w:t>affinoid</w:t>
      </w:r>
      <w:proofErr w:type="spellEnd"/>
      <w:r>
        <w:t xml:space="preserve"> k-algebra.</w:t>
      </w:r>
    </w:p>
    <w:p w:rsidR="00A556FE" w:rsidRDefault="00A556FE" w:rsidP="00187FBE">
      <w:r>
        <w:rPr>
          <w:noProof/>
        </w:rPr>
        <w:drawing>
          <wp:inline distT="0" distB="0" distL="0" distR="0" wp14:anchorId="79F91FFF" wp14:editId="3EAE2722">
            <wp:extent cx="5943600" cy="2760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0980"/>
                    </a:xfrm>
                    <a:prstGeom prst="rect">
                      <a:avLst/>
                    </a:prstGeom>
                  </pic:spPr>
                </pic:pic>
              </a:graphicData>
            </a:graphic>
          </wp:inline>
        </w:drawing>
      </w:r>
    </w:p>
    <w:p w:rsidR="00A556FE" w:rsidRDefault="001F7BDD" w:rsidP="00187FBE">
      <w:r>
        <w:t xml:space="preserve">Let’s elaborate on the last point. </w:t>
      </w:r>
    </w:p>
    <w:p w:rsidR="004510B2" w:rsidRDefault="004510B2" w:rsidP="00187FBE">
      <w:r>
        <w:rPr>
          <w:noProof/>
        </w:rPr>
        <w:lastRenderedPageBreak/>
        <w:drawing>
          <wp:inline distT="0" distB="0" distL="0" distR="0" wp14:anchorId="2FA6C480" wp14:editId="01A80420">
            <wp:extent cx="5943600" cy="1291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1590"/>
                    </a:xfrm>
                    <a:prstGeom prst="rect">
                      <a:avLst/>
                    </a:prstGeom>
                  </pic:spPr>
                </pic:pic>
              </a:graphicData>
            </a:graphic>
          </wp:inline>
        </w:drawing>
      </w:r>
    </w:p>
    <w:p w:rsidR="004510B2" w:rsidRDefault="004510B2" w:rsidP="00187FBE">
      <w:r>
        <w:t xml:space="preserve">As mentioned a while ago, the space </w:t>
      </w:r>
      <w:r w:rsidR="00B25AD9">
        <w:t>X=</w:t>
      </w:r>
      <w:r>
        <w:t>\Spa(</w:t>
      </w:r>
      <w:proofErr w:type="gramStart"/>
      <w:r>
        <w:t>R,R</w:t>
      </w:r>
      <w:proofErr w:type="gramEnd"/>
      <w:r>
        <w:t xml:space="preserve">^+) equipped with this topology is spectral (i.e., homeomorphic to the \Spec of a ring equipped with the Zariski topology). Perhaps more relevant for us, though, is the fact that the rational subsets form a base of qc open subsets stable under </w:t>
      </w:r>
      <w:r w:rsidR="00B25AD9">
        <w:t xml:space="preserve">finite intersections. Moreover, every irreducible closed subset has a unique generic point. The space X itself is </w:t>
      </w:r>
      <w:proofErr w:type="spellStart"/>
      <w:r w:rsidR="00B25AD9">
        <w:t>qcqs</w:t>
      </w:r>
      <w:proofErr w:type="spellEnd"/>
      <w:r w:rsidR="001957EE">
        <w:t xml:space="preserve"> (recall </w:t>
      </w:r>
      <w:proofErr w:type="spellStart"/>
      <w:r w:rsidR="001957EE">
        <w:t>qs</w:t>
      </w:r>
      <w:proofErr w:type="spellEnd"/>
      <w:r w:rsidR="001957EE">
        <w:t xml:space="preserve"> = </w:t>
      </w:r>
      <w:proofErr w:type="spellStart"/>
      <w:r w:rsidR="001957EE">
        <w:t>quasiseparated</w:t>
      </w:r>
      <w:proofErr w:type="spellEnd"/>
      <w:r w:rsidR="001957EE">
        <w:t xml:space="preserve"> = intersection of any two qc opens is qc)</w:t>
      </w:r>
      <w:r w:rsidR="00B25AD9">
        <w:t>.</w:t>
      </w:r>
      <w:r w:rsidR="008A4421">
        <w:t xml:space="preserve"> How do we define its structure sheaf?</w:t>
      </w:r>
    </w:p>
    <w:p w:rsidR="008A4421" w:rsidRDefault="008A4421" w:rsidP="00187FBE">
      <w:r>
        <w:rPr>
          <w:noProof/>
        </w:rPr>
        <w:drawing>
          <wp:inline distT="0" distB="0" distL="0" distR="0" wp14:anchorId="52BE173C" wp14:editId="462EE922">
            <wp:extent cx="5943600" cy="2146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46935"/>
                    </a:xfrm>
                    <a:prstGeom prst="rect">
                      <a:avLst/>
                    </a:prstGeom>
                  </pic:spPr>
                </pic:pic>
              </a:graphicData>
            </a:graphic>
          </wp:inline>
        </w:drawing>
      </w:r>
    </w:p>
    <w:p w:rsidR="008A4421" w:rsidRDefault="008A4421" w:rsidP="00187FBE">
      <w:r>
        <w:rPr>
          <w:noProof/>
        </w:rPr>
        <w:drawing>
          <wp:inline distT="0" distB="0" distL="0" distR="0" wp14:anchorId="01EA0D7B" wp14:editId="1EA4205F">
            <wp:extent cx="5943600" cy="1419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9860"/>
                    </a:xfrm>
                    <a:prstGeom prst="rect">
                      <a:avLst/>
                    </a:prstGeom>
                  </pic:spPr>
                </pic:pic>
              </a:graphicData>
            </a:graphic>
          </wp:inline>
        </w:drawing>
      </w:r>
    </w:p>
    <w:p w:rsidR="008A4421" w:rsidRDefault="008A4421" w:rsidP="00187FBE">
      <w:r>
        <w:rPr>
          <w:noProof/>
        </w:rPr>
        <w:lastRenderedPageBreak/>
        <w:drawing>
          <wp:inline distT="0" distB="0" distL="0" distR="0" wp14:anchorId="490B1DB3" wp14:editId="19D3333E">
            <wp:extent cx="5943600" cy="2626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6360"/>
                    </a:xfrm>
                    <a:prstGeom prst="rect">
                      <a:avLst/>
                    </a:prstGeom>
                  </pic:spPr>
                </pic:pic>
              </a:graphicData>
            </a:graphic>
          </wp:inline>
        </w:drawing>
      </w:r>
    </w:p>
    <w:p w:rsidR="008A4421" w:rsidRDefault="008A4421" w:rsidP="00187FBE">
      <w:r>
        <w:t>This gives \O_X and \O_X^+ as presheaves. Unfortunately, \O_X is probably not a sheaf in general (maybe this is known; I’m not sure). What is true is that \O_X^+ is a sheaf if \O_X is a sheaf. The following gives some of the geometric perspective we initially wanted.</w:t>
      </w:r>
    </w:p>
    <w:p w:rsidR="008A4421" w:rsidRDefault="008A4421" w:rsidP="00187FBE">
      <w:r>
        <w:rPr>
          <w:noProof/>
        </w:rPr>
        <w:drawing>
          <wp:inline distT="0" distB="0" distL="0" distR="0" wp14:anchorId="5571D3FE" wp14:editId="6681283A">
            <wp:extent cx="5943600" cy="1974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4850"/>
                    </a:xfrm>
                    <a:prstGeom prst="rect">
                      <a:avLst/>
                    </a:prstGeom>
                  </pic:spPr>
                </pic:pic>
              </a:graphicData>
            </a:graphic>
          </wp:inline>
        </w:drawing>
      </w:r>
    </w:p>
    <w:p w:rsidR="001957EE" w:rsidRDefault="000353D0" w:rsidP="00187FBE">
      <w:r>
        <w:t xml:space="preserve">What conditions do we need to ensure that \O_X is a sheaf? </w:t>
      </w:r>
      <w:r w:rsidR="00F92315">
        <w:t>One is to assume X is strongly Noetherian.</w:t>
      </w:r>
    </w:p>
    <w:p w:rsidR="00F92315" w:rsidRDefault="00F92315" w:rsidP="00187FBE">
      <w:r>
        <w:rPr>
          <w:noProof/>
        </w:rPr>
        <w:drawing>
          <wp:inline distT="0" distB="0" distL="0" distR="0" wp14:anchorId="51D3EC37" wp14:editId="50D86345">
            <wp:extent cx="5943600" cy="1113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3155"/>
                    </a:xfrm>
                    <a:prstGeom prst="rect">
                      <a:avLst/>
                    </a:prstGeom>
                  </pic:spPr>
                </pic:pic>
              </a:graphicData>
            </a:graphic>
          </wp:inline>
        </w:drawing>
      </w:r>
    </w:p>
    <w:p w:rsidR="00F92315" w:rsidRDefault="00F92315" w:rsidP="00187FBE">
      <w:r>
        <w:rPr>
          <w:noProof/>
        </w:rPr>
        <w:lastRenderedPageBreak/>
        <w:drawing>
          <wp:inline distT="0" distB="0" distL="0" distR="0" wp14:anchorId="1205EF69" wp14:editId="6021F6F4">
            <wp:extent cx="5943600" cy="1424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24940"/>
                    </a:xfrm>
                    <a:prstGeom prst="rect">
                      <a:avLst/>
                    </a:prstGeom>
                  </pic:spPr>
                </pic:pic>
              </a:graphicData>
            </a:graphic>
          </wp:inline>
        </w:drawing>
      </w:r>
    </w:p>
    <w:p w:rsidR="00F92315" w:rsidRDefault="00F92315" w:rsidP="00187FBE">
      <w:r>
        <w:t xml:space="preserve">For us, what matters most if the following key theorem (for K a </w:t>
      </w:r>
      <w:proofErr w:type="spellStart"/>
      <w:r>
        <w:t>perfectoid</w:t>
      </w:r>
      <w:proofErr w:type="spellEnd"/>
      <w:r>
        <w:t xml:space="preserve"> field with \m=K^{\circ\circ}).</w:t>
      </w:r>
    </w:p>
    <w:p w:rsidR="000353D0" w:rsidRDefault="000353D0" w:rsidP="00187FBE">
      <w:r>
        <w:rPr>
          <w:noProof/>
        </w:rPr>
        <w:drawing>
          <wp:inline distT="0" distB="0" distL="0" distR="0" wp14:anchorId="3DBE5A23" wp14:editId="4B26723C">
            <wp:extent cx="5943600" cy="1940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40560"/>
                    </a:xfrm>
                    <a:prstGeom prst="rect">
                      <a:avLst/>
                    </a:prstGeom>
                  </pic:spPr>
                </pic:pic>
              </a:graphicData>
            </a:graphic>
          </wp:inline>
        </w:drawing>
      </w:r>
    </w:p>
    <w:p w:rsidR="00F92315" w:rsidRDefault="00657E6F" w:rsidP="00187FBE">
      <w:r>
        <w:t xml:space="preserve">Just as for schemes, now that we have our analogue of affine schemes we can define general </w:t>
      </w:r>
      <w:proofErr w:type="spellStart"/>
      <w:r>
        <w:t>adic</w:t>
      </w:r>
      <w:proofErr w:type="spellEnd"/>
      <w:r>
        <w:t xml:space="preserve"> spaces.</w:t>
      </w:r>
    </w:p>
    <w:p w:rsidR="00657E6F" w:rsidRDefault="00657E6F" w:rsidP="00187FBE">
      <w:r>
        <w:rPr>
          <w:noProof/>
        </w:rPr>
        <w:drawing>
          <wp:inline distT="0" distB="0" distL="0" distR="0" wp14:anchorId="22F1F00A" wp14:editId="67341B4F">
            <wp:extent cx="5943600" cy="162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6870"/>
                    </a:xfrm>
                    <a:prstGeom prst="rect">
                      <a:avLst/>
                    </a:prstGeom>
                  </pic:spPr>
                </pic:pic>
              </a:graphicData>
            </a:graphic>
          </wp:inline>
        </w:drawing>
      </w:r>
    </w:p>
    <w:p w:rsidR="007E25ED" w:rsidRDefault="00657E6F" w:rsidP="00187FBE">
      <w:r>
        <w:rPr>
          <w:noProof/>
        </w:rPr>
        <w:drawing>
          <wp:inline distT="0" distB="0" distL="0" distR="0" wp14:anchorId="259936C1" wp14:editId="5362595B">
            <wp:extent cx="5943600" cy="200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9775"/>
                    </a:xfrm>
                    <a:prstGeom prst="rect">
                      <a:avLst/>
                    </a:prstGeom>
                  </pic:spPr>
                </pic:pic>
              </a:graphicData>
            </a:graphic>
          </wp:inline>
        </w:drawing>
      </w:r>
    </w:p>
    <w:p w:rsidR="00657E6F" w:rsidRDefault="00095BD7" w:rsidP="00187FBE">
      <w:r>
        <w:lastRenderedPageBreak/>
        <w:t xml:space="preserve">One of the simplest examples of an </w:t>
      </w:r>
      <w:proofErr w:type="spellStart"/>
      <w:r>
        <w:t>affinoid</w:t>
      </w:r>
      <w:proofErr w:type="spellEnd"/>
      <w:r>
        <w:t xml:space="preserve"> </w:t>
      </w:r>
      <w:proofErr w:type="spellStart"/>
      <w:r>
        <w:t>adic</w:t>
      </w:r>
      <w:proofErr w:type="spellEnd"/>
      <w:r>
        <w:t xml:space="preserve"> space is the </w:t>
      </w:r>
      <w:proofErr w:type="spellStart"/>
      <w:r w:rsidR="004212AB">
        <w:t>affinoid</w:t>
      </w:r>
      <w:proofErr w:type="spellEnd"/>
      <w:r w:rsidR="004212AB">
        <w:t xml:space="preserve"> </w:t>
      </w:r>
      <w:proofErr w:type="spellStart"/>
      <w:r w:rsidR="004212AB">
        <w:t>adic</w:t>
      </w:r>
      <w:proofErr w:type="spellEnd"/>
      <w:r w:rsidR="004212AB">
        <w:t xml:space="preserve"> space \Spa(\</w:t>
      </w:r>
      <w:proofErr w:type="spellStart"/>
      <w:r w:rsidR="004212AB">
        <w:t>Q_</w:t>
      </w:r>
      <w:proofErr w:type="gramStart"/>
      <w:r w:rsidR="004212AB">
        <w:t>p</w:t>
      </w:r>
      <w:proofErr w:type="spellEnd"/>
      <w:r w:rsidR="004212AB">
        <w:t>,\</w:t>
      </w:r>
      <w:proofErr w:type="spellStart"/>
      <w:proofErr w:type="gramEnd"/>
      <w:r w:rsidR="004212AB">
        <w:t>Z_p</w:t>
      </w:r>
      <w:proofErr w:type="spellEnd"/>
      <w:r w:rsidR="004212AB">
        <w:t>) over \</w:t>
      </w:r>
      <w:proofErr w:type="spellStart"/>
      <w:r w:rsidR="004212AB">
        <w:t>Q_p</w:t>
      </w:r>
      <w:proofErr w:type="spellEnd"/>
      <w:r w:rsidR="004212AB">
        <w:t xml:space="preserve">. </w:t>
      </w:r>
      <w:r w:rsidR="00627A34">
        <w:t xml:space="preserve">I’d like to say more about what the </w:t>
      </w:r>
      <w:r w:rsidR="003875F4">
        <w:t>points and open subsets of this space look like.</w:t>
      </w:r>
      <w:r w:rsidR="00293E1B">
        <w:t xml:space="preserve"> This space captures mixed characteristic (</w:t>
      </w:r>
      <w:proofErr w:type="gramStart"/>
      <w:r w:rsidR="00293E1B">
        <w:t>0,p</w:t>
      </w:r>
      <w:proofErr w:type="gramEnd"/>
      <w:r w:rsidR="00293E1B">
        <w:t>).</w:t>
      </w:r>
    </w:p>
    <w:p w:rsidR="00E611E3" w:rsidRPr="003875F4" w:rsidRDefault="007E25ED" w:rsidP="00187FBE">
      <w:r>
        <w:t xml:space="preserve">We obtain </w:t>
      </w:r>
      <w:proofErr w:type="spellStart"/>
      <w:r>
        <w:t>perfectoid</w:t>
      </w:r>
      <w:proofErr w:type="spellEnd"/>
      <w:r>
        <w:t xml:space="preserve"> spaces as a full subcategory by gluing up </w:t>
      </w:r>
      <w:proofErr w:type="spellStart"/>
      <w:r>
        <w:t>affinoid</w:t>
      </w:r>
      <w:proofErr w:type="spellEnd"/>
      <w:r>
        <w:t xml:space="preserve"> </w:t>
      </w:r>
      <w:proofErr w:type="spellStart"/>
      <w:r>
        <w:t>perfectoid</w:t>
      </w:r>
      <w:proofErr w:type="spellEnd"/>
      <w:r>
        <w:t xml:space="preserve"> spaces, </w:t>
      </w:r>
      <w:r w:rsidR="003D3FE1">
        <w:t xml:space="preserve">which are </w:t>
      </w:r>
      <w:proofErr w:type="spellStart"/>
      <w:r w:rsidR="003D3FE1">
        <w:t>affinoid</w:t>
      </w:r>
      <w:proofErr w:type="spellEnd"/>
      <w:r w:rsidR="003D3FE1">
        <w:t xml:space="preserve"> </w:t>
      </w:r>
      <w:proofErr w:type="spellStart"/>
      <w:r w:rsidR="003D3FE1">
        <w:t>adic</w:t>
      </w:r>
      <w:proofErr w:type="spellEnd"/>
      <w:r w:rsidR="003D3FE1">
        <w:t xml:space="preserve"> spaces given by </w:t>
      </w:r>
      <w:proofErr w:type="spellStart"/>
      <w:r w:rsidR="003D3FE1">
        <w:t>perfectoid</w:t>
      </w:r>
      <w:proofErr w:type="spellEnd"/>
      <w:r w:rsidR="003D3FE1">
        <w:t xml:space="preserve"> algebras. It is not hard to check that tilting glues.</w:t>
      </w:r>
      <w:bookmarkStart w:id="0" w:name="_GoBack"/>
      <w:bookmarkEnd w:id="0"/>
    </w:p>
    <w:sectPr w:rsidR="00E611E3" w:rsidRPr="00387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46D9A"/>
    <w:multiLevelType w:val="hybridMultilevel"/>
    <w:tmpl w:val="0ADE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4D45AE"/>
    <w:multiLevelType w:val="hybridMultilevel"/>
    <w:tmpl w:val="C056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2E170F"/>
    <w:multiLevelType w:val="hybridMultilevel"/>
    <w:tmpl w:val="896C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09"/>
    <w:rsid w:val="00011167"/>
    <w:rsid w:val="00013738"/>
    <w:rsid w:val="000353D0"/>
    <w:rsid w:val="00054242"/>
    <w:rsid w:val="0006263D"/>
    <w:rsid w:val="00095BD7"/>
    <w:rsid w:val="00187FBE"/>
    <w:rsid w:val="001957EE"/>
    <w:rsid w:val="001F7BDD"/>
    <w:rsid w:val="00293E1B"/>
    <w:rsid w:val="003875F4"/>
    <w:rsid w:val="003917B6"/>
    <w:rsid w:val="00391FBC"/>
    <w:rsid w:val="003D3FE1"/>
    <w:rsid w:val="004212AB"/>
    <w:rsid w:val="004510B2"/>
    <w:rsid w:val="00526F79"/>
    <w:rsid w:val="005E7F78"/>
    <w:rsid w:val="00627A34"/>
    <w:rsid w:val="006411E1"/>
    <w:rsid w:val="00657E6F"/>
    <w:rsid w:val="006943AB"/>
    <w:rsid w:val="0076108E"/>
    <w:rsid w:val="007E25ED"/>
    <w:rsid w:val="00887168"/>
    <w:rsid w:val="008A4421"/>
    <w:rsid w:val="009A461D"/>
    <w:rsid w:val="00A24FCD"/>
    <w:rsid w:val="00A556FE"/>
    <w:rsid w:val="00AC56A2"/>
    <w:rsid w:val="00B13D09"/>
    <w:rsid w:val="00B25AD9"/>
    <w:rsid w:val="00C27B86"/>
    <w:rsid w:val="00D10091"/>
    <w:rsid w:val="00D22B77"/>
    <w:rsid w:val="00E611E3"/>
    <w:rsid w:val="00F152ED"/>
    <w:rsid w:val="00F92315"/>
    <w:rsid w:val="00FE5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8B55"/>
  <w15:chartTrackingRefBased/>
  <w15:docId w15:val="{028C44F9-E969-496C-A9F5-1BCE9F9D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6</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Boston College</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Gardner</dc:creator>
  <cp:keywords/>
  <dc:description/>
  <cp:lastModifiedBy>Zachary Gardner</cp:lastModifiedBy>
  <cp:revision>25</cp:revision>
  <dcterms:created xsi:type="dcterms:W3CDTF">2021-04-06T12:27:00Z</dcterms:created>
  <dcterms:modified xsi:type="dcterms:W3CDTF">2021-04-13T15:01:00Z</dcterms:modified>
</cp:coreProperties>
</file>