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160"/>
        <w:jc w:val="center"/>
      </w:pPr>
      <w:r>
        <w:rPr>
          <w:b/>
          <w:bCs/>
          <w:color w:val="1F3B5B"/>
          <w:sz w:val="40"/>
          <w:szCs w:val="40"/>
        </w:rPr>
        <w:t xml:space="preserve">FLUENCY LAB</w:t>
      </w:r>
    </w:p>
    <w:p>
      <w:pPr>
        <w:spacing w:after="20"/>
        <w:jc w:val="center"/>
      </w:pPr>
      <w:r>
        <w:rPr>
          <w:b/>
          <w:bCs/>
          <w:color w:val="0E7C7B"/>
          <w:sz w:val="24"/>
          <w:szCs w:val="24"/>
        </w:rPr>
        <w:t xml:space="preserve">Module 7 Routine — Ratios &amp; Proportions</w:t>
      </w:r>
    </w:p>
    <w:p>
      <w:pPr>
        <w:pBdr>
          <w:bottom w:val="single" w:color="1F3B5B" w:sz="10" w:space="4"/>
        </w:pBdr>
        <w:spacing w:after="180"/>
        <w:jc w:val="center"/>
      </w:pPr>
      <w:r>
        <w:rPr>
          <w:i/>
          <w:iCs/>
          <w:color w:val="555555"/>
          <w:sz w:val="19"/>
          <w:szCs w:val="19"/>
        </w:rPr>
        <w:t xml:space="preserve">The Daily Practice protocol + adaptive independent practice  •  Teacher reference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Module 7 is proportional reasoning — the heart of grade-level mathematics. The arc is unchanged — </w:t>
      </w:r>
      <w:r>
        <w:rPr>
          <w:b/>
          <w:bCs/>
          <w:color w:val="222222"/>
          <w:sz w:val="22"/>
          <w:szCs w:val="22"/>
        </w:rPr>
        <w:t xml:space="preserve">teacher-led launch → independent adaptive practice → consolidate and log</w:t>
      </w:r>
      <w:r>
        <w:rPr>
          <w:color w:val="222222"/>
          <w:sz w:val="22"/>
          <w:szCs w:val="22"/>
        </w:rPr>
        <w:t xml:space="preserve">. Students reason with ratio tables and unit rates first; cross-multiplication comes with its justification, never as a bare trick.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Daily Practice  (15–20 minutes, every other class)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160"/>
        <w:gridCol w:w="3000"/>
      </w:tblGrid>
      <w:tr>
        <w:trPr>
          <w:cantSplit/>
          <w:tblHeader/>
        </w:trPr>
        <w:tc>
          <w:tcPr>
            <w:tcW w:type="dxa" w:w="12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Teacher</w:t>
            </w:r>
          </w:p>
        </w:tc>
        <w:tc>
          <w:tcPr>
            <w:tcW w:type="dxa" w:w="30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Students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0–5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(I do)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 one worked example — a simplified ratio, a unit rate, or a proportion solved by scaling. Name today’s error to avoid.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Watch; annotate the one example.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5–15 min</w:t>
            </w:r>
          </w:p>
        </w:tc>
        <w:tc>
          <w:tcPr>
            <w:tcW w:type="dxa" w:w="2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Practice (you do)</w:t>
            </w:r>
          </w:p>
        </w:tc>
        <w:tc>
          <w:tcPr>
            <w:tcW w:type="dxa" w:w="31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Circulate. Pull the red-band group for a two-minute huddle.</w:t>
            </w:r>
          </w:p>
        </w:tc>
        <w:tc>
          <w:tcPr>
            <w:tcW w:type="dxa" w:w="30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Independent adaptive practice on the Fluency Lab (Ratios); race personal best.</w:t>
            </w:r>
          </w:p>
        </w:tc>
      </w:tr>
      <w:tr>
        <w:trPr>
          <w:cantSplit/>
          <w:tblHeader w:val="false"/>
        </w:trPr>
        <w:tc>
          <w:tcPr>
            <w:tcW w:type="dxa" w:w="12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15–20 min</w:t>
            </w:r>
          </w:p>
        </w:tc>
        <w:tc>
          <w:tcPr>
            <w:tcW w:type="dxa" w:w="2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Consolidate &amp; log</w:t>
            </w:r>
          </w:p>
        </w:tc>
        <w:tc>
          <w:tcPr>
            <w:tcW w:type="dxa" w:w="31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Collect session results into the tracker; flag re-checks.</w:t>
            </w:r>
          </w:p>
        </w:tc>
        <w:tc>
          <w:tcPr>
            <w:tcW w:type="dxa" w:w="30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Log best streak and level; solve one exit problem.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Weekly Studio Session  (45 minutes)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One longer block to introduce the week’s rung — equivalent ratios, unit rates, or solving proportions — with extended modeling, guided practice, and the weekly fluency check.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Module 7 Skill Ladder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The six levels the Fluency Lab moves students through automatically (three correct in a row to climb, two misses to drop back).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460"/>
        <w:gridCol w:w="2800"/>
      </w:tblGrid>
      <w:tr>
        <w:trPr>
          <w:cantSplit/>
          <w:tblHeader/>
        </w:trPr>
        <w:tc>
          <w:tcPr>
            <w:tcW w:type="dxa" w:w="11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546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Skill</w:t>
            </w:r>
          </w:p>
        </w:tc>
        <w:tc>
          <w:tcPr>
            <w:tcW w:type="dxa" w:w="2800"/>
            <w:shd w:fill="1F3B5B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Simplify a ratio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30 : 24 = 5 : 4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Equivalent ratios (find the missing)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4 : 5 = ? : 20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Unit rate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180 miles in 3 hours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Solve a proportion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?/4 = 12/16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546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Part of a total from a ratio</w:t>
            </w:r>
          </w:p>
        </w:tc>
        <w:tc>
          <w:tcPr>
            <w:tcW w:type="dxa" w:w="2800"/>
            <w:shd w:fill="FFFFFF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split 30 as 4 : 2</w:t>
            </w:r>
          </w:p>
        </w:tc>
      </w:tr>
      <w:tr>
        <w:trPr>
          <w:cantSplit/>
          <w:tblHeader w:val="false"/>
        </w:trPr>
        <w:tc>
          <w:tcPr>
            <w:tcW w:type="dxa" w:w="11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546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Proportion word problems</w:t>
            </w:r>
          </w:p>
        </w:tc>
        <w:tc>
          <w:tcPr>
            <w:tcW w:type="dxa" w:w="2800"/>
            <w:shd w:fill="EEF3F8" w:color="auto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pPr>
              <w:spacing w:after="0" w:line="24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3 items cost $12 …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Teacher Look-Fors  (the common errors)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is a reasoning slip — fix it by going back to “per one.”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Inverting a ratio. </w:t>
      </w:r>
      <w:r>
        <w:rPr>
          <w:color w:val="222222"/>
          <w:sz w:val="22"/>
          <w:szCs w:val="22"/>
        </w:rPr>
        <w:t xml:space="preserve">3 : 2 is not the same as 2 : 3. Fix: keep the order the words give you.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Adding instead of scaling. </w:t>
      </w:r>
      <w:r>
        <w:rPr>
          <w:color w:val="222222"/>
          <w:sz w:val="22"/>
          <w:szCs w:val="22"/>
        </w:rPr>
        <w:t xml:space="preserve">To go from 2 : 3 to ? : 12, multiply (×4), don’t add. Fix: ratios grow by multiplying.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Cross-multiplying with no idea why. </w:t>
      </w:r>
      <w:r>
        <w:rPr>
          <w:color w:val="222222"/>
          <w:sz w:val="22"/>
          <w:szCs w:val="22"/>
        </w:rPr>
        <w:t xml:space="preserve">Fix: find the unit rate or the scale factor first; cross-multiplication is a shortcut for that, not magic.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Forgetting the total has all the shares. </w:t>
      </w:r>
      <w:r>
        <w:rPr>
          <w:color w:val="222222"/>
          <w:sz w:val="22"/>
          <w:szCs w:val="22"/>
        </w:rPr>
        <w:t xml:space="preserve">Fix: add the ratio parts to get the number of shares before splitting.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The Tone Rule  (low-anxiety by design)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Self-referenced only. </w:t>
      </w:r>
      <w:r>
        <w:rPr>
          <w:color w:val="222222"/>
          <w:sz w:val="22"/>
          <w:szCs w:val="22"/>
        </w:rPr>
        <w:t xml:space="preserve">Students race their own best — no leaderboard.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Method over answer. </w:t>
      </w:r>
      <w:r>
        <w:rPr>
          <w:color w:val="222222"/>
          <w:sz w:val="22"/>
          <w:szCs w:val="22"/>
        </w:rPr>
        <w:t xml:space="preserve">Full marks go to the reasoning — a unit rate or scale factor shown, not just an answer.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Misses are taught, not marked. </w:t>
      </w:r>
      <w:r>
        <w:rPr>
          <w:color w:val="222222"/>
          <w:sz w:val="22"/>
          <w:szCs w:val="22"/>
        </w:rPr>
        <w:t xml:space="preserve">Every miss shows the method, never a red X.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  <w:color w:val="222222"/>
          <w:sz w:val="22"/>
          <w:szCs w:val="22"/>
        </w:rPr>
        <w:t xml:space="preserve">Celebrate growth. </w:t>
      </w:r>
      <w:r>
        <w:rPr>
          <w:color w:val="222222"/>
          <w:sz w:val="22"/>
          <w:szCs w:val="22"/>
        </w:rPr>
        <w:t xml:space="preserve">A unit rate found without a formula is exactly the thinking we want — name it.</w:t>
      </w:r>
    </w:p>
    <w:p>
      <w:pPr>
        <w:pStyle w:val="Heading1"/>
        <w:spacing w:after="120" w:before="300"/>
      </w:pPr>
      <w:r>
        <w:rPr>
          <w:b/>
          <w:bCs/>
          <w:color w:val="1F3B5B"/>
          <w:sz w:val="28"/>
          <w:szCs w:val="28"/>
        </w:rPr>
        <w:t xml:space="preserve">What Feeds the Tracker</w:t>
      </w:r>
    </w:p>
    <w:p>
      <w:pPr>
        <w:spacing w:after="130" w:line="276"/>
        <w:jc w:val="both"/>
      </w:pPr>
      <w:r>
        <w:rPr>
          <w:color w:val="222222"/>
          <w:sz w:val="22"/>
          <w:szCs w:val="22"/>
        </w:rPr>
        <w:t xml:space="preserve">Each session yields </w:t>
      </w:r>
      <w:r>
        <w:rPr>
          <w:b/>
          <w:bCs/>
          <w:color w:val="222222"/>
          <w:sz w:val="22"/>
          <w:szCs w:val="22"/>
        </w:rPr>
        <w:t xml:space="preserve">correct out of 10, best streak, and level reached</w:t>
      </w:r>
      <w:r>
        <w:rPr>
          <w:color w:val="222222"/>
          <w:sz w:val="22"/>
          <w:szCs w:val="22"/>
        </w:rPr>
        <w:t xml:space="preserve">, flowing into the same dashboard. Module 7 scores go in the next Check columns; the pre/post tab measures its effect size exactly as before.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9AB"/>
        <w:sz w:val="16"/>
        <w:szCs w:val="16"/>
      </w:rPr>
      <w:t xml:space="preserve">Fluency Lab · Module 7 Routine  —  Page </w:t>
    </w:r>
    <w:r>
      <w:rPr>
        <w:color w:val="8A99A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2026-10-06T17:16:49.390Z</dcterms:created>
  <dcterms:modified xsi:type="dcterms:W3CDTF">2026-10-06T17:16:49.390Z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