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160"/>
        <w:jc w:val="center"/>
      </w:pPr>
      <w:r>
        <w:rPr>
          <w:b/>
          <w:bCs/>
          <w:color w:val="1F3B5B"/>
          <w:sz w:val="44"/>
          <w:szCs w:val="44"/>
        </w:rPr>
        <w:t xml:space="preserve">FLUENCY LAB</w:t>
      </w:r>
    </w:p>
    <w:p>
      <w:pPr>
        <w:spacing w:after="18"/>
        <w:jc w:val="center"/>
      </w:pPr>
      <w:r>
        <w:rPr>
          <w:b/>
          <w:bCs/>
          <w:color w:val="0E7C7B"/>
          <w:sz w:val="25"/>
          <w:szCs w:val="25"/>
        </w:rPr>
        <w:t xml:space="preserve">Scope &amp; Sequence — The Bottom-Up Fluency Ladder</w:t>
      </w:r>
    </w:p>
    <w:p>
      <w:pPr>
        <w:pBdr>
          <w:bottom w:val="single" w:color="1F3B5B" w:sz="10" w:space="4"/>
        </w:pBdr>
        <w:spacing w:after="180"/>
        <w:jc w:val="center"/>
      </w:pPr>
      <w:r>
        <w:rPr>
          <w:i/>
          <w:iCs/>
          <w:color w:val="555555"/>
          <w:sz w:val="18"/>
          <w:szCs w:val="18"/>
        </w:rPr>
        <w:t>Grade 8 Mathematics Remediation  ·  derived from the diagnostic (61 students, 2026-08-25)</w:t>
      </w:r>
    </w:p>
    <w:p>
      <w:pPr>
        <w:pStyle w:val="Heading1"/>
        <w:spacing w:after="120" w:before="300"/>
      </w:pPr>
      <w:r>
        <w:rPr>
          <w:b/>
          <w:bCs/>
          <w:color w:val="1F3B5B"/>
          <w:sz w:val="28"/>
          <w:szCs w:val="28"/>
        </w:rPr>
        <w:t xml:space="preserve">1.  The Design Logic</w:t>
      </w:r>
    </w:p>
    <w:p>
      <w:pPr>
        <w:spacing w:after="130" w:line="276"/>
        <w:jc w:val="both"/>
      </w:pPr>
      <w:r>
        <w:rPr>
          <w:color w:val="222222"/>
          <w:sz w:val="22"/>
          <w:szCs w:val="22"/>
        </w:rPr>
        <w:t xml:space="preserve">Fluency Lab is sequenced </w:t>
      </w:r>
      <w:r>
        <w:rPr>
          <w:b/>
          <w:bCs/>
          <w:color w:val="222222"/>
          <w:sz w:val="22"/>
          <w:szCs w:val="22"/>
        </w:rPr>
        <w:t xml:space="preserve">bottom-up</w:t>
      </w:r>
      <w:r>
        <w:rPr>
          <w:color w:val="222222"/>
          <w:sz w:val="22"/>
          <w:szCs w:val="22"/>
        </w:rPr>
        <w:t xml:space="preserve"> and driven by the diagnostic. The original grade-8 scope assumed a foundation of whole-number and rational-number fluency that the diagnostic shows is largely absent: across 61 students, the skills the diagnostic recommends cluster at grades 2–5, and the heaviest gaps are in the four operations with whole numbers. So Fluency Lab does not start at grade-8 content. It </w:t>
      </w:r>
      <w:r>
        <w:rPr>
          <w:b/>
          <w:bCs/>
          <w:color w:val="222222"/>
          <w:sz w:val="22"/>
          <w:szCs w:val="22"/>
        </w:rPr>
        <w:t xml:space="preserve">inserts the missing arithmetic foundation first and climbs, rung by rung, to the grade-level destination</w:t>
      </w:r>
      <w:r>
        <w:rPr>
          <w:color w:val="222222"/>
          <w:sz w:val="22"/>
          <w:szCs w:val="22"/>
        </w:rPr>
        <w:t xml:space="preserve"> — each module a prerequisite for the next, with the standard algorithm as the through-line and gimmicks deliberately left out.</w:t>
      </w:r>
    </w:p>
    <w:p>
      <w:pPr>
        <w:spacing w:after="130" w:line="276"/>
        <w:jc w:val="both"/>
      </w:pPr>
      <w:r>
        <w:rPr>
          <w:color w:val="222222"/>
          <w:sz w:val="22"/>
          <w:szCs w:val="22"/>
        </w:rPr>
        <w:t xml:space="preserve">The data makes the order almost self-evident. Recommendation volume by topic: multiplication (66), decimals and place value (54 combined), fractions (49), division (34), expressions and exponents (27), equations (23) — and only a handful for integers (5) and ratios (5), not because those are mastered but because students are too far below grade level to be recommended them at all. The ladder follows that reality.</w:t>
      </w:r>
    </w:p>
    <w:p>
      <w:pPr>
        <w:pStyle w:val="Heading1"/>
        <w:spacing w:after="120" w:before="300"/>
      </w:pPr>
      <w:r>
        <w:rPr>
          <w:b/>
          <w:bCs/>
          <w:color w:val="1F3B5B"/>
          <w:sz w:val="28"/>
          <w:szCs w:val="28"/>
        </w:rPr>
        <w:t xml:space="preserve">2.  The Ladder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20"/>
        <w:gridCol w:w="3250"/>
        <w:gridCol w:w="1130"/>
        <w:gridCol w:w="1060"/>
        <w:gridCol w:w="1700"/>
      </w:tblGrid>
      <w:tr>
        <w:trPr>
          <w:cantSplit/>
          <w:tblHeader/>
        </w:trPr>
        <w:tc>
          <w:tcPr>
            <w:tcW w:type="dxa" w:w="600"/>
            <w:shd w:fill="1F3B5B" w:color="auto" w:val="clear"/>
            <w:tcMar>
              <w:top w:type="dxa" w:w="50"/>
              <w:left w:type="dxa" w:w="90"/>
              <w:bottom w:type="dxa" w:w="50"/>
              <w:right w:type="dxa" w:w="90"/>
            </w:tcMar>
          </w:tcPr>
          <w:p>
            <w:pPr>
              <w:spacing w:after="0" w:line="240"/>
              <w:jc w:val="center"/>
            </w:pPr>
            <w:r>
              <w:rPr>
                <w:b/>
                <w:bCs/>
                <w:color w:val="FFFFFF"/>
                <w:sz w:val="18"/>
                <w:szCs w:val="18"/>
              </w:rPr>
              <w:t xml:space="preserve">#</w:t>
            </w:r>
          </w:p>
        </w:tc>
        <w:tc>
          <w:tcPr>
            <w:tcW w:type="dxa" w:w="1620"/>
            <w:shd w:fill="1F3B5B" w:color="auto" w:val="clear"/>
            <w:tcMar>
              <w:top w:type="dxa" w:w="50"/>
              <w:left w:type="dxa" w:w="90"/>
              <w:bottom w:type="dxa" w:w="50"/>
              <w:right w:type="dxa" w:w="90"/>
            </w:tcMar>
          </w:tcPr>
          <w:p>
            <w:pPr>
              <w:spacing w:after="0" w:line="240"/>
              <w:jc w:val="left"/>
            </w:pPr>
            <w:r>
              <w:rPr>
                <w:b/>
                <w:bCs/>
                <w:color w:val="FFFFFF"/>
                <w:sz w:val="18"/>
                <w:szCs w:val="18"/>
              </w:rPr>
              <w:t xml:space="preserve">Tier</w:t>
            </w:r>
          </w:p>
        </w:tc>
        <w:tc>
          <w:tcPr>
            <w:tcW w:type="dxa" w:w="3250"/>
            <w:shd w:fill="1F3B5B" w:color="auto" w:val="clear"/>
            <w:tcMar>
              <w:top w:type="dxa" w:w="50"/>
              <w:left w:type="dxa" w:w="90"/>
              <w:bottom w:type="dxa" w:w="50"/>
              <w:right w:type="dxa" w:w="90"/>
            </w:tcMar>
          </w:tcPr>
          <w:p>
            <w:pPr>
              <w:spacing w:after="0" w:line="240"/>
              <w:jc w:val="left"/>
            </w:pPr>
            <w:r>
              <w:rPr>
                <w:b/>
                <w:bCs/>
                <w:color w:val="FFFFFF"/>
                <w:sz w:val="18"/>
                <w:szCs w:val="18"/>
              </w:rPr>
              <w:t xml:space="preserve">Module focus</w:t>
            </w:r>
          </w:p>
        </w:tc>
        <w:tc>
          <w:tcPr>
            <w:tcW w:type="dxa" w:w="1130"/>
            <w:shd w:fill="1F3B5B" w:color="auto" w:val="clear"/>
            <w:tcMar>
              <w:top w:type="dxa" w:w="50"/>
              <w:left w:type="dxa" w:w="90"/>
              <w:bottom w:type="dxa" w:w="50"/>
              <w:right w:type="dxa" w:w="90"/>
            </w:tcMar>
          </w:tcPr>
          <w:p>
            <w:pPr>
              <w:spacing w:after="0" w:line="240"/>
              <w:jc w:val="center"/>
            </w:pPr>
            <w:r>
              <w:rPr>
                <w:b/>
                <w:bCs/>
                <w:color w:val="FFFFFF"/>
                <w:sz w:val="18"/>
                <w:szCs w:val="18"/>
              </w:rPr>
              <w:t xml:space="preserve">Skill band</w:t>
            </w:r>
          </w:p>
        </w:tc>
        <w:tc>
          <w:tcPr>
            <w:tcW w:type="dxa" w:w="1060"/>
            <w:shd w:fill="1F3B5B" w:color="auto" w:val="clear"/>
            <w:tcMar>
              <w:top w:type="dxa" w:w="50"/>
              <w:left w:type="dxa" w:w="90"/>
              <w:bottom w:type="dxa" w:w="50"/>
              <w:right w:type="dxa" w:w="90"/>
            </w:tcMar>
          </w:tcPr>
          <w:p>
            <w:pPr>
              <w:spacing w:after="0" w:line="240"/>
              <w:jc w:val="left"/>
            </w:pPr>
            <w:r>
              <w:rPr>
                <w:b/>
                <w:bCs/>
                <w:color w:val="FFFFFF"/>
                <w:sz w:val="18"/>
                <w:szCs w:val="18"/>
              </w:rPr>
              <w:t xml:space="preserve">Builds on</w:t>
            </w:r>
          </w:p>
        </w:tc>
        <w:tc>
          <w:tcPr>
            <w:tcW w:type="dxa" w:w="1700"/>
            <w:shd w:fill="1F3B5B" w:color="auto" w:val="clear"/>
            <w:tcMar>
              <w:top w:type="dxa" w:w="50"/>
              <w:left w:type="dxa" w:w="90"/>
              <w:bottom w:type="dxa" w:w="50"/>
              <w:right w:type="dxa" w:w="90"/>
            </w:tcMar>
          </w:tcPr>
          <w:p>
            <w:pPr>
              <w:spacing w:after="0" w:line="240"/>
              <w:jc w:val="center"/>
            </w:pPr>
            <w:r>
              <w:rPr>
                <w:b/>
                <w:bCs/>
                <w:color w:val="FFFFFF"/>
                <w:sz w:val="18"/>
                <w:szCs w:val="18"/>
              </w:rPr>
              <w:t xml:space="preserve">Target</w:t>
            </w:r>
          </w:p>
        </w:tc>
      </w:tr>
      <w:tr>
        <w:trPr>
          <w:cantSplit/>
          <w:tblHeader w:val="false"/>
        </w:trPr>
        <w:tc>
          <w:tcPr>
            <w:tcW w:type="dxa" w:w="600"/>
            <w:shd w:fill="EAF1F8" w:color="auto" w:val="clear"/>
            <w:tcMar>
              <w:top w:type="dxa" w:w="50"/>
              <w:left w:type="dxa" w:w="90"/>
              <w:bottom w:type="dxa" w:w="50"/>
              <w:right w:type="dxa" w:w="90"/>
            </w:tcMar>
          </w:tcPr>
          <w:p>
            <w:pPr>
              <w:spacing w:after="0" w:line="240"/>
              <w:jc w:val="center"/>
            </w:pPr>
            <w:r>
              <w:rPr>
                <w:b/>
                <w:bCs/>
                <w:color w:val="222222"/>
                <w:sz w:val="17"/>
                <w:szCs w:val="17"/>
              </w:rPr>
              <w:t xml:space="preserve">M1</w:t>
            </w:r>
          </w:p>
        </w:tc>
        <w:tc>
          <w:tcPr>
            <w:tcW w:type="dxa" w:w="1620"/>
            <w:shd w:fill="EAF1F8" w:color="auto" w:val="clear"/>
            <w:tcMar>
              <w:top w:type="dxa" w:w="50"/>
              <w:left w:type="dxa" w:w="90"/>
              <w:bottom w:type="dxa" w:w="50"/>
              <w:right w:type="dxa" w:w="90"/>
            </w:tcMar>
          </w:tcPr>
          <w:p>
            <w:pPr>
              <w:spacing w:after="0" w:line="240"/>
              <w:jc w:val="left"/>
            </w:pPr>
            <w:r>
              <w:rPr>
                <w:b w:val="false"/>
                <w:bCs w:val="false"/>
                <w:color w:val="222222"/>
                <w:sz w:val="17"/>
                <w:szCs w:val="17"/>
              </w:rPr>
              <w:t xml:space="preserve">Whole-Number Fluency</w:t>
            </w:r>
          </w:p>
        </w:tc>
        <w:tc>
          <w:tcPr>
            <w:tcW w:type="dxa" w:w="3250"/>
            <w:shd w:fill="EAF1F8" w:color="auto" w:val="clear"/>
            <w:tcMar>
              <w:top w:type="dxa" w:w="50"/>
              <w:left w:type="dxa" w:w="90"/>
              <w:bottom w:type="dxa" w:w="50"/>
              <w:right w:type="dxa" w:w="90"/>
            </w:tcMar>
          </w:tcPr>
          <w:p>
            <w:pPr>
              <w:spacing w:after="0" w:line="240"/>
              <w:jc w:val="left"/>
            </w:pPr>
            <w:r>
              <w:rPr>
                <w:b w:val="false"/>
                <w:bCs w:val="false"/>
                <w:color w:val="222222"/>
                <w:sz w:val="17"/>
                <w:szCs w:val="17"/>
              </w:rPr>
              <w:t xml:space="preserve">Addition &amp; subtraction (multi-digit)</w:t>
            </w:r>
          </w:p>
        </w:tc>
        <w:tc>
          <w:tcPr>
            <w:tcW w:type="dxa" w:w="1130"/>
            <w:shd w:fill="EAF1F8"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Gr 2–4</w:t>
            </w:r>
          </w:p>
        </w:tc>
        <w:tc>
          <w:tcPr>
            <w:tcW w:type="dxa" w:w="1060"/>
            <w:shd w:fill="EAF1F8" w:color="auto" w:val="clear"/>
            <w:tcMar>
              <w:top w:type="dxa" w:w="50"/>
              <w:left w:type="dxa" w:w="90"/>
              <w:bottom w:type="dxa" w:w="50"/>
              <w:right w:type="dxa" w:w="90"/>
            </w:tcMar>
          </w:tcPr>
          <w:p>
            <w:pPr>
              <w:spacing w:after="0" w:line="240"/>
              <w:jc w:val="left"/>
            </w:pPr>
            <w:r>
              <w:rPr>
                <w:b w:val="false"/>
                <w:bCs w:val="false"/>
                <w:color w:val="222222"/>
                <w:sz w:val="17"/>
                <w:szCs w:val="17"/>
              </w:rPr>
              <w:t xml:space="preserve">—</w:t>
            </w:r>
          </w:p>
        </w:tc>
        <w:tc>
          <w:tcPr>
            <w:tcW w:type="dxa" w:w="1700"/>
            <w:shd w:fill="EAF1F8"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3–4 wks</w:t>
            </w:r>
          </w:p>
        </w:tc>
      </w:tr>
      <w:tr>
        <w:trPr>
          <w:cantSplit/>
          <w:tblHeader w:val="false"/>
        </w:trPr>
        <w:tc>
          <w:tcPr>
            <w:tcW w:type="dxa" w:w="600"/>
            <w:shd w:fill="EAF1F8" w:color="auto" w:val="clear"/>
            <w:tcMar>
              <w:top w:type="dxa" w:w="50"/>
              <w:left w:type="dxa" w:w="90"/>
              <w:bottom w:type="dxa" w:w="50"/>
              <w:right w:type="dxa" w:w="90"/>
            </w:tcMar>
          </w:tcPr>
          <w:p>
            <w:pPr>
              <w:spacing w:after="0" w:line="240"/>
              <w:jc w:val="center"/>
            </w:pPr>
            <w:r>
              <w:rPr>
                <w:b/>
                <w:bCs/>
                <w:color w:val="222222"/>
                <w:sz w:val="17"/>
                <w:szCs w:val="17"/>
              </w:rPr>
              <w:t xml:space="preserve">M2</w:t>
            </w:r>
          </w:p>
        </w:tc>
        <w:tc>
          <w:tcPr>
            <w:tcW w:type="dxa" w:w="1620"/>
            <w:shd w:fill="EAF1F8" w:color="auto" w:val="clear"/>
            <w:tcMar>
              <w:top w:type="dxa" w:w="50"/>
              <w:left w:type="dxa" w:w="90"/>
              <w:bottom w:type="dxa" w:w="50"/>
              <w:right w:type="dxa" w:w="90"/>
            </w:tcMar>
          </w:tcPr>
          <w:p>
            <w:pPr>
              <w:spacing w:after="0" w:line="240"/>
              <w:jc w:val="left"/>
            </w:pPr>
            <w:r>
              <w:rPr>
                <w:b w:val="false"/>
                <w:bCs w:val="false"/>
                <w:color w:val="222222"/>
                <w:sz w:val="17"/>
                <w:szCs w:val="17"/>
              </w:rPr>
              <w:t xml:space="preserve">Whole-Number Fluency</w:t>
            </w:r>
          </w:p>
        </w:tc>
        <w:tc>
          <w:tcPr>
            <w:tcW w:type="dxa" w:w="3250"/>
            <w:shd w:fill="EAF1F8" w:color="auto" w:val="clear"/>
            <w:tcMar>
              <w:top w:type="dxa" w:w="50"/>
              <w:left w:type="dxa" w:w="90"/>
              <w:bottom w:type="dxa" w:w="50"/>
              <w:right w:type="dxa" w:w="90"/>
            </w:tcMar>
          </w:tcPr>
          <w:p>
            <w:pPr>
              <w:spacing w:after="0" w:line="240"/>
              <w:jc w:val="left"/>
            </w:pPr>
            <w:r>
              <w:rPr>
                <w:b w:val="false"/>
                <w:bCs w:val="false"/>
                <w:color w:val="222222"/>
                <w:sz w:val="17"/>
                <w:szCs w:val="17"/>
              </w:rPr>
              <w:t xml:space="preserve">Multiplication: facts → multi-digit</w:t>
            </w:r>
          </w:p>
        </w:tc>
        <w:tc>
          <w:tcPr>
            <w:tcW w:type="dxa" w:w="1130"/>
            <w:shd w:fill="EAF1F8"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Gr 3–5</w:t>
            </w:r>
          </w:p>
        </w:tc>
        <w:tc>
          <w:tcPr>
            <w:tcW w:type="dxa" w:w="1060"/>
            <w:shd w:fill="EAF1F8" w:color="auto" w:val="clear"/>
            <w:tcMar>
              <w:top w:type="dxa" w:w="50"/>
              <w:left w:type="dxa" w:w="90"/>
              <w:bottom w:type="dxa" w:w="50"/>
              <w:right w:type="dxa" w:w="90"/>
            </w:tcMar>
          </w:tcPr>
          <w:p>
            <w:pPr>
              <w:spacing w:after="0" w:line="240"/>
              <w:jc w:val="left"/>
            </w:pPr>
            <w:r>
              <w:rPr>
                <w:b w:val="false"/>
                <w:bCs w:val="false"/>
                <w:color w:val="222222"/>
                <w:sz w:val="17"/>
                <w:szCs w:val="17"/>
              </w:rPr>
              <w:t xml:space="preserve">M1</w:t>
            </w:r>
          </w:p>
        </w:tc>
        <w:tc>
          <w:tcPr>
            <w:tcW w:type="dxa" w:w="1700"/>
            <w:shd w:fill="EAF1F8"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4–5 wks</w:t>
            </w:r>
          </w:p>
        </w:tc>
      </w:tr>
      <w:tr>
        <w:trPr>
          <w:cantSplit/>
          <w:tblHeader w:val="false"/>
        </w:trPr>
        <w:tc>
          <w:tcPr>
            <w:tcW w:type="dxa" w:w="600"/>
            <w:shd w:fill="EAF1F8" w:color="auto" w:val="clear"/>
            <w:tcMar>
              <w:top w:type="dxa" w:w="50"/>
              <w:left w:type="dxa" w:w="90"/>
              <w:bottom w:type="dxa" w:w="50"/>
              <w:right w:type="dxa" w:w="90"/>
            </w:tcMar>
          </w:tcPr>
          <w:p>
            <w:pPr>
              <w:spacing w:after="0" w:line="240"/>
              <w:jc w:val="center"/>
            </w:pPr>
            <w:r>
              <w:rPr>
                <w:b/>
                <w:bCs/>
                <w:color w:val="222222"/>
                <w:sz w:val="17"/>
                <w:szCs w:val="17"/>
              </w:rPr>
              <w:t xml:space="preserve">M3</w:t>
            </w:r>
          </w:p>
        </w:tc>
        <w:tc>
          <w:tcPr>
            <w:tcW w:type="dxa" w:w="1620"/>
            <w:shd w:fill="EAF1F8" w:color="auto" w:val="clear"/>
            <w:tcMar>
              <w:top w:type="dxa" w:w="50"/>
              <w:left w:type="dxa" w:w="90"/>
              <w:bottom w:type="dxa" w:w="50"/>
              <w:right w:type="dxa" w:w="90"/>
            </w:tcMar>
          </w:tcPr>
          <w:p>
            <w:pPr>
              <w:spacing w:after="0" w:line="240"/>
              <w:jc w:val="left"/>
            </w:pPr>
            <w:r>
              <w:rPr>
                <w:b w:val="false"/>
                <w:bCs w:val="false"/>
                <w:color w:val="222222"/>
                <w:sz w:val="17"/>
                <w:szCs w:val="17"/>
              </w:rPr>
              <w:t xml:space="preserve">Whole-Number Fluency</w:t>
            </w:r>
          </w:p>
        </w:tc>
        <w:tc>
          <w:tcPr>
            <w:tcW w:type="dxa" w:w="3250"/>
            <w:shd w:fill="EAF1F8" w:color="auto" w:val="clear"/>
            <w:tcMar>
              <w:top w:type="dxa" w:w="50"/>
              <w:left w:type="dxa" w:w="90"/>
              <w:bottom w:type="dxa" w:w="50"/>
              <w:right w:type="dxa" w:w="90"/>
            </w:tcMar>
          </w:tcPr>
          <w:p>
            <w:pPr>
              <w:spacing w:after="0" w:line="240"/>
              <w:jc w:val="left"/>
            </w:pPr>
            <w:r>
              <w:rPr>
                <w:b w:val="false"/>
                <w:bCs w:val="false"/>
                <w:color w:val="222222"/>
                <w:sz w:val="17"/>
                <w:szCs w:val="17"/>
              </w:rPr>
              <w:t xml:space="preserve">Division: facts → long division</w:t>
            </w:r>
          </w:p>
        </w:tc>
        <w:tc>
          <w:tcPr>
            <w:tcW w:type="dxa" w:w="1130"/>
            <w:shd w:fill="EAF1F8"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Gr 4–6</w:t>
            </w:r>
          </w:p>
        </w:tc>
        <w:tc>
          <w:tcPr>
            <w:tcW w:type="dxa" w:w="1060"/>
            <w:shd w:fill="EAF1F8" w:color="auto" w:val="clear"/>
            <w:tcMar>
              <w:top w:type="dxa" w:w="50"/>
              <w:left w:type="dxa" w:w="90"/>
              <w:bottom w:type="dxa" w:w="50"/>
              <w:right w:type="dxa" w:w="90"/>
            </w:tcMar>
          </w:tcPr>
          <w:p>
            <w:pPr>
              <w:spacing w:after="0" w:line="240"/>
              <w:jc w:val="left"/>
            </w:pPr>
            <w:r>
              <w:rPr>
                <w:b w:val="false"/>
                <w:bCs w:val="false"/>
                <w:color w:val="222222"/>
                <w:sz w:val="17"/>
                <w:szCs w:val="17"/>
              </w:rPr>
              <w:t xml:space="preserve">M2</w:t>
            </w:r>
          </w:p>
        </w:tc>
        <w:tc>
          <w:tcPr>
            <w:tcW w:type="dxa" w:w="1700"/>
            <w:shd w:fill="EAF1F8"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4–5 wks</w:t>
            </w:r>
          </w:p>
        </w:tc>
      </w:tr>
      <w:tr>
        <w:trPr>
          <w:cantSplit/>
          <w:tblHeader w:val="false"/>
        </w:trPr>
        <w:tc>
          <w:tcPr>
            <w:tcW w:type="dxa" w:w="600"/>
            <w:shd w:fill="E9F3EC" w:color="auto" w:val="clear"/>
            <w:tcMar>
              <w:top w:type="dxa" w:w="50"/>
              <w:left w:type="dxa" w:w="90"/>
              <w:bottom w:type="dxa" w:w="50"/>
              <w:right w:type="dxa" w:w="90"/>
            </w:tcMar>
          </w:tcPr>
          <w:p>
            <w:pPr>
              <w:spacing w:after="0" w:line="240"/>
              <w:jc w:val="center"/>
            </w:pPr>
            <w:r>
              <w:rPr>
                <w:b/>
                <w:bCs/>
                <w:color w:val="222222"/>
                <w:sz w:val="17"/>
                <w:szCs w:val="17"/>
              </w:rPr>
              <w:t xml:space="preserve">M4</w:t>
            </w:r>
          </w:p>
        </w:tc>
        <w:tc>
          <w:tcPr>
            <w:tcW w:type="dxa" w:w="1620"/>
            <w:shd w:fill="E9F3EC" w:color="auto" w:val="clear"/>
            <w:tcMar>
              <w:top w:type="dxa" w:w="50"/>
              <w:left w:type="dxa" w:w="90"/>
              <w:bottom w:type="dxa" w:w="50"/>
              <w:right w:type="dxa" w:w="90"/>
            </w:tcMar>
          </w:tcPr>
          <w:p>
            <w:pPr>
              <w:spacing w:after="0" w:line="240"/>
              <w:jc w:val="left"/>
            </w:pPr>
            <w:r>
              <w:rPr>
                <w:b w:val="false"/>
                <w:bCs w:val="false"/>
                <w:color w:val="222222"/>
                <w:sz w:val="17"/>
                <w:szCs w:val="17"/>
              </w:rPr>
              <w:t xml:space="preserve">Rational Numbers</w:t>
            </w:r>
          </w:p>
        </w:tc>
        <w:tc>
          <w:tcPr>
            <w:tcW w:type="dxa" w:w="3250"/>
            <w:shd w:fill="E9F3EC" w:color="auto" w:val="clear"/>
            <w:tcMar>
              <w:top w:type="dxa" w:w="50"/>
              <w:left w:type="dxa" w:w="90"/>
              <w:bottom w:type="dxa" w:w="50"/>
              <w:right w:type="dxa" w:w="90"/>
            </w:tcMar>
          </w:tcPr>
          <w:p>
            <w:pPr>
              <w:spacing w:after="0" w:line="240"/>
              <w:jc w:val="left"/>
            </w:pPr>
            <w:r>
              <w:rPr>
                <w:b w:val="false"/>
                <w:bCs w:val="false"/>
                <w:color w:val="222222"/>
                <w:sz w:val="17"/>
                <w:szCs w:val="17"/>
              </w:rPr>
              <w:t xml:space="preserve">Fractions: meaning, equivalence &amp; operations</w:t>
            </w:r>
          </w:p>
        </w:tc>
        <w:tc>
          <w:tcPr>
            <w:tcW w:type="dxa" w:w="1130"/>
            <w:shd w:fill="E9F3EC"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Gr 3–6</w:t>
            </w:r>
          </w:p>
        </w:tc>
        <w:tc>
          <w:tcPr>
            <w:tcW w:type="dxa" w:w="1060"/>
            <w:shd w:fill="E9F3EC" w:color="auto" w:val="clear"/>
            <w:tcMar>
              <w:top w:type="dxa" w:w="50"/>
              <w:left w:type="dxa" w:w="90"/>
              <w:bottom w:type="dxa" w:w="50"/>
              <w:right w:type="dxa" w:w="90"/>
            </w:tcMar>
          </w:tcPr>
          <w:p>
            <w:pPr>
              <w:spacing w:after="0" w:line="240"/>
              <w:jc w:val="left"/>
            </w:pPr>
            <w:r>
              <w:rPr>
                <w:b w:val="false"/>
                <w:bCs w:val="false"/>
                <w:color w:val="222222"/>
                <w:sz w:val="17"/>
                <w:szCs w:val="17"/>
              </w:rPr>
              <w:t xml:space="preserve">M1–M3</w:t>
            </w:r>
          </w:p>
        </w:tc>
        <w:tc>
          <w:tcPr>
            <w:tcW w:type="dxa" w:w="1700"/>
            <w:shd w:fill="E9F3EC"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5–6 wks</w:t>
            </w:r>
          </w:p>
        </w:tc>
      </w:tr>
      <w:tr>
        <w:trPr>
          <w:cantSplit/>
          <w:tblHeader w:val="false"/>
        </w:trPr>
        <w:tc>
          <w:tcPr>
            <w:tcW w:type="dxa" w:w="600"/>
            <w:shd w:fill="E9F3EC" w:color="auto" w:val="clear"/>
            <w:tcMar>
              <w:top w:type="dxa" w:w="50"/>
              <w:left w:type="dxa" w:w="90"/>
              <w:bottom w:type="dxa" w:w="50"/>
              <w:right w:type="dxa" w:w="90"/>
            </w:tcMar>
          </w:tcPr>
          <w:p>
            <w:pPr>
              <w:spacing w:after="0" w:line="240"/>
              <w:jc w:val="center"/>
            </w:pPr>
            <w:r>
              <w:rPr>
                <w:b/>
                <w:bCs/>
                <w:color w:val="222222"/>
                <w:sz w:val="17"/>
                <w:szCs w:val="17"/>
              </w:rPr>
              <w:t xml:space="preserve">M5</w:t>
            </w:r>
          </w:p>
        </w:tc>
        <w:tc>
          <w:tcPr>
            <w:tcW w:type="dxa" w:w="1620"/>
            <w:shd w:fill="E9F3EC" w:color="auto" w:val="clear"/>
            <w:tcMar>
              <w:top w:type="dxa" w:w="50"/>
              <w:left w:type="dxa" w:w="90"/>
              <w:bottom w:type="dxa" w:w="50"/>
              <w:right w:type="dxa" w:w="90"/>
            </w:tcMar>
          </w:tcPr>
          <w:p>
            <w:pPr>
              <w:spacing w:after="0" w:line="240"/>
              <w:jc w:val="left"/>
            </w:pPr>
            <w:r>
              <w:rPr>
                <w:b w:val="false"/>
                <w:bCs w:val="false"/>
                <w:color w:val="222222"/>
                <w:sz w:val="17"/>
                <w:szCs w:val="17"/>
              </w:rPr>
              <w:t xml:space="preserve">Rational Numbers</w:t>
            </w:r>
          </w:p>
        </w:tc>
        <w:tc>
          <w:tcPr>
            <w:tcW w:type="dxa" w:w="3250"/>
            <w:shd w:fill="E9F3EC" w:color="auto" w:val="clear"/>
            <w:tcMar>
              <w:top w:type="dxa" w:w="50"/>
              <w:left w:type="dxa" w:w="90"/>
              <w:bottom w:type="dxa" w:w="50"/>
              <w:right w:type="dxa" w:w="90"/>
            </w:tcMar>
          </w:tcPr>
          <w:p>
            <w:pPr>
              <w:spacing w:after="0" w:line="240"/>
              <w:jc w:val="left"/>
            </w:pPr>
            <w:r>
              <w:rPr>
                <w:b w:val="false"/>
                <w:bCs w:val="false"/>
                <w:color w:val="222222"/>
                <w:sz w:val="17"/>
                <w:szCs w:val="17"/>
              </w:rPr>
              <w:t xml:space="preserve">Decimals &amp; percents</w:t>
            </w:r>
          </w:p>
        </w:tc>
        <w:tc>
          <w:tcPr>
            <w:tcW w:type="dxa" w:w="1130"/>
            <w:shd w:fill="E9F3EC"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Gr 4–6</w:t>
            </w:r>
          </w:p>
        </w:tc>
        <w:tc>
          <w:tcPr>
            <w:tcW w:type="dxa" w:w="1060"/>
            <w:shd w:fill="E9F3EC" w:color="auto" w:val="clear"/>
            <w:tcMar>
              <w:top w:type="dxa" w:w="50"/>
              <w:left w:type="dxa" w:w="90"/>
              <w:bottom w:type="dxa" w:w="50"/>
              <w:right w:type="dxa" w:w="90"/>
            </w:tcMar>
          </w:tcPr>
          <w:p>
            <w:pPr>
              <w:spacing w:after="0" w:line="240"/>
              <w:jc w:val="left"/>
            </w:pPr>
            <w:r>
              <w:rPr>
                <w:b w:val="false"/>
                <w:bCs w:val="false"/>
                <w:color w:val="222222"/>
                <w:sz w:val="17"/>
                <w:szCs w:val="17"/>
              </w:rPr>
              <w:t xml:space="preserve">M4</w:t>
            </w:r>
          </w:p>
        </w:tc>
        <w:tc>
          <w:tcPr>
            <w:tcW w:type="dxa" w:w="1700"/>
            <w:shd w:fill="E9F3EC"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4–5 wks</w:t>
            </w:r>
          </w:p>
        </w:tc>
      </w:tr>
      <w:tr>
        <w:trPr>
          <w:cantSplit/>
          <w:tblHeader w:val="false"/>
        </w:trPr>
        <w:tc>
          <w:tcPr>
            <w:tcW w:type="dxa" w:w="600"/>
            <w:shd w:fill="E9F3EC" w:color="auto" w:val="clear"/>
            <w:tcMar>
              <w:top w:type="dxa" w:w="50"/>
              <w:left w:type="dxa" w:w="90"/>
              <w:bottom w:type="dxa" w:w="50"/>
              <w:right w:type="dxa" w:w="90"/>
            </w:tcMar>
          </w:tcPr>
          <w:p>
            <w:pPr>
              <w:spacing w:after="0" w:line="240"/>
              <w:jc w:val="center"/>
            </w:pPr>
            <w:r>
              <w:rPr>
                <w:b/>
                <w:bCs/>
                <w:color w:val="222222"/>
                <w:sz w:val="17"/>
                <w:szCs w:val="17"/>
              </w:rPr>
              <w:t xml:space="preserve">M6</w:t>
            </w:r>
          </w:p>
        </w:tc>
        <w:tc>
          <w:tcPr>
            <w:tcW w:type="dxa" w:w="1620"/>
            <w:shd w:fill="E9F3EC" w:color="auto" w:val="clear"/>
            <w:tcMar>
              <w:top w:type="dxa" w:w="50"/>
              <w:left w:type="dxa" w:w="90"/>
              <w:bottom w:type="dxa" w:w="50"/>
              <w:right w:type="dxa" w:w="90"/>
            </w:tcMar>
          </w:tcPr>
          <w:p>
            <w:pPr>
              <w:spacing w:after="0" w:line="240"/>
              <w:jc w:val="left"/>
            </w:pPr>
            <w:r>
              <w:rPr>
                <w:b w:val="false"/>
                <w:bCs w:val="false"/>
                <w:color w:val="222222"/>
                <w:sz w:val="17"/>
                <w:szCs w:val="17"/>
              </w:rPr>
              <w:t xml:space="preserve">Rational Numbers</w:t>
            </w:r>
          </w:p>
        </w:tc>
        <w:tc>
          <w:tcPr>
            <w:tcW w:type="dxa" w:w="3250"/>
            <w:shd w:fill="E9F3EC" w:color="auto" w:val="clear"/>
            <w:tcMar>
              <w:top w:type="dxa" w:w="50"/>
              <w:left w:type="dxa" w:w="90"/>
              <w:bottom w:type="dxa" w:w="50"/>
              <w:right w:type="dxa" w:w="90"/>
            </w:tcMar>
          </w:tcPr>
          <w:p>
            <w:pPr>
              <w:spacing w:after="0" w:line="240"/>
              <w:jc w:val="left"/>
            </w:pPr>
            <w:r>
              <w:rPr>
                <w:b w:val="false"/>
                <w:bCs w:val="false"/>
                <w:color w:val="222222"/>
                <w:sz w:val="17"/>
                <w:szCs w:val="17"/>
              </w:rPr>
              <w:t xml:space="preserve">Integers &amp; signed-number operations</w:t>
            </w:r>
          </w:p>
        </w:tc>
        <w:tc>
          <w:tcPr>
            <w:tcW w:type="dxa" w:w="1130"/>
            <w:shd w:fill="E9F3EC"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Gr 6–7</w:t>
            </w:r>
          </w:p>
        </w:tc>
        <w:tc>
          <w:tcPr>
            <w:tcW w:type="dxa" w:w="1060"/>
            <w:shd w:fill="E9F3EC" w:color="auto" w:val="clear"/>
            <w:tcMar>
              <w:top w:type="dxa" w:w="50"/>
              <w:left w:type="dxa" w:w="90"/>
              <w:bottom w:type="dxa" w:w="50"/>
              <w:right w:type="dxa" w:w="90"/>
            </w:tcMar>
          </w:tcPr>
          <w:p>
            <w:pPr>
              <w:spacing w:after="0" w:line="240"/>
              <w:jc w:val="left"/>
            </w:pPr>
            <w:r>
              <w:rPr>
                <w:b w:val="false"/>
                <w:bCs w:val="false"/>
                <w:color w:val="222222"/>
                <w:sz w:val="17"/>
                <w:szCs w:val="17"/>
              </w:rPr>
              <w:t xml:space="preserve">M1–M5</w:t>
            </w:r>
          </w:p>
        </w:tc>
        <w:tc>
          <w:tcPr>
            <w:tcW w:type="dxa" w:w="1700"/>
            <w:shd w:fill="E9F3EC"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3–4 wks</w:t>
            </w:r>
          </w:p>
        </w:tc>
      </w:tr>
      <w:tr>
        <w:trPr>
          <w:cantSplit/>
          <w:tblHeader w:val="false"/>
        </w:trPr>
        <w:tc>
          <w:tcPr>
            <w:tcW w:type="dxa" w:w="600"/>
            <w:shd w:fill="FBF3E2" w:color="auto" w:val="clear"/>
            <w:tcMar>
              <w:top w:type="dxa" w:w="50"/>
              <w:left w:type="dxa" w:w="90"/>
              <w:bottom w:type="dxa" w:w="50"/>
              <w:right w:type="dxa" w:w="90"/>
            </w:tcMar>
          </w:tcPr>
          <w:p>
            <w:pPr>
              <w:spacing w:after="0" w:line="240"/>
              <w:jc w:val="center"/>
            </w:pPr>
            <w:r>
              <w:rPr>
                <w:b/>
                <w:bCs/>
                <w:color w:val="222222"/>
                <w:sz w:val="17"/>
                <w:szCs w:val="17"/>
              </w:rPr>
              <w:t xml:space="preserve">M7</w:t>
            </w:r>
          </w:p>
        </w:tc>
        <w:tc>
          <w:tcPr>
            <w:tcW w:type="dxa" w:w="1620"/>
            <w:shd w:fill="FBF3E2" w:color="auto" w:val="clear"/>
            <w:tcMar>
              <w:top w:type="dxa" w:w="50"/>
              <w:left w:type="dxa" w:w="90"/>
              <w:bottom w:type="dxa" w:w="50"/>
              <w:right w:type="dxa" w:w="90"/>
            </w:tcMar>
          </w:tcPr>
          <w:p>
            <w:pPr>
              <w:spacing w:after="0" w:line="240"/>
              <w:jc w:val="left"/>
            </w:pPr>
            <w:r>
              <w:rPr>
                <w:b w:val="false"/>
                <w:bCs w:val="false"/>
                <w:color w:val="222222"/>
                <w:sz w:val="17"/>
                <w:szCs w:val="17"/>
              </w:rPr>
              <w:t xml:space="preserve">Toward Grade Level</w:t>
            </w:r>
          </w:p>
        </w:tc>
        <w:tc>
          <w:tcPr>
            <w:tcW w:type="dxa" w:w="3250"/>
            <w:shd w:fill="FBF3E2" w:color="auto" w:val="clear"/>
            <w:tcMar>
              <w:top w:type="dxa" w:w="50"/>
              <w:left w:type="dxa" w:w="90"/>
              <w:bottom w:type="dxa" w:w="50"/>
              <w:right w:type="dxa" w:w="90"/>
            </w:tcMar>
          </w:tcPr>
          <w:p>
            <w:pPr>
              <w:spacing w:after="0" w:line="240"/>
              <w:jc w:val="left"/>
            </w:pPr>
            <w:r>
              <w:rPr>
                <w:b w:val="false"/>
                <w:bCs w:val="false"/>
                <w:color w:val="222222"/>
                <w:sz w:val="17"/>
                <w:szCs w:val="17"/>
              </w:rPr>
              <w:t xml:space="preserve">Ratios, rates &amp; proportional reasoning</w:t>
            </w:r>
          </w:p>
        </w:tc>
        <w:tc>
          <w:tcPr>
            <w:tcW w:type="dxa" w:w="1130"/>
            <w:shd w:fill="FBF3E2"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Gr 6–7</w:t>
            </w:r>
          </w:p>
        </w:tc>
        <w:tc>
          <w:tcPr>
            <w:tcW w:type="dxa" w:w="1060"/>
            <w:shd w:fill="FBF3E2" w:color="auto" w:val="clear"/>
            <w:tcMar>
              <w:top w:type="dxa" w:w="50"/>
              <w:left w:type="dxa" w:w="90"/>
              <w:bottom w:type="dxa" w:w="50"/>
              <w:right w:type="dxa" w:w="90"/>
            </w:tcMar>
          </w:tcPr>
          <w:p>
            <w:pPr>
              <w:spacing w:after="0" w:line="240"/>
              <w:jc w:val="left"/>
            </w:pPr>
            <w:r>
              <w:rPr>
                <w:b w:val="false"/>
                <w:bCs w:val="false"/>
                <w:color w:val="222222"/>
                <w:sz w:val="17"/>
                <w:szCs w:val="17"/>
              </w:rPr>
              <w:t xml:space="preserve">M4–M6</w:t>
            </w:r>
          </w:p>
        </w:tc>
        <w:tc>
          <w:tcPr>
            <w:tcW w:type="dxa" w:w="1700"/>
            <w:shd w:fill="FBF3E2"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3–4 wks</w:t>
            </w:r>
          </w:p>
        </w:tc>
      </w:tr>
      <w:tr>
        <w:trPr>
          <w:cantSplit/>
          <w:tblHeader w:val="false"/>
        </w:trPr>
        <w:tc>
          <w:tcPr>
            <w:tcW w:type="dxa" w:w="600"/>
            <w:shd w:fill="FBF3E2" w:color="auto" w:val="clear"/>
            <w:tcMar>
              <w:top w:type="dxa" w:w="50"/>
              <w:left w:type="dxa" w:w="90"/>
              <w:bottom w:type="dxa" w:w="50"/>
              <w:right w:type="dxa" w:w="90"/>
            </w:tcMar>
          </w:tcPr>
          <w:p>
            <w:pPr>
              <w:spacing w:after="0" w:line="240"/>
              <w:jc w:val="center"/>
            </w:pPr>
            <w:r>
              <w:rPr>
                <w:b/>
                <w:bCs/>
                <w:color w:val="222222"/>
                <w:sz w:val="17"/>
                <w:szCs w:val="17"/>
              </w:rPr>
              <w:t xml:space="preserve">M8</w:t>
            </w:r>
          </w:p>
        </w:tc>
        <w:tc>
          <w:tcPr>
            <w:tcW w:type="dxa" w:w="1620"/>
            <w:shd w:fill="FBF3E2" w:color="auto" w:val="clear"/>
            <w:tcMar>
              <w:top w:type="dxa" w:w="50"/>
              <w:left w:type="dxa" w:w="90"/>
              <w:bottom w:type="dxa" w:w="50"/>
              <w:right w:type="dxa" w:w="90"/>
            </w:tcMar>
          </w:tcPr>
          <w:p>
            <w:pPr>
              <w:spacing w:after="0" w:line="240"/>
              <w:jc w:val="left"/>
            </w:pPr>
            <w:r>
              <w:rPr>
                <w:b w:val="false"/>
                <w:bCs w:val="false"/>
                <w:color w:val="222222"/>
                <w:sz w:val="17"/>
                <w:szCs w:val="17"/>
              </w:rPr>
              <w:t xml:space="preserve">Toward Grade Level</w:t>
            </w:r>
          </w:p>
        </w:tc>
        <w:tc>
          <w:tcPr>
            <w:tcW w:type="dxa" w:w="3250"/>
            <w:shd w:fill="FBF3E2" w:color="auto" w:val="clear"/>
            <w:tcMar>
              <w:top w:type="dxa" w:w="50"/>
              <w:left w:type="dxa" w:w="90"/>
              <w:bottom w:type="dxa" w:w="50"/>
              <w:right w:type="dxa" w:w="90"/>
            </w:tcMar>
          </w:tcPr>
          <w:p>
            <w:pPr>
              <w:spacing w:after="0" w:line="240"/>
              <w:jc w:val="left"/>
            </w:pPr>
            <w:r>
              <w:rPr>
                <w:b w:val="false"/>
                <w:bCs w:val="false"/>
                <w:color w:val="222222"/>
                <w:sz w:val="17"/>
                <w:szCs w:val="17"/>
              </w:rPr>
              <w:t xml:space="preserve">Expressions, exponents &amp; order of operations</w:t>
            </w:r>
          </w:p>
        </w:tc>
        <w:tc>
          <w:tcPr>
            <w:tcW w:type="dxa" w:w="1130"/>
            <w:shd w:fill="FBF3E2"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Gr 5–7</w:t>
            </w:r>
          </w:p>
        </w:tc>
        <w:tc>
          <w:tcPr>
            <w:tcW w:type="dxa" w:w="1060"/>
            <w:shd w:fill="FBF3E2" w:color="auto" w:val="clear"/>
            <w:tcMar>
              <w:top w:type="dxa" w:w="50"/>
              <w:left w:type="dxa" w:w="90"/>
              <w:bottom w:type="dxa" w:w="50"/>
              <w:right w:type="dxa" w:w="90"/>
            </w:tcMar>
          </w:tcPr>
          <w:p>
            <w:pPr>
              <w:spacing w:after="0" w:line="240"/>
              <w:jc w:val="left"/>
            </w:pPr>
            <w:r>
              <w:rPr>
                <w:b w:val="false"/>
                <w:bCs w:val="false"/>
                <w:color w:val="222222"/>
                <w:sz w:val="17"/>
                <w:szCs w:val="17"/>
              </w:rPr>
              <w:t xml:space="preserve">M2, M6</w:t>
            </w:r>
          </w:p>
        </w:tc>
        <w:tc>
          <w:tcPr>
            <w:tcW w:type="dxa" w:w="1700"/>
            <w:shd w:fill="FBF3E2"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3–4 wks</w:t>
            </w:r>
          </w:p>
        </w:tc>
      </w:tr>
      <w:tr>
        <w:trPr>
          <w:cantSplit/>
          <w:tblHeader w:val="false"/>
        </w:trPr>
        <w:tc>
          <w:tcPr>
            <w:tcW w:type="dxa" w:w="600"/>
            <w:shd w:fill="FBF3E2" w:color="auto" w:val="clear"/>
            <w:tcMar>
              <w:top w:type="dxa" w:w="50"/>
              <w:left w:type="dxa" w:w="90"/>
              <w:bottom w:type="dxa" w:w="50"/>
              <w:right w:type="dxa" w:w="90"/>
            </w:tcMar>
          </w:tcPr>
          <w:p>
            <w:pPr>
              <w:spacing w:after="0" w:line="240"/>
              <w:jc w:val="center"/>
            </w:pPr>
            <w:r>
              <w:rPr>
                <w:b/>
                <w:bCs/>
                <w:color w:val="222222"/>
                <w:sz w:val="17"/>
                <w:szCs w:val="17"/>
              </w:rPr>
              <w:t xml:space="preserve">M9</w:t>
            </w:r>
          </w:p>
        </w:tc>
        <w:tc>
          <w:tcPr>
            <w:tcW w:type="dxa" w:w="1620"/>
            <w:shd w:fill="FBF3E2" w:color="auto" w:val="clear"/>
            <w:tcMar>
              <w:top w:type="dxa" w:w="50"/>
              <w:left w:type="dxa" w:w="90"/>
              <w:bottom w:type="dxa" w:w="50"/>
              <w:right w:type="dxa" w:w="90"/>
            </w:tcMar>
          </w:tcPr>
          <w:p>
            <w:pPr>
              <w:spacing w:after="0" w:line="240"/>
              <w:jc w:val="left"/>
            </w:pPr>
            <w:r>
              <w:rPr>
                <w:b w:val="false"/>
                <w:bCs w:val="false"/>
                <w:color w:val="222222"/>
                <w:sz w:val="17"/>
                <w:szCs w:val="17"/>
              </w:rPr>
              <w:t xml:space="preserve">Toward Grade Level</w:t>
            </w:r>
          </w:p>
        </w:tc>
        <w:tc>
          <w:tcPr>
            <w:tcW w:type="dxa" w:w="3250"/>
            <w:shd w:fill="FBF3E2" w:color="auto" w:val="clear"/>
            <w:tcMar>
              <w:top w:type="dxa" w:w="50"/>
              <w:left w:type="dxa" w:w="90"/>
              <w:bottom w:type="dxa" w:w="50"/>
              <w:right w:type="dxa" w:w="90"/>
            </w:tcMar>
          </w:tcPr>
          <w:p>
            <w:pPr>
              <w:spacing w:after="0" w:line="240"/>
              <w:jc w:val="left"/>
            </w:pPr>
            <w:r>
              <w:rPr>
                <w:b w:val="false"/>
                <w:bCs w:val="false"/>
                <w:color w:val="222222"/>
                <w:sz w:val="17"/>
                <w:szCs w:val="17"/>
              </w:rPr>
              <w:t xml:space="preserve">Equations &amp; linear relationships</w:t>
            </w:r>
          </w:p>
        </w:tc>
        <w:tc>
          <w:tcPr>
            <w:tcW w:type="dxa" w:w="1130"/>
            <w:shd w:fill="FBF3E2"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Gr 6–8</w:t>
            </w:r>
          </w:p>
        </w:tc>
        <w:tc>
          <w:tcPr>
            <w:tcW w:type="dxa" w:w="1060"/>
            <w:shd w:fill="FBF3E2" w:color="auto" w:val="clear"/>
            <w:tcMar>
              <w:top w:type="dxa" w:w="50"/>
              <w:left w:type="dxa" w:w="90"/>
              <w:bottom w:type="dxa" w:w="50"/>
              <w:right w:type="dxa" w:w="90"/>
            </w:tcMar>
          </w:tcPr>
          <w:p>
            <w:pPr>
              <w:spacing w:after="0" w:line="240"/>
              <w:jc w:val="left"/>
            </w:pPr>
            <w:r>
              <w:rPr>
                <w:b w:val="false"/>
                <w:bCs w:val="false"/>
                <w:color w:val="222222"/>
                <w:sz w:val="17"/>
                <w:szCs w:val="17"/>
              </w:rPr>
              <w:t xml:space="preserve">all</w:t>
            </w:r>
          </w:p>
        </w:tc>
        <w:tc>
          <w:tcPr>
            <w:tcW w:type="dxa" w:w="1700"/>
            <w:shd w:fill="FBF3E2" w:color="auto" w:val="clear"/>
            <w:tcMar>
              <w:top w:type="dxa" w:w="50"/>
              <w:left w:type="dxa" w:w="90"/>
              <w:bottom w:type="dxa" w:w="50"/>
              <w:right w:type="dxa" w:w="90"/>
            </w:tcMar>
          </w:tcPr>
          <w:p>
            <w:pPr>
              <w:spacing w:after="0" w:line="240"/>
              <w:jc w:val="center"/>
            </w:pPr>
            <w:r>
              <w:rPr>
                <w:b w:val="false"/>
                <w:bCs w:val="false"/>
                <w:color w:val="222222"/>
                <w:sz w:val="17"/>
                <w:szCs w:val="17"/>
              </w:rPr>
              <w:t xml:space="preserve">4–5 wks</w:t>
            </w:r>
          </w:p>
        </w:tc>
      </w:tr>
    </w:tbl>
    <w:p>
      <w:pPr>
        <w:spacing w:after="40" w:before="80"/>
      </w:pPr>
      <w:r>
        <w:rPr>
          <w:i/>
          <w:iCs/>
          <w:color w:val="555555"/>
          <w:sz w:val="17"/>
          <w:szCs w:val="17"/>
        </w:rPr>
        <w:t xml:space="preserve">Durations are per-module teaching time on the Fluency Lab schedule (15–20 min every other class + one 45-min block weekly). The full ladder is a multi-semester arc; see §5.</w:t>
      </w:r>
    </w:p>
    <w:p>
      <w:pPr>
        <w:pStyle w:val="Heading1"/>
        <w:spacing w:after="120" w:before="300"/>
      </w:pPr>
      <w:r>
        <w:rPr>
          <w:b/>
          <w:bCs/>
          <w:color w:val="1F3B5B"/>
          <w:sz w:val="28"/>
          <w:szCs w:val="28"/>
        </w:rPr>
        <w:t xml:space="preserve">3.  How Students Move Through It</w:t>
      </w:r>
    </w:p>
    <w:p>
      <w:pPr>
        <w:pStyle w:val="ListParagraph"/>
        <w:numPr>
          <w:ilvl w:val="0"/>
          <w:numId w:val="2"/>
        </w:numPr>
        <w:spacing w:after="80" w:line="272"/>
      </w:pPr>
      <w:r>
        <w:rPr>
          <w:b/>
          <w:bCs/>
          <w:color w:val="222222"/>
          <w:sz w:val="22"/>
          <w:szCs w:val="22"/>
        </w:rPr>
        <w:t xml:space="preserve">Whole-class instruction follows the ladder order. </w:t>
      </w:r>
      <w:r>
        <w:rPr>
          <w:color w:val="222222"/>
          <w:sz w:val="22"/>
          <w:szCs w:val="22"/>
        </w:rPr>
        <w:t xml:space="preserve">The teacher introduces the current module to everyone during the weekly Studio Session.</w:t>
      </w:r>
    </w:p>
    <w:p>
      <w:pPr>
        <w:pStyle w:val="ListParagraph"/>
        <w:numPr>
          <w:ilvl w:val="0"/>
          <w:numId w:val="2"/>
        </w:numPr>
        <w:spacing w:after="80" w:line="272"/>
      </w:pPr>
      <w:r>
        <w:rPr>
          <w:b/>
          <w:bCs/>
          <w:color w:val="222222"/>
          <w:sz w:val="22"/>
          <w:szCs w:val="22"/>
        </w:rPr>
        <w:t xml:space="preserve">Individuals progress at their own pace. </w:t>
      </w:r>
      <w:r>
        <w:rPr>
          <w:color w:val="222222"/>
          <w:sz w:val="22"/>
          <w:szCs w:val="22"/>
        </w:rPr>
        <w:t xml:space="preserve">On the Fluency Lab, each student works at the rung their data places them on — some still consolidating M1 while others reach M3 — so no one is held back or pushed past a gap.</w:t>
      </w:r>
    </w:p>
    <w:p>
      <w:pPr>
        <w:pStyle w:val="ListParagraph"/>
        <w:numPr>
          <w:ilvl w:val="0"/>
          <w:numId w:val="2"/>
        </w:numPr>
        <w:spacing w:after="80" w:line="272"/>
      </w:pPr>
      <w:r>
        <w:rPr>
          <w:b/>
          <w:bCs/>
          <w:color w:val="222222"/>
          <w:sz w:val="22"/>
          <w:szCs w:val="22"/>
        </w:rPr>
        <w:t xml:space="preserve">The spiral keeps earlier rungs warm. </w:t>
      </w:r>
      <w:r>
        <w:rPr>
          <w:color w:val="222222"/>
          <w:sz w:val="22"/>
          <w:szCs w:val="22"/>
        </w:rPr>
        <w:t xml:space="preserve">Each daily set is roughly half current skill, a quarter the prior skill, a quarter cumulative review, so fluency already built is never allowed to decay.</w:t>
      </w:r>
    </w:p>
    <w:p>
      <w:pPr>
        <w:pStyle w:val="ListParagraph"/>
        <w:numPr>
          <w:ilvl w:val="0"/>
          <w:numId w:val="2"/>
        </w:numPr>
        <w:spacing w:after="80" w:line="272"/>
      </w:pPr>
      <w:r>
        <w:rPr>
          <w:b/>
          <w:bCs/>
          <w:color w:val="222222"/>
          <w:sz w:val="22"/>
          <w:szCs w:val="22"/>
        </w:rPr>
        <w:t xml:space="preserve">The diagnostic re-groups the room each quarter. </w:t>
      </w:r>
      <w:r>
        <w:rPr>
          <w:color w:val="222222"/>
          <w:sz w:val="22"/>
          <w:szCs w:val="22"/>
        </w:rPr>
        <w:t>Re-running the diagnostic every ~9 weeks re-measures growth and re-sorts the intervention bands.</w:t>
      </w:r>
    </w:p>
    <w:p>
      <w:pPr>
        <w:pStyle w:val="Heading1"/>
        <w:spacing w:after="120" w:before="300"/>
      </w:pPr>
      <w:r>
        <w:rPr>
          <w:b/>
          <w:bCs/>
          <w:color w:val="1F3B5B"/>
          <w:sz w:val="28"/>
          <w:szCs w:val="28"/>
        </w:rPr>
        <w:t xml:space="preserve">4.  Module by Module</w:t>
      </w:r>
    </w:p>
    <w:p>
      <w:pPr>
        <w:pStyle w:val="Heading2"/>
        <w:spacing w:after="90" w:before="220"/>
      </w:pPr>
      <w:r>
        <w:rPr>
          <w:b/>
          <w:bCs/>
          <w:color w:val="2E5A87"/>
          <w:sz w:val="24"/>
          <w:szCs w:val="24"/>
        </w:rPr>
        <w:t xml:space="preserve">Tier 1 — Whole-Number Fluency  (the foundation the diagnostic demands)</w:t>
      </w:r>
    </w:p>
    <w:p>
      <w:pPr>
        <w:spacing w:after="60" w:before="160"/>
      </w:pPr>
      <w:r>
        <w:rPr>
          <w:b/>
          <w:bCs/>
          <w:color w:val="1F3B5B"/>
          <w:sz w:val="23"/>
          <w:szCs w:val="23"/>
        </w:rPr>
        <w:t xml:space="preserve">M1 · Addition &amp; Subtraction (multi-digit)</w:t>
      </w:r>
      <w:r>
        <w:rPr>
          <w:b/>
          <w:bCs/>
          <w:color w:val="127A4F"/>
          <w:sz w:val="16"/>
          <w:szCs w:val="16"/>
        </w:rPr>
        <w:t xml:space="preserve">    ● BUILT</w:t>
      </w:r>
    </w:p>
    <w:p>
      <w:pPr>
        <w:spacing w:after="54" w:line="264"/>
        <w:ind w:left="260"/>
      </w:pPr>
      <w:r>
        <w:rPr>
          <w:b/>
          <w:bCs/>
          <w:color w:val="2E5A87"/>
          <w:sz w:val="20"/>
          <w:szCs w:val="20"/>
        </w:rPr>
        <w:t xml:space="preserve">Objective:  </w:t>
      </w:r>
      <w:r>
        <w:rPr>
          <w:color w:val="222222"/>
          <w:sz w:val="20"/>
          <w:szCs w:val="20"/>
        </w:rPr>
        <w:t xml:space="preserve">Fluent multi-digit addition and subtraction using the standard vertical algorithm.</w:t>
      </w:r>
    </w:p>
    <w:p>
      <w:pPr>
        <w:spacing w:after="54" w:line="264"/>
        <w:ind w:left="260"/>
      </w:pPr>
      <w:r>
        <w:rPr>
          <w:b/>
          <w:bCs/>
          <w:color w:val="2E5A87"/>
          <w:sz w:val="20"/>
          <w:szCs w:val="20"/>
        </w:rPr>
        <w:t xml:space="preserve">Key gaps:  </w:t>
      </w:r>
      <w:r>
        <w:rPr>
          <w:color w:val="222222"/>
          <w:sz w:val="20"/>
          <w:szCs w:val="20"/>
        </w:rPr>
        <w:t xml:space="preserve">Add / subtract two multi-digit numbers (Gr 4) — the cohort's single most-recommended skill; place-value alignment.</w:t>
      </w:r>
    </w:p>
    <w:p>
      <w:pPr>
        <w:spacing w:after="54" w:line="264"/>
        <w:ind w:left="260"/>
      </w:pPr>
      <w:r>
        <w:rPr>
          <w:b/>
          <w:bCs/>
          <w:color w:val="2E5A87"/>
          <w:sz w:val="20"/>
          <w:szCs w:val="20"/>
        </w:rPr>
        <w:t xml:space="preserve">Standard method:  </w:t>
      </w:r>
      <w:r>
        <w:rPr>
          <w:color w:val="222222"/>
          <w:sz w:val="20"/>
          <w:szCs w:val="20"/>
        </w:rPr>
        <w:t xml:space="preserve">Stack by place value; work right to left; carry and borrow, including across zeros. No tricks.</w:t>
      </w:r>
    </w:p>
    <w:p>
      <w:pPr>
        <w:spacing w:after="54" w:line="264"/>
        <w:ind w:left="260"/>
      </w:pPr>
      <w:r>
        <w:rPr>
          <w:b/>
          <w:bCs/>
          <w:color w:val="2E5A87"/>
          <w:sz w:val="20"/>
          <w:szCs w:val="20"/>
        </w:rPr>
        <w:t xml:space="preserve">Watch for:  </w:t>
      </w:r>
      <w:r>
        <w:rPr>
          <w:color w:val="222222"/>
          <w:sz w:val="20"/>
          <w:szCs w:val="20"/>
        </w:rPr>
        <w:t xml:space="preserve">Misaligned place value, forgotten carry, “subtracting up,” borrowing across a zero.</w:t>
      </w:r>
    </w:p>
    <w:p>
      <w:pPr>
        <w:spacing w:after="54" w:line="264"/>
        <w:ind w:left="260"/>
      </w:pPr>
      <w:r>
        <w:rPr>
          <w:b/>
          <w:bCs/>
          <w:color w:val="2E5A87"/>
          <w:sz w:val="20"/>
          <w:szCs w:val="20"/>
        </w:rPr>
        <w:t xml:space="preserve">Assessment:  </w:t>
      </w:r>
      <w:r>
        <w:rPr>
          <w:color w:val="222222"/>
          <w:sz w:val="20"/>
          <w:szCs w:val="20"/>
        </w:rPr>
        <w:t xml:space="preserve">Module 1 check (12 items) + fluency sprints.</w:t>
      </w:r>
    </w:p>
    <w:p>
      <w:pPr>
        <w:spacing w:after="54" w:line="264"/>
        <w:ind w:left="260"/>
      </w:pPr>
      <w:r>
        <w:rPr>
          <w:b/>
          <w:bCs/>
          <w:color w:val="2E5A87"/>
          <w:sz w:val="20"/>
          <w:szCs w:val="20"/>
        </w:rPr>
        <w:t xml:space="preserve">Target:  </w:t>
      </w:r>
      <w:r>
        <w:rPr>
          <w:color w:val="222222"/>
          <w:sz w:val="20"/>
          <w:szCs w:val="20"/>
        </w:rPr>
        <w:t xml:space="preserve">3–4 weeks.  Status: materials complete (routine, tool, 5 worksheets, tracker, form).</w:t>
      </w:r>
    </w:p>
    <w:p>
      <w:pPr>
        <w:spacing w:after="60" w:before="160"/>
      </w:pPr>
      <w:r>
        <w:rPr>
          <w:b/>
          <w:bCs/>
          <w:color w:val="1F3B5B"/>
          <w:sz w:val="23"/>
          <w:szCs w:val="23"/>
        </w:rPr>
        <w:t xml:space="preserve">M2 · Multiplication: Facts → Multi-Digit</w:t>
      </w:r>
    </w:p>
    <w:p>
      <w:pPr>
        <w:spacing w:after="54" w:line="264"/>
        <w:ind w:left="260"/>
      </w:pPr>
      <w:r>
        <w:rPr>
          <w:b/>
          <w:bCs/>
          <w:color w:val="2E5A87"/>
          <w:sz w:val="20"/>
          <w:szCs w:val="20"/>
        </w:rPr>
        <w:t xml:space="preserve">Objective:  </w:t>
      </w:r>
      <w:r>
        <w:rPr>
          <w:color w:val="222222"/>
          <w:sz w:val="20"/>
          <w:szCs w:val="20"/>
        </w:rPr>
        <w:t xml:space="preserve">Automatic recall of multiplication facts (0–12) and fluent multi-digit multiplication.</w:t>
      </w:r>
    </w:p>
    <w:p>
      <w:pPr>
        <w:spacing w:after="54" w:line="264"/>
        <w:ind w:left="260"/>
      </w:pPr>
      <w:r>
        <w:rPr>
          <w:b/>
          <w:bCs/>
          <w:color w:val="2E5A87"/>
          <w:sz w:val="20"/>
          <w:szCs w:val="20"/>
        </w:rPr>
        <w:t xml:space="preserve">Key gaps:  </w:t>
      </w:r>
      <w:r>
        <w:rPr>
          <w:color w:val="222222"/>
          <w:sz w:val="20"/>
          <w:szCs w:val="20"/>
        </w:rPr>
        <w:t xml:space="preserve">Multiply by 1-digit numbers (Gr 5); identify factors (Gr 4); compare numbers using multiplication (Gr 4); facts to 10 (Gr 3).</w:t>
      </w:r>
    </w:p>
    <w:p>
      <w:pPr>
        <w:spacing w:after="54" w:line="264"/>
        <w:ind w:left="260"/>
      </w:pPr>
      <w:r>
        <w:rPr>
          <w:b/>
          <w:bCs/>
          <w:color w:val="2E5A87"/>
          <w:sz w:val="20"/>
          <w:szCs w:val="20"/>
        </w:rPr>
        <w:t xml:space="preserve">Standard method:  </w:t>
      </w:r>
      <w:r>
        <w:rPr>
          <w:color w:val="222222"/>
          <w:sz w:val="20"/>
          <w:szCs w:val="20"/>
        </w:rPr>
        <w:t xml:space="preserve">Times-table automaticity first; then the standard multi-digit algorithm — partial products made explicit, then compressed. The box method is a bridge, not the destination.</w:t>
      </w:r>
    </w:p>
    <w:p>
      <w:pPr>
        <w:spacing w:after="54" w:line="264"/>
        <w:ind w:left="260"/>
      </w:pPr>
      <w:r>
        <w:rPr>
          <w:b/>
          <w:bCs/>
          <w:color w:val="2E5A87"/>
          <w:sz w:val="20"/>
          <w:szCs w:val="20"/>
        </w:rPr>
        <w:t xml:space="preserve">Watch for:  </w:t>
      </w:r>
      <w:r>
        <w:rPr>
          <w:color w:val="222222"/>
          <w:sz w:val="20"/>
          <w:szCs w:val="20"/>
        </w:rPr>
        <w:t xml:space="preserve">The place-value shift on the second partial line (the “add a zero”), gaps in recalled facts.</w:t>
      </w:r>
    </w:p>
    <w:p>
      <w:pPr>
        <w:spacing w:after="54" w:line="264"/>
        <w:ind w:left="260"/>
      </w:pPr>
      <w:r>
        <w:rPr>
          <w:b/>
          <w:bCs/>
          <w:color w:val="2E5A87"/>
          <w:sz w:val="20"/>
          <w:szCs w:val="20"/>
        </w:rPr>
        <w:t xml:space="preserve">Assessment:  </w:t>
      </w:r>
      <w:r>
        <w:rPr>
          <w:color w:val="222222"/>
          <w:sz w:val="20"/>
          <w:szCs w:val="20"/>
        </w:rPr>
        <w:t xml:space="preserve">Facts fluency sprint + 2- and 3-digit × 1- and 2-digit check.</w:t>
      </w:r>
    </w:p>
    <w:p>
      <w:pPr>
        <w:spacing w:after="54" w:line="264"/>
        <w:ind w:left="260"/>
      </w:pPr>
      <w:r>
        <w:rPr>
          <w:b/>
          <w:bCs/>
          <w:color w:val="2E5A87"/>
          <w:sz w:val="20"/>
          <w:szCs w:val="20"/>
        </w:rPr>
        <w:t xml:space="preserve">Target:  </w:t>
      </w:r>
      <w:r>
        <w:rPr>
          <w:color w:val="222222"/>
          <w:sz w:val="20"/>
          <w:szCs w:val="20"/>
        </w:rPr>
        <w:t xml:space="preserve">4–5 weeks.</w:t>
      </w:r>
    </w:p>
    <w:p>
      <w:pPr>
        <w:spacing w:after="60" w:before="160"/>
      </w:pPr>
      <w:r>
        <w:rPr>
          <w:b/>
          <w:bCs/>
          <w:color w:val="1F3B5B"/>
          <w:sz w:val="23"/>
          <w:szCs w:val="23"/>
        </w:rPr>
        <w:t xml:space="preserve">M3 · Division: Facts → Long Division</w:t>
      </w:r>
    </w:p>
    <w:p>
      <w:pPr>
        <w:spacing w:after="54" w:line="264"/>
        <w:ind w:left="260"/>
      </w:pPr>
      <w:r>
        <w:rPr>
          <w:b/>
          <w:bCs/>
          <w:color w:val="2E5A87"/>
          <w:sz w:val="20"/>
          <w:szCs w:val="20"/>
        </w:rPr>
        <w:t xml:space="preserve">Objective:  </w:t>
      </w:r>
      <w:r>
        <w:rPr>
          <w:color w:val="222222"/>
          <w:sz w:val="20"/>
          <w:szCs w:val="20"/>
        </w:rPr>
        <w:t xml:space="preserve">Division facts and the standard long-division algorithm (1-digit then 2-digit divisors).</w:t>
      </w:r>
    </w:p>
    <w:p>
      <w:pPr>
        <w:spacing w:after="54" w:line="264"/>
        <w:ind w:left="260"/>
      </w:pPr>
      <w:r>
        <w:rPr>
          <w:b/>
          <w:bCs/>
          <w:color w:val="2E5A87"/>
          <w:sz w:val="20"/>
          <w:szCs w:val="20"/>
        </w:rPr>
        <w:t xml:space="preserve">Key gaps:  </w:t>
      </w:r>
      <w:r>
        <w:rPr>
          <w:color w:val="222222"/>
          <w:sz w:val="20"/>
          <w:szCs w:val="20"/>
        </w:rPr>
        <w:t xml:space="preserve">Divide multi-digit numbers by 1-digit numbers (Gr 5); division word problems (Gr 3).</w:t>
      </w:r>
    </w:p>
    <w:p>
      <w:pPr>
        <w:spacing w:after="54" w:line="264"/>
        <w:ind w:left="260"/>
      </w:pPr>
      <w:r>
        <w:rPr>
          <w:b/>
          <w:bCs/>
          <w:color w:val="2E5A87"/>
          <w:sz w:val="20"/>
          <w:szCs w:val="20"/>
        </w:rPr>
        <w:t xml:space="preserve">Standard method:  </w:t>
      </w:r>
      <w:r>
        <w:rPr>
          <w:color w:val="222222"/>
          <w:sz w:val="20"/>
          <w:szCs w:val="20"/>
        </w:rPr>
        <w:t xml:space="preserve">Standard long division — divide, multiply, subtract, bring down — tied explicitly to known multiplication facts.</w:t>
      </w:r>
    </w:p>
    <w:p>
      <w:pPr>
        <w:spacing w:after="54" w:line="264"/>
        <w:ind w:left="260"/>
      </w:pPr>
      <w:r>
        <w:rPr>
          <w:b/>
          <w:bCs/>
          <w:color w:val="2E5A87"/>
          <w:sz w:val="20"/>
          <w:szCs w:val="20"/>
        </w:rPr>
        <w:t xml:space="preserve">Watch for:  </w:t>
      </w:r>
      <w:r>
        <w:rPr>
          <w:color w:val="222222"/>
          <w:sz w:val="20"/>
          <w:szCs w:val="20"/>
        </w:rPr>
        <w:t xml:space="preserve">Place value in the quotient, handling remainders, zeros in the quotient.</w:t>
      </w:r>
    </w:p>
    <w:p>
      <w:pPr>
        <w:spacing w:after="54" w:line="264"/>
        <w:ind w:left="260"/>
      </w:pPr>
      <w:r>
        <w:rPr>
          <w:b/>
          <w:bCs/>
          <w:color w:val="2E5A87"/>
          <w:sz w:val="20"/>
          <w:szCs w:val="20"/>
        </w:rPr>
        <w:t xml:space="preserve">Assessment:  </w:t>
      </w:r>
      <w:r>
        <w:rPr>
          <w:color w:val="222222"/>
          <w:sz w:val="20"/>
          <w:szCs w:val="20"/>
        </w:rPr>
        <w:t xml:space="preserve">Long-division check + division facts.</w:t>
      </w:r>
    </w:p>
    <w:p>
      <w:pPr>
        <w:spacing w:after="54" w:line="264"/>
        <w:ind w:left="260"/>
      </w:pPr>
      <w:r>
        <w:rPr>
          <w:b/>
          <w:bCs/>
          <w:color w:val="2E5A87"/>
          <w:sz w:val="20"/>
          <w:szCs w:val="20"/>
        </w:rPr>
        <w:t xml:space="preserve">Target:  </w:t>
      </w:r>
      <w:r>
        <w:rPr>
          <w:color w:val="222222"/>
          <w:sz w:val="20"/>
          <w:szCs w:val="20"/>
        </w:rPr>
        <w:t xml:space="preserve">4–5 weeks.</w:t>
      </w:r>
    </w:p>
    <w:p>
      <w:pPr>
        <w:pStyle w:val="Heading2"/>
        <w:spacing w:after="90" w:before="220"/>
      </w:pPr>
      <w:r>
        <w:rPr>
          <w:b/>
          <w:bCs/>
          <w:color w:val="2E5A87"/>
          <w:sz w:val="24"/>
          <w:szCs w:val="24"/>
        </w:rPr>
        <w:t xml:space="preserve">Tier 2 — Rational Numbers</w:t>
      </w:r>
    </w:p>
    <w:p>
      <w:pPr>
        <w:spacing w:after="60" w:before="160"/>
      </w:pPr>
      <w:r>
        <w:rPr>
          <w:b/>
          <w:bCs/>
          <w:color w:val="1F3B5B"/>
          <w:sz w:val="23"/>
          <w:szCs w:val="23"/>
        </w:rPr>
        <w:t xml:space="preserve">M4 · Fractions: Meaning, Equivalence &amp; Operations</w:t>
      </w:r>
    </w:p>
    <w:p>
      <w:pPr>
        <w:spacing w:after="54" w:line="264"/>
        <w:ind w:left="260"/>
      </w:pPr>
      <w:r>
        <w:rPr>
          <w:b/>
          <w:bCs/>
          <w:color w:val="2E5A87"/>
          <w:sz w:val="20"/>
          <w:szCs w:val="20"/>
        </w:rPr>
        <w:t xml:space="preserve">Objective:  </w:t>
      </w:r>
      <w:r>
        <w:rPr>
          <w:color w:val="222222"/>
          <w:sz w:val="20"/>
          <w:szCs w:val="20"/>
        </w:rPr>
        <w:t xml:space="preserve">Fraction meaning, equivalence, comparison, and the four operations.</w:t>
      </w:r>
    </w:p>
    <w:p>
      <w:pPr>
        <w:spacing w:after="54" w:line="264"/>
        <w:ind w:left="260"/>
      </w:pPr>
      <w:r>
        <w:rPr>
          <w:b/>
          <w:bCs/>
          <w:color w:val="2E5A87"/>
          <w:sz w:val="20"/>
          <w:szCs w:val="20"/>
        </w:rPr>
        <w:t xml:space="preserve">Key gaps:  </w:t>
      </w:r>
      <w:r>
        <w:rPr>
          <w:color w:val="222222"/>
          <w:sz w:val="20"/>
          <w:szCs w:val="20"/>
        </w:rPr>
        <w:t xml:space="preserve">Compare fractions with like denominators (Gr 3); multiply two fractions (Gr 5); divide fractions (Gr 6).</w:t>
      </w:r>
    </w:p>
    <w:p>
      <w:pPr>
        <w:spacing w:after="54" w:line="264"/>
        <w:ind w:left="260"/>
      </w:pPr>
      <w:r>
        <w:rPr>
          <w:b/>
          <w:bCs/>
          <w:color w:val="2E5A87"/>
          <w:sz w:val="20"/>
          <w:szCs w:val="20"/>
        </w:rPr>
        <w:t xml:space="preserve">Standard method:  </w:t>
      </w:r>
      <w:r>
        <w:rPr>
          <w:color w:val="222222"/>
          <w:sz w:val="20"/>
          <w:szCs w:val="20"/>
        </w:rPr>
        <w:t xml:space="preserve">Common denominators for + / − (not the butterfly trick); multiply across; divide by multiplying by the reciprocal with the reasoning shown (not bare “keep-change-flip”).</w:t>
      </w:r>
    </w:p>
    <w:p>
      <w:pPr>
        <w:spacing w:after="54" w:line="264"/>
        <w:ind w:left="260"/>
      </w:pPr>
      <w:r>
        <w:rPr>
          <w:b/>
          <w:bCs/>
          <w:color w:val="2E5A87"/>
          <w:sz w:val="20"/>
          <w:szCs w:val="20"/>
        </w:rPr>
        <w:t xml:space="preserve">Watch for:  </w:t>
      </w:r>
      <w:r>
        <w:rPr>
          <w:color w:val="222222"/>
          <w:sz w:val="20"/>
          <w:szCs w:val="20"/>
        </w:rPr>
        <w:t xml:space="preserve">Adding denominators, mixing up the operations' procedures, operating without a common denominator.</w:t>
      </w:r>
    </w:p>
    <w:p>
      <w:pPr>
        <w:spacing w:after="54" w:line="264"/>
        <w:ind w:left="260"/>
      </w:pPr>
      <w:r>
        <w:rPr>
          <w:b/>
          <w:bCs/>
          <w:color w:val="2E5A87"/>
          <w:sz w:val="20"/>
          <w:szCs w:val="20"/>
        </w:rPr>
        <w:t xml:space="preserve">Assessment:  </w:t>
      </w:r>
      <w:r>
        <w:rPr>
          <w:color w:val="222222"/>
          <w:sz w:val="20"/>
          <w:szCs w:val="20"/>
        </w:rPr>
        <w:t xml:space="preserve">Fraction-operations check.</w:t>
      </w:r>
    </w:p>
    <w:p>
      <w:pPr>
        <w:spacing w:after="54" w:line="264"/>
        <w:ind w:left="260"/>
      </w:pPr>
      <w:r>
        <w:rPr>
          <w:b/>
          <w:bCs/>
          <w:color w:val="2E5A87"/>
          <w:sz w:val="20"/>
          <w:szCs w:val="20"/>
        </w:rPr>
        <w:t xml:space="preserve">Target:  </w:t>
      </w:r>
      <w:r>
        <w:rPr>
          <w:color w:val="222222"/>
          <w:sz w:val="20"/>
          <w:szCs w:val="20"/>
        </w:rPr>
        <w:t xml:space="preserve">5–6 weeks (the largest rung).</w:t>
      </w:r>
    </w:p>
    <w:p>
      <w:pPr>
        <w:spacing w:after="60" w:before="160"/>
      </w:pPr>
      <w:r>
        <w:rPr>
          <w:b/>
          <w:bCs/>
          <w:color w:val="1F3B5B"/>
          <w:sz w:val="23"/>
          <w:szCs w:val="23"/>
        </w:rPr>
        <w:t xml:space="preserve">M5 · Decimals &amp; Percents</w:t>
      </w:r>
    </w:p>
    <w:p>
      <w:pPr>
        <w:spacing w:after="54" w:line="264"/>
        <w:ind w:left="260"/>
      </w:pPr>
      <w:r>
        <w:rPr>
          <w:b/>
          <w:bCs/>
          <w:color w:val="2E5A87"/>
          <w:sz w:val="20"/>
          <w:szCs w:val="20"/>
        </w:rPr>
        <w:t xml:space="preserve">Objective:  </w:t>
      </w:r>
      <w:r>
        <w:rPr>
          <w:color w:val="222222"/>
          <w:sz w:val="20"/>
          <w:szCs w:val="20"/>
        </w:rPr>
        <w:t xml:space="preserve">Decimal operations and conversions among fractions, decimals, and percents.</w:t>
      </w:r>
    </w:p>
    <w:p>
      <w:pPr>
        <w:spacing w:after="54" w:line="264"/>
        <w:ind w:left="260"/>
      </w:pPr>
      <w:r>
        <w:rPr>
          <w:b/>
          <w:bCs/>
          <w:color w:val="2E5A87"/>
          <w:sz w:val="20"/>
          <w:szCs w:val="20"/>
        </w:rPr>
        <w:t xml:space="preserve">Key gaps:  </w:t>
      </w:r>
      <w:r>
        <w:rPr>
          <w:color w:val="222222"/>
          <w:sz w:val="20"/>
          <w:szCs w:val="20"/>
        </w:rPr>
        <w:t xml:space="preserve">Add and subtract decimals (Gr 5); multiply a decimal by a 1-digit whole number (Gr 5); compare decimals (Gr 4).</w:t>
      </w:r>
    </w:p>
    <w:p>
      <w:pPr>
        <w:spacing w:after="54" w:line="264"/>
        <w:ind w:left="260"/>
      </w:pPr>
      <w:r>
        <w:rPr>
          <w:b/>
          <w:bCs/>
          <w:color w:val="2E5A87"/>
          <w:sz w:val="20"/>
          <w:szCs w:val="20"/>
        </w:rPr>
        <w:t xml:space="preserve">Standard method:  </w:t>
      </w:r>
      <w:r>
        <w:rPr>
          <w:color w:val="222222"/>
          <w:sz w:val="20"/>
          <w:szCs w:val="20"/>
        </w:rPr>
        <w:t xml:space="preserve">Line up decimal points for + / −; count decimal places for ×; place-value reasoning for conversions (no mnemonic gimmicks).</w:t>
      </w:r>
    </w:p>
    <w:p>
      <w:pPr>
        <w:spacing w:after="54" w:line="264"/>
        <w:ind w:left="260"/>
      </w:pPr>
      <w:r>
        <w:rPr>
          <w:b/>
          <w:bCs/>
          <w:color w:val="2E5A87"/>
          <w:sz w:val="20"/>
          <w:szCs w:val="20"/>
        </w:rPr>
        <w:t xml:space="preserve">Watch for:  </w:t>
      </w:r>
      <w:r>
        <w:rPr>
          <w:color w:val="222222"/>
          <w:sz w:val="20"/>
          <w:szCs w:val="20"/>
        </w:rPr>
        <w:t xml:space="preserve">Misaligned decimal points, lost place value, percent↔decimal shifts.</w:t>
      </w:r>
    </w:p>
    <w:p>
      <w:pPr>
        <w:spacing w:after="54" w:line="264"/>
        <w:ind w:left="260"/>
      </w:pPr>
      <w:r>
        <w:rPr>
          <w:b/>
          <w:bCs/>
          <w:color w:val="2E5A87"/>
          <w:sz w:val="20"/>
          <w:szCs w:val="20"/>
        </w:rPr>
        <w:t xml:space="preserve">Assessment:  </w:t>
      </w:r>
      <w:r>
        <w:rPr>
          <w:color w:val="222222"/>
          <w:sz w:val="20"/>
          <w:szCs w:val="20"/>
        </w:rPr>
        <w:t xml:space="preserve">Decimal &amp; percent check.</w:t>
      </w:r>
    </w:p>
    <w:p>
      <w:pPr>
        <w:spacing w:after="54" w:line="264"/>
        <w:ind w:left="260"/>
      </w:pPr>
      <w:r>
        <w:rPr>
          <w:b/>
          <w:bCs/>
          <w:color w:val="2E5A87"/>
          <w:sz w:val="20"/>
          <w:szCs w:val="20"/>
        </w:rPr>
        <w:t xml:space="preserve">Target:  </w:t>
      </w:r>
      <w:r>
        <w:rPr>
          <w:color w:val="222222"/>
          <w:sz w:val="20"/>
          <w:szCs w:val="20"/>
        </w:rPr>
        <w:t xml:space="preserve">4–5 weeks.</w:t>
      </w:r>
    </w:p>
    <w:p>
      <w:pPr>
        <w:spacing w:after="60" w:before="160"/>
      </w:pPr>
      <w:r>
        <w:rPr>
          <w:b/>
          <w:bCs/>
          <w:color w:val="1F3B5B"/>
          <w:sz w:val="23"/>
          <w:szCs w:val="23"/>
        </w:rPr>
        <w:t xml:space="preserve">M6 · Integers &amp; Signed-Number Operations</w:t>
      </w:r>
    </w:p>
    <w:p>
      <w:pPr>
        <w:spacing w:after="54" w:line="264"/>
        <w:ind w:left="260"/>
      </w:pPr>
      <w:r>
        <w:rPr>
          <w:b/>
          <w:bCs/>
          <w:color w:val="2E5A87"/>
          <w:sz w:val="20"/>
          <w:szCs w:val="20"/>
        </w:rPr>
        <w:t xml:space="preserve">Objective:  </w:t>
      </w:r>
      <w:r>
        <w:rPr>
          <w:color w:val="222222"/>
          <w:sz w:val="20"/>
          <w:szCs w:val="20"/>
        </w:rPr>
        <w:t xml:space="preserve">Understand and operate with integers and signed numbers.</w:t>
      </w:r>
    </w:p>
    <w:p>
      <w:pPr>
        <w:spacing w:after="54" w:line="264"/>
        <w:ind w:left="260"/>
      </w:pPr>
      <w:r>
        <w:rPr>
          <w:b/>
          <w:bCs/>
          <w:color w:val="2E5A87"/>
          <w:sz w:val="20"/>
          <w:szCs w:val="20"/>
        </w:rPr>
        <w:t xml:space="preserve">Key gaps:  </w:t>
      </w:r>
      <w:r>
        <w:rPr>
          <w:color w:val="222222"/>
          <w:sz w:val="20"/>
          <w:szCs w:val="20"/>
        </w:rPr>
        <w:t xml:space="preserve">Compare integers (Gr 6); add integers on a number line (Gr 7); multiply by a negative integer (Gr 7).</w:t>
      </w:r>
    </w:p>
    <w:p>
      <w:pPr>
        <w:spacing w:after="54" w:line="264"/>
        <w:ind w:left="260"/>
      </w:pPr>
      <w:r>
        <w:rPr>
          <w:b/>
          <w:bCs/>
          <w:color w:val="2E5A87"/>
          <w:sz w:val="20"/>
          <w:szCs w:val="20"/>
        </w:rPr>
        <w:t xml:space="preserve">Standard method:  </w:t>
      </w:r>
      <w:r>
        <w:rPr>
          <w:color w:val="222222"/>
          <w:sz w:val="20"/>
          <w:szCs w:val="20"/>
        </w:rPr>
        <w:t xml:space="preserve">Number-line and zero-pair reasoning for + / −; sign rules for × / ÷ derived rather than only memorized.</w:t>
      </w:r>
    </w:p>
    <w:p>
      <w:pPr>
        <w:spacing w:after="54" w:line="264"/>
        <w:ind w:left="260"/>
      </w:pPr>
      <w:r>
        <w:rPr>
          <w:b/>
          <w:bCs/>
          <w:color w:val="2E5A87"/>
          <w:sz w:val="20"/>
          <w:szCs w:val="20"/>
        </w:rPr>
        <w:t xml:space="preserve">Watch for:  </w:t>
      </w:r>
      <w:r>
        <w:rPr>
          <w:color w:val="222222"/>
          <w:sz w:val="20"/>
          <w:szCs w:val="20"/>
        </w:rPr>
        <w:t xml:space="preserve">Subtracting negatives, sign errors in × / ÷.</w:t>
      </w:r>
    </w:p>
    <w:p>
      <w:pPr>
        <w:spacing w:after="54" w:line="264"/>
        <w:ind w:left="260"/>
      </w:pPr>
      <w:r>
        <w:rPr>
          <w:b/>
          <w:bCs/>
          <w:color w:val="2E5A87"/>
          <w:sz w:val="20"/>
          <w:szCs w:val="20"/>
        </w:rPr>
        <w:t xml:space="preserve">Assessment:  </w:t>
      </w:r>
      <w:r>
        <w:rPr>
          <w:color w:val="222222"/>
          <w:sz w:val="20"/>
          <w:szCs w:val="20"/>
        </w:rPr>
        <w:t xml:space="preserve">Integer-operations check.</w:t>
      </w:r>
    </w:p>
    <w:p>
      <w:pPr>
        <w:spacing w:after="54" w:line="264"/>
        <w:ind w:left="260"/>
      </w:pPr>
      <w:r>
        <w:rPr>
          <w:b/>
          <w:bCs/>
          <w:color w:val="2E5A87"/>
          <w:sz w:val="20"/>
          <w:szCs w:val="20"/>
        </w:rPr>
        <w:t xml:space="preserve">Target:  </w:t>
      </w:r>
      <w:r>
        <w:rPr>
          <w:color w:val="222222"/>
          <w:sz w:val="20"/>
          <w:szCs w:val="20"/>
        </w:rPr>
        <w:t xml:space="preserve">3–4 weeks.</w:t>
      </w:r>
    </w:p>
    <w:p>
      <w:pPr>
        <w:pStyle w:val="Heading2"/>
        <w:spacing w:after="90" w:before="220"/>
      </w:pPr>
      <w:r>
        <w:rPr>
          <w:b/>
          <w:bCs/>
          <w:color w:val="2E5A87"/>
          <w:sz w:val="24"/>
          <w:szCs w:val="24"/>
        </w:rPr>
        <w:t xml:space="preserve">Tier 3 — Toward Grade Level</w:t>
      </w:r>
    </w:p>
    <w:p>
      <w:pPr>
        <w:spacing w:after="60" w:before="160"/>
      </w:pPr>
      <w:r>
        <w:rPr>
          <w:b/>
          <w:bCs/>
          <w:color w:val="1F3B5B"/>
          <w:sz w:val="23"/>
          <w:szCs w:val="23"/>
        </w:rPr>
        <w:t xml:space="preserve">M7 · Ratios, Rates &amp; Proportional Reasoning</w:t>
      </w:r>
    </w:p>
    <w:p>
      <w:pPr>
        <w:spacing w:after="54" w:line="264"/>
        <w:ind w:left="260"/>
      </w:pPr>
      <w:r>
        <w:rPr>
          <w:b/>
          <w:bCs/>
          <w:color w:val="2E5A87"/>
          <w:sz w:val="20"/>
          <w:szCs w:val="20"/>
        </w:rPr>
        <w:t xml:space="preserve">Objective:  </w:t>
      </w:r>
      <w:r>
        <w:rPr>
          <w:color w:val="222222"/>
          <w:sz w:val="20"/>
          <w:szCs w:val="20"/>
        </w:rPr>
        <w:t xml:space="preserve">Ratios, rates, unit rates, and proportional reasoning.</w:t>
      </w:r>
    </w:p>
    <w:p>
      <w:pPr>
        <w:spacing w:after="54" w:line="264"/>
        <w:ind w:left="260"/>
      </w:pPr>
      <w:r>
        <w:rPr>
          <w:b/>
          <w:bCs/>
          <w:color w:val="2E5A87"/>
          <w:sz w:val="20"/>
          <w:szCs w:val="20"/>
        </w:rPr>
        <w:t xml:space="preserve">Key gaps:  </w:t>
      </w:r>
      <w:r>
        <w:rPr>
          <w:color w:val="222222"/>
          <w:sz w:val="20"/>
          <w:szCs w:val="20"/>
        </w:rPr>
        <w:t xml:space="preserve">Write a ratio (Gr 6); calculate unit rates (Gr 7); percent-of problems.</w:t>
      </w:r>
    </w:p>
    <w:p>
      <w:pPr>
        <w:spacing w:after="54" w:line="264"/>
        <w:ind w:left="260"/>
      </w:pPr>
      <w:r>
        <w:rPr>
          <w:b/>
          <w:bCs/>
          <w:color w:val="2E5A87"/>
          <w:sz w:val="20"/>
          <w:szCs w:val="20"/>
        </w:rPr>
        <w:t xml:space="preserve">Standard method:  </w:t>
      </w:r>
      <w:r>
        <w:rPr>
          <w:color w:val="222222"/>
          <w:sz w:val="20"/>
          <w:szCs w:val="20"/>
        </w:rPr>
        <w:t xml:space="preserve">Ratio tables and unit-rate reasoning; cross-multiplication introduced with its justification, not as a bare trick.</w:t>
      </w:r>
    </w:p>
    <w:p>
      <w:pPr>
        <w:spacing w:after="54" w:line="264"/>
        <w:ind w:left="260"/>
      </w:pPr>
      <w:r>
        <w:rPr>
          <w:b/>
          <w:bCs/>
          <w:color w:val="2E5A87"/>
          <w:sz w:val="20"/>
          <w:szCs w:val="20"/>
        </w:rPr>
        <w:t xml:space="preserve">Watch for:  </w:t>
      </w:r>
      <w:r>
        <w:rPr>
          <w:color w:val="222222"/>
          <w:sz w:val="20"/>
          <w:szCs w:val="20"/>
        </w:rPr>
        <w:t xml:space="preserve">Inverted ratios, additive-vs-multiplicative confusion.</w:t>
      </w:r>
    </w:p>
    <w:p>
      <w:pPr>
        <w:spacing w:after="54" w:line="264"/>
        <w:ind w:left="260"/>
      </w:pPr>
      <w:r>
        <w:rPr>
          <w:b/>
          <w:bCs/>
          <w:color w:val="2E5A87"/>
          <w:sz w:val="20"/>
          <w:szCs w:val="20"/>
        </w:rPr>
        <w:t xml:space="preserve">Assessment:  </w:t>
      </w:r>
      <w:r>
        <w:rPr>
          <w:color w:val="222222"/>
          <w:sz w:val="20"/>
          <w:szCs w:val="20"/>
        </w:rPr>
        <w:t xml:space="preserve">Proportional-reasoning check.</w:t>
      </w:r>
    </w:p>
    <w:p>
      <w:pPr>
        <w:spacing w:after="54" w:line="264"/>
        <w:ind w:left="260"/>
      </w:pPr>
      <w:r>
        <w:rPr>
          <w:b/>
          <w:bCs/>
          <w:color w:val="2E5A87"/>
          <w:sz w:val="20"/>
          <w:szCs w:val="20"/>
        </w:rPr>
        <w:t xml:space="preserve">Target:  </w:t>
      </w:r>
      <w:r>
        <w:rPr>
          <w:color w:val="222222"/>
          <w:sz w:val="20"/>
          <w:szCs w:val="20"/>
        </w:rPr>
        <w:t xml:space="preserve">3–4 weeks.</w:t>
      </w:r>
    </w:p>
    <w:p>
      <w:pPr>
        <w:spacing w:after="60" w:before="160"/>
      </w:pPr>
      <w:r>
        <w:rPr>
          <w:b/>
          <w:bCs/>
          <w:color w:val="1F3B5B"/>
          <w:sz w:val="23"/>
          <w:szCs w:val="23"/>
        </w:rPr>
        <w:t xml:space="preserve">M8 · Expressions, Exponents &amp; Order of Operations</w:t>
      </w:r>
    </w:p>
    <w:p>
      <w:pPr>
        <w:spacing w:after="54" w:line="264"/>
        <w:ind w:left="260"/>
      </w:pPr>
      <w:r>
        <w:rPr>
          <w:b/>
          <w:bCs/>
          <w:color w:val="2E5A87"/>
          <w:sz w:val="20"/>
          <w:szCs w:val="20"/>
        </w:rPr>
        <w:t xml:space="preserve">Objective:  </w:t>
      </w:r>
      <w:r>
        <w:rPr>
          <w:color w:val="222222"/>
          <w:sz w:val="20"/>
          <w:szCs w:val="20"/>
        </w:rPr>
        <w:t xml:space="preserve">Evaluate and write numerical and variable expressions; exponents; order of operations.</w:t>
      </w:r>
    </w:p>
    <w:p>
      <w:pPr>
        <w:spacing w:after="54" w:line="264"/>
        <w:ind w:left="260"/>
      </w:pPr>
      <w:r>
        <w:rPr>
          <w:b/>
          <w:bCs/>
          <w:color w:val="2E5A87"/>
          <w:sz w:val="20"/>
          <w:szCs w:val="20"/>
        </w:rPr>
        <w:t xml:space="preserve">Key gaps:  </w:t>
      </w:r>
      <w:r>
        <w:rPr>
          <w:color w:val="222222"/>
          <w:sz w:val="20"/>
          <w:szCs w:val="20"/>
        </w:rPr>
        <w:t xml:space="preserve">Write multiplication expressions using exponents (Gr 6 — the top single skill here); evaluate numerical expressions (Gr 5); order of operations.</w:t>
      </w:r>
    </w:p>
    <w:p>
      <w:pPr>
        <w:spacing w:after="54" w:line="264"/>
        <w:ind w:left="260"/>
      </w:pPr>
      <w:r>
        <w:rPr>
          <w:b/>
          <w:bCs/>
          <w:color w:val="2E5A87"/>
          <w:sz w:val="20"/>
          <w:szCs w:val="20"/>
        </w:rPr>
        <w:t xml:space="preserve">Standard method:  </w:t>
      </w:r>
      <w:r>
        <w:rPr>
          <w:color w:val="222222"/>
          <w:sz w:val="20"/>
          <w:szCs w:val="20"/>
        </w:rPr>
        <w:t xml:space="preserve">GEMS for order of operations (the one defensible mnemonic — it correctly groups ×/÷ and +/−); exponents as repeated multiplication.</w:t>
      </w:r>
    </w:p>
    <w:p>
      <w:pPr>
        <w:spacing w:after="54" w:line="264"/>
        <w:ind w:left="260"/>
      </w:pPr>
      <w:r>
        <w:rPr>
          <w:b/>
          <w:bCs/>
          <w:color w:val="2E5A87"/>
          <w:sz w:val="20"/>
          <w:szCs w:val="20"/>
        </w:rPr>
        <w:t xml:space="preserve">Watch for:  </w:t>
      </w:r>
      <w:r>
        <w:rPr>
          <w:color w:val="222222"/>
          <w:sz w:val="20"/>
          <w:szCs w:val="20"/>
        </w:rPr>
        <w:t xml:space="preserve">Left-to-right errors, misreading exponents.</w:t>
      </w:r>
    </w:p>
    <w:p>
      <w:pPr>
        <w:spacing w:after="54" w:line="264"/>
        <w:ind w:left="260"/>
      </w:pPr>
      <w:r>
        <w:rPr>
          <w:b/>
          <w:bCs/>
          <w:color w:val="2E5A87"/>
          <w:sz w:val="20"/>
          <w:szCs w:val="20"/>
        </w:rPr>
        <w:t xml:space="preserve">Assessment:  </w:t>
      </w:r>
      <w:r>
        <w:rPr>
          <w:color w:val="222222"/>
          <w:sz w:val="20"/>
          <w:szCs w:val="20"/>
        </w:rPr>
        <w:t xml:space="preserve">Expressions &amp; exponents check.</w:t>
      </w:r>
    </w:p>
    <w:p>
      <w:pPr>
        <w:spacing w:after="54" w:line="264"/>
        <w:ind w:left="260"/>
      </w:pPr>
      <w:r>
        <w:rPr>
          <w:b/>
          <w:bCs/>
          <w:color w:val="2E5A87"/>
          <w:sz w:val="20"/>
          <w:szCs w:val="20"/>
        </w:rPr>
        <w:t xml:space="preserve">Target:  </w:t>
      </w:r>
      <w:r>
        <w:rPr>
          <w:color w:val="222222"/>
          <w:sz w:val="20"/>
          <w:szCs w:val="20"/>
        </w:rPr>
        <w:t xml:space="preserve">3–4 weeks.</w:t>
      </w:r>
    </w:p>
    <w:p>
      <w:pPr>
        <w:spacing w:after="60" w:before="160"/>
      </w:pPr>
      <w:r>
        <w:rPr>
          <w:b/>
          <w:bCs/>
          <w:color w:val="1F3B5B"/>
          <w:sz w:val="23"/>
          <w:szCs w:val="23"/>
        </w:rPr>
        <w:t xml:space="preserve">M9 · Equations &amp; Linear Relationships  (the grade-8 destination)</w:t>
      </w:r>
    </w:p>
    <w:p>
      <w:pPr>
        <w:spacing w:after="54" w:line="264"/>
        <w:ind w:left="260"/>
      </w:pPr>
      <w:r>
        <w:rPr>
          <w:b/>
          <w:bCs/>
          <w:color w:val="2E5A87"/>
          <w:sz w:val="20"/>
          <w:szCs w:val="20"/>
        </w:rPr>
        <w:t xml:space="preserve">Objective:  </w:t>
      </w:r>
      <w:r>
        <w:rPr>
          <w:color w:val="222222"/>
          <w:sz w:val="20"/>
          <w:szCs w:val="20"/>
        </w:rPr>
        <w:t xml:space="preserve">Solve one- and two-step equations and inequalities; connect to linear relationships.</w:t>
      </w:r>
    </w:p>
    <w:p>
      <w:pPr>
        <w:spacing w:after="54" w:line="264"/>
        <w:ind w:left="260"/>
      </w:pPr>
      <w:r>
        <w:rPr>
          <w:b/>
          <w:bCs/>
          <w:color w:val="2E5A87"/>
          <w:sz w:val="20"/>
          <w:szCs w:val="20"/>
        </w:rPr>
        <w:t xml:space="preserve">Key gaps:  </w:t>
      </w:r>
      <w:r>
        <w:rPr>
          <w:color w:val="222222"/>
          <w:sz w:val="20"/>
          <w:szCs w:val="20"/>
        </w:rPr>
        <w:t xml:space="preserve">Find a value using two-variable equations (Gr 6); solutions to inequalities (Gr 6–7); toward linear functions (Gr 8).</w:t>
      </w:r>
    </w:p>
    <w:p>
      <w:pPr>
        <w:spacing w:after="54" w:line="264"/>
        <w:ind w:left="260"/>
      </w:pPr>
      <w:r>
        <w:rPr>
          <w:b/>
          <w:bCs/>
          <w:color w:val="2E5A87"/>
          <w:sz w:val="20"/>
          <w:szCs w:val="20"/>
        </w:rPr>
        <w:t xml:space="preserve">Standard method:  </w:t>
      </w:r>
      <w:r>
        <w:rPr>
          <w:color w:val="222222"/>
          <w:sz w:val="20"/>
          <w:szCs w:val="20"/>
        </w:rPr>
        <w:t xml:space="preserve">Inverse operations / keeping the equation balanced; connect each equation to its table and graph.</w:t>
      </w:r>
    </w:p>
    <w:p>
      <w:pPr>
        <w:spacing w:after="54" w:line="264"/>
        <w:ind w:left="260"/>
      </w:pPr>
      <w:r>
        <w:rPr>
          <w:b/>
          <w:bCs/>
          <w:color w:val="2E5A87"/>
          <w:sz w:val="20"/>
          <w:szCs w:val="20"/>
        </w:rPr>
        <w:t xml:space="preserve">Watch for:  </w:t>
      </w:r>
      <w:r>
        <w:rPr>
          <w:color w:val="222222"/>
          <w:sz w:val="20"/>
          <w:szCs w:val="20"/>
        </w:rPr>
        <w:t xml:space="preserve">Not doing the same operation to both sides, sign errors.</w:t>
      </w:r>
    </w:p>
    <w:p>
      <w:pPr>
        <w:spacing w:after="54" w:line="264"/>
        <w:ind w:left="260"/>
      </w:pPr>
      <w:r>
        <w:rPr>
          <w:b/>
          <w:bCs/>
          <w:color w:val="2E5A87"/>
          <w:sz w:val="20"/>
          <w:szCs w:val="20"/>
        </w:rPr>
        <w:t xml:space="preserve">Assessment:  </w:t>
      </w:r>
      <w:r>
        <w:rPr>
          <w:color w:val="222222"/>
          <w:sz w:val="20"/>
          <w:szCs w:val="20"/>
        </w:rPr>
        <w:t xml:space="preserve">Equations check — the grade-level exit measure.</w:t>
      </w:r>
    </w:p>
    <w:p>
      <w:pPr>
        <w:spacing w:after="54" w:line="264"/>
        <w:ind w:left="260"/>
      </w:pPr>
      <w:r>
        <w:rPr>
          <w:b/>
          <w:bCs/>
          <w:color w:val="2E5A87"/>
          <w:sz w:val="20"/>
          <w:szCs w:val="20"/>
        </w:rPr>
        <w:t xml:space="preserve">Target:  </w:t>
      </w:r>
      <w:r>
        <w:rPr>
          <w:color w:val="222222"/>
          <w:sz w:val="20"/>
          <w:szCs w:val="20"/>
        </w:rPr>
        <w:t xml:space="preserve">4–5 weeks.</w:t>
      </w:r>
    </w:p>
    <w:p>
      <w:pPr>
        <w:pStyle w:val="Heading1"/>
        <w:spacing w:after="120" w:before="300"/>
      </w:pPr>
      <w:r>
        <w:rPr>
          <w:b/>
          <w:bCs/>
          <w:color w:val="1F3B5B"/>
          <w:sz w:val="28"/>
          <w:szCs w:val="28"/>
        </w:rPr>
        <w:t xml:space="preserve">5.  Pacing &amp; the Year View</w:t>
      </w:r>
    </w:p>
    <w:p>
      <w:pPr>
        <w:spacing w:after="130" w:line="276"/>
        <w:jc w:val="both"/>
      </w:pPr>
      <w:r>
        <w:rPr>
          <w:color w:val="222222"/>
          <w:sz w:val="22"/>
          <w:szCs w:val="22"/>
        </w:rPr>
        <w:t xml:space="preserve">Honesty here protects the program. For students who begin three to four grade levels behind, the full ladder is </w:t>
      </w:r>
      <w:r>
        <w:rPr>
          <w:b/>
          <w:bCs/>
          <w:color w:val="222222"/>
          <w:sz w:val="22"/>
          <w:szCs w:val="22"/>
        </w:rPr>
        <w:t xml:space="preserve">more than one school year</w:t>
      </w:r>
      <w:r>
        <w:rPr>
          <w:color w:val="222222"/>
          <w:sz w:val="22"/>
          <w:szCs w:val="22"/>
        </w:rPr>
        <w:t xml:space="preserve"> of work, and pretending otherwise would set it up to be judged a failure. The realistic shape: the Whole-Number Fluency tier (M1–M3) fills roughly the first semester; the Rational Numbers tier (M4–M6) the second; and the Toward-Grade-Level tier (M7–M9) is where students arrive as they become ready, not all at once.</w:t>
      </w:r>
    </w:p>
    <w:p>
      <w:pPr>
        <w:spacing w:after="130" w:line="276"/>
        <w:jc w:val="both"/>
      </w:pPr>
      <w:r>
        <w:rPr>
          <w:color w:val="222222"/>
          <w:sz w:val="22"/>
          <w:szCs w:val="22"/>
        </w:rPr>
        <w:t xml:space="preserve">Because progress is diagnostic-driven and self-paced, the class does not march in lockstep. The measure of success is </w:t>
      </w:r>
      <w:r>
        <w:rPr>
          <w:b/>
          <w:bCs/>
          <w:color w:val="222222"/>
          <w:sz w:val="22"/>
          <w:szCs w:val="22"/>
        </w:rPr>
        <w:t xml:space="preserve">mastery, not coverage</w:t>
      </w:r>
      <w:r>
        <w:rPr>
          <w:color w:val="222222"/>
          <w:sz w:val="22"/>
          <w:szCs w:val="22"/>
        </w:rPr>
        <w:t xml:space="preserve">: a student who leaves the year genuinely fluent through M4 has gained years of ground, even if they did not reach M9. The grade-level rungs are the destination for those who get there — not a pace imposed on everyone, which is the very mistake (acceleration over foundation) that produced the gap in the first place.</w:t>
      </w:r>
    </w:p>
    <w:p>
      <w:pPr>
        <w:pStyle w:val="Heading1"/>
        <w:spacing w:after="120" w:before="300"/>
      </w:pPr>
      <w:r>
        <w:rPr>
          <w:b/>
          <w:bCs/>
          <w:color w:val="1F3B5B"/>
          <w:sz w:val="28"/>
          <w:szCs w:val="28"/>
        </w:rPr>
        <w:t xml:space="preserve">6.  Re-Assessment &amp; Success Metrics</w:t>
      </w:r>
    </w:p>
    <w:p>
      <w:pPr>
        <w:pStyle w:val="ListParagraph"/>
        <w:numPr>
          <w:ilvl w:val="0"/>
          <w:numId w:val="2"/>
        </w:numPr>
        <w:spacing w:after="80" w:line="272"/>
      </w:pPr>
      <w:r>
        <w:rPr>
          <w:b/>
          <w:bCs/>
          <w:color w:val="222222"/>
          <w:sz w:val="22"/>
          <w:szCs w:val="22"/>
        </w:rPr>
        <w:t xml:space="preserve">Quarterly diagnostic. </w:t>
      </w:r>
      <w:r>
        <w:rPr>
          <w:color w:val="222222"/>
          <w:sz w:val="22"/>
          <w:szCs w:val="22"/>
        </w:rPr>
        <w:t>Re-administer the diagnostic every ~9 weeks to measure movement up the grade-level bands and re-group the room.</w:t>
      </w:r>
    </w:p>
    <w:p>
      <w:pPr>
        <w:pStyle w:val="ListParagraph"/>
        <w:numPr>
          <w:ilvl w:val="0"/>
          <w:numId w:val="2"/>
        </w:numPr>
        <w:spacing w:after="80" w:line="272"/>
      </w:pPr>
      <w:r>
        <w:rPr>
          <w:b/>
          <w:bCs/>
          <w:color w:val="222222"/>
          <w:sz w:val="22"/>
          <w:szCs w:val="22"/>
        </w:rPr>
        <w:t xml:space="preserve">Per-module effect size. </w:t>
      </w:r>
      <w:r>
        <w:rPr>
          <w:color w:val="222222"/>
          <w:sz w:val="22"/>
          <w:szCs w:val="22"/>
        </w:rPr>
        <w:t xml:space="preserve">Each module reports a pre/post Cohen's d; a module clearing ~0.4 is producing at least a typical year's growth in that skill.</w:t>
      </w:r>
    </w:p>
    <w:p>
      <w:pPr>
        <w:pStyle w:val="ListParagraph"/>
        <w:numPr>
          <w:ilvl w:val="0"/>
          <w:numId w:val="2"/>
        </w:numPr>
        <w:spacing w:after="80" w:line="272"/>
      </w:pPr>
      <w:r>
        <w:rPr>
          <w:b/>
          <w:bCs/>
          <w:color w:val="222222"/>
          <w:sz w:val="22"/>
          <w:szCs w:val="22"/>
        </w:rPr>
        <w:t xml:space="preserve">Growth trends. </w:t>
      </w:r>
      <w:r>
        <w:rPr>
          <w:color w:val="222222"/>
          <w:sz w:val="22"/>
          <w:szCs w:val="22"/>
        </w:rPr>
        <w:t xml:space="preserve">The dashboard's per-student slope flags anyone whose mastery line is flat or falling, before a term is lost.</w:t>
      </w:r>
    </w:p>
    <w:p>
      <w:pPr>
        <w:pStyle w:val="ListParagraph"/>
        <w:numPr>
          <w:ilvl w:val="0"/>
          <w:numId w:val="2"/>
        </w:numPr>
        <w:spacing w:after="80" w:line="272"/>
      </w:pPr>
      <w:r>
        <w:rPr>
          <w:b/>
          <w:bCs/>
          <w:color w:val="222222"/>
          <w:sz w:val="22"/>
          <w:szCs w:val="22"/>
        </w:rPr>
        <w:t xml:space="preserve">The headline. </w:t>
      </w:r>
      <w:r>
        <w:rPr>
          <w:color w:val="222222"/>
          <w:sz w:val="22"/>
          <w:szCs w:val="22"/>
        </w:rPr>
        <w:t xml:space="preserve">Success is the cohort's recommendation mass moving off grades 2–5 and up toward grade level — the inverse of the distribution we started with.</w:t>
      </w:r>
    </w:p>
    <w:p>
      <w:pPr>
        <w:pStyle w:val="Heading1"/>
        <w:spacing w:after="120" w:before="300"/>
      </w:pPr>
      <w:r>
        <w:rPr>
          <w:b/>
          <w:bCs/>
          <w:color w:val="1F3B5B"/>
          <w:sz w:val="28"/>
          <w:szCs w:val="28"/>
        </w:rPr>
        <w:t xml:space="preserve">7.  Build Status</w:t>
      </w:r>
    </w:p>
    <w:p>
      <w:pPr>
        <w:spacing w:after="130" w:line="276"/>
        <w:jc w:val="both"/>
      </w:pPr>
      <w:r>
        <w:rPr>
          <w:color w:val="222222"/>
          <w:sz w:val="22"/>
          <w:szCs w:val="22"/>
        </w:rPr>
        <w:t xml:space="preserve">The Module 1 kit is complete and serves as the template for every rung above it:</w:t>
      </w:r>
    </w:p>
    <w:p>
      <w:pPr>
        <w:pStyle w:val="ListParagraph"/>
        <w:numPr>
          <w:ilvl w:val="0"/>
          <w:numId w:val="2"/>
        </w:numPr>
        <w:spacing w:after="80" w:line="272"/>
      </w:pPr>
      <w:r>
        <w:rPr>
          <w:b/>
          <w:bCs/>
          <w:color w:val="222222"/>
          <w:sz w:val="22"/>
          <w:szCs w:val="22"/>
        </w:rPr>
        <w:t xml:space="preserve">Built (M1): </w:t>
      </w:r>
      <w:r>
        <w:rPr>
          <w:color w:val="222222"/>
          <w:sz w:val="22"/>
          <w:szCs w:val="22"/>
        </w:rPr>
        <w:t xml:space="preserve">teacher routine, adaptive Fluency Lab, five practice worksheets (two support levels), the tracker/dashboard with effect-size analysis, and the self-grading Form builder.</w:t>
      </w:r>
    </w:p>
    <w:p>
      <w:pPr>
        <w:pStyle w:val="ListParagraph"/>
        <w:numPr>
          <w:ilvl w:val="0"/>
          <w:numId w:val="2"/>
        </w:numPr>
        <w:spacing w:after="80" w:line="272"/>
      </w:pPr>
      <w:r>
        <w:rPr>
          <w:b/>
          <w:bCs/>
          <w:color w:val="222222"/>
          <w:sz w:val="22"/>
          <w:szCs w:val="22"/>
        </w:rPr>
        <w:t xml:space="preserve">Next (M2 – Multiplication): </w:t>
      </w:r>
      <w:r>
        <w:rPr>
          <w:color w:val="222222"/>
          <w:sz w:val="22"/>
          <w:szCs w:val="22"/>
        </w:rPr>
        <w:t xml:space="preserve">the same kit — extend the Fluency Lab to facts and the multi-digit algorithm, add the routine, worksheet pair, and Form; the tracker already accommodates it.</w:t>
      </w:r>
    </w:p>
    <w:p>
      <w:pPr>
        <w:pStyle w:val="ListParagraph"/>
        <w:numPr>
          <w:ilvl w:val="0"/>
          <w:numId w:val="2"/>
        </w:numPr>
        <w:spacing w:after="80" w:line="272"/>
      </w:pPr>
      <w:r>
        <w:rPr>
          <w:b/>
          <w:bCs/>
          <w:color w:val="222222"/>
          <w:sz w:val="22"/>
          <w:szCs w:val="22"/>
        </w:rPr>
        <w:t xml:space="preserve">Then: </w:t>
      </w:r>
      <w:r>
        <w:rPr>
          <w:color w:val="222222"/>
          <w:sz w:val="22"/>
          <w:szCs w:val="22"/>
        </w:rPr>
        <w:t xml:space="preserve">M3 onward, each following the same template so the program scales without redesign.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9AB"/>
        <w:sz w:val="16"/>
        <w:szCs w:val="16"/>
      </w:rPr>
      <w:t xml:space="preserve">Page </w:t>
    </w:r>
    <w:r>
      <w:rPr>
        <w:color w:val="8A99AB"/>
        <w:sz w:val="16"/>
        <w:szCs w:val="16"/>
      </w:rPr>
      <w:fldChar w:fldCharType="begin"/>
      <w:instrText xml:space="preserve">PAGE</w:instrText>
      <w:fldChar w:fldCharType="separate"/>
      <w:fldChar w:fldCharType="end"/>
    </w:r>
    <w:r>
      <w:rPr>
        <w:color w:val="8A99AB"/>
        <w:sz w:val="16"/>
        <w:szCs w:val="16"/>
      </w:rPr>
      <w:t xml:space="preserve"> of </w:t>
    </w:r>
    <w:r>
      <w:rPr>
        <w:color w:val="8A99A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2"/>
      </w:pBdr>
      <w:spacing w:after="40"/>
      <w:jc w:val="right"/>
    </w:pPr>
    <w:r>
      <w:rPr>
        <w:color w:val="8A99AB"/>
        <w:sz w:val="16"/>
        <w:szCs w:val="16"/>
      </w:rPr>
      <w:t xml:space="preserve">Fluency Lab  •  Scope &amp; Sequence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E7C7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2026-10-05T17:23:00.931Z</dcterms:created>
  <dcterms:modified xsi:type="dcterms:W3CDTF">2026-10-05T17:23:00.939Z</dcterms:modified>
</cp:coreProperties>
</file>

<file path=docProps/custom.xml><?xml version="1.0" encoding="utf-8"?>
<Properties xmlns="http://schemas.openxmlformats.org/officeDocument/2006/custom-properties" xmlns:vt="http://schemas.openxmlformats.org/officeDocument/2006/docPropsVTypes"/>
</file>