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b/>
          <w:bCs/>
          <w:color w:val="1F3B5B"/>
          <w:sz w:val="52"/>
          <w:szCs w:val="52"/>
        </w:rPr>
        <w:t xml:space="preserve">FLUENCY LAB</w:t>
      </w:r>
    </w:p>
    <w:p>
      <w:pPr>
        <w:spacing w:after="60"/>
        <w:jc w:val="center"/>
      </w:pPr>
      <w:r>
        <w:rPr>
          <w:b/>
          <w:bCs/>
          <w:color w:val="0E7C7B"/>
          <w:sz w:val="26"/>
          <w:szCs w:val="26"/>
        </w:rPr>
        <w:t xml:space="preserve">A Fluency-First Foundational Math Program</w:t>
      </w:r>
    </w:p>
    <w:p>
      <w:pPr>
        <w:spacing w:after="40"/>
        <w:jc w:val="center"/>
      </w:pPr>
      <w:r>
        <w:rPr>
          <w:i/>
          <w:iCs/>
          <w:color w:val="444444"/>
          <w:sz w:val="22"/>
          <w:szCs w:val="22"/>
        </w:rPr>
        <w:t xml:space="preserve">Building Automaticity as the On-Ramp to Higher-Order Mathematical Thinking</w:t>
      </w:r>
    </w:p>
    <w:p>
      <w:pPr>
        <w:pBdr>
          <w:bottom w:val="single" w:color="1F3B5B" w:sz="10" w:space="4"/>
        </w:pBdr>
        <w:spacing w:after="200"/>
        <w:jc w:val="center"/>
      </w:pPr>
      <w:r>
        <w:rPr>
          <w:color w:val="444444"/>
          <w:sz w:val="18"/>
          <w:szCs w:val="18"/>
        </w:rPr>
        <w:t xml:space="preserve">A Proposal for Grade 8 Mathematics  •  [School / Department]  •  [Date]</w:t>
      </w:r>
    </w:p>
    <w:p>
      <w:pPr>
        <w:pStyle w:val="Heading1"/>
        <w:spacing w:after="140" w:before="320"/>
      </w:pPr>
      <w:r>
        <w:rPr>
          <w:b/>
          <w:bCs/>
          <w:color w:val="1F3B5B"/>
          <w:sz w:val="30"/>
          <w:szCs w:val="30"/>
        </w:rPr>
        <w:t xml:space="preserve">1.  Executive Summary</w:t>
      </w:r>
    </w:p>
    <w:p>
      <w:pPr>
        <w:spacing w:after="140" w:line="276"/>
        <w:jc w:val="both"/>
      </w:pPr>
      <w:r>
        <w:rPr>
          <w:color w:val="222222"/>
          <w:sz w:val="22"/>
          <w:szCs w:val="22"/>
        </w:rPr>
        <w:t xml:space="preserve">This proposal requests a modest, recurring block of instructional time — roughly 15–20 minutes at the start of every other class period, plus one 45-minute block each week — to run </w:t>
      </w:r>
      <w:r>
        <w:rPr>
          <w:b/>
          <w:bCs/>
          <w:color w:val="222222"/>
          <w:sz w:val="22"/>
          <w:szCs w:val="22"/>
        </w:rPr>
        <w:t xml:space="preserve">Fluency Lab</w:t>
      </w:r>
      <w:r>
        <w:rPr>
          <w:color w:val="222222"/>
          <w:sz w:val="22"/>
          <w:szCs w:val="22"/>
        </w:rPr>
        <w:t xml:space="preserve">, a diagnostic-driven program that rebuilds the foundational arithmetic fluency our eighth-grade students are missing. </w:t>
      </w:r>
      <w:r>
        <w:rPr>
          <w:i/>
          <w:iCs/>
          <w:color w:val="222222"/>
          <w:sz w:val="22"/>
          <w:szCs w:val="22"/>
        </w:rPr>
        <w:t xml:space="preserve"/>
      </w:r>
      <w:r>
        <w:rPr>
          <w:color w:val="222222"/>
          <w:sz w:val="22"/>
          <w:szCs w:val="22"/>
        </w:rPr>
        <w:t xml:space="preserve"/>
      </w:r>
    </w:p>
    <w:p>
      <w:pPr>
        <w:spacing w:after="140" w:line="276"/>
        <w:jc w:val="both"/>
      </w:pPr>
      <w:r>
        <w:rPr>
          <w:color w:val="222222"/>
          <w:sz w:val="22"/>
          <w:szCs w:val="22"/>
        </w:rPr>
        <w:t xml:space="preserve">The case rests on three claims, each documented in the sections that follow. </w:t>
      </w:r>
      <w:r>
        <w:rPr>
          <w:b/>
          <w:bCs/>
          <w:color w:val="222222"/>
          <w:sz w:val="22"/>
          <w:szCs w:val="22"/>
        </w:rPr>
        <w:t xml:space="preserve">First</w:t>
      </w:r>
      <w:r>
        <w:rPr>
          <w:color w:val="222222"/>
          <w:sz w:val="22"/>
          <w:szCs w:val="22"/>
        </w:rPr>
        <w:t xml:space="preserve">, our own diagnostic data shows that the median eighth grader in this cohort is being asked to reason about linear functions while still lacking automaticity with grade 2–5 arithmetic. </w:t>
      </w:r>
      <w:r>
        <w:rPr>
          <w:b/>
          <w:bCs/>
          <w:color w:val="222222"/>
          <w:sz w:val="22"/>
          <w:szCs w:val="22"/>
        </w:rPr>
        <w:t xml:space="preserve">Second</w:t>
      </w:r>
      <w:r>
        <w:rPr>
          <w:color w:val="222222"/>
          <w:sz w:val="22"/>
          <w:szCs w:val="22"/>
        </w:rPr>
        <w:t xml:space="preserve">, a large body of cognitive-science research holds that fluency is not the enemy of understanding but its precondition — automaticity frees the working memory that higher-order thinking requires. </w:t>
      </w:r>
      <w:r>
        <w:rPr>
          <w:b/>
          <w:bCs/>
          <w:color w:val="222222"/>
          <w:sz w:val="22"/>
          <w:szCs w:val="22"/>
        </w:rPr>
        <w:t xml:space="preserve">Third</w:t>
      </w:r>
      <w:r>
        <w:rPr>
          <w:color w:val="222222"/>
          <w:sz w:val="22"/>
          <w:szCs w:val="22"/>
        </w:rPr>
        <w:t xml:space="preserve">, the current defaults of discovery-first pedagogy and early acceleration, however well-intentioned, measurably widen achievement gaps and leave the majority of foundationally weak students behind. Fluency Lab is the corrective: explicit instruction, reliable procedures, deliberate practice, and tight data — delivered in a way designed to build motivation rather than anxiety.</w:t>
      </w:r>
    </w:p>
    <w:p>
      <w:pPr>
        <w:pStyle w:val="Heading1"/>
        <w:spacing w:after="140" w:before="320"/>
      </w:pPr>
      <w:r>
        <w:rPr>
          <w:b/>
          <w:bCs/>
          <w:color w:val="1F3B5B"/>
          <w:sz w:val="30"/>
          <w:szCs w:val="30"/>
        </w:rPr>
        <w:t xml:space="preserve">2.  The Problem: What Our Own Diagnostic Data Shows</w:t>
      </w:r>
    </w:p>
    <w:p>
      <w:pPr>
        <w:spacing w:after="140" w:line="276"/>
        <w:jc w:val="both"/>
      </w:pPr>
      <w:r>
        <w:rPr>
          <w:color w:val="222222"/>
          <w:sz w:val="22"/>
          <w:szCs w:val="22"/>
        </w:rPr>
        <w:t xml:space="preserve">The diagnostic was administered to </w:t>
      </w:r>
      <w:r>
        <w:rPr>
          <w:b/>
          <w:bCs/>
          <w:color w:val="222222"/>
          <w:sz w:val="22"/>
          <w:szCs w:val="22"/>
        </w:rPr>
        <w:t xml:space="preserve">61 eighth-grade students</w:t>
      </w:r>
      <w:r>
        <w:rPr>
          <w:color w:val="222222"/>
          <w:sz w:val="22"/>
          <w:szCs w:val="22"/>
        </w:rPr>
        <w:t xml:space="preserve">. The most revealing signal is not the overall score but the </w:t>
      </w:r>
      <w:r>
        <w:rPr>
          <w:b/>
          <w:bCs/>
          <w:color w:val="222222"/>
          <w:sz w:val="22"/>
          <w:szCs w:val="22"/>
        </w:rPr>
        <w:t>grade level of the skills the diagnostic itself recommends as each student's next step</w:t>
      </w:r>
      <w:r>
        <w:rPr>
          <w:color w:val="222222"/>
          <w:sz w:val="22"/>
          <w:szCs w:val="22"/>
        </w:rPr>
        <w:t>. These grade levels come from the diagnostic, not from our own judgment. Aggregated across all 61 students, they fall out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shd w:fill="1F3B5B" w:color="auto" w:val="clear"/>
            <w:tcMar>
              <w:top w:type="dxa" w:w="60"/>
              <w:left w:type="dxa" w:w="110"/>
              <w:bottom w:type="dxa" w:w="60"/>
              <w:right w:type="dxa" w:w="110"/>
            </w:tcMar>
          </w:tcPr>
          <w:p>
            <w:pPr>
              <w:spacing w:after="0" w:line="252"/>
              <w:jc w:val="left"/>
            </w:pPr>
            <w:r>
              <w:rPr>
                <w:b/>
                <w:bCs/>
                <w:color w:val="FFFFFF"/>
                <w:sz w:val="20"/>
                <w:szCs w:val="20"/>
              </w:rPr>
              <w:t xml:space="preserve">Grade level of recommended skill</w:t>
            </w:r>
          </w:p>
        </w:tc>
        <w:tc>
          <w:tcPr>
            <w:tcW w:type="dxa" w:w="3360"/>
            <w:shd w:fill="1F3B5B" w:color="auto" w:val="clear"/>
            <w:tcMar>
              <w:top w:type="dxa" w:w="60"/>
              <w:left w:type="dxa" w:w="110"/>
              <w:bottom w:type="dxa" w:w="60"/>
              <w:right w:type="dxa" w:w="110"/>
            </w:tcMar>
          </w:tcPr>
          <w:p>
            <w:pPr>
              <w:spacing w:after="0" w:line="252"/>
              <w:jc w:val="center"/>
            </w:pPr>
            <w:r>
              <w:rPr>
                <w:b/>
                <w:bCs/>
                <w:color w:val="FFFFFF"/>
                <w:sz w:val="20"/>
                <w:szCs w:val="20"/>
              </w:rPr>
              <w:t xml:space="preserve">Recommendations flagged (n = 61 students)</w:t>
            </w:r>
          </w:p>
        </w:tc>
      </w:tr>
      <w:tr>
        <w:trPr>
          <w:tblHeader w:val="false"/>
        </w:trPr>
        <w:tc>
          <w:tcPr>
            <w:tcW w:type="dxa" w:w="6000"/>
            <w:shd w:fill="FFFFFF" w:color="auto" w:val="clear"/>
            <w:tcMar>
              <w:top w:type="dxa" w:w="60"/>
              <w:left w:type="dxa" w:w="110"/>
              <w:bottom w:type="dxa" w:w="60"/>
              <w:right w:type="dxa" w:w="110"/>
            </w:tcMar>
          </w:tcPr>
          <w:p>
            <w:pPr>
              <w:spacing w:after="0" w:line="252"/>
              <w:jc w:val="left"/>
            </w:pPr>
            <w:r>
              <w:rPr>
                <w:b w:val="false"/>
                <w:bCs w:val="false"/>
                <w:color w:val="222222"/>
                <w:sz w:val="20"/>
                <w:szCs w:val="20"/>
              </w:rPr>
              <w:t xml:space="preserve">Grade 1</w:t>
            </w:r>
          </w:p>
        </w:tc>
        <w:tc>
          <w:tcPr>
            <w:tcW w:type="dxa" w:w="3360"/>
            <w:shd w:fill="FFFFFF"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5</w:t>
            </w:r>
          </w:p>
        </w:tc>
      </w:tr>
      <w:tr>
        <w:trPr>
          <w:tblHeader w:val="false"/>
        </w:trPr>
        <w:tc>
          <w:tcPr>
            <w:tcW w:type="dxa" w:w="6000"/>
            <w:shd w:fill="EEF3F8" w:color="auto" w:val="clear"/>
            <w:tcMar>
              <w:top w:type="dxa" w:w="60"/>
              <w:left w:type="dxa" w:w="110"/>
              <w:bottom w:type="dxa" w:w="60"/>
              <w:right w:type="dxa" w:w="110"/>
            </w:tcMar>
          </w:tcPr>
          <w:p>
            <w:pPr>
              <w:spacing w:after="0" w:line="252"/>
              <w:jc w:val="left"/>
            </w:pPr>
            <w:r>
              <w:rPr>
                <w:b w:val="false"/>
                <w:bCs w:val="false"/>
                <w:color w:val="222222"/>
                <w:sz w:val="20"/>
                <w:szCs w:val="20"/>
              </w:rPr>
              <w:t xml:space="preserve">Grade 2</w:t>
            </w:r>
          </w:p>
        </w:tc>
        <w:tc>
          <w:tcPr>
            <w:tcW w:type="dxa" w:w="3360"/>
            <w:shd w:fill="EEF3F8"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63</w:t>
            </w:r>
          </w:p>
        </w:tc>
      </w:tr>
      <w:tr>
        <w:trPr>
          <w:tblHeader w:val="false"/>
        </w:trPr>
        <w:tc>
          <w:tcPr>
            <w:tcW w:type="dxa" w:w="6000"/>
            <w:shd w:fill="FFFFFF" w:color="auto" w:val="clear"/>
            <w:tcMar>
              <w:top w:type="dxa" w:w="60"/>
              <w:left w:type="dxa" w:w="110"/>
              <w:bottom w:type="dxa" w:w="60"/>
              <w:right w:type="dxa" w:w="110"/>
            </w:tcMar>
          </w:tcPr>
          <w:p>
            <w:pPr>
              <w:spacing w:after="0" w:line="252"/>
              <w:jc w:val="left"/>
            </w:pPr>
            <w:r>
              <w:rPr>
                <w:b w:val="false"/>
                <w:bCs w:val="false"/>
                <w:color w:val="222222"/>
                <w:sz w:val="20"/>
                <w:szCs w:val="20"/>
              </w:rPr>
              <w:t xml:space="preserve">Grade 3</w:t>
            </w:r>
          </w:p>
        </w:tc>
        <w:tc>
          <w:tcPr>
            <w:tcW w:type="dxa" w:w="3360"/>
            <w:shd w:fill="FFFFFF"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64</w:t>
            </w:r>
          </w:p>
        </w:tc>
      </w:tr>
      <w:tr>
        <w:trPr>
          <w:tblHeader w:val="false"/>
        </w:trPr>
        <w:tc>
          <w:tcPr>
            <w:tcW w:type="dxa" w:w="6000"/>
            <w:shd w:fill="EEF3F8" w:color="auto" w:val="clear"/>
            <w:tcMar>
              <w:top w:type="dxa" w:w="60"/>
              <w:left w:type="dxa" w:w="110"/>
              <w:bottom w:type="dxa" w:w="60"/>
              <w:right w:type="dxa" w:w="110"/>
            </w:tcMar>
          </w:tcPr>
          <w:p>
            <w:pPr>
              <w:spacing w:after="0" w:line="252"/>
              <w:jc w:val="left"/>
            </w:pPr>
            <w:r>
              <w:rPr>
                <w:b w:val="false"/>
                <w:bCs w:val="false"/>
                <w:color w:val="222222"/>
                <w:sz w:val="20"/>
                <w:szCs w:val="20"/>
              </w:rPr>
              <w:t xml:space="preserve">Grade 4</w:t>
            </w:r>
          </w:p>
        </w:tc>
        <w:tc>
          <w:tcPr>
            <w:tcW w:type="dxa" w:w="3360"/>
            <w:shd w:fill="EEF3F8"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98</w:t>
            </w:r>
          </w:p>
        </w:tc>
      </w:tr>
      <w:tr>
        <w:trPr>
          <w:tblHeader w:val="false"/>
        </w:trPr>
        <w:tc>
          <w:tcPr>
            <w:tcW w:type="dxa" w:w="6000"/>
            <w:shd w:fill="FFFFFF" w:color="auto" w:val="clear"/>
            <w:tcMar>
              <w:top w:type="dxa" w:w="60"/>
              <w:left w:type="dxa" w:w="110"/>
              <w:bottom w:type="dxa" w:w="60"/>
              <w:right w:type="dxa" w:w="110"/>
            </w:tcMar>
          </w:tcPr>
          <w:p>
            <w:pPr>
              <w:spacing w:after="0" w:line="252"/>
              <w:jc w:val="left"/>
            </w:pPr>
            <w:r>
              <w:rPr>
                <w:b w:val="false"/>
                <w:bCs w:val="false"/>
                <w:color w:val="222222"/>
                <w:sz w:val="20"/>
                <w:szCs w:val="20"/>
              </w:rPr>
              <w:t xml:space="preserve">Grade 5</w:t>
            </w:r>
          </w:p>
        </w:tc>
        <w:tc>
          <w:tcPr>
            <w:tcW w:type="dxa" w:w="3360"/>
            <w:shd w:fill="FFFFFF"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100</w:t>
            </w:r>
          </w:p>
        </w:tc>
      </w:tr>
      <w:tr>
        <w:trPr>
          <w:tblHeader w:val="false"/>
        </w:trPr>
        <w:tc>
          <w:tcPr>
            <w:tcW w:type="dxa" w:w="6000"/>
            <w:shd w:fill="EEF3F8" w:color="auto" w:val="clear"/>
            <w:tcMar>
              <w:top w:type="dxa" w:w="60"/>
              <w:left w:type="dxa" w:w="110"/>
              <w:bottom w:type="dxa" w:w="60"/>
              <w:right w:type="dxa" w:w="110"/>
            </w:tcMar>
          </w:tcPr>
          <w:p>
            <w:pPr>
              <w:spacing w:after="0" w:line="252"/>
              <w:jc w:val="left"/>
            </w:pPr>
            <w:r>
              <w:rPr>
                <w:b w:val="false"/>
                <w:bCs w:val="false"/>
                <w:color w:val="222222"/>
                <w:sz w:val="20"/>
                <w:szCs w:val="20"/>
              </w:rPr>
              <w:t xml:space="preserve">Grade 6</w:t>
            </w:r>
          </w:p>
        </w:tc>
        <w:tc>
          <w:tcPr>
            <w:tcW w:type="dxa" w:w="3360"/>
            <w:shd w:fill="EEF3F8"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79</w:t>
            </w:r>
          </w:p>
        </w:tc>
      </w:tr>
      <w:tr>
        <w:trPr>
          <w:tblHeader w:val="false"/>
        </w:trPr>
        <w:tc>
          <w:tcPr>
            <w:tcW w:type="dxa" w:w="6000"/>
            <w:shd w:fill="FFFFFF" w:color="auto" w:val="clear"/>
            <w:tcMar>
              <w:top w:type="dxa" w:w="60"/>
              <w:left w:type="dxa" w:w="110"/>
              <w:bottom w:type="dxa" w:w="60"/>
              <w:right w:type="dxa" w:w="110"/>
            </w:tcMar>
          </w:tcPr>
          <w:p>
            <w:pPr>
              <w:spacing w:after="0" w:line="252"/>
              <w:jc w:val="left"/>
            </w:pPr>
            <w:r>
              <w:rPr>
                <w:b w:val="false"/>
                <w:bCs w:val="false"/>
                <w:color w:val="222222"/>
                <w:sz w:val="20"/>
                <w:szCs w:val="20"/>
              </w:rPr>
              <w:t xml:space="preserve">Grade 7</w:t>
            </w:r>
          </w:p>
        </w:tc>
        <w:tc>
          <w:tcPr>
            <w:tcW w:type="dxa" w:w="3360"/>
            <w:shd w:fill="FFFFFF"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19</w:t>
            </w:r>
          </w:p>
        </w:tc>
      </w:tr>
      <w:tr>
        <w:trPr>
          <w:tblHeader w:val="false"/>
        </w:trPr>
        <w:tc>
          <w:tcPr>
            <w:tcW w:type="dxa" w:w="6000"/>
            <w:shd w:fill="EEF3F8" w:color="auto" w:val="clear"/>
            <w:tcMar>
              <w:top w:type="dxa" w:w="60"/>
              <w:left w:type="dxa" w:w="110"/>
              <w:bottom w:type="dxa" w:w="60"/>
              <w:right w:type="dxa" w:w="110"/>
            </w:tcMar>
          </w:tcPr>
          <w:p>
            <w:pPr>
              <w:spacing w:after="0" w:line="252"/>
              <w:jc w:val="left"/>
            </w:pPr>
            <w:r>
              <w:rPr>
                <w:b w:val="false"/>
                <w:bCs w:val="false"/>
                <w:color w:val="222222"/>
                <w:sz w:val="20"/>
                <w:szCs w:val="20"/>
              </w:rPr>
              <w:t xml:space="preserve">Grade 8  (on grade level)</w:t>
            </w:r>
          </w:p>
        </w:tc>
        <w:tc>
          <w:tcPr>
            <w:tcW w:type="dxa" w:w="3360"/>
            <w:shd w:fill="EEF3F8" w:color="auto" w:val="clear"/>
            <w:tcMar>
              <w:top w:type="dxa" w:w="60"/>
              <w:left w:type="dxa" w:w="110"/>
              <w:bottom w:type="dxa" w:w="60"/>
              <w:right w:type="dxa" w:w="110"/>
            </w:tcMar>
          </w:tcPr>
          <w:p>
            <w:pPr>
              <w:spacing w:after="0" w:line="252"/>
              <w:jc w:val="center"/>
            </w:pPr>
            <w:r>
              <w:rPr>
                <w:b/>
                <w:bCs/>
                <w:color w:val="B03A2E"/>
                <w:sz w:val="20"/>
                <w:szCs w:val="20"/>
              </w:rPr>
              <w:t xml:space="preserve">3</w:t>
            </w:r>
          </w:p>
        </w:tc>
      </w:tr>
    </w:tbl>
    <w:p>
      <w:pPr>
        <w:spacing w:after="140" w:line="276"/>
        <w:jc w:val="both"/>
      </w:pPr>
      <w:r>
        <w:rPr>
          <w:color w:val="222222"/>
          <w:sz w:val="22"/>
          <w:szCs w:val="22"/>
        </w:rPr>
        <w:t xml:space="preserve">Read that bottom row again. Across sixty-one students, the diagnostic identified </w:t>
      </w:r>
      <w:r>
        <w:rPr>
          <w:b/>
          <w:bCs/>
          <w:color w:val="B03A2E"/>
          <w:sz w:val="22"/>
          <w:szCs w:val="22"/>
        </w:rPr>
        <w:t xml:space="preserve">three</w:t>
      </w:r>
      <w:r>
        <w:rPr>
          <w:color w:val="222222"/>
          <w:sz w:val="22"/>
          <w:szCs w:val="22"/>
        </w:rPr>
        <w:t xml:space="preserve"> next-step skills at grade level. The overwhelming mass of recommendations sits at grades 2 through 5. This is not a room that lacks conceptual sophistication; it is a room that cannot yet add, subtract, or multiply whole numbers without conscious effort.</w:t>
      </w:r>
    </w:p>
    <w:p>
      <w:pPr>
        <w:spacing w:after="140" w:line="276"/>
        <w:jc w:val="both"/>
      </w:pPr>
      <w:r>
        <w:rPr>
          <w:color w:val="222222"/>
          <w:sz w:val="22"/>
          <w:szCs w:val="22"/>
        </w:rPr>
        <w:t xml:space="preserve">The specific skills confirm the diagnosis. The most frequently recommended skills across the cohort were,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200"/>
        <w:gridCol w:w="2160"/>
      </w:tblGrid>
      <w:tr>
        <w:trPr>
          <w:tblHeader/>
        </w:trPr>
        <w:tc>
          <w:tcPr>
            <w:tcW w:type="dxa" w:w="6000"/>
            <w:shd w:fill="1F3B5B" w:color="auto" w:val="clear"/>
            <w:tcMar>
              <w:top w:type="dxa" w:w="60"/>
              <w:left w:type="dxa" w:w="110"/>
              <w:bottom w:type="dxa" w:w="60"/>
              <w:right w:type="dxa" w:w="110"/>
            </w:tcMar>
          </w:tcPr>
          <w:p>
            <w:pPr>
              <w:spacing w:after="0" w:line="252"/>
              <w:jc w:val="left"/>
            </w:pPr>
            <w:r>
              <w:rPr>
                <w:b/>
                <w:bCs/>
                <w:color w:val="FFFFFF"/>
                <w:sz w:val="20"/>
                <w:szCs w:val="20"/>
              </w:rPr>
              <w:t xml:space="preserve">Recommended skill</w:t>
            </w:r>
          </w:p>
        </w:tc>
        <w:tc>
          <w:tcPr>
            <w:tcW w:type="dxa" w:w="1200"/>
            <w:shd w:fill="1F3B5B" w:color="auto" w:val="clear"/>
            <w:tcMar>
              <w:top w:type="dxa" w:w="60"/>
              <w:left w:type="dxa" w:w="110"/>
              <w:bottom w:type="dxa" w:w="60"/>
              <w:right w:type="dxa" w:w="110"/>
            </w:tcMar>
          </w:tcPr>
          <w:p>
            <w:pPr>
              <w:spacing w:after="0" w:line="252"/>
              <w:jc w:val="center"/>
            </w:pPr>
            <w:r>
              <w:rPr>
                <w:b/>
                <w:bCs/>
                <w:color w:val="FFFFFF"/>
                <w:sz w:val="20"/>
                <w:szCs w:val="20"/>
              </w:rPr>
              <w:t xml:space="preserve">Grade</w:t>
            </w:r>
          </w:p>
        </w:tc>
        <w:tc>
          <w:tcPr>
            <w:tcW w:type="dxa" w:w="2160"/>
            <w:shd w:fill="1F3B5B" w:color="auto" w:val="clear"/>
            <w:tcMar>
              <w:top w:type="dxa" w:w="60"/>
              <w:left w:type="dxa" w:w="110"/>
              <w:bottom w:type="dxa" w:w="60"/>
              <w:right w:type="dxa" w:w="110"/>
            </w:tcMar>
          </w:tcPr>
          <w:p>
            <w:pPr>
              <w:spacing w:after="0" w:line="252"/>
              <w:jc w:val="center"/>
            </w:pPr>
            <w:r>
              <w:rPr>
                <w:b/>
                <w:bCs/>
                <w:color w:val="FFFFFF"/>
                <w:sz w:val="20"/>
                <w:szCs w:val="20"/>
              </w:rPr>
              <w:t xml:space="preserve">Students</w:t>
            </w:r>
          </w:p>
        </w:tc>
      </w:tr>
      <w:tr>
        <w:trPr>
          <w:tblHeader w:val="false"/>
        </w:trPr>
        <w:tc>
          <w:tcPr>
            <w:tcW w:type="dxa" w:w="6000"/>
            <w:shd w:fill="FFFFFF" w:color="auto" w:val="clear"/>
            <w:tcMar>
              <w:top w:type="dxa" w:w="60"/>
              <w:left w:type="dxa" w:w="110"/>
              <w:bottom w:type="dxa" w:w="60"/>
              <w:right w:type="dxa" w:w="110"/>
            </w:tcMar>
          </w:tcPr>
          <w:p>
            <w:pPr>
              <w:spacing w:after="0" w:line="252"/>
              <w:jc w:val="left"/>
            </w:pPr>
            <w:r>
              <w:rPr>
                <w:b w:val="false"/>
                <w:bCs w:val="false"/>
                <w:color w:val="222222"/>
                <w:sz w:val="20"/>
                <w:szCs w:val="20"/>
              </w:rPr>
              <w:t xml:space="preserve">Subtract two multi-digit numbers</w:t>
            </w:r>
          </w:p>
        </w:tc>
        <w:tc>
          <w:tcPr>
            <w:tcW w:type="dxa" w:w="1200"/>
            <w:shd w:fill="FFFFFF"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4</w:t>
            </w:r>
          </w:p>
        </w:tc>
        <w:tc>
          <w:tcPr>
            <w:tcW w:type="dxa" w:w="2160"/>
            <w:shd w:fill="FFFFFF"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9</w:t>
            </w:r>
          </w:p>
        </w:tc>
      </w:tr>
      <w:tr>
        <w:trPr>
          <w:tblHeader w:val="false"/>
        </w:trPr>
        <w:tc>
          <w:tcPr>
            <w:tcW w:type="dxa" w:w="6000"/>
            <w:shd w:fill="EEF3F8" w:color="auto" w:val="clear"/>
            <w:tcMar>
              <w:top w:type="dxa" w:w="60"/>
              <w:left w:type="dxa" w:w="110"/>
              <w:bottom w:type="dxa" w:w="60"/>
              <w:right w:type="dxa" w:w="110"/>
            </w:tcMar>
          </w:tcPr>
          <w:p>
            <w:pPr>
              <w:spacing w:after="0" w:line="252"/>
              <w:jc w:val="left"/>
            </w:pPr>
            <w:r>
              <w:rPr>
                <w:b w:val="false"/>
                <w:bCs w:val="false"/>
                <w:color w:val="222222"/>
                <w:sz w:val="20"/>
                <w:szCs w:val="20"/>
              </w:rPr>
              <w:t xml:space="preserve">Add two multi-digit numbers</w:t>
            </w:r>
          </w:p>
        </w:tc>
        <w:tc>
          <w:tcPr>
            <w:tcW w:type="dxa" w:w="1200"/>
            <w:shd w:fill="EEF3F8"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4</w:t>
            </w:r>
          </w:p>
        </w:tc>
        <w:tc>
          <w:tcPr>
            <w:tcW w:type="dxa" w:w="2160"/>
            <w:shd w:fill="EEF3F8"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8</w:t>
            </w:r>
          </w:p>
        </w:tc>
      </w:tr>
      <w:tr>
        <w:trPr>
          <w:tblHeader w:val="false"/>
        </w:trPr>
        <w:tc>
          <w:tcPr>
            <w:tcW w:type="dxa" w:w="6000"/>
            <w:shd w:fill="FFFFFF" w:color="auto" w:val="clear"/>
            <w:tcMar>
              <w:top w:type="dxa" w:w="60"/>
              <w:left w:type="dxa" w:w="110"/>
              <w:bottom w:type="dxa" w:w="60"/>
              <w:right w:type="dxa" w:w="110"/>
            </w:tcMar>
          </w:tcPr>
          <w:p>
            <w:pPr>
              <w:spacing w:after="0" w:line="252"/>
              <w:jc w:val="left"/>
            </w:pPr>
            <w:r>
              <w:rPr>
                <w:b w:val="false"/>
                <w:bCs w:val="false"/>
                <w:color w:val="222222"/>
                <w:sz w:val="20"/>
                <w:szCs w:val="20"/>
              </w:rPr>
              <w:t xml:space="preserve">Compare numbers using multiplication</w:t>
            </w:r>
          </w:p>
        </w:tc>
        <w:tc>
          <w:tcPr>
            <w:tcW w:type="dxa" w:w="1200"/>
            <w:shd w:fill="FFFFFF"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4</w:t>
            </w:r>
          </w:p>
        </w:tc>
        <w:tc>
          <w:tcPr>
            <w:tcW w:type="dxa" w:w="2160"/>
            <w:shd w:fill="FFFFFF"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8</w:t>
            </w:r>
          </w:p>
        </w:tc>
      </w:tr>
      <w:tr>
        <w:trPr>
          <w:tblHeader w:val="false"/>
        </w:trPr>
        <w:tc>
          <w:tcPr>
            <w:tcW w:type="dxa" w:w="6000"/>
            <w:shd w:fill="EEF3F8" w:color="auto" w:val="clear"/>
            <w:tcMar>
              <w:top w:type="dxa" w:w="60"/>
              <w:left w:type="dxa" w:w="110"/>
              <w:bottom w:type="dxa" w:w="60"/>
              <w:right w:type="dxa" w:w="110"/>
            </w:tcMar>
          </w:tcPr>
          <w:p>
            <w:pPr>
              <w:spacing w:after="0" w:line="252"/>
              <w:jc w:val="left"/>
            </w:pPr>
            <w:r>
              <w:rPr>
                <w:b w:val="false"/>
                <w:bCs w:val="false"/>
                <w:color w:val="222222"/>
                <w:sz w:val="20"/>
                <w:szCs w:val="20"/>
              </w:rPr>
              <w:t xml:space="preserve">Relationship between place values</w:t>
            </w:r>
          </w:p>
        </w:tc>
        <w:tc>
          <w:tcPr>
            <w:tcW w:type="dxa" w:w="1200"/>
            <w:shd w:fill="EEF3F8"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5</w:t>
            </w:r>
          </w:p>
        </w:tc>
        <w:tc>
          <w:tcPr>
            <w:tcW w:type="dxa" w:w="2160"/>
            <w:shd w:fill="EEF3F8"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7</w:t>
            </w:r>
          </w:p>
        </w:tc>
      </w:tr>
      <w:tr>
        <w:trPr>
          <w:tblHeader w:val="false"/>
        </w:trPr>
        <w:tc>
          <w:tcPr>
            <w:tcW w:type="dxa" w:w="6000"/>
            <w:shd w:fill="FFFFFF" w:color="auto" w:val="clear"/>
            <w:tcMar>
              <w:top w:type="dxa" w:w="60"/>
              <w:left w:type="dxa" w:w="110"/>
              <w:bottom w:type="dxa" w:w="60"/>
              <w:right w:type="dxa" w:w="110"/>
            </w:tcMar>
          </w:tcPr>
          <w:p>
            <w:pPr>
              <w:spacing w:after="0" w:line="252"/>
              <w:jc w:val="left"/>
            </w:pPr>
            <w:r>
              <w:rPr>
                <w:b w:val="false"/>
                <w:bCs w:val="false"/>
                <w:color w:val="222222"/>
                <w:sz w:val="20"/>
                <w:szCs w:val="20"/>
              </w:rPr>
              <w:t xml:space="preserve">Multiply by 1-digit numbers</w:t>
            </w:r>
          </w:p>
        </w:tc>
        <w:tc>
          <w:tcPr>
            <w:tcW w:type="dxa" w:w="1200"/>
            <w:shd w:fill="FFFFFF"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5</w:t>
            </w:r>
          </w:p>
        </w:tc>
        <w:tc>
          <w:tcPr>
            <w:tcW w:type="dxa" w:w="2160"/>
            <w:shd w:fill="FFFFFF"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6</w:t>
            </w:r>
          </w:p>
        </w:tc>
      </w:tr>
      <w:tr>
        <w:trPr>
          <w:tblHeader w:val="false"/>
        </w:trPr>
        <w:tc>
          <w:tcPr>
            <w:tcW w:type="dxa" w:w="6000"/>
            <w:shd w:fill="EEF3F8" w:color="auto" w:val="clear"/>
            <w:tcMar>
              <w:top w:type="dxa" w:w="60"/>
              <w:left w:type="dxa" w:w="110"/>
              <w:bottom w:type="dxa" w:w="60"/>
              <w:right w:type="dxa" w:w="110"/>
            </w:tcMar>
          </w:tcPr>
          <w:p>
            <w:pPr>
              <w:spacing w:after="0" w:line="252"/>
              <w:jc w:val="left"/>
            </w:pPr>
            <w:r>
              <w:rPr>
                <w:b w:val="false"/>
                <w:bCs w:val="false"/>
                <w:color w:val="222222"/>
                <w:sz w:val="20"/>
                <w:szCs w:val="20"/>
              </w:rPr>
              <w:t xml:space="preserve">Identify factors</w:t>
            </w:r>
          </w:p>
        </w:tc>
        <w:tc>
          <w:tcPr>
            <w:tcW w:type="dxa" w:w="1200"/>
            <w:shd w:fill="EEF3F8"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4</w:t>
            </w:r>
          </w:p>
        </w:tc>
        <w:tc>
          <w:tcPr>
            <w:tcW w:type="dxa" w:w="2160"/>
            <w:shd w:fill="EEF3F8"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6</w:t>
            </w:r>
          </w:p>
        </w:tc>
      </w:tr>
      <w:tr>
        <w:trPr>
          <w:tblHeader w:val="false"/>
        </w:trPr>
        <w:tc>
          <w:tcPr>
            <w:tcW w:type="dxa" w:w="6000"/>
            <w:shd w:fill="FFFFFF" w:color="auto" w:val="clear"/>
            <w:tcMar>
              <w:top w:type="dxa" w:w="60"/>
              <w:left w:type="dxa" w:w="110"/>
              <w:bottom w:type="dxa" w:w="60"/>
              <w:right w:type="dxa" w:w="110"/>
            </w:tcMar>
          </w:tcPr>
          <w:p>
            <w:pPr>
              <w:spacing w:after="0" w:line="252"/>
              <w:jc w:val="left"/>
            </w:pPr>
            <w:r>
              <w:rPr>
                <w:b w:val="false"/>
                <w:bCs w:val="false"/>
                <w:color w:val="222222"/>
                <w:sz w:val="20"/>
                <w:szCs w:val="20"/>
              </w:rPr>
              <w:t xml:space="preserve">Comparing numbers up to 1,000</w:t>
            </w:r>
          </w:p>
        </w:tc>
        <w:tc>
          <w:tcPr>
            <w:tcW w:type="dxa" w:w="1200"/>
            <w:shd w:fill="FFFFFF"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2</w:t>
            </w:r>
          </w:p>
        </w:tc>
        <w:tc>
          <w:tcPr>
            <w:tcW w:type="dxa" w:w="2160"/>
            <w:shd w:fill="FFFFFF"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5</w:t>
            </w:r>
          </w:p>
        </w:tc>
      </w:tr>
    </w:tbl>
    <w:p>
      <w:pPr>
        <w:spacing w:after="140" w:line="276"/>
        <w:jc w:val="both"/>
      </w:pPr>
      <w:r>
        <w:rPr>
          <w:color w:val="222222"/>
          <w:sz w:val="22"/>
          <w:szCs w:val="22"/>
        </w:rPr>
        <w:t xml:space="preserve">These are foundational computation skills — multi-digit operations, place value, factors. When a student must stop and reconstruct 7 × 8, there is no working memory left over to notice the structure of the equation that fact sits inside. That is the whole problem in one sentence, and it explains the </w:t>
      </w:r>
      <w:r>
        <w:rPr>
          <w:b/>
          <w:bCs/>
          <w:color w:val="222222"/>
          <w:sz w:val="22"/>
          <w:szCs w:val="22"/>
        </w:rPr>
        <w:t xml:space="preserve">bimodal, “inverse bell curve” distribution</w:t>
      </w:r>
      <w:r>
        <w:rPr>
          <w:color w:val="222222"/>
          <w:sz w:val="22"/>
          <w:szCs w:val="22"/>
        </w:rPr>
        <w:t xml:space="preserve"> we see in class performance: a cluster of students who are fluent and thriving, a cluster who are foundationally lost, and comparatively few in between. The sections that follow explain how a cohort arrives at this shape — and what to do about it.</w:t>
      </w:r>
    </w:p>
    <w:p>
      <w:pPr>
        <w:pStyle w:val="Heading1"/>
        <w:spacing w:after="140" w:before="320"/>
      </w:pPr>
      <w:r>
        <w:rPr>
          <w:b/>
          <w:bCs/>
          <w:color w:val="1F3B5B"/>
          <w:sz w:val="30"/>
          <w:szCs w:val="30"/>
        </w:rPr>
        <w:t xml:space="preserve">3.  A Diagnosis: How a Cohort Arrives Here</w:t>
      </w:r>
    </w:p>
    <w:p>
      <w:pPr>
        <w:spacing w:after="140" w:line="276"/>
        <w:jc w:val="both"/>
      </w:pPr>
      <w:r>
        <w:rPr>
          <w:color w:val="222222"/>
          <w:sz w:val="22"/>
          <w:szCs w:val="22"/>
        </w:rPr>
        <w:t xml:space="preserve">Two well-documented forces, both currently fashionable and both defended in the language of equity, combine to produce exactly this distribution.</w:t>
      </w:r>
    </w:p>
    <w:p>
      <w:pPr>
        <w:pStyle w:val="Heading2"/>
        <w:spacing w:after="100" w:before="220"/>
      </w:pPr>
      <w:r>
        <w:rPr>
          <w:b/>
          <w:bCs/>
          <w:color w:val="2E5A87"/>
          <w:sz w:val="25"/>
          <w:szCs w:val="25"/>
        </w:rPr>
        <w:t xml:space="preserve">3.1  The pedagogical pendulum: who discovery learning actually serves</w:t>
      </w:r>
    </w:p>
    <w:p>
      <w:pPr>
        <w:spacing w:after="140" w:line="276"/>
        <w:jc w:val="both"/>
      </w:pPr>
      <w:r>
        <w:rPr>
          <w:color w:val="222222"/>
          <w:sz w:val="22"/>
          <w:szCs w:val="22"/>
        </w:rPr>
        <w:t xml:space="preserve">Over the past two decades, mathematics instruction has shifted heavily toward discovery, inquiry, and “conceptual understanding first” approaches, often accompanied by a suspicion of standard algorithms and timed practice. The intention is admirable. The distributional effect is not.</w:t>
      </w:r>
    </w:p>
    <w:p>
      <w:pPr>
        <w:spacing w:after="140" w:line="276"/>
        <w:jc w:val="both"/>
      </w:pPr>
      <w:r>
        <w:rPr>
          <w:color w:val="222222"/>
          <w:sz w:val="22"/>
          <w:szCs w:val="22"/>
        </w:rPr>
        <w:t xml:space="preserve">The cognitive science here is unusually settled. Working memory is severely limited when handling novel information; long-term memory is not. Novices attempting to “discover” a procedure must hold too many unfamiliar elements at once and simply overload (Sweller, 1988; Kirschner, Sweller &amp; Clark, 2006). Crucially, the effect is not uniform across students. Reviews of aptitude–treatment interaction research find that </w:t>
      </w:r>
      <w:r>
        <w:rPr>
          <w:b/>
          <w:bCs/>
          <w:color w:val="222222"/>
          <w:sz w:val="22"/>
          <w:szCs w:val="22"/>
        </w:rPr>
        <w:t xml:space="preserve">higher-skilled learners tend to learn more under low guidance, while lower-skilled learners learn more under high guidance</w:t>
      </w:r>
      <w:r>
        <w:rPr>
          <w:color w:val="222222"/>
          <w:sz w:val="22"/>
          <w:szCs w:val="22"/>
        </w:rPr>
        <w:t xml:space="preserve"> — and that minimally guided instruction can actively </w:t>
      </w:r>
      <w:r>
        <w:rPr>
          <w:i/>
          <w:iCs/>
          <w:color w:val="222222"/>
          <w:sz w:val="22"/>
          <w:szCs w:val="22"/>
        </w:rPr>
        <w:t xml:space="preserve">widen</w:t>
      </w:r>
      <w:r>
        <w:rPr>
          <w:color w:val="222222"/>
          <w:sz w:val="22"/>
          <w:szCs w:val="22"/>
        </w:rPr>
        <w:t xml:space="preserve"> the achievement gap (Kirschner, Sweller &amp; Clark, 2006; Clark, 1989). Discovery works best for the student who already carries enough background knowledge to make the discovery — and that student is disproportionately the one with academic support, pressure, and enrichment at home.</w:t>
      </w:r>
    </w:p>
    <w:p>
      <w:pPr>
        <w:spacing w:after="140" w:line="276"/>
        <w:jc w:val="both"/>
      </w:pPr>
      <w:r>
        <w:rPr>
          <w:color w:val="222222"/>
          <w:sz w:val="22"/>
          <w:szCs w:val="22"/>
        </w:rPr>
        <w:t xml:space="preserve">This is the uncomfortable equity inversion at the heart of the proposal. A pedagogy marketed as egalitarian quietly rewards prior advantage. The already-motivated, already-supported minority — often the more socioeconomically advantaged — flourish under open-ended instruction; the majority, who needed to be shown, are left to conclude they are simply “not math people.” Explicit instruction, by contrast, is the more equitable default precisely because it does not assume the knowledge or the home support that many students do not have (Stokke, 2015; Powell et al., 2020).</w:t>
      </w:r>
    </w:p>
    <w:p>
      <w:pPr>
        <w:pStyle w:val="Heading2"/>
        <w:spacing w:after="100" w:before="220"/>
      </w:pPr>
      <w:r>
        <w:rPr>
          <w:b/>
          <w:bCs/>
          <w:color w:val="2E5A87"/>
          <w:sz w:val="25"/>
          <w:szCs w:val="25"/>
        </w:rPr>
        <w:t xml:space="preserve">3.2  The acceleration trap: the rush to high-school math</w:t>
      </w:r>
    </w:p>
    <w:p>
      <w:pPr>
        <w:spacing w:after="140" w:line="276"/>
        <w:jc w:val="both"/>
      </w:pPr>
      <w:r>
        <w:rPr>
          <w:color w:val="222222"/>
          <w:sz w:val="22"/>
          <w:szCs w:val="22"/>
        </w:rPr>
        <w:t xml:space="preserve">The second force is structural. Schools face strong incentives to push students into high-school mathematics early — Algebra I by grade 8 has become a prestige metric, and administrators are often evaluated on the share of students who reach it. Acceleration in practice usually means </w:t>
      </w:r>
      <w:r>
        <w:rPr>
          <w:b/>
          <w:bCs/>
          <w:color w:val="222222"/>
          <w:sz w:val="22"/>
          <w:szCs w:val="22"/>
        </w:rPr>
        <w:t xml:space="preserve">skipping or compressing foundational standards</w:t>
      </w:r>
      <w:r>
        <w:rPr>
          <w:color w:val="222222"/>
          <w:sz w:val="22"/>
          <w:szCs w:val="22"/>
        </w:rPr>
        <w:t xml:space="preserve">, which is precisely how grade 2–5 gaps survive into an eighth-grade classroom nominally studying functions (Curriculum Associates, 2024; Illustrative Mathematics, 2020).</w:t>
      </w:r>
    </w:p>
    <w:p>
      <w:pPr>
        <w:spacing w:after="140" w:line="276"/>
        <w:jc w:val="both"/>
      </w:pPr>
      <w:r>
        <w:rPr>
          <w:color w:val="222222"/>
          <w:sz w:val="22"/>
          <w:szCs w:val="22"/>
        </w:rPr>
        <w:t xml:space="preserve">The rigorous evidence on this is sobering and directly relevant. Using policy-induced shifts in the timing of algebra across large North Carolina districts, Clotfelter, Ladd &amp; Vigdor (2015) found </w:t>
      </w:r>
      <w:r>
        <w:rPr>
          <w:b/>
          <w:bCs/>
          <w:color w:val="222222"/>
          <w:sz w:val="22"/>
          <w:szCs w:val="22"/>
        </w:rPr>
        <w:t xml:space="preserve">no positive average effect of acceleration and significant negative effects on Algebra I and Geometry performance</w:t>
      </w:r>
      <w:r>
        <w:rPr>
          <w:color w:val="222222"/>
          <w:sz w:val="22"/>
          <w:szCs w:val="22"/>
        </w:rPr>
        <w:t xml:space="preserve"> — with the damage concentrated among the bottom of the prior-achievement distribution. Their summary is blunt: acceleration was benign or beneficial for higher-performing students but unambiguously harmful to the lowest performers. Companion studies report that large fractions of accelerated students must repeat Algebra I, with little gain the second time (Fong et al., 2014; Finkelstein et al., 2012).</w:t>
      </w:r>
    </w:p>
    <w:p>
      <w:pPr>
        <w:spacing w:after="140" w:line="276"/>
        <w:jc w:val="both"/>
      </w:pPr>
      <w:r>
        <w:rPr>
          <w:color w:val="222222"/>
          <w:sz w:val="22"/>
          <w:szCs w:val="22"/>
        </w:rPr>
        <w:t xml:space="preserve">Put the two forces together and the inverse bell curve is no longer mysterious. Acceleration removes time from the foundation; discovery-first pedagogy removes the explicit instruction that foundationally weak students most need; and mathematics, being relentlessly cumulative, compounds every unaddressed gap. The students who can absorb this — the supported minority — pull ahead. Everyone else falls quietly into the lower mode. Fluency Lab is designed to repopulate the middle.</w:t>
      </w:r>
    </w:p>
    <w:p>
      <w:pPr>
        <w:pStyle w:val="Heading1"/>
        <w:spacing w:after="140" w:before="320"/>
      </w:pPr>
      <w:r>
        <w:rPr>
          <w:b/>
          <w:bCs/>
          <w:color w:val="1F3B5B"/>
          <w:sz w:val="30"/>
          <w:szCs w:val="30"/>
        </w:rPr>
        <w:t xml:space="preserve">4.  The Theoretical Case: Why Fluency Comes First</w:t>
      </w:r>
    </w:p>
    <w:p>
      <w:pPr>
        <w:spacing w:after="140" w:line="276"/>
        <w:jc w:val="both"/>
      </w:pPr>
      <w:r>
        <w:rPr>
          <w:color w:val="222222"/>
          <w:sz w:val="22"/>
          <w:szCs w:val="22"/>
        </w:rPr>
        <w:t xml:space="preserve">The premise of Fluency Lab is that </w:t>
      </w:r>
      <w:r>
        <w:rPr>
          <w:b/>
          <w:bCs/>
          <w:color w:val="222222"/>
          <w:sz w:val="22"/>
          <w:szCs w:val="22"/>
        </w:rPr>
        <w:t xml:space="preserve">automaticity is the on-ramp to higher-order thinking, not a detour from it</w:t>
      </w:r>
      <w:r>
        <w:rPr>
          <w:color w:val="222222"/>
          <w:sz w:val="22"/>
          <w:szCs w:val="22"/>
        </w:rPr>
        <w:t xml:space="preserve">. This is not nostalgia for drill; it is what the science of learning now argues.</w:t>
      </w:r>
    </w:p>
    <w:p>
      <w:pPr>
        <w:pStyle w:val="ListParagraph"/>
        <w:numPr>
          <w:ilvl w:val="0"/>
          <w:numId w:val="2"/>
        </w:numPr>
        <w:spacing w:after="80" w:line="272"/>
      </w:pPr>
      <w:r>
        <w:rPr>
          <w:b/>
          <w:bCs/>
          <w:color w:val="222222"/>
          <w:sz w:val="22"/>
          <w:szCs w:val="22"/>
        </w:rPr>
        <w:t xml:space="preserve">Cognitive Load Theory (Sweller, 1988; Sweller, Ayres &amp; Kalyuga, 2011). </w:t>
      </w:r>
      <w:r>
        <w:rPr>
          <w:color w:val="222222"/>
          <w:sz w:val="22"/>
          <w:szCs w:val="22"/>
        </w:rPr>
        <w:t xml:space="preserve">Automatic recall of facts and procedures consumes almost no working memory, freeing that scarce resource for reasoning, multi-step problem solving, and pattern recognition. A student fluent in arithmetic can attend to the mathematics; a student who is not, cannot.</w:t>
      </w:r>
    </w:p>
    <w:p>
      <w:pPr>
        <w:pStyle w:val="ListParagraph"/>
        <w:numPr>
          <w:ilvl w:val="0"/>
          <w:numId w:val="2"/>
        </w:numPr>
        <w:spacing w:after="80" w:line="272"/>
      </w:pPr>
      <w:r>
        <w:rPr>
          <w:b/>
          <w:bCs/>
          <w:color w:val="222222"/>
          <w:sz w:val="22"/>
          <w:szCs w:val="22"/>
        </w:rPr>
        <w:t xml:space="preserve">Fluency “bootstraps” higher thinking (McNeil, Jordan, Viegut &amp; Ansari, 2025). </w:t>
      </w:r>
      <w:r>
        <w:rPr>
          <w:color w:val="222222"/>
          <w:sz w:val="22"/>
          <w:szCs w:val="22"/>
        </w:rPr>
        <w:t xml:space="preserve">A recent synthesis in Psychological Science in the Public Interest argues that achieving arithmetic fluency, through practice and automatization, facilitates the discovery and construction of new and more advanced strategies. In their words, fluency bootstraps higher-level thinking — the exact sequence this program is built on: comfort first, then the noticing of patterns and connections.</w:t>
      </w:r>
    </w:p>
    <w:p>
      <w:pPr>
        <w:pStyle w:val="ListParagraph"/>
        <w:numPr>
          <w:ilvl w:val="0"/>
          <w:numId w:val="2"/>
        </w:numPr>
        <w:spacing w:after="80" w:line="272"/>
      </w:pPr>
      <w:r>
        <w:rPr>
          <w:b/>
          <w:bCs/>
          <w:color w:val="222222"/>
          <w:sz w:val="22"/>
          <w:szCs w:val="22"/>
        </w:rPr>
        <w:t xml:space="preserve">Knowledge precedes critical thinking (Willingham, 2009). </w:t>
      </w:r>
      <w:r>
        <w:rPr>
          <w:color w:val="222222"/>
          <w:sz w:val="22"/>
          <w:szCs w:val="22"/>
        </w:rPr>
        <w:t xml:space="preserve">Cognitive scientist Daniel Willingham's core finding for classrooms: you cannot think critically about content you cannot fluently retrieve. Higher-order skill is not content-free; it is built on automatized lower-order knowledge.</w:t>
      </w:r>
    </w:p>
    <w:p>
      <w:pPr>
        <w:pStyle w:val="ListParagraph"/>
        <w:numPr>
          <w:ilvl w:val="0"/>
          <w:numId w:val="2"/>
        </w:numPr>
        <w:spacing w:after="80" w:line="272"/>
      </w:pPr>
      <w:r>
        <w:rPr>
          <w:b/>
          <w:bCs/>
          <w:color w:val="222222"/>
          <w:sz w:val="22"/>
          <w:szCs w:val="22"/>
        </w:rPr>
        <w:t xml:space="preserve">Explicit instruction and deliberate practice (Rosenshine, 2012; Ericsson et al., 1993). </w:t>
      </w:r>
      <w:r>
        <w:rPr>
          <w:color w:val="222222"/>
          <w:sz w:val="22"/>
          <w:szCs w:val="22"/>
        </w:rPr>
        <w:t xml:space="preserve">Learning is fastest when new procedures are clearly modeled, practiced with immediate corrective feedback, and rehearsed to a high success rate — not left to be inferred. Expertise in every performance domain, from music to mathematics, is built through structured, targeted, feedback-rich practice.</w:t>
      </w:r>
    </w:p>
    <w:p>
      <w:pPr>
        <w:pStyle w:val="ListParagraph"/>
        <w:numPr>
          <w:ilvl w:val="0"/>
          <w:numId w:val="2"/>
        </w:numPr>
        <w:spacing w:after="80" w:line="272"/>
      </w:pPr>
      <w:r>
        <w:rPr>
          <w:b/>
          <w:bCs/>
          <w:color w:val="222222"/>
          <w:sz w:val="22"/>
          <w:szCs w:val="22"/>
        </w:rPr>
        <w:t xml:space="preserve">Automaticity as the strongest early correlate of math success. </w:t>
      </w:r>
      <w:r>
        <w:rPr>
          <w:color w:val="222222"/>
          <w:sz w:val="22"/>
          <w:szCs w:val="22"/>
        </w:rPr>
        <w:t xml:space="preserve">Basic calculation fluency is among the strongest predictors of later mathematics achievement and one of the most common markers of mathematics difficulty; without fact retrieval, later tasks such as finding common denominators become disproportionately hard (Geary, 2011; information-processing research).</w:t>
      </w:r>
    </w:p>
    <w:p>
      <w:pPr>
        <w:spacing w:after="140" w:line="276"/>
        <w:jc w:val="both"/>
      </w:pPr>
      <w:r>
        <w:rPr>
          <w:color w:val="222222"/>
          <w:sz w:val="22"/>
          <w:szCs w:val="22"/>
        </w:rPr>
        <w:t xml:space="preserve">The music analogy is not decoration — it is the same mechanism. A young musician plays scales and études to automaticity so that working memory is freed for phrasing, and only then does improvisation become possible. No one begins with the circle of fifths. Proceduralization precedes artistry. Mathematics develops along the same explicit-to-implicit path.</w:t>
      </w:r>
    </w:p>
    <w:p>
      <w:pPr>
        <w:pStyle w:val="Heading2"/>
        <w:spacing w:after="100" w:before="220"/>
      </w:pPr>
      <w:r>
        <w:rPr>
          <w:b/>
          <w:bCs/>
          <w:color w:val="2E5A87"/>
          <w:sz w:val="25"/>
          <w:szCs w:val="25"/>
        </w:rPr>
        <w:t xml:space="preserve">4.1  What this is NOT: a necessary clarification</w:t>
      </w:r>
    </w:p>
    <w:p>
      <w:pPr>
        <w:spacing w:after="140" w:line="276"/>
        <w:jc w:val="both"/>
      </w:pPr>
      <w:r>
        <w:rPr>
          <w:color w:val="222222"/>
          <w:sz w:val="22"/>
          <w:szCs w:val="22"/>
        </w:rPr>
        <w:t xml:space="preserve">This proposal does not argue against understanding, and saying so plainly strengthens the case. The National Mathematics Advisory Panel (2008) concluded that conceptual understanding, procedural fluency, and automatic fact recall are </w:t>
      </w:r>
      <w:r>
        <w:rPr>
          <w:b/>
          <w:bCs/>
          <w:color w:val="222222"/>
          <w:sz w:val="22"/>
          <w:szCs w:val="22"/>
        </w:rPr>
        <w:t xml:space="preserve">mutually reinforcing</w:t>
      </w:r>
      <w:r>
        <w:rPr>
          <w:color w:val="222222"/>
          <w:sz w:val="22"/>
          <w:szCs w:val="22"/>
        </w:rPr>
        <w:t xml:space="preserve">; the disagreement is about </w:t>
      </w:r>
      <w:r>
        <w:rPr>
          <w:i/>
          <w:iCs/>
          <w:color w:val="222222"/>
          <w:sz w:val="22"/>
          <w:szCs w:val="22"/>
        </w:rPr>
        <w:t xml:space="preserve">sequence</w:t>
      </w:r>
      <w:r>
        <w:rPr>
          <w:color w:val="222222"/>
          <w:sz w:val="22"/>
          <w:szCs w:val="22"/>
        </w:rPr>
        <w:t xml:space="preserve">, not destination. Understanding is where we are going. Fluency is how these particular students get on the road. Two guardrails keep the program honest:</w:t>
      </w:r>
    </w:p>
    <w:p>
      <w:pPr>
        <w:pStyle w:val="ListParagraph"/>
        <w:numPr>
          <w:ilvl w:val="0"/>
          <w:numId w:val="3"/>
        </w:numPr>
        <w:spacing w:after="80" w:line="272"/>
      </w:pPr>
      <w:r>
        <w:rPr>
          <w:b/>
          <w:bCs/>
          <w:color w:val="222222"/>
          <w:sz w:val="22"/>
          <w:szCs w:val="22"/>
        </w:rPr>
        <w:t xml:space="preserve">Reliable, generalizable procedures — not gimmicks. </w:t>
      </w:r>
      <w:r>
        <w:rPr>
          <w:color w:val="222222"/>
          <w:sz w:val="22"/>
          <w:szCs w:val="22"/>
        </w:rPr>
        <w:t xml:space="preserve">We teach procedures that encode real structure (the standard multiplication algorithm encodes place value; common-denominator addition encodes equivalence), because those give students patterns to abstract later. We deliberately avoid non-generalizable tricks — the “butterfly method,” for instance, collapses the moment a third fraction appears — because a shortcut that hides structure is a dead end, not an on-ramp.</w:t>
      </w:r>
    </w:p>
    <w:p>
      <w:pPr>
        <w:pStyle w:val="ListParagraph"/>
        <w:numPr>
          <w:ilvl w:val="0"/>
          <w:numId w:val="3"/>
        </w:numPr>
        <w:spacing w:after="80" w:line="272"/>
      </w:pPr>
      <w:r>
        <w:rPr>
          <w:b/>
          <w:bCs/>
          <w:color w:val="222222"/>
          <w:sz w:val="22"/>
          <w:szCs w:val="22"/>
        </w:rPr>
        <w:t xml:space="preserve">A light “why” interleaved with the “what.” </w:t>
      </w:r>
      <w:r>
        <w:rPr>
          <w:color w:val="222222"/>
          <w:sz w:val="22"/>
          <w:szCs w:val="22"/>
        </w:rPr>
        <w:t xml:space="preserve">Following explicit-instruction research, each procedural routine is paired with a brief conceptual anchor delivered in the same session, so fluency and meaning grow together rather than in sequence.</w:t>
      </w:r>
    </w:p>
    <w:p>
      <w:pPr>
        <w:pStyle w:val="Heading1"/>
        <w:spacing w:after="140" w:before="320"/>
      </w:pPr>
      <w:r>
        <w:rPr>
          <w:b/>
          <w:bCs/>
          <w:color w:val="1F3B5B"/>
          <w:sz w:val="30"/>
          <w:szCs w:val="30"/>
        </w:rPr>
        <w:t xml:space="preserve">5.  Anticipating Objections</w:t>
      </w:r>
    </w:p>
    <w:p>
      <w:pPr>
        <w:spacing w:after="140" w:line="276"/>
        <w:jc w:val="both"/>
      </w:pPr>
      <w:r>
        <w:rPr>
          <w:color w:val="222222"/>
          <w:sz w:val="22"/>
          <w:szCs w:val="22"/>
        </w:rPr>
        <w:t xml:space="preserve">A strong proposal meets its strongest critics directly. Three objections are foreseeable, and each has an answer built into the design.</w:t>
      </w:r>
    </w:p>
    <w:p>
      <w:pPr>
        <w:pStyle w:val="Heading2"/>
        <w:spacing w:after="100" w:before="220"/>
      </w:pPr>
      <w:r>
        <w:rPr>
          <w:b/>
          <w:bCs/>
          <w:color w:val="2E5A87"/>
          <w:sz w:val="25"/>
          <w:szCs w:val="25"/>
        </w:rPr>
        <w:t xml:space="preserve">5.1  “Fluency drills cause math anxiety and harm math identity.”</w:t>
      </w:r>
    </w:p>
    <w:p>
      <w:pPr>
        <w:spacing w:after="140" w:line="276"/>
        <w:jc w:val="both"/>
      </w:pPr>
      <w:r>
        <w:rPr>
          <w:color w:val="222222"/>
          <w:sz w:val="22"/>
          <w:szCs w:val="22"/>
        </w:rPr>
        <w:t xml:space="preserve">This is the most serious objection and it is partly right: high-stakes, publicly-ranked, speed-obsessed testing can damage students' relationship with mathematics (Boaler, 2015; Bay-Williams &amp; SanGiovanni, 2021). Fluency Lab answers it structurally. All fluency work is </w:t>
      </w:r>
      <w:r>
        <w:rPr>
          <w:b/>
          <w:bCs/>
          <w:color w:val="222222"/>
          <w:sz w:val="22"/>
          <w:szCs w:val="22"/>
        </w:rPr>
        <w:t xml:space="preserve">low-stakes and self-referenced</w:t>
      </w:r>
      <w:r>
        <w:rPr>
          <w:color w:val="222222"/>
          <w:sz w:val="22"/>
          <w:szCs w:val="22"/>
        </w:rPr>
        <w:t xml:space="preserve">: students race their own previous best, never a leaderboard; practice moves from untimed accuracy to timed fluency only once accuracy is secure; and growth, not rank, is what gets celebrated. Fluency built this way </w:t>
      </w:r>
      <w:r>
        <w:rPr>
          <w:i/>
          <w:iCs/>
          <w:color w:val="222222"/>
          <w:sz w:val="22"/>
          <w:szCs w:val="22"/>
        </w:rPr>
        <w:t xml:space="preserve">reduces</w:t>
      </w:r>
      <w:r>
        <w:rPr>
          <w:color w:val="222222"/>
          <w:sz w:val="22"/>
          <w:szCs w:val="22"/>
        </w:rPr>
        <w:t xml:space="preserve"> anxiety, because competence is what makes a subject feel safe.</w:t>
      </w:r>
    </w:p>
    <w:p>
      <w:pPr>
        <w:pStyle w:val="Heading2"/>
        <w:spacing w:after="100" w:before="220"/>
      </w:pPr>
      <w:r>
        <w:rPr>
          <w:b/>
          <w:bCs/>
          <w:color w:val="2E5A87"/>
          <w:sz w:val="25"/>
          <w:szCs w:val="25"/>
        </w:rPr>
        <w:t xml:space="preserve">5.2  “Procedures without understanding are brittle.”</w:t>
      </w:r>
    </w:p>
    <w:p>
      <w:pPr>
        <w:spacing w:after="140" w:line="276"/>
        <w:jc w:val="both"/>
      </w:pPr>
      <w:r>
        <w:rPr>
          <w:color w:val="222222"/>
          <w:sz w:val="22"/>
          <w:szCs w:val="22"/>
        </w:rPr>
        <w:t xml:space="preserve">True of gimmicks; false of well-chosen procedures taught with their rationale. The NCTM's own position is that students who use procedures they do not understand are more likely to err and fail to notice nonsense answers (NCTM, 2020) — which is exactly why Fluency Lab teaches structure-encoding procedures with an interleaved “why,” and screens out opaque tricks (§4.1). We are agreeing with the critique and designing around it.</w:t>
      </w:r>
    </w:p>
    <w:p>
      <w:pPr>
        <w:pStyle w:val="Heading2"/>
        <w:spacing w:after="100" w:before="220"/>
      </w:pPr>
      <w:r>
        <w:rPr>
          <w:b/>
          <w:bCs/>
          <w:color w:val="2E5A87"/>
          <w:sz w:val="25"/>
          <w:szCs w:val="25"/>
        </w:rPr>
        <w:t xml:space="preserve">5.3  “This is just drill-and-kill.”</w:t>
      </w:r>
    </w:p>
    <w:p>
      <w:pPr>
        <w:spacing w:after="140" w:line="276"/>
        <w:jc w:val="both"/>
      </w:pPr>
      <w:r>
        <w:rPr>
          <w:color w:val="222222"/>
          <w:sz w:val="22"/>
          <w:szCs w:val="22"/>
        </w:rPr>
        <w:t xml:space="preserve">Deliberate practice is the opposite of mindless repetition. It is diagnostic-driven (students practice their specific gaps, identified by data), immediately corrected, incrementally sequenced, and tied to visible progress. The worksheet grind of memory is undifferentiated; Fluency Lab is precision-targeted to each student's next skill.</w:t>
      </w:r>
    </w:p>
    <w:p>
      <w:pPr>
        <w:pStyle w:val="Heading1"/>
        <w:spacing w:after="140" w:before="320"/>
      </w:pPr>
      <w:r>
        <w:rPr>
          <w:b/>
          <w:bCs/>
          <w:color w:val="1F3B5B"/>
          <w:sz w:val="30"/>
          <w:szCs w:val="30"/>
        </w:rPr>
        <w:t xml:space="preserve">6.  Program Design: How Fluency Lab Works</w:t>
      </w:r>
    </w:p>
    <w:p>
      <w:pPr>
        <w:pStyle w:val="Heading2"/>
        <w:spacing w:after="100" w:before="220"/>
      </w:pPr>
      <w:r>
        <w:rPr>
          <w:b/>
          <w:bCs/>
          <w:color w:val="2E5A87"/>
          <w:sz w:val="25"/>
          <w:szCs w:val="25"/>
        </w:rPr>
        <w:t xml:space="preserve">6.1  The time structure</w:t>
      </w:r>
    </w:p>
    <w:p>
      <w:pPr>
        <w:pStyle w:val="ListParagraph"/>
        <w:numPr>
          <w:ilvl w:val="0"/>
          <w:numId w:val="2"/>
        </w:numPr>
        <w:spacing w:after="80" w:line="272"/>
      </w:pPr>
      <w:r>
        <w:rPr>
          <w:b/>
          <w:bCs/>
          <w:color w:val="222222"/>
          <w:sz w:val="22"/>
          <w:szCs w:val="22"/>
        </w:rPr>
        <w:t xml:space="preserve">The Daily Practice (15–20 min, every other class). </w:t>
      </w:r>
      <w:r>
        <w:rPr>
          <w:color w:val="222222"/>
          <w:sz w:val="22"/>
          <w:szCs w:val="22"/>
        </w:rPr>
        <w:t xml:space="preserve">A tight, predictable routine: a short diagnostic set on devices, immediate automated feedback, then a differentiated split — proficient students extend, non-proficient students receive small-group re-teaching from the teacher.</w:t>
      </w:r>
    </w:p>
    <w:p>
      <w:pPr>
        <w:pStyle w:val="ListParagraph"/>
        <w:numPr>
          <w:ilvl w:val="0"/>
          <w:numId w:val="2"/>
        </w:numPr>
        <w:spacing w:after="80" w:line="272"/>
      </w:pPr>
      <w:r>
        <w:rPr>
          <w:b/>
          <w:bCs/>
          <w:color w:val="222222"/>
          <w:sz w:val="22"/>
          <w:szCs w:val="22"/>
        </w:rPr>
        <w:t xml:space="preserve">The Studio Session (one 45-min block weekly). </w:t>
      </w:r>
      <w:r>
        <w:rPr>
          <w:color w:val="222222"/>
          <w:sz w:val="22"/>
          <w:szCs w:val="22"/>
        </w:rPr>
        <w:t xml:space="preserve">A longer block for direct instruction of the week's target procedure, worked-example modeling, guided practice, and the weekly fluency check that feeds the tracker.</w:t>
      </w:r>
    </w:p>
    <w:p>
      <w:pPr>
        <w:pStyle w:val="Heading2"/>
        <w:spacing w:after="100" w:before="220"/>
      </w:pPr>
      <w:r>
        <w:rPr>
          <w:b/>
          <w:bCs/>
          <w:color w:val="2E5A87"/>
          <w:sz w:val="25"/>
          <w:szCs w:val="25"/>
        </w:rPr>
        <w:t xml:space="preserve">6.2  The diagnostic-driven spiral</w:t>
      </w:r>
    </w:p>
    <w:p>
      <w:pPr>
        <w:spacing w:after="140" w:line="276"/>
        <w:jc w:val="both"/>
      </w:pPr>
      <w:r>
        <w:rPr>
          <w:color w:val="222222"/>
          <w:sz w:val="22"/>
          <w:szCs w:val="22"/>
        </w:rPr>
        <w:t>Each short assessment follows a fixed spiral ratio so new skills are introduced while prior skills stay warm: roughly half the items target the current focus skill, a quarter the immediately preceding skill, and a quarter cumulative review. Skill selection is anchored to the diagnostic, so every student is practicing at the edge of their own competence rather than a single class-wide target.</w:t>
      </w:r>
    </w:p>
    <w:p>
      <w:pPr>
        <w:pStyle w:val="Heading2"/>
        <w:spacing w:after="100" w:before="220"/>
      </w:pPr>
      <w:r>
        <w:rPr>
          <w:b/>
          <w:bCs/>
          <w:color w:val="2E5A87"/>
          <w:sz w:val="25"/>
          <w:szCs w:val="25"/>
        </w:rPr>
        <w:t xml:space="preserve">6.3  The Google Workspace architecture</w:t>
      </w:r>
    </w:p>
    <w:p>
      <w:pPr>
        <w:pStyle w:val="ListParagraph"/>
        <w:numPr>
          <w:ilvl w:val="0"/>
          <w:numId w:val="2"/>
        </w:numPr>
        <w:spacing w:after="80" w:line="272"/>
      </w:pPr>
      <w:r>
        <w:rPr>
          <w:b/>
          <w:bCs/>
          <w:color w:val="222222"/>
          <w:sz w:val="22"/>
          <w:szCs w:val="22"/>
        </w:rPr>
        <w:t xml:space="preserve">Google Forms </w:t>
      </w:r>
      <w:r>
        <w:rPr>
          <w:color w:val="222222"/>
          <w:sz w:val="22"/>
          <w:szCs w:val="22"/>
        </w:rPr>
        <w:t xml:space="preserve">— delivers each assessment as a quiz with instant scoring and pre-loaded, step-by-step feedback on every item (a worked solution or a 60-second video link for misses).</w:t>
      </w:r>
    </w:p>
    <w:p>
      <w:pPr>
        <w:pStyle w:val="ListParagraph"/>
        <w:numPr>
          <w:ilvl w:val="0"/>
          <w:numId w:val="2"/>
        </w:numPr>
        <w:spacing w:after="80" w:line="272"/>
      </w:pPr>
      <w:r>
        <w:rPr>
          <w:b/>
          <w:bCs/>
          <w:color w:val="222222"/>
          <w:sz w:val="22"/>
          <w:szCs w:val="22"/>
        </w:rPr>
        <w:t xml:space="preserve">Google Docs </w:t>
      </w:r>
      <w:r>
        <w:rPr>
          <w:color w:val="222222"/>
          <w:sz w:val="22"/>
          <w:szCs w:val="22"/>
        </w:rPr>
        <w:t xml:space="preserve">— houses student work, notes, worked examples, and the scaffolded practice templates (concept refresher → fill-in-the-blank scaffold → independent check), so student thinking is visible and coachable.</w:t>
      </w:r>
    </w:p>
    <w:p>
      <w:pPr>
        <w:pStyle w:val="ListParagraph"/>
        <w:numPr>
          <w:ilvl w:val="0"/>
          <w:numId w:val="2"/>
        </w:numPr>
        <w:spacing w:after="80" w:line="272"/>
      </w:pPr>
      <w:r>
        <w:rPr>
          <w:b/>
          <w:bCs/>
          <w:color w:val="222222"/>
          <w:sz w:val="22"/>
          <w:szCs w:val="22"/>
        </w:rPr>
        <w:t xml:space="preserve">Google Sheets </w:t>
      </w:r>
      <w:r>
        <w:rPr>
          <w:color w:val="222222"/>
          <w:sz w:val="22"/>
          <w:szCs w:val="22"/>
        </w:rPr>
        <w:t xml:space="preserve">— the data engine: auto-collects Form responses, computes per-skill mastery, drives the color-coded dashboard, and runs the analysis described in §8.</w:t>
      </w:r>
    </w:p>
    <w:p>
      <w:pPr>
        <w:spacing w:after="140" w:line="276"/>
        <w:jc w:val="both"/>
      </w:pPr>
      <w:r>
        <w:rPr>
          <w:b/>
          <w:bCs/>
          <w:color w:val="0E7C7B"/>
          <w:sz w:val="22"/>
          <w:szCs w:val="22"/>
        </w:rPr>
        <w:t xml:space="preserve">Note on scope. </w:t>
      </w:r>
      <w:r>
        <w:rPr>
          <w:color w:val="222222"/>
          <w:sz w:val="22"/>
          <w:szCs w:val="22"/>
        </w:rPr>
        <w:t xml:space="preserve">The detailed scope-and-sequence — the exact modules, the order, and the specific skills targeted first — is intentionally left for the next working session, so it can be set collaboratively against the diagnostic. The data already points to a clear starting priority (multi-digit operations, place value, and multiplication fluency); we will finalize the full map together.</w:t>
      </w:r>
    </w:p>
    <w:p>
      <w:pPr>
        <w:pStyle w:val="Heading1"/>
        <w:spacing w:after="140" w:before="320"/>
      </w:pPr>
      <w:r>
        <w:rPr>
          <w:b/>
          <w:bCs/>
          <w:color w:val="1F3B5B"/>
          <w:sz w:val="30"/>
          <w:szCs w:val="30"/>
        </w:rPr>
        <w:t xml:space="preserve">7.  Motivation by Design (Without Homework)</w:t>
      </w:r>
    </w:p>
    <w:p>
      <w:pPr>
        <w:spacing w:after="140" w:line="276"/>
        <w:jc w:val="both"/>
      </w:pPr>
      <w:r>
        <w:rPr>
          <w:color w:val="222222"/>
          <w:sz w:val="22"/>
          <w:szCs w:val="22"/>
        </w:rPr>
        <w:t xml:space="preserve">School rules prevent assigning homework, so practice must be engineered into class time and made intrinsically rewarding. Self-Determination Theory (Deci &amp; Ryan) identifies three drivers of intrinsic motivation — </w:t>
      </w:r>
      <w:r>
        <w:rPr>
          <w:b/>
          <w:bCs/>
          <w:color w:val="222222"/>
          <w:sz w:val="22"/>
          <w:szCs w:val="22"/>
        </w:rPr>
        <w:t xml:space="preserve">competence, autonomy, and relatedness</w:t>
      </w:r>
      <w:r>
        <w:rPr>
          <w:color w:val="222222"/>
          <w:sz w:val="22"/>
          <w:szCs w:val="22"/>
        </w:rPr>
        <w:t xml:space="preserve"> — and the first is the key that unlocks the others. </w:t>
      </w:r>
      <w:r>
        <w:rPr>
          <w:b/>
          <w:bCs/>
          <w:color w:val="222222"/>
          <w:sz w:val="22"/>
          <w:szCs w:val="22"/>
        </w:rPr>
        <w:t xml:space="preserve">Automaticity is what produces felt competence.</w:t>
      </w:r>
      <w:r>
        <w:rPr>
          <w:color w:val="222222"/>
          <w:sz w:val="22"/>
          <w:szCs w:val="22"/>
        </w:rPr>
        <w:t xml:space="preserve"> Many of these students dislike mathematics because, lacking fluency, every problem is an overload experience. Build fluency and motivation follows — we are not fighting disengagement, we are removing its cause.</w:t>
      </w:r>
    </w:p>
    <w:p>
      <w:pPr>
        <w:pStyle w:val="ListParagraph"/>
        <w:numPr>
          <w:ilvl w:val="0"/>
          <w:numId w:val="2"/>
        </w:numPr>
        <w:spacing w:after="80" w:line="272"/>
      </w:pPr>
      <w:r>
        <w:rPr>
          <w:b/>
          <w:bCs/>
          <w:color w:val="222222"/>
          <w:sz w:val="22"/>
          <w:szCs w:val="22"/>
        </w:rPr>
        <w:t xml:space="preserve">Competence made visible. </w:t>
      </w:r>
      <w:r>
        <w:rPr>
          <w:color w:val="222222"/>
          <w:sz w:val="22"/>
          <w:szCs w:val="22"/>
        </w:rPr>
        <w:t>Streaks, personal-best tracking, and a growth-oriented mastery dashboard make improvement legible; visible progress is among the most powerful motivators available.</w:t>
      </w:r>
    </w:p>
    <w:p>
      <w:pPr>
        <w:pStyle w:val="ListParagraph"/>
        <w:numPr>
          <w:ilvl w:val="0"/>
          <w:numId w:val="2"/>
        </w:numPr>
        <w:spacing w:after="80" w:line="272"/>
      </w:pPr>
      <w:r>
        <w:rPr>
          <w:b/>
          <w:bCs/>
          <w:color w:val="222222"/>
          <w:sz w:val="22"/>
          <w:szCs w:val="22"/>
        </w:rPr>
        <w:t xml:space="preserve">Autonomy. </w:t>
      </w:r>
      <w:r>
        <w:rPr>
          <w:color w:val="222222"/>
          <w:sz w:val="22"/>
          <w:szCs w:val="22"/>
        </w:rPr>
        <w:t xml:space="preserve">Students choose which skill path to work on and move at their own pace, which raises ownership without lowering rigor.</w:t>
      </w:r>
    </w:p>
    <w:p>
      <w:pPr>
        <w:pStyle w:val="ListParagraph"/>
        <w:numPr>
          <w:ilvl w:val="0"/>
          <w:numId w:val="2"/>
        </w:numPr>
        <w:spacing w:after="80" w:line="272"/>
      </w:pPr>
      <w:r>
        <w:rPr>
          <w:b/>
          <w:bCs/>
          <w:color w:val="222222"/>
          <w:sz w:val="22"/>
          <w:szCs w:val="22"/>
        </w:rPr>
        <w:t xml:space="preserve">Relatedness and safety. </w:t>
      </w:r>
      <w:r>
        <w:rPr>
          <w:color w:val="222222"/>
          <w:sz w:val="22"/>
          <w:szCs w:val="22"/>
        </w:rPr>
        <w:t xml:space="preserve">Self-referenced, low-stakes formats and partner practice build a culture where getting faster is celebrated and struggling is normal.</w:t>
      </w:r>
    </w:p>
    <w:p>
      <w:pPr>
        <w:pStyle w:val="ListParagraph"/>
        <w:numPr>
          <w:ilvl w:val="0"/>
          <w:numId w:val="2"/>
        </w:numPr>
        <w:spacing w:after="80" w:line="272"/>
      </w:pPr>
      <w:r>
        <w:rPr>
          <w:b/>
          <w:bCs/>
          <w:color w:val="222222"/>
          <w:sz w:val="22"/>
          <w:szCs w:val="22"/>
        </w:rPr>
        <w:t xml:space="preserve">The musician's framing. </w:t>
      </w:r>
      <w:r>
        <w:rPr>
          <w:color w:val="222222"/>
          <w:sz w:val="22"/>
          <w:szCs w:val="22"/>
        </w:rPr>
        <w:t xml:space="preserve">Students are told the truth: you don't play the concert on day one; you build the chops so the interesting music becomes possible. The reward is the felt experience of a once-hard problem becoming easy.</w:t>
      </w:r>
    </w:p>
    <w:p>
      <w:pPr>
        <w:spacing w:after="140" w:line="276"/>
        <w:jc w:val="both"/>
      </w:pPr>
      <w:r>
        <w:rPr>
          <w:color w:val="222222"/>
          <w:sz w:val="22"/>
          <w:szCs w:val="22"/>
        </w:rPr>
        <w:t xml:space="preserve">At-home practice cannot be required, but a class that can watch itself getting faster will do voluntarily what no worksheet could ever compel.</w:t>
      </w:r>
    </w:p>
    <w:p>
      <w:pPr>
        <w:pStyle w:val="Heading1"/>
        <w:spacing w:after="140" w:before="320"/>
      </w:pPr>
      <w:r>
        <w:rPr>
          <w:b/>
          <w:bCs/>
          <w:color w:val="1F3B5B"/>
          <w:sz w:val="30"/>
          <w:szCs w:val="30"/>
        </w:rPr>
        <w:t xml:space="preserve">8.  Measuring Impact: The Data Plan</w:t>
      </w:r>
    </w:p>
    <w:p>
      <w:pPr>
        <w:spacing w:after="140" w:line="276"/>
        <w:jc w:val="both"/>
      </w:pPr>
      <w:r>
        <w:rPr>
          <w:color w:val="222222"/>
          <w:sz w:val="22"/>
          <w:szCs w:val="22"/>
        </w:rPr>
        <w:t xml:space="preserve">Two complementary methods answer two different questions, and both run inside Google Sheets.</w:t>
      </w:r>
    </w:p>
    <w:p>
      <w:pPr>
        <w:pStyle w:val="Heading2"/>
        <w:spacing w:after="100" w:before="220"/>
      </w:pPr>
      <w:r>
        <w:rPr>
          <w:b/>
          <w:bCs/>
          <w:color w:val="2E5A87"/>
          <w:sz w:val="25"/>
          <w:szCs w:val="25"/>
        </w:rPr>
        <w:t xml:space="preserve">8.1  Progress monitoring (“Is each student growing?”)</w:t>
      </w:r>
    </w:p>
    <w:p>
      <w:pPr>
        <w:spacing w:after="140" w:line="276"/>
        <w:jc w:val="both"/>
      </w:pPr>
      <w:r>
        <w:rPr>
          <w:color w:val="222222"/>
          <w:sz w:val="22"/>
          <w:szCs w:val="22"/>
        </w:rPr>
        <w:t xml:space="preserve">Following the logic of Curriculum-Based Measurement (Deno, 1985), each student's mastery percentage is plotted over repeated assessments, and a </w:t>
      </w:r>
      <w:r>
        <w:rPr>
          <w:b/>
          <w:bCs/>
          <w:color w:val="222222"/>
          <w:sz w:val="22"/>
          <w:szCs w:val="22"/>
        </w:rPr>
        <w:t xml:space="preserve">trend line is fitted and compared to an aim line</w:t>
      </w:r>
      <w:r>
        <w:rPr>
          <w:color w:val="222222"/>
          <w:sz w:val="22"/>
          <w:szCs w:val="22"/>
        </w:rPr>
        <w:t xml:space="preserve"> (the trajectory needed to reach proficiency by a target date). In Sheets this is simply the </w:t>
      </w:r>
      <w:r>
        <w:rPr>
          <w:rFonts w:ascii="Consolas" w:cs="Consolas" w:eastAsia="Consolas" w:hAnsi="Consolas"/>
          <w:b/>
          <w:bCs/>
          <w:color w:val="222222"/>
          <w:sz w:val="22"/>
          <w:szCs w:val="22"/>
        </w:rPr>
        <w:t xml:space="preserve">SLOPE</w:t>
      </w:r>
      <w:r>
        <w:rPr>
          <w:color w:val="222222"/>
          <w:sz w:val="22"/>
          <w:szCs w:val="22"/>
        </w:rPr>
        <w:t xml:space="preserve"> function for the growth rate and </w:t>
      </w:r>
      <w:r>
        <w:rPr>
          <w:rFonts w:ascii="Consolas" w:cs="Consolas" w:eastAsia="Consolas" w:hAnsi="Consolas"/>
          <w:b/>
          <w:bCs/>
          <w:color w:val="222222"/>
          <w:sz w:val="22"/>
          <w:szCs w:val="22"/>
        </w:rPr>
        <w:t xml:space="preserve">SPARKLINE</w:t>
      </w:r>
      <w:r>
        <w:rPr>
          <w:color w:val="222222"/>
          <w:sz w:val="22"/>
          <w:szCs w:val="22"/>
        </w:rPr>
        <w:t xml:space="preserve"> for an at-a-glance trend in each student's row. A student whose slope is flatter than the aim line is flagged for intervention before the term is lost.</w:t>
      </w:r>
    </w:p>
    <w:p>
      <w:pPr>
        <w:pStyle w:val="Heading2"/>
        <w:spacing w:after="100" w:before="220"/>
      </w:pPr>
      <w:r>
        <w:rPr>
          <w:b/>
          <w:bCs/>
          <w:color w:val="2E5A87"/>
          <w:sz w:val="25"/>
          <w:szCs w:val="25"/>
        </w:rPr>
        <w:t xml:space="preserve">8.2  Pre / post effect size (“Did the program work, and how much?”)</w:t>
      </w:r>
    </w:p>
    <w:p>
      <w:pPr>
        <w:spacing w:after="140" w:line="276"/>
        <w:jc w:val="both"/>
      </w:pPr>
      <w:r>
        <w:rPr>
          <w:color w:val="222222"/>
          <w:sz w:val="22"/>
          <w:szCs w:val="22"/>
        </w:rPr>
        <w:t xml:space="preserve">For each skill module, students take a pre-test and a post-test. The headline metric is the </w:t>
      </w:r>
      <w:r>
        <w:rPr>
          <w:b/>
          <w:bCs/>
          <w:color w:val="222222"/>
          <w:sz w:val="22"/>
          <w:szCs w:val="22"/>
        </w:rPr>
        <w:t xml:space="preserve">effect size (Cohen's d)</w:t>
      </w:r>
      <w:r>
        <w:rPr>
          <w:color w:val="222222"/>
          <w:sz w:val="22"/>
          <w:szCs w:val="22"/>
        </w:rPr>
        <w:t xml:space="preserve"> — the size of the gain in standard-deviation units — because it measures the </w:t>
      </w:r>
      <w:r>
        <w:rPr>
          <w:i/>
          <w:iCs/>
          <w:color w:val="222222"/>
          <w:sz w:val="22"/>
          <w:szCs w:val="22"/>
        </w:rPr>
        <w:t xml:space="preserve">magnitude</w:t>
      </w:r>
      <w:r>
        <w:rPr>
          <w:color w:val="222222"/>
          <w:sz w:val="22"/>
          <w:szCs w:val="22"/>
        </w:rPr>
        <w:t xml:space="preserve"> of improvement, not merely whether some improvement occurred, and it maps onto an interpretable benchmark: Hattie's synthesis places roughly 0.4 as a year's typical growth, so a module clearing that bar is demonstrably working. A </w:t>
      </w:r>
      <w:r>
        <w:rPr>
          <w:b/>
          <w:bCs/>
          <w:color w:val="222222"/>
          <w:sz w:val="22"/>
          <w:szCs w:val="22"/>
        </w:rPr>
        <w:t xml:space="preserve">paired-samples t-test</w:t>
      </w:r>
      <w:r>
        <w:rPr>
          <w:color w:val="222222"/>
          <w:sz w:val="22"/>
          <w:szCs w:val="22"/>
        </w:rPr>
        <w:t xml:space="preserve"> accompanies it for statistical significance, computed directly with </w:t>
      </w:r>
      <w:r>
        <w:rPr>
          <w:rFonts w:ascii="Consolas" w:cs="Consolas" w:eastAsia="Consolas" w:hAnsi="Consolas"/>
          <w:b/>
          <w:bCs/>
          <w:color w:val="222222"/>
          <w:sz w:val="22"/>
          <w:szCs w:val="22"/>
        </w:rPr>
        <w:t xml:space="preserve">=T.TEST(pre_range, post_range, 2, 1)</w:t>
      </w:r>
      <w:r>
        <w:rPr>
          <w:color w:val="222222"/>
          <w:sz w:val="22"/>
          <w:szCs w:val="22"/>
        </w:rPr>
        <w:t xml:space="preserve"> (two-tailed, paired).</w:t>
      </w:r>
    </w:p>
    <w:p>
      <w:pPr>
        <w:pStyle w:val="Heading2"/>
        <w:spacing w:after="100" w:before="220"/>
      </w:pPr>
      <w:r>
        <w:rPr>
          <w:b/>
          <w:bCs/>
          <w:color w:val="2E5A87"/>
          <w:sz w:val="25"/>
          <w:szCs w:val="25"/>
        </w:rPr>
        <w:t xml:space="preserve">8.3  An honest note on statistics</w:t>
      </w:r>
    </w:p>
    <w:p>
      <w:pPr>
        <w:spacing w:after="140" w:line="276"/>
        <w:jc w:val="both"/>
      </w:pPr>
      <w:r>
        <w:rPr>
          <w:color w:val="222222"/>
          <w:sz w:val="22"/>
          <w:szCs w:val="22"/>
        </w:rPr>
        <w:t xml:space="preserve">With a single, non-randomized classroom and no control group, this is action research, not a controlled experiment. Statistical significance is therefore secondary; </w:t>
      </w:r>
      <w:r>
        <w:rPr>
          <w:b/>
          <w:bCs/>
          <w:color w:val="222222"/>
          <w:sz w:val="22"/>
          <w:szCs w:val="22"/>
        </w:rPr>
        <w:t xml:space="preserve">effect size and individual growth trends carry the real weight</w:t>
      </w:r>
      <w:r>
        <w:rPr>
          <w:color w:val="222222"/>
          <w:sz w:val="22"/>
          <w:szCs w:val="22"/>
        </w:rPr>
        <w:t xml:space="preserve">. Reporting it this way is itself a credibility signal — it shows the program is being evaluated honestly rather than oversold.</w:t>
      </w:r>
    </w:p>
    <w:p>
      <w:pPr>
        <w:pageBreakBefore/>
      </w:pPr>
      <w:r>
        <w:t xml:space="preserve"/>
      </w:r>
    </w:p>
    <w:p>
      <w:pPr>
        <w:pStyle w:val="Heading2"/>
        <w:spacing w:after="100" w:before="220"/>
      </w:pPr>
      <w:r>
        <w:rPr>
          <w:b/>
          <w:bCs/>
          <w:color w:val="2E5A87"/>
          <w:sz w:val="25"/>
          <w:szCs w:val="25"/>
        </w:rPr>
        <w:t xml:space="preserve">8.4  The mastery dashboard</w:t>
      </w:r>
    </w:p>
    <w:p>
      <w:pPr>
        <w:spacing w:after="140" w:line="276"/>
        <w:jc w:val="both"/>
      </w:pPr>
      <w:r>
        <w:rPr>
          <w:color w:val="222222"/>
          <w:sz w:val="22"/>
          <w:szCs w:val="22"/>
        </w:rPr>
        <w:t xml:space="preserve">A single dashboard tab, updated automatically from Form responses, shows each student against each skill with conditional-formatting bands so intervention needs are visible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cantSplit/>
          <w:tblHeader/>
        </w:trPr>
        <w:tc>
          <w:tcPr>
            <w:tcW w:type="dxa" w:w="2600"/>
            <w:shd w:fill="1F3B5B" w:color="auto" w:val="clear"/>
            <w:tcMar>
              <w:top w:type="dxa" w:w="60"/>
              <w:left w:type="dxa" w:w="110"/>
              <w:bottom w:type="dxa" w:w="60"/>
              <w:right w:type="dxa" w:w="110"/>
            </w:tcMar>
          </w:tcPr>
          <w:p>
            <w:pPr>
              <w:spacing w:after="0" w:line="252"/>
              <w:jc w:val="left"/>
            </w:pPr>
            <w:r>
              <w:rPr>
                <w:b/>
                <w:bCs/>
                <w:color w:val="FFFFFF"/>
                <w:sz w:val="20"/>
                <w:szCs w:val="20"/>
              </w:rPr>
              <w:t xml:space="preserve">Band</w:t>
            </w:r>
          </w:p>
        </w:tc>
        <w:tc>
          <w:tcPr>
            <w:tcW w:type="dxa" w:w="2000"/>
            <w:shd w:fill="1F3B5B" w:color="auto" w:val="clear"/>
            <w:tcMar>
              <w:top w:type="dxa" w:w="60"/>
              <w:left w:type="dxa" w:w="110"/>
              <w:bottom w:type="dxa" w:w="60"/>
              <w:right w:type="dxa" w:w="110"/>
            </w:tcMar>
          </w:tcPr>
          <w:p>
            <w:pPr>
              <w:spacing w:after="0" w:line="252"/>
              <w:jc w:val="center"/>
            </w:pPr>
            <w:r>
              <w:rPr>
                <w:b/>
                <w:bCs/>
                <w:color w:val="FFFFFF"/>
                <w:sz w:val="20"/>
                <w:szCs w:val="20"/>
              </w:rPr>
              <w:t xml:space="preserve">Mastery</w:t>
            </w:r>
          </w:p>
        </w:tc>
        <w:tc>
          <w:tcPr>
            <w:tcW w:type="dxa" w:w="4760"/>
            <w:shd w:fill="1F3B5B" w:color="auto" w:val="clear"/>
            <w:tcMar>
              <w:top w:type="dxa" w:w="60"/>
              <w:left w:type="dxa" w:w="110"/>
              <w:bottom w:type="dxa" w:w="60"/>
              <w:right w:type="dxa" w:w="110"/>
            </w:tcMar>
          </w:tcPr>
          <w:p>
            <w:pPr>
              <w:spacing w:after="0" w:line="252"/>
              <w:jc w:val="left"/>
            </w:pPr>
            <w:r>
              <w:rPr>
                <w:b/>
                <w:bCs/>
                <w:color w:val="FFFFFF"/>
                <w:sz w:val="20"/>
                <w:szCs w:val="20"/>
              </w:rPr>
              <w:t xml:space="preserve">Action</w:t>
            </w:r>
          </w:p>
        </w:tc>
      </w:tr>
      <w:tr>
        <w:tc>
          <w:tcPr>
            <w:tcW w:type="dxa" w:w="2600"/>
            <w:shd w:fill="D6E9D5" w:color="auto" w:val="clear"/>
            <w:tcMar>
              <w:top w:type="dxa" w:w="60"/>
              <w:left w:type="dxa" w:w="110"/>
              <w:bottom w:type="dxa" w:w="60"/>
              <w:right w:type="dxa" w:w="110"/>
            </w:tcMar>
          </w:tcPr>
          <w:p>
            <w:pPr>
              <w:spacing w:after="0" w:line="252"/>
              <w:jc w:val="left"/>
            </w:pPr>
            <w:r>
              <w:rPr>
                <w:b/>
                <w:bCs/>
                <w:color w:val="222222"/>
                <w:sz w:val="20"/>
                <w:szCs w:val="20"/>
              </w:rPr>
              <w:t xml:space="preserve">Proficient</w:t>
            </w:r>
          </w:p>
        </w:tc>
        <w:tc>
          <w:tcPr>
            <w:tcW w:type="dxa" w:w="2000"/>
            <w:shd w:fill="D6E9D5"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 80%</w:t>
            </w:r>
          </w:p>
        </w:tc>
        <w:tc>
          <w:tcPr>
            <w:tcW w:type="dxa" w:w="4760"/>
            <w:shd w:fill="D6E9D5" w:color="auto" w:val="clear"/>
            <w:tcMar>
              <w:top w:type="dxa" w:w="60"/>
              <w:left w:type="dxa" w:w="110"/>
              <w:bottom w:type="dxa" w:w="60"/>
              <w:right w:type="dxa" w:w="110"/>
            </w:tcMar>
          </w:tcPr>
          <w:p>
            <w:pPr>
              <w:spacing w:after="0" w:line="252"/>
              <w:jc w:val="left"/>
            </w:pPr>
            <w:r>
              <w:rPr>
                <w:b w:val="false"/>
                <w:bCs w:val="false"/>
                <w:color w:val="222222"/>
                <w:sz w:val="20"/>
                <w:szCs w:val="20"/>
              </w:rPr>
              <w:t xml:space="preserve">Green — extend / enrich</w:t>
            </w:r>
          </w:p>
        </w:tc>
      </w:tr>
      <w:tr>
        <w:tc>
          <w:tcPr>
            <w:tcW w:type="dxa" w:w="2600"/>
            <w:shd w:fill="FBEFC9" w:color="auto" w:val="clear"/>
            <w:tcMar>
              <w:top w:type="dxa" w:w="60"/>
              <w:left w:type="dxa" w:w="110"/>
              <w:bottom w:type="dxa" w:w="60"/>
              <w:right w:type="dxa" w:w="110"/>
            </w:tcMar>
          </w:tcPr>
          <w:p>
            <w:pPr>
              <w:spacing w:after="0" w:line="252"/>
              <w:jc w:val="left"/>
            </w:pPr>
            <w:r>
              <w:rPr>
                <w:b/>
                <w:bCs/>
                <w:color w:val="222222"/>
                <w:sz w:val="20"/>
                <w:szCs w:val="20"/>
              </w:rPr>
              <w:t xml:space="preserve">Developing</w:t>
            </w:r>
          </w:p>
        </w:tc>
        <w:tc>
          <w:tcPr>
            <w:tcW w:type="dxa" w:w="2000"/>
            <w:shd w:fill="FBEFC9"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60–79%</w:t>
            </w:r>
          </w:p>
        </w:tc>
        <w:tc>
          <w:tcPr>
            <w:tcW w:type="dxa" w:w="4760"/>
            <w:shd w:fill="FBEFC9" w:color="auto" w:val="clear"/>
            <w:tcMar>
              <w:top w:type="dxa" w:w="60"/>
              <w:left w:type="dxa" w:w="110"/>
              <w:bottom w:type="dxa" w:w="60"/>
              <w:right w:type="dxa" w:w="110"/>
            </w:tcMar>
          </w:tcPr>
          <w:p>
            <w:pPr>
              <w:spacing w:after="0" w:line="252"/>
              <w:jc w:val="left"/>
            </w:pPr>
            <w:r>
              <w:rPr>
                <w:b w:val="false"/>
                <w:bCs w:val="false"/>
                <w:color w:val="222222"/>
                <w:sz w:val="20"/>
                <w:szCs w:val="20"/>
              </w:rPr>
              <w:t xml:space="preserve">Yellow — targeted practice</w:t>
            </w:r>
          </w:p>
        </w:tc>
      </w:tr>
      <w:tr>
        <w:tc>
          <w:tcPr>
            <w:tcW w:type="dxa" w:w="2600"/>
            <w:shd w:fill="F6D6D2" w:color="auto" w:val="clear"/>
            <w:tcMar>
              <w:top w:type="dxa" w:w="60"/>
              <w:left w:type="dxa" w:w="110"/>
              <w:bottom w:type="dxa" w:w="60"/>
              <w:right w:type="dxa" w:w="110"/>
            </w:tcMar>
          </w:tcPr>
          <w:p>
            <w:pPr>
              <w:spacing w:after="0" w:line="252"/>
              <w:jc w:val="left"/>
            </w:pPr>
            <w:r>
              <w:rPr>
                <w:b/>
                <w:bCs/>
                <w:color w:val="222222"/>
                <w:sz w:val="20"/>
                <w:szCs w:val="20"/>
              </w:rPr>
              <w:t xml:space="preserve">Intervention</w:t>
            </w:r>
          </w:p>
        </w:tc>
        <w:tc>
          <w:tcPr>
            <w:tcW w:type="dxa" w:w="2000"/>
            <w:shd w:fill="F6D6D2" w:color="auto" w:val="clear"/>
            <w:tcMar>
              <w:top w:type="dxa" w:w="60"/>
              <w:left w:type="dxa" w:w="110"/>
              <w:bottom w:type="dxa" w:w="60"/>
              <w:right w:type="dxa" w:w="110"/>
            </w:tcMar>
          </w:tcPr>
          <w:p>
            <w:pPr>
              <w:spacing w:after="0" w:line="252"/>
              <w:jc w:val="center"/>
            </w:pPr>
            <w:r>
              <w:rPr>
                <w:b w:val="false"/>
                <w:bCs w:val="false"/>
                <w:color w:val="222222"/>
                <w:sz w:val="20"/>
                <w:szCs w:val="20"/>
              </w:rPr>
              <w:t xml:space="preserve">&lt; 60%</w:t>
            </w:r>
          </w:p>
        </w:tc>
        <w:tc>
          <w:tcPr>
            <w:tcW w:type="dxa" w:w="4760"/>
            <w:shd w:fill="F6D6D2" w:color="auto" w:val="clear"/>
            <w:tcMar>
              <w:top w:type="dxa" w:w="60"/>
              <w:left w:type="dxa" w:w="110"/>
              <w:bottom w:type="dxa" w:w="60"/>
              <w:right w:type="dxa" w:w="110"/>
            </w:tcMar>
          </w:tcPr>
          <w:p>
            <w:pPr>
              <w:spacing w:after="0" w:line="252"/>
              <w:jc w:val="left"/>
            </w:pPr>
            <w:r>
              <w:rPr>
                <w:b w:val="false"/>
                <w:bCs w:val="false"/>
                <w:color w:val="222222"/>
                <w:sz w:val="20"/>
                <w:szCs w:val="20"/>
              </w:rPr>
              <w:t xml:space="preserve">Red — small-group re-teach</w:t>
            </w:r>
          </w:p>
        </w:tc>
      </w:tr>
    </w:tbl>
    <w:p>
      <w:pPr>
        <w:pStyle w:val="Heading1"/>
        <w:spacing w:after="140" w:before="320"/>
      </w:pPr>
      <w:r>
        <w:rPr>
          <w:b/>
          <w:bCs/>
          <w:color w:val="1F3B5B"/>
          <w:sz w:val="30"/>
          <w:szCs w:val="30"/>
        </w:rPr>
        <w:t xml:space="preserve">9.  Implementation Timeline</w:t>
      </w:r>
    </w:p>
    <w:p>
      <w:pPr>
        <w:pStyle w:val="ListParagraph"/>
        <w:numPr>
          <w:ilvl w:val="0"/>
          <w:numId w:val="4"/>
        </w:numPr>
        <w:spacing w:after="80" w:line="272"/>
      </w:pPr>
      <w:r>
        <w:rPr>
          <w:b/>
          <w:bCs/>
          <w:color w:val="222222"/>
          <w:sz w:val="22"/>
          <w:szCs w:val="22"/>
        </w:rPr>
        <w:t xml:space="preserve">Week 0 — Build. </w:t>
      </w:r>
      <w:r>
        <w:rPr>
          <w:color w:val="222222"/>
          <w:sz w:val="22"/>
          <w:szCs w:val="22"/>
        </w:rPr>
        <w:t xml:space="preserve">Construct the Sheets tracker and dashboard, the Forms quiz templates with feedback, and the shared Docs practice templates. Confirm the priority skill sequence from the diagnostic.</w:t>
      </w:r>
    </w:p>
    <w:p>
      <w:pPr>
        <w:pStyle w:val="ListParagraph"/>
        <w:numPr>
          <w:ilvl w:val="0"/>
          <w:numId w:val="4"/>
        </w:numPr>
        <w:spacing w:after="80" w:line="272"/>
      </w:pPr>
      <w:r>
        <w:rPr>
          <w:b/>
          <w:bCs/>
          <w:color w:val="222222"/>
          <w:sz w:val="22"/>
          <w:szCs w:val="22"/>
        </w:rPr>
        <w:t xml:space="preserve">Weeks 1–6 — Launch cycle. </w:t>
      </w:r>
      <w:r>
        <w:rPr>
          <w:color w:val="222222"/>
          <w:sz w:val="22"/>
          <w:szCs w:val="22"/>
        </w:rPr>
        <w:t xml:space="preserve">Run the Daily Practice and weekly Studio Session; collect the first pre/post modules; monitor trend lines.</w:t>
      </w:r>
    </w:p>
    <w:p>
      <w:pPr>
        <w:pStyle w:val="ListParagraph"/>
        <w:numPr>
          <w:ilvl w:val="0"/>
          <w:numId w:val="4"/>
        </w:numPr>
        <w:spacing w:after="80" w:line="272"/>
      </w:pPr>
      <w:r>
        <w:rPr>
          <w:b/>
          <w:bCs/>
          <w:color w:val="222222"/>
          <w:sz w:val="22"/>
          <w:szCs w:val="22"/>
        </w:rPr>
        <w:t xml:space="preserve">Week 6 — First review. </w:t>
      </w:r>
      <w:r>
        <w:rPr>
          <w:color w:val="222222"/>
          <w:sz w:val="22"/>
          <w:szCs w:val="22"/>
        </w:rPr>
        <w:t xml:space="preserve">Report effect sizes and growth trends; adjust pacing and grouping.</w:t>
      </w:r>
    </w:p>
    <w:p>
      <w:pPr>
        <w:pStyle w:val="ListParagraph"/>
        <w:numPr>
          <w:ilvl w:val="0"/>
          <w:numId w:val="4"/>
        </w:numPr>
        <w:spacing w:after="80" w:line="272"/>
      </w:pPr>
      <w:r>
        <w:rPr>
          <w:b/>
          <w:bCs/>
          <w:color w:val="222222"/>
          <w:sz w:val="22"/>
          <w:szCs w:val="22"/>
        </w:rPr>
        <w:t xml:space="preserve">Ongoing — Spiral and re-check. </w:t>
      </w:r>
      <w:r>
        <w:rPr>
          <w:color w:val="222222"/>
          <w:sz w:val="22"/>
          <w:szCs w:val="22"/>
        </w:rPr>
        <w:t xml:space="preserve">Non-proficient students complete a short re-check by week's end; the tracker updates each student's best score automatically.</w:t>
      </w:r>
    </w:p>
    <w:p>
      <w:pPr>
        <w:pStyle w:val="Heading1"/>
        <w:spacing w:after="140" w:before="320"/>
      </w:pPr>
      <w:r>
        <w:rPr>
          <w:b/>
          <w:bCs/>
          <w:color w:val="1F3B5B"/>
          <w:sz w:val="30"/>
          <w:szCs w:val="30"/>
        </w:rPr>
        <w:t xml:space="preserve">10.  The Ask</w:t>
      </w:r>
    </w:p>
    <w:p>
      <w:pPr>
        <w:spacing w:after="140" w:line="276"/>
        <w:jc w:val="both"/>
      </w:pPr>
      <w:r>
        <w:rPr>
          <w:color w:val="222222"/>
          <w:sz w:val="22"/>
          <w:szCs w:val="22"/>
        </w:rPr>
        <w:t xml:space="preserve">Fluency Lab requests only time — a recurring 15–20 minutes every other period and one 45-minute block weekly — and commits, in return, to transparent, data-backed evidence of whether it is working. The diagnostic has told us plainly where these students are. The research tells us plainly what they need: to be shown, to practice, and to become fluent, so that the higher-order thinking everyone wants for them finally has a foundation to stand on.</w:t>
      </w:r>
    </w:p>
    <w:p>
      <w:pPr>
        <w:pStyle w:val="Heading1"/>
        <w:spacing w:after="140" w:before="320"/>
      </w:pPr>
      <w:r>
        <w:rPr>
          <w:b/>
          <w:bCs/>
          <w:color w:val="1F3B5B"/>
          <w:sz w:val="30"/>
          <w:szCs w:val="30"/>
        </w:rPr>
        <w:t xml:space="preserve">References</w:t>
      </w:r>
    </w:p>
    <w:p>
      <w:pPr>
        <w:spacing w:after="80" w:line="264"/>
        <w:ind w:left="360" w:hanging="360"/>
      </w:pPr>
      <w:r>
        <w:rPr>
          <w:color w:val="444444"/>
          <w:sz w:val="19"/>
          <w:szCs w:val="19"/>
        </w:rPr>
        <w:t xml:space="preserve">Bay-Williams, J. M., &amp; SanGiovanni, J. J. (2021). Figuring Out Fluency in Mathematics Teaching and Learning. Corwin.</w:t>
      </w:r>
    </w:p>
    <w:p>
      <w:pPr>
        <w:spacing w:after="80" w:line="264"/>
        <w:ind w:left="360" w:hanging="360"/>
      </w:pPr>
      <w:r>
        <w:rPr>
          <w:color w:val="444444"/>
          <w:sz w:val="19"/>
          <w:szCs w:val="19"/>
        </w:rPr>
        <w:t xml:space="preserve">Boaler, J. (2015). Mathematical Mindsets. Jossey-Bass.</w:t>
      </w:r>
    </w:p>
    <w:p>
      <w:pPr>
        <w:spacing w:after="80" w:line="264"/>
        <w:ind w:left="360" w:hanging="360"/>
      </w:pPr>
      <w:r>
        <w:rPr>
          <w:color w:val="444444"/>
          <w:sz w:val="19"/>
          <w:szCs w:val="19"/>
        </w:rPr>
        <w:t xml:space="preserve">Clark, R. E. (1989). When teaching kills learning: Research on mathemathantics. In Learning and Instruction (European research). </w:t>
      </w:r>
    </w:p>
    <w:p>
      <w:pPr>
        <w:spacing w:after="80" w:line="264"/>
        <w:ind w:left="360" w:hanging="360"/>
      </w:pPr>
      <w:r>
        <w:rPr>
          <w:color w:val="444444"/>
          <w:sz w:val="19"/>
          <w:szCs w:val="19"/>
        </w:rPr>
        <w:t xml:space="preserve">Clotfelter, C. T., Ladd, H. F., &amp; Vigdor, J. L. (2015). The aftermath of accelerating algebra: Evidence from district policy initiatives. Journal of Human Resources.</w:t>
      </w:r>
    </w:p>
    <w:p>
      <w:pPr>
        <w:spacing w:after="80" w:line="264"/>
        <w:ind w:left="360" w:hanging="360"/>
      </w:pPr>
      <w:r>
        <w:rPr>
          <w:color w:val="444444"/>
          <w:sz w:val="19"/>
          <w:szCs w:val="19"/>
        </w:rPr>
        <w:t xml:space="preserve">Deci, E. L., &amp; Ryan, R. M. (1985). Intrinsic Motivation and Self-Determination in Human Behavior. Plenum.</w:t>
      </w:r>
    </w:p>
    <w:p>
      <w:pPr>
        <w:spacing w:after="80" w:line="264"/>
        <w:ind w:left="360" w:hanging="360"/>
      </w:pPr>
      <w:r>
        <w:rPr>
          <w:color w:val="444444"/>
          <w:sz w:val="19"/>
          <w:szCs w:val="19"/>
        </w:rPr>
        <w:t xml:space="preserve">Deno, S. L. (1985). Curriculum-based measurement: The emerging alternative. Exceptional Children, 52(3).</w:t>
      </w:r>
    </w:p>
    <w:p>
      <w:pPr>
        <w:spacing w:after="80" w:line="264"/>
        <w:ind w:left="360" w:hanging="360"/>
      </w:pPr>
      <w:r>
        <w:rPr>
          <w:color w:val="444444"/>
          <w:sz w:val="19"/>
          <w:szCs w:val="19"/>
        </w:rPr>
        <w:t xml:space="preserve">Dougherty, S. M., Goodman, J. S., Hill, D. V., Litke, E. G., &amp; Page, L. C. (2015). Middle school math acceleration and equitable access to eighth-grade algebra. Educational Evaluation and Policy Analysis.</w:t>
      </w:r>
    </w:p>
    <w:p>
      <w:pPr>
        <w:spacing w:after="80" w:line="264"/>
        <w:ind w:left="360" w:hanging="360"/>
      </w:pPr>
      <w:r>
        <w:rPr>
          <w:color w:val="444444"/>
          <w:sz w:val="19"/>
          <w:szCs w:val="19"/>
        </w:rPr>
        <w:t xml:space="preserve">Ericsson, K. A., Krampe, R. T., &amp; Tesch-Römer, C. (1993). The role of deliberate practice in the acquisition of expert performance. Psychological Review, 100(3).</w:t>
      </w:r>
    </w:p>
    <w:p>
      <w:pPr>
        <w:spacing w:after="80" w:line="264"/>
        <w:ind w:left="360" w:hanging="360"/>
      </w:pPr>
      <w:r>
        <w:rPr>
          <w:color w:val="444444"/>
          <w:sz w:val="19"/>
          <w:szCs w:val="19"/>
        </w:rPr>
        <w:t xml:space="preserve">Geary, D. C. (2011). Cognitive predictors of achievement growth in mathematics. Developmental Psychology, 47(6).</w:t>
      </w:r>
    </w:p>
    <w:p>
      <w:pPr>
        <w:spacing w:after="80" w:line="264"/>
        <w:ind w:left="360" w:hanging="360"/>
      </w:pPr>
      <w:r>
        <w:rPr>
          <w:color w:val="444444"/>
          <w:sz w:val="19"/>
          <w:szCs w:val="19"/>
        </w:rPr>
        <w:t xml:space="preserve">Hattie, J. (2009). Visible Learning. Routledge.</w:t>
      </w:r>
    </w:p>
    <w:p>
      <w:pPr>
        <w:spacing w:after="80" w:line="264"/>
        <w:ind w:left="360" w:hanging="360"/>
      </w:pPr>
      <w:r>
        <w:rPr>
          <w:color w:val="444444"/>
          <w:sz w:val="19"/>
          <w:szCs w:val="19"/>
        </w:rPr>
        <w:t xml:space="preserve">Kirschner, P. A., Sweller, J., &amp; Clark, R. E. (2006). Why minimal guidance during instruction does not work. Educational Psychologist, 41(2).</w:t>
      </w:r>
    </w:p>
    <w:p>
      <w:pPr>
        <w:spacing w:after="80" w:line="264"/>
        <w:ind w:left="360" w:hanging="360"/>
      </w:pPr>
      <w:r>
        <w:rPr>
          <w:color w:val="444444"/>
          <w:sz w:val="19"/>
          <w:szCs w:val="19"/>
        </w:rPr>
        <w:t xml:space="preserve">McNeil, N. M., Jordan, N. C., Viegut, A. A., &amp; Ansari, D. (2025). What the science of learning teaches us about arithmetic fluency. Psychological Science in the Public Interest.</w:t>
      </w:r>
    </w:p>
    <w:p>
      <w:pPr>
        <w:spacing w:after="80" w:line="264"/>
        <w:ind w:left="360" w:hanging="360"/>
      </w:pPr>
      <w:r>
        <w:rPr>
          <w:color w:val="444444"/>
          <w:sz w:val="19"/>
          <w:szCs w:val="19"/>
        </w:rPr>
        <w:t xml:space="preserve">National Council of Teachers of Mathematics. (2020). Procedural Fluency: A Position of the NCTM.</w:t>
      </w:r>
    </w:p>
    <w:p>
      <w:pPr>
        <w:spacing w:after="80" w:line="264"/>
        <w:ind w:left="360" w:hanging="360"/>
      </w:pPr>
      <w:r>
        <w:rPr>
          <w:color w:val="444444"/>
          <w:sz w:val="19"/>
          <w:szCs w:val="19"/>
        </w:rPr>
        <w:t xml:space="preserve">National Mathematics Advisory Panel. (2008). Foundations for Success: Final Report. U.S. Dept. of Education.</w:t>
      </w:r>
    </w:p>
    <w:p>
      <w:pPr>
        <w:spacing w:after="80" w:line="264"/>
        <w:ind w:left="360" w:hanging="360"/>
      </w:pPr>
      <w:r>
        <w:rPr>
          <w:color w:val="444444"/>
          <w:sz w:val="19"/>
          <w:szCs w:val="19"/>
        </w:rPr>
        <w:t xml:space="preserve">Powell, S. R., Bos, S. E., et al. (2020). The Science of Math. thescienceofmath.com.</w:t>
      </w:r>
    </w:p>
    <w:p>
      <w:pPr>
        <w:spacing w:after="80" w:line="264"/>
        <w:ind w:left="360" w:hanging="360"/>
      </w:pPr>
      <w:r>
        <w:rPr>
          <w:color w:val="444444"/>
          <w:sz w:val="19"/>
          <w:szCs w:val="19"/>
        </w:rPr>
        <w:t xml:space="preserve">Rosenshine, B. (2012). Principles of instruction: Research-based strategies that all teachers should know. American Educator, 36(1).</w:t>
      </w:r>
    </w:p>
    <w:p>
      <w:pPr>
        <w:spacing w:after="80" w:line="264"/>
        <w:ind w:left="360" w:hanging="360"/>
      </w:pPr>
      <w:r>
        <w:rPr>
          <w:color w:val="444444"/>
          <w:sz w:val="19"/>
          <w:szCs w:val="19"/>
        </w:rPr>
        <w:t xml:space="preserve">Stokke, A. (2015). What to Do about Canada's Declining Math Scores. C. D. Howe Institute.</w:t>
      </w:r>
    </w:p>
    <w:p>
      <w:pPr>
        <w:spacing w:after="80" w:line="264"/>
        <w:ind w:left="360" w:hanging="360"/>
      </w:pPr>
      <w:r>
        <w:rPr>
          <w:color w:val="444444"/>
          <w:sz w:val="19"/>
          <w:szCs w:val="19"/>
        </w:rPr>
        <w:t xml:space="preserve">Sweller, J. (1988). Cognitive load during problem solving: Effects on learning. Cognitive Science, 12(2).</w:t>
      </w:r>
    </w:p>
    <w:p>
      <w:pPr>
        <w:spacing w:after="80" w:line="264"/>
        <w:ind w:left="360" w:hanging="360"/>
      </w:pPr>
      <w:r>
        <w:rPr>
          <w:color w:val="444444"/>
          <w:sz w:val="19"/>
          <w:szCs w:val="19"/>
        </w:rPr>
        <w:t xml:space="preserve">Sweller, J., Ayres, P., &amp; Kalyuga, S. (2011). Cognitive Load Theory. Springer.</w:t>
      </w:r>
    </w:p>
    <w:p>
      <w:pPr>
        <w:spacing w:after="80" w:line="264"/>
        <w:ind w:left="360" w:hanging="360"/>
      </w:pPr>
      <w:r>
        <w:rPr>
          <w:color w:val="444444"/>
          <w:sz w:val="19"/>
          <w:szCs w:val="19"/>
        </w:rPr>
        <w:t xml:space="preserve">Willingham, D. T. (2009). Why Don't Students Like School? Jossey-Bass.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9AB"/>
        <w:sz w:val="16"/>
        <w:szCs w:val="16"/>
      </w:rPr>
      <w:t xml:space="preserve">Page </w:t>
    </w:r>
    <w:r>
      <w:rPr>
        <w:color w:val="8A99AB"/>
        <w:sz w:val="16"/>
        <w:szCs w:val="16"/>
      </w:rPr>
      <w:fldChar w:fldCharType="begin"/>
      <w:instrText xml:space="preserve">PAGE</w:instrText>
      <w:fldChar w:fldCharType="separate"/>
      <w:fldChar w:fldCharType="end"/>
    </w:r>
    <w:r>
      <w:rPr>
        <w:color w:val="8A99AB"/>
        <w:sz w:val="16"/>
        <w:szCs w:val="16"/>
      </w:rPr>
      <w:t xml:space="preserve"> of </w:t>
    </w:r>
    <w:r>
      <w:rPr>
        <w:color w:val="8A99A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E" w:sz="4" w:space="2"/>
      </w:pBdr>
      <w:spacing w:after="40"/>
      <w:jc w:val="right"/>
    </w:pPr>
    <w:r>
      <w:rPr>
        <w:color w:val="8A99AB"/>
        <w:sz w:val="16"/>
        <w:szCs w:val="16"/>
      </w:rPr>
      <w:t xml:space="preserve">Fluency Lab  •  Grade 8 Mathematics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E7C7B"/>
      </w:rPr>
    </w:lvl>
  </w:abstractNum>
  <w:abstractNum w:abstractNumId="3" w15:restartNumberingAfterBreak="0">
    <w:multiLevelType w:val="hybridMultilevel"/>
    <w:lvl w:ilvl="0" w15:tentative="1">
      <w:start w:val="1"/>
      <w:numFmt w:val="decimal"/>
      <w:lvlText w:val="%1."/>
      <w:lvlJc w:val="left"/>
      <w:pPr>
        <w:ind w:left="360" w:hanging="260"/>
      </w:pPr>
      <w:rPr>
        <w:b/>
        <w:bCs/>
        <w:color w:val="2E5A87"/>
      </w:rPr>
    </w:lvl>
  </w:abstractNum>
  <w:abstractNum w:abstractNumId="4" w15:restartNumberingAfterBreak="0">
    <w:multiLevelType w:val="hybridMultilevel"/>
    <w:lvl w:ilvl="0" w15:tentative="1">
      <w:start w:val="1"/>
      <w:numFmt w:val="decimal"/>
      <w:lvlText w:val="%1."/>
      <w:lvlJc w:val="left"/>
      <w:pPr>
        <w:ind w:left="360" w:hanging="260"/>
      </w:pPr>
      <w:rPr>
        <w:b/>
        <w:bCs/>
        <w:color w:val="2E5A8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2026-08-30T20:49:16.629Z</dcterms:created>
  <dcterms:modified xsi:type="dcterms:W3CDTF">2026-08-30T20:49:16.630Z</dcterms:modified>
</cp:coreProperties>
</file>

<file path=docProps/custom.xml><?xml version="1.0" encoding="utf-8"?>
<Properties xmlns="http://schemas.openxmlformats.org/officeDocument/2006/custom-properties" xmlns:vt="http://schemas.openxmlformats.org/officeDocument/2006/docPropsVTypes"/>
</file>