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AA83" w14:textId="0427B9D8" w:rsidR="008D0911" w:rsidRPr="00BC1E6D" w:rsidRDefault="002929DC" w:rsidP="00C51813">
      <w:pPr>
        <w:pStyle w:val="Heading1"/>
        <w:spacing w:line="276" w:lineRule="auto"/>
        <w:jc w:val="center"/>
        <w:rPr>
          <w:sz w:val="24"/>
          <w:szCs w:val="24"/>
        </w:rPr>
      </w:pPr>
      <w:r w:rsidRPr="00BC1E6D">
        <w:rPr>
          <w:sz w:val="24"/>
          <w:szCs w:val="24"/>
        </w:rPr>
        <w:t xml:space="preserve">Testing </w:t>
      </w:r>
      <w:r w:rsidR="00847694" w:rsidRPr="00BC1E6D">
        <w:rPr>
          <w:sz w:val="24"/>
          <w:szCs w:val="24"/>
        </w:rPr>
        <w:t>t</w:t>
      </w:r>
      <w:r w:rsidRPr="00BC1E6D">
        <w:rPr>
          <w:sz w:val="24"/>
          <w:szCs w:val="24"/>
        </w:rPr>
        <w:t>he Arbitrage Pricing Theory</w:t>
      </w:r>
      <w:r w:rsidR="0054280F" w:rsidRPr="00BC1E6D">
        <w:rPr>
          <w:sz w:val="24"/>
          <w:szCs w:val="24"/>
        </w:rPr>
        <w:t xml:space="preserve"> Versus the</w:t>
      </w:r>
      <w:r w:rsidR="0022408D" w:rsidRPr="00BC1E6D">
        <w:rPr>
          <w:sz w:val="24"/>
          <w:szCs w:val="24"/>
        </w:rPr>
        <w:t xml:space="preserve"> </w:t>
      </w:r>
      <w:r w:rsidR="0054280F" w:rsidRPr="00BC1E6D">
        <w:rPr>
          <w:sz w:val="24"/>
          <w:szCs w:val="24"/>
        </w:rPr>
        <w:t xml:space="preserve">Capital Asset Pricing Model </w:t>
      </w:r>
      <w:r w:rsidRPr="00BC1E6D">
        <w:rPr>
          <w:sz w:val="24"/>
          <w:szCs w:val="24"/>
        </w:rPr>
        <w:t>Across Investment Categories</w:t>
      </w:r>
    </w:p>
    <w:p w14:paraId="16A84FAA" w14:textId="4104C088" w:rsidR="009E1FC1" w:rsidRPr="00AD787E" w:rsidRDefault="009E1FC1" w:rsidP="00C51813">
      <w:pPr>
        <w:pStyle w:val="Subtitle"/>
        <w:spacing w:line="276" w:lineRule="auto"/>
        <w:jc w:val="center"/>
        <w:rPr>
          <w:rStyle w:val="SubtleEmphasis"/>
        </w:rPr>
      </w:pPr>
      <w:r w:rsidRPr="00AD787E">
        <w:rPr>
          <w:rStyle w:val="SubtleEmphasis"/>
        </w:rPr>
        <w:t>Zach Johnson ECON610 Term Paper</w:t>
      </w:r>
    </w:p>
    <w:p w14:paraId="13FF6D28" w14:textId="446064B8" w:rsidR="008D0911" w:rsidRPr="000C11B9" w:rsidRDefault="008D0911" w:rsidP="00C51813">
      <w:pPr>
        <w:pStyle w:val="Heading2"/>
        <w:jc w:val="center"/>
        <w:rPr>
          <w:rFonts w:ascii="Times New Roman" w:hAnsi="Times New Roman" w:cs="Times New Roman"/>
          <w:b/>
          <w:bCs/>
          <w:color w:val="auto"/>
        </w:rPr>
      </w:pPr>
      <w:r w:rsidRPr="000C11B9">
        <w:rPr>
          <w:rFonts w:ascii="Times New Roman" w:hAnsi="Times New Roman" w:cs="Times New Roman"/>
          <w:b/>
          <w:bCs/>
          <w:color w:val="auto"/>
        </w:rPr>
        <w:t>Introduction</w:t>
      </w:r>
    </w:p>
    <w:p w14:paraId="4DD6A3F7" w14:textId="2ED4B432" w:rsidR="0081069B" w:rsidRPr="00BC1E6D" w:rsidRDefault="008218FF"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The motivation for </w:t>
      </w:r>
      <w:r w:rsidR="00651DCE" w:rsidRPr="00BC1E6D">
        <w:rPr>
          <w:rFonts w:ascii="Times New Roman" w:hAnsi="Times New Roman" w:cs="Times New Roman"/>
          <w:sz w:val="24"/>
          <w:szCs w:val="24"/>
        </w:rPr>
        <w:t xml:space="preserve">a </w:t>
      </w:r>
      <w:r w:rsidR="008B1BE3" w:rsidRPr="00BC1E6D">
        <w:rPr>
          <w:rFonts w:ascii="Times New Roman" w:hAnsi="Times New Roman" w:cs="Times New Roman"/>
          <w:sz w:val="24"/>
          <w:szCs w:val="24"/>
        </w:rPr>
        <w:t xml:space="preserve">method to </w:t>
      </w:r>
      <w:r w:rsidR="00D8678F" w:rsidRPr="00BC1E6D">
        <w:rPr>
          <w:rFonts w:ascii="Times New Roman" w:hAnsi="Times New Roman" w:cs="Times New Roman"/>
          <w:sz w:val="24"/>
          <w:szCs w:val="24"/>
        </w:rPr>
        <w:t xml:space="preserve">accurately predict the future returns of capital markets is obvious. </w:t>
      </w:r>
      <w:r w:rsidR="00D65029" w:rsidRPr="00BC1E6D">
        <w:rPr>
          <w:rFonts w:ascii="Times New Roman" w:hAnsi="Times New Roman" w:cs="Times New Roman"/>
          <w:sz w:val="24"/>
          <w:szCs w:val="24"/>
        </w:rPr>
        <w:t>If a trader could</w:t>
      </w:r>
      <w:r w:rsidR="00791580" w:rsidRPr="00BC1E6D">
        <w:rPr>
          <w:rFonts w:ascii="Times New Roman" w:hAnsi="Times New Roman" w:cs="Times New Roman"/>
          <w:sz w:val="24"/>
          <w:szCs w:val="24"/>
        </w:rPr>
        <w:t xml:space="preserve">, with consistency, select a portfolio which </w:t>
      </w:r>
      <w:r w:rsidR="00487474" w:rsidRPr="00BC1E6D">
        <w:rPr>
          <w:rFonts w:ascii="Times New Roman" w:hAnsi="Times New Roman" w:cs="Times New Roman"/>
          <w:sz w:val="24"/>
          <w:szCs w:val="24"/>
        </w:rPr>
        <w:t xml:space="preserve">returns more than </w:t>
      </w:r>
      <w:r w:rsidR="00ED76C1" w:rsidRPr="00BC1E6D">
        <w:rPr>
          <w:rFonts w:ascii="Times New Roman" w:hAnsi="Times New Roman" w:cs="Times New Roman"/>
          <w:sz w:val="24"/>
          <w:szCs w:val="24"/>
        </w:rPr>
        <w:t>the</w:t>
      </w:r>
      <w:r w:rsidR="00487474" w:rsidRPr="00BC1E6D">
        <w:rPr>
          <w:rFonts w:ascii="Times New Roman" w:hAnsi="Times New Roman" w:cs="Times New Roman"/>
          <w:sz w:val="24"/>
          <w:szCs w:val="24"/>
        </w:rPr>
        <w:t xml:space="preserve"> average </w:t>
      </w:r>
      <w:r w:rsidR="00056F29" w:rsidRPr="00BC1E6D">
        <w:rPr>
          <w:rFonts w:ascii="Times New Roman" w:hAnsi="Times New Roman" w:cs="Times New Roman"/>
          <w:sz w:val="24"/>
          <w:szCs w:val="24"/>
        </w:rPr>
        <w:t>market return</w:t>
      </w:r>
      <w:r w:rsidR="00487474" w:rsidRPr="00BC1E6D">
        <w:rPr>
          <w:rFonts w:ascii="Times New Roman" w:hAnsi="Times New Roman" w:cs="Times New Roman"/>
          <w:sz w:val="24"/>
          <w:szCs w:val="24"/>
        </w:rPr>
        <w:t xml:space="preserve">, then they would be rewarded </w:t>
      </w:r>
      <w:r w:rsidR="00AE674E" w:rsidRPr="00BC1E6D">
        <w:rPr>
          <w:rFonts w:ascii="Times New Roman" w:hAnsi="Times New Roman" w:cs="Times New Roman"/>
          <w:sz w:val="24"/>
          <w:szCs w:val="24"/>
        </w:rPr>
        <w:t>generously by clients as a financie</w:t>
      </w:r>
      <w:r w:rsidR="00B10462" w:rsidRPr="00BC1E6D">
        <w:rPr>
          <w:rFonts w:ascii="Times New Roman" w:hAnsi="Times New Roman" w:cs="Times New Roman"/>
          <w:sz w:val="24"/>
          <w:szCs w:val="24"/>
        </w:rPr>
        <w:t xml:space="preserve">r and would make large gains in their personal portfolio. </w:t>
      </w:r>
    </w:p>
    <w:p w14:paraId="30B710BE" w14:textId="77AC29D2" w:rsidR="00161373" w:rsidRPr="00BC1E6D" w:rsidRDefault="00384D2C"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In this paper, I </w:t>
      </w:r>
      <w:r w:rsidR="00A9224E" w:rsidRPr="00BC1E6D">
        <w:rPr>
          <w:rFonts w:ascii="Times New Roman" w:eastAsiaTheme="minorEastAsia" w:hAnsi="Times New Roman" w:cs="Times New Roman"/>
          <w:sz w:val="24"/>
          <w:szCs w:val="24"/>
        </w:rPr>
        <w:t xml:space="preserve">aim to test the </w:t>
      </w:r>
      <w:r w:rsidR="00A92B7E" w:rsidRPr="00BC1E6D">
        <w:rPr>
          <w:rFonts w:ascii="Times New Roman" w:eastAsiaTheme="minorEastAsia" w:hAnsi="Times New Roman" w:cs="Times New Roman"/>
          <w:sz w:val="24"/>
          <w:szCs w:val="24"/>
        </w:rPr>
        <w:t xml:space="preserve">power of The </w:t>
      </w:r>
      <w:r w:rsidR="00A9224E" w:rsidRPr="00BC1E6D">
        <w:rPr>
          <w:rFonts w:ascii="Times New Roman" w:eastAsiaTheme="minorEastAsia" w:hAnsi="Times New Roman" w:cs="Times New Roman"/>
          <w:sz w:val="24"/>
          <w:szCs w:val="24"/>
        </w:rPr>
        <w:t>Arbitrage Pricing Theory</w:t>
      </w:r>
      <w:r w:rsidR="00025317" w:rsidRPr="00BC1E6D">
        <w:rPr>
          <w:rFonts w:ascii="Times New Roman" w:eastAsiaTheme="minorEastAsia" w:hAnsi="Times New Roman" w:cs="Times New Roman"/>
          <w:sz w:val="24"/>
          <w:szCs w:val="24"/>
        </w:rPr>
        <w:t>(Ross</w:t>
      </w:r>
      <w:r w:rsidR="00A03DF9" w:rsidRPr="00BC1E6D">
        <w:rPr>
          <w:rFonts w:ascii="Times New Roman" w:eastAsiaTheme="minorEastAsia" w:hAnsi="Times New Roman" w:cs="Times New Roman"/>
          <w:sz w:val="24"/>
          <w:szCs w:val="24"/>
        </w:rPr>
        <w:t xml:space="preserve"> </w:t>
      </w:r>
      <w:r w:rsidR="00025317" w:rsidRPr="00BC1E6D">
        <w:rPr>
          <w:rFonts w:ascii="Times New Roman" w:eastAsiaTheme="minorEastAsia" w:hAnsi="Times New Roman" w:cs="Times New Roman"/>
          <w:sz w:val="24"/>
          <w:szCs w:val="24"/>
        </w:rPr>
        <w:t>1976)</w:t>
      </w:r>
      <w:r w:rsidR="00EA7003" w:rsidRPr="00BC1E6D">
        <w:rPr>
          <w:rFonts w:ascii="Times New Roman" w:eastAsiaTheme="minorEastAsia" w:hAnsi="Times New Roman" w:cs="Times New Roman"/>
          <w:sz w:val="24"/>
          <w:szCs w:val="24"/>
        </w:rPr>
        <w:t>. T</w:t>
      </w:r>
      <w:r w:rsidR="000213A5" w:rsidRPr="00BC1E6D">
        <w:rPr>
          <w:rFonts w:ascii="Times New Roman" w:eastAsiaTheme="minorEastAsia" w:hAnsi="Times New Roman" w:cs="Times New Roman"/>
          <w:sz w:val="24"/>
          <w:szCs w:val="24"/>
        </w:rPr>
        <w:t>he APT</w:t>
      </w:r>
      <w:r w:rsidR="00EA7003" w:rsidRPr="00BC1E6D">
        <w:rPr>
          <w:rFonts w:ascii="Times New Roman" w:eastAsiaTheme="minorEastAsia" w:hAnsi="Times New Roman" w:cs="Times New Roman"/>
          <w:sz w:val="24"/>
          <w:szCs w:val="24"/>
        </w:rPr>
        <w:t xml:space="preserve"> </w:t>
      </w:r>
      <w:r w:rsidR="00106C57" w:rsidRPr="00BC1E6D">
        <w:rPr>
          <w:rFonts w:ascii="Times New Roman" w:eastAsiaTheme="minorEastAsia" w:hAnsi="Times New Roman" w:cs="Times New Roman"/>
          <w:sz w:val="24"/>
          <w:szCs w:val="24"/>
        </w:rPr>
        <w:t xml:space="preserve">states that the returns of assets and portfolios of assets can be modeled using </w:t>
      </w:r>
      <w:r w:rsidR="00A316B8" w:rsidRPr="00BC1E6D">
        <w:rPr>
          <w:rFonts w:ascii="Times New Roman" w:eastAsiaTheme="minorEastAsia" w:hAnsi="Times New Roman" w:cs="Times New Roman"/>
          <w:sz w:val="24"/>
          <w:szCs w:val="24"/>
        </w:rPr>
        <w:t xml:space="preserve">macroeconomic factors, </w:t>
      </w:r>
      <w:r w:rsidR="00360110" w:rsidRPr="00BC1E6D">
        <w:rPr>
          <w:rFonts w:ascii="Times New Roman" w:eastAsiaTheme="minorEastAsia" w:hAnsi="Times New Roman" w:cs="Times New Roman"/>
          <w:sz w:val="24"/>
          <w:szCs w:val="24"/>
        </w:rPr>
        <w:t>versus the Capital</w:t>
      </w:r>
      <w:r w:rsidR="000213A5" w:rsidRPr="00BC1E6D">
        <w:rPr>
          <w:rFonts w:ascii="Times New Roman" w:eastAsiaTheme="minorEastAsia" w:hAnsi="Times New Roman" w:cs="Times New Roman"/>
          <w:sz w:val="24"/>
          <w:szCs w:val="24"/>
        </w:rPr>
        <w:t xml:space="preserve"> </w:t>
      </w:r>
      <w:r w:rsidR="00360110" w:rsidRPr="00BC1E6D">
        <w:rPr>
          <w:rFonts w:ascii="Times New Roman" w:eastAsiaTheme="minorEastAsia" w:hAnsi="Times New Roman" w:cs="Times New Roman"/>
          <w:sz w:val="24"/>
          <w:szCs w:val="24"/>
        </w:rPr>
        <w:t>Asset Pricing Model(</w:t>
      </w:r>
      <w:r w:rsidR="00167550" w:rsidRPr="00BC1E6D">
        <w:rPr>
          <w:rFonts w:ascii="Times New Roman" w:eastAsiaTheme="minorEastAsia" w:hAnsi="Times New Roman" w:cs="Times New Roman"/>
          <w:sz w:val="24"/>
          <w:szCs w:val="24"/>
        </w:rPr>
        <w:t>Sharpe 1964</w:t>
      </w:r>
      <w:r w:rsidR="00313A65" w:rsidRPr="00BC1E6D">
        <w:rPr>
          <w:rFonts w:ascii="Times New Roman" w:eastAsiaTheme="minorEastAsia" w:hAnsi="Times New Roman" w:cs="Times New Roman"/>
          <w:sz w:val="24"/>
          <w:szCs w:val="24"/>
        </w:rPr>
        <w:t>;</w:t>
      </w:r>
      <w:r w:rsidR="00167550" w:rsidRPr="00BC1E6D">
        <w:rPr>
          <w:rFonts w:ascii="Times New Roman" w:eastAsiaTheme="minorEastAsia" w:hAnsi="Times New Roman" w:cs="Times New Roman"/>
          <w:sz w:val="24"/>
          <w:szCs w:val="24"/>
        </w:rPr>
        <w:t xml:space="preserve"> Litner 1965</w:t>
      </w:r>
      <w:r w:rsidR="00313A65" w:rsidRPr="00BC1E6D">
        <w:rPr>
          <w:rFonts w:ascii="Times New Roman" w:eastAsiaTheme="minorEastAsia" w:hAnsi="Times New Roman" w:cs="Times New Roman"/>
          <w:sz w:val="24"/>
          <w:szCs w:val="24"/>
        </w:rPr>
        <w:t>;</w:t>
      </w:r>
      <w:r w:rsidR="00167550" w:rsidRPr="00BC1E6D">
        <w:rPr>
          <w:rFonts w:ascii="Times New Roman" w:eastAsiaTheme="minorEastAsia" w:hAnsi="Times New Roman" w:cs="Times New Roman"/>
          <w:sz w:val="24"/>
          <w:szCs w:val="24"/>
        </w:rPr>
        <w:t xml:space="preserve"> Black 1972</w:t>
      </w:r>
      <w:r w:rsidR="002838B1" w:rsidRPr="00BC1E6D">
        <w:rPr>
          <w:rFonts w:ascii="Times New Roman" w:eastAsiaTheme="minorEastAsia" w:hAnsi="Times New Roman" w:cs="Times New Roman"/>
          <w:sz w:val="24"/>
          <w:szCs w:val="24"/>
        </w:rPr>
        <w:t>)</w:t>
      </w:r>
      <w:r w:rsidR="000213A5" w:rsidRPr="00BC1E6D">
        <w:rPr>
          <w:rFonts w:ascii="Times New Roman" w:eastAsiaTheme="minorEastAsia" w:hAnsi="Times New Roman" w:cs="Times New Roman"/>
          <w:sz w:val="24"/>
          <w:szCs w:val="24"/>
        </w:rPr>
        <w:t xml:space="preserve">, CAPM, </w:t>
      </w:r>
      <w:r w:rsidR="006556FC" w:rsidRPr="00BC1E6D">
        <w:rPr>
          <w:rFonts w:ascii="Times New Roman" w:eastAsiaTheme="minorEastAsia" w:hAnsi="Times New Roman" w:cs="Times New Roman"/>
          <w:sz w:val="24"/>
          <w:szCs w:val="24"/>
        </w:rPr>
        <w:t xml:space="preserve">which posits that </w:t>
      </w:r>
      <w:r w:rsidR="003B5B14" w:rsidRPr="00BC1E6D">
        <w:rPr>
          <w:rFonts w:ascii="Times New Roman" w:eastAsiaTheme="minorEastAsia" w:hAnsi="Times New Roman" w:cs="Times New Roman"/>
          <w:sz w:val="24"/>
          <w:szCs w:val="24"/>
        </w:rPr>
        <w:t xml:space="preserve">market-asset covariance </w:t>
      </w:r>
      <w:r w:rsidR="002817C4" w:rsidRPr="00BC1E6D">
        <w:rPr>
          <w:rFonts w:ascii="Times New Roman" w:eastAsiaTheme="minorEastAsia" w:hAnsi="Times New Roman" w:cs="Times New Roman"/>
          <w:sz w:val="24"/>
          <w:szCs w:val="24"/>
        </w:rPr>
        <w:t>is th</w:t>
      </w:r>
      <w:r w:rsidR="00EE6B53" w:rsidRPr="00BC1E6D">
        <w:rPr>
          <w:rFonts w:ascii="Times New Roman" w:eastAsiaTheme="minorEastAsia" w:hAnsi="Times New Roman" w:cs="Times New Roman"/>
          <w:sz w:val="24"/>
          <w:szCs w:val="24"/>
        </w:rPr>
        <w:t>e driver of returns</w:t>
      </w:r>
      <w:r w:rsidR="00106C57" w:rsidRPr="00BC1E6D">
        <w:rPr>
          <w:rFonts w:ascii="Times New Roman" w:eastAsiaTheme="minorEastAsia" w:hAnsi="Times New Roman" w:cs="Times New Roman"/>
          <w:sz w:val="24"/>
          <w:szCs w:val="24"/>
        </w:rPr>
        <w:t xml:space="preserve">. </w:t>
      </w:r>
      <w:r w:rsidR="009E683F" w:rsidRPr="00BC1E6D">
        <w:rPr>
          <w:rFonts w:ascii="Times New Roman" w:eastAsiaTheme="minorEastAsia" w:hAnsi="Times New Roman" w:cs="Times New Roman"/>
          <w:sz w:val="24"/>
          <w:szCs w:val="24"/>
        </w:rPr>
        <w:t>Emulating</w:t>
      </w:r>
      <w:r w:rsidR="00C33C6E" w:rsidRPr="00BC1E6D">
        <w:rPr>
          <w:rFonts w:ascii="Times New Roman" w:eastAsiaTheme="minorEastAsia" w:hAnsi="Times New Roman" w:cs="Times New Roman"/>
          <w:sz w:val="24"/>
          <w:szCs w:val="24"/>
        </w:rPr>
        <w:t xml:space="preserve"> the model build by </w:t>
      </w:r>
      <w:r w:rsidR="00E415E5" w:rsidRPr="00BC1E6D">
        <w:rPr>
          <w:rFonts w:ascii="Times New Roman" w:eastAsiaTheme="minorEastAsia" w:hAnsi="Times New Roman" w:cs="Times New Roman"/>
          <w:sz w:val="24"/>
          <w:szCs w:val="24"/>
        </w:rPr>
        <w:t xml:space="preserve">Chen, Nai-Fu, Roll, and Ross </w:t>
      </w:r>
      <w:r w:rsidR="00841570" w:rsidRPr="00BC1E6D">
        <w:rPr>
          <w:rFonts w:ascii="Times New Roman" w:eastAsiaTheme="minorEastAsia" w:hAnsi="Times New Roman" w:cs="Times New Roman"/>
          <w:sz w:val="24"/>
          <w:szCs w:val="24"/>
        </w:rPr>
        <w:t>(</w:t>
      </w:r>
      <w:r w:rsidR="00E415E5" w:rsidRPr="00BC1E6D">
        <w:rPr>
          <w:rFonts w:ascii="Times New Roman" w:eastAsiaTheme="minorEastAsia" w:hAnsi="Times New Roman" w:cs="Times New Roman"/>
          <w:sz w:val="24"/>
          <w:szCs w:val="24"/>
        </w:rPr>
        <w:t>1986</w:t>
      </w:r>
      <w:r w:rsidR="00841570" w:rsidRPr="00BC1E6D">
        <w:rPr>
          <w:rFonts w:ascii="Times New Roman" w:eastAsiaTheme="minorEastAsia" w:hAnsi="Times New Roman" w:cs="Times New Roman"/>
          <w:sz w:val="24"/>
          <w:szCs w:val="24"/>
        </w:rPr>
        <w:t>)</w:t>
      </w:r>
      <w:r w:rsidR="00207650" w:rsidRPr="00BC1E6D">
        <w:rPr>
          <w:rFonts w:ascii="Times New Roman" w:eastAsiaTheme="minorEastAsia" w:hAnsi="Times New Roman" w:cs="Times New Roman"/>
          <w:sz w:val="24"/>
          <w:szCs w:val="24"/>
        </w:rPr>
        <w:t xml:space="preserve">, </w:t>
      </w:r>
      <w:r w:rsidR="009E683F" w:rsidRPr="00BC1E6D">
        <w:rPr>
          <w:rFonts w:ascii="Times New Roman" w:eastAsiaTheme="minorEastAsia" w:hAnsi="Times New Roman" w:cs="Times New Roman"/>
          <w:sz w:val="24"/>
          <w:szCs w:val="24"/>
        </w:rPr>
        <w:t xml:space="preserve">it is </w:t>
      </w:r>
      <w:r w:rsidR="00481EC4" w:rsidRPr="00BC1E6D">
        <w:rPr>
          <w:rFonts w:ascii="Times New Roman" w:eastAsiaTheme="minorEastAsia" w:hAnsi="Times New Roman" w:cs="Times New Roman"/>
          <w:sz w:val="24"/>
          <w:szCs w:val="24"/>
        </w:rPr>
        <w:t>analyze</w:t>
      </w:r>
      <w:r w:rsidR="009E683F" w:rsidRPr="00BC1E6D">
        <w:rPr>
          <w:rFonts w:ascii="Times New Roman" w:eastAsiaTheme="minorEastAsia" w:hAnsi="Times New Roman" w:cs="Times New Roman"/>
          <w:sz w:val="24"/>
          <w:szCs w:val="24"/>
        </w:rPr>
        <w:t>d</w:t>
      </w:r>
      <w:r w:rsidR="00481EC4" w:rsidRPr="00BC1E6D">
        <w:rPr>
          <w:rFonts w:ascii="Times New Roman" w:eastAsiaTheme="minorEastAsia" w:hAnsi="Times New Roman" w:cs="Times New Roman"/>
          <w:sz w:val="24"/>
          <w:szCs w:val="24"/>
        </w:rPr>
        <w:t xml:space="preserve"> </w:t>
      </w:r>
      <w:r w:rsidR="000213A5" w:rsidRPr="00BC1E6D">
        <w:rPr>
          <w:rFonts w:ascii="Times New Roman" w:eastAsiaTheme="minorEastAsia" w:hAnsi="Times New Roman" w:cs="Times New Roman"/>
          <w:sz w:val="24"/>
          <w:szCs w:val="24"/>
        </w:rPr>
        <w:t xml:space="preserve">if the </w:t>
      </w:r>
      <w:r w:rsidR="008F3BE5" w:rsidRPr="00BC1E6D">
        <w:rPr>
          <w:rFonts w:ascii="Times New Roman" w:eastAsiaTheme="minorEastAsia" w:hAnsi="Times New Roman" w:cs="Times New Roman"/>
          <w:sz w:val="24"/>
          <w:szCs w:val="24"/>
        </w:rPr>
        <w:t xml:space="preserve">CAPM of APT better describes the stock returns of various investment </w:t>
      </w:r>
      <w:r w:rsidR="00C861A6" w:rsidRPr="00BC1E6D">
        <w:rPr>
          <w:rFonts w:ascii="Times New Roman" w:eastAsiaTheme="minorEastAsia" w:hAnsi="Times New Roman" w:cs="Times New Roman"/>
          <w:sz w:val="24"/>
          <w:szCs w:val="24"/>
        </w:rPr>
        <w:t>sectors</w:t>
      </w:r>
      <w:r w:rsidR="00657B52" w:rsidRPr="00BC1E6D">
        <w:rPr>
          <w:rFonts w:ascii="Times New Roman" w:eastAsiaTheme="minorEastAsia" w:hAnsi="Times New Roman" w:cs="Times New Roman"/>
          <w:sz w:val="24"/>
          <w:szCs w:val="24"/>
        </w:rPr>
        <w:t xml:space="preserve">. </w:t>
      </w:r>
      <w:r w:rsidR="00030A9B" w:rsidRPr="00BC1E6D">
        <w:rPr>
          <w:rFonts w:ascii="Times New Roman" w:eastAsiaTheme="minorEastAsia" w:hAnsi="Times New Roman" w:cs="Times New Roman"/>
          <w:sz w:val="24"/>
          <w:szCs w:val="24"/>
        </w:rPr>
        <w:t xml:space="preserve">The Identification of sector-specific responses would allow an investor to focus investment there while maintaining the benefits of portfolio diversification. </w:t>
      </w:r>
    </w:p>
    <w:p w14:paraId="152520A6" w14:textId="38AB7D6D" w:rsidR="00397E41" w:rsidRPr="00BC1E6D" w:rsidRDefault="009E683F"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It is found</w:t>
      </w:r>
      <w:r w:rsidR="00397E41" w:rsidRPr="00BC1E6D">
        <w:rPr>
          <w:rFonts w:ascii="Times New Roman" w:eastAsiaTheme="minorEastAsia" w:hAnsi="Times New Roman" w:cs="Times New Roman"/>
          <w:sz w:val="24"/>
          <w:szCs w:val="24"/>
        </w:rPr>
        <w:t xml:space="preserve"> f</w:t>
      </w:r>
      <w:r w:rsidR="000135E3" w:rsidRPr="00BC1E6D">
        <w:rPr>
          <w:rFonts w:ascii="Times New Roman" w:eastAsiaTheme="minorEastAsia" w:hAnsi="Times New Roman" w:cs="Times New Roman"/>
          <w:sz w:val="24"/>
          <w:szCs w:val="24"/>
        </w:rPr>
        <w:t xml:space="preserve">ind that the </w:t>
      </w:r>
      <w:r w:rsidR="00C861A6" w:rsidRPr="00BC1E6D">
        <w:rPr>
          <w:rFonts w:ascii="Times New Roman" w:eastAsiaTheme="minorEastAsia" w:hAnsi="Times New Roman" w:cs="Times New Roman"/>
          <w:sz w:val="24"/>
          <w:szCs w:val="24"/>
        </w:rPr>
        <w:t>I</w:t>
      </w:r>
      <w:r w:rsidR="000135E3" w:rsidRPr="00BC1E6D">
        <w:rPr>
          <w:rFonts w:ascii="Times New Roman" w:eastAsiaTheme="minorEastAsia" w:hAnsi="Times New Roman" w:cs="Times New Roman"/>
          <w:sz w:val="24"/>
          <w:szCs w:val="24"/>
        </w:rPr>
        <w:t>ndustrial sector follows a CAPM model</w:t>
      </w:r>
      <w:r w:rsidR="001B6C5F" w:rsidRPr="00BC1E6D">
        <w:rPr>
          <w:rFonts w:ascii="Times New Roman" w:eastAsiaTheme="minorEastAsia" w:hAnsi="Times New Roman" w:cs="Times New Roman"/>
          <w:sz w:val="24"/>
          <w:szCs w:val="24"/>
        </w:rPr>
        <w:t xml:space="preserve">. </w:t>
      </w:r>
      <w:r w:rsidR="00730EFF" w:rsidRPr="00BC1E6D">
        <w:rPr>
          <w:rFonts w:ascii="Times New Roman" w:eastAsiaTheme="minorEastAsia" w:hAnsi="Times New Roman" w:cs="Times New Roman"/>
          <w:sz w:val="24"/>
          <w:szCs w:val="24"/>
        </w:rPr>
        <w:t>Information Technology, Communications, Health Care, Consumer Staples, and Utilities weakly follow the APT model</w:t>
      </w:r>
      <w:r w:rsidR="00C56F94" w:rsidRPr="00BC1E6D">
        <w:rPr>
          <w:rFonts w:ascii="Times New Roman" w:eastAsiaTheme="minorEastAsia" w:hAnsi="Times New Roman" w:cs="Times New Roman"/>
          <w:sz w:val="24"/>
          <w:szCs w:val="24"/>
        </w:rPr>
        <w:t>.</w:t>
      </w:r>
      <w:r w:rsidR="00730EFF" w:rsidRPr="00BC1E6D">
        <w:rPr>
          <w:rFonts w:ascii="Times New Roman" w:eastAsiaTheme="minorEastAsia" w:hAnsi="Times New Roman" w:cs="Times New Roman"/>
          <w:sz w:val="24"/>
          <w:szCs w:val="24"/>
        </w:rPr>
        <w:t xml:space="preserve"> </w:t>
      </w:r>
      <w:r w:rsidR="00C56F94" w:rsidRPr="00BC1E6D">
        <w:rPr>
          <w:rFonts w:ascii="Times New Roman" w:eastAsiaTheme="minorEastAsia" w:hAnsi="Times New Roman" w:cs="Times New Roman"/>
          <w:sz w:val="24"/>
          <w:szCs w:val="24"/>
        </w:rPr>
        <w:t>Consumer Discretionary, Financial, Energy, and Materials semi-strongly follow the APT model</w:t>
      </w:r>
      <w:r w:rsidR="002462EC" w:rsidRPr="00BC1E6D">
        <w:rPr>
          <w:rFonts w:ascii="Times New Roman" w:eastAsiaTheme="minorEastAsia" w:hAnsi="Times New Roman" w:cs="Times New Roman"/>
          <w:sz w:val="24"/>
          <w:szCs w:val="24"/>
        </w:rPr>
        <w:t>. Real Estate is the sector that is best modeled with the APT</w:t>
      </w:r>
      <w:r w:rsidR="002F343C" w:rsidRPr="00BC1E6D">
        <w:rPr>
          <w:rFonts w:ascii="Times New Roman" w:eastAsiaTheme="minorEastAsia" w:hAnsi="Times New Roman" w:cs="Times New Roman"/>
          <w:sz w:val="24"/>
          <w:szCs w:val="24"/>
        </w:rPr>
        <w:t xml:space="preserve">. </w:t>
      </w:r>
      <w:r w:rsidR="009267B4" w:rsidRPr="00BC1E6D">
        <w:rPr>
          <w:rFonts w:ascii="Times New Roman" w:eastAsiaTheme="minorEastAsia" w:hAnsi="Times New Roman" w:cs="Times New Roman"/>
          <w:sz w:val="24"/>
          <w:szCs w:val="24"/>
        </w:rPr>
        <w:t xml:space="preserve">The </w:t>
      </w:r>
      <w:r w:rsidR="00ED3AB4" w:rsidRPr="00BC1E6D">
        <w:rPr>
          <w:rFonts w:ascii="Times New Roman" w:eastAsiaTheme="minorEastAsia" w:hAnsi="Times New Roman" w:cs="Times New Roman"/>
          <w:sz w:val="24"/>
          <w:szCs w:val="24"/>
        </w:rPr>
        <w:t>identification of sectors that have differing pricing responses allow</w:t>
      </w:r>
      <w:r w:rsidR="004A1AA6" w:rsidRPr="00BC1E6D">
        <w:rPr>
          <w:rFonts w:ascii="Times New Roman" w:eastAsiaTheme="minorEastAsia" w:hAnsi="Times New Roman" w:cs="Times New Roman"/>
          <w:sz w:val="24"/>
          <w:szCs w:val="24"/>
        </w:rPr>
        <w:t>s</w:t>
      </w:r>
      <w:r w:rsidR="00ED3AB4" w:rsidRPr="00BC1E6D">
        <w:rPr>
          <w:rFonts w:ascii="Times New Roman" w:eastAsiaTheme="minorEastAsia" w:hAnsi="Times New Roman" w:cs="Times New Roman"/>
          <w:sz w:val="24"/>
          <w:szCs w:val="24"/>
        </w:rPr>
        <w:t xml:space="preserve"> an investor to maintain benefits of diversification, when compared </w:t>
      </w:r>
      <w:r w:rsidR="00C9762F" w:rsidRPr="00BC1E6D">
        <w:rPr>
          <w:rFonts w:ascii="Times New Roman" w:eastAsiaTheme="minorEastAsia" w:hAnsi="Times New Roman" w:cs="Times New Roman"/>
          <w:sz w:val="24"/>
          <w:szCs w:val="24"/>
        </w:rPr>
        <w:t xml:space="preserve">to </w:t>
      </w:r>
      <w:r w:rsidR="00ED3AB4" w:rsidRPr="00BC1E6D">
        <w:rPr>
          <w:rFonts w:ascii="Times New Roman" w:eastAsiaTheme="minorEastAsia" w:hAnsi="Times New Roman" w:cs="Times New Roman"/>
          <w:sz w:val="24"/>
          <w:szCs w:val="24"/>
        </w:rPr>
        <w:t xml:space="preserve">more volatile single-stock investments. </w:t>
      </w:r>
    </w:p>
    <w:p w14:paraId="4B9AD461" w14:textId="47D82310" w:rsidR="003A5A91" w:rsidRPr="00282B12" w:rsidRDefault="003A5A91" w:rsidP="003A5A91">
      <w:pPr>
        <w:pStyle w:val="Heading2"/>
        <w:jc w:val="center"/>
        <w:rPr>
          <w:rFonts w:ascii="Times New Roman" w:eastAsiaTheme="minorEastAsia" w:hAnsi="Times New Roman" w:cs="Times New Roman"/>
          <w:b/>
          <w:bCs/>
          <w:color w:val="auto"/>
        </w:rPr>
      </w:pPr>
      <w:r w:rsidRPr="00282B12">
        <w:rPr>
          <w:rFonts w:ascii="Times New Roman" w:eastAsiaTheme="minorEastAsia" w:hAnsi="Times New Roman" w:cs="Times New Roman"/>
          <w:b/>
          <w:bCs/>
          <w:color w:val="auto"/>
        </w:rPr>
        <w:t>Literature Review</w:t>
      </w:r>
    </w:p>
    <w:p w14:paraId="6581E25B" w14:textId="33C17EDE" w:rsidR="00ED26E1" w:rsidRPr="00282B12" w:rsidRDefault="00ED26E1" w:rsidP="00BD3816">
      <w:pPr>
        <w:pStyle w:val="Heading3"/>
        <w:spacing w:line="276" w:lineRule="auto"/>
        <w:rPr>
          <w:rFonts w:ascii="Times New Roman" w:eastAsiaTheme="minorEastAsia" w:hAnsi="Times New Roman" w:cs="Times New Roman"/>
          <w:b/>
          <w:bCs/>
          <w:color w:val="auto"/>
        </w:rPr>
      </w:pPr>
      <w:r w:rsidRPr="00282B12">
        <w:rPr>
          <w:rFonts w:ascii="Times New Roman" w:eastAsiaTheme="minorEastAsia" w:hAnsi="Times New Roman" w:cs="Times New Roman"/>
          <w:b/>
          <w:bCs/>
          <w:color w:val="auto"/>
        </w:rPr>
        <w:t xml:space="preserve">Modern Portfolio Theory </w:t>
      </w:r>
      <w:r w:rsidR="001216A3" w:rsidRPr="00282B12">
        <w:rPr>
          <w:rFonts w:ascii="Times New Roman" w:eastAsiaTheme="minorEastAsia" w:hAnsi="Times New Roman" w:cs="Times New Roman"/>
          <w:b/>
          <w:bCs/>
          <w:color w:val="auto"/>
        </w:rPr>
        <w:t>and The Capital Asset Pricing Model</w:t>
      </w:r>
    </w:p>
    <w:p w14:paraId="67FD8804" w14:textId="73AE99F6" w:rsidR="006A00E0" w:rsidRPr="00BC1E6D" w:rsidRDefault="00613798"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Humans are inherently risk averse</w:t>
      </w:r>
      <w:r w:rsidR="008877BC" w:rsidRPr="00BC1E6D">
        <w:rPr>
          <w:rFonts w:ascii="Times New Roman" w:eastAsiaTheme="minorEastAsia" w:hAnsi="Times New Roman" w:cs="Times New Roman"/>
          <w:sz w:val="24"/>
          <w:szCs w:val="24"/>
        </w:rPr>
        <w:t>(Werner 2008)</w:t>
      </w:r>
      <w:r w:rsidR="0079722C" w:rsidRPr="00BC1E6D">
        <w:rPr>
          <w:rFonts w:ascii="Times New Roman" w:eastAsiaTheme="minorEastAsia" w:hAnsi="Times New Roman" w:cs="Times New Roman"/>
          <w:sz w:val="24"/>
          <w:szCs w:val="24"/>
        </w:rPr>
        <w:t xml:space="preserve">. </w:t>
      </w:r>
      <w:r w:rsidR="00BC1983" w:rsidRPr="00BC1E6D">
        <w:rPr>
          <w:rFonts w:ascii="Times New Roman" w:eastAsiaTheme="minorEastAsia" w:hAnsi="Times New Roman" w:cs="Times New Roman"/>
          <w:sz w:val="24"/>
          <w:szCs w:val="24"/>
        </w:rPr>
        <w:t xml:space="preserve">If given a chance to flip a coin for the same monetary loss or gain, </w:t>
      </w:r>
      <w:r w:rsidR="00E37499" w:rsidRPr="00BC1E6D">
        <w:rPr>
          <w:rFonts w:ascii="Times New Roman" w:eastAsiaTheme="minorEastAsia" w:hAnsi="Times New Roman" w:cs="Times New Roman"/>
          <w:sz w:val="24"/>
          <w:szCs w:val="24"/>
        </w:rPr>
        <w:t>most would choose not to flip the coin</w:t>
      </w:r>
      <w:r w:rsidR="009242A5" w:rsidRPr="00BC1E6D">
        <w:rPr>
          <w:rFonts w:ascii="Times New Roman" w:eastAsiaTheme="minorEastAsia" w:hAnsi="Times New Roman" w:cs="Times New Roman"/>
          <w:sz w:val="24"/>
          <w:szCs w:val="24"/>
        </w:rPr>
        <w:t>; a</w:t>
      </w:r>
      <w:r w:rsidR="00E37499" w:rsidRPr="00BC1E6D">
        <w:rPr>
          <w:rFonts w:ascii="Times New Roman" w:eastAsiaTheme="minorEastAsia" w:hAnsi="Times New Roman" w:cs="Times New Roman"/>
          <w:sz w:val="24"/>
          <w:szCs w:val="24"/>
        </w:rPr>
        <w:t xml:space="preserve">n equal loss hurts more than an equal gain. </w:t>
      </w:r>
      <w:r w:rsidR="00D4388A" w:rsidRPr="00BC1E6D">
        <w:rPr>
          <w:rFonts w:ascii="Times New Roman" w:eastAsiaTheme="minorEastAsia" w:hAnsi="Times New Roman" w:cs="Times New Roman"/>
          <w:sz w:val="24"/>
          <w:szCs w:val="24"/>
        </w:rPr>
        <w:t xml:space="preserve">Using this presupposition, Harry Markowitz </w:t>
      </w:r>
      <w:r w:rsidR="0094697D" w:rsidRPr="00BC1E6D">
        <w:rPr>
          <w:rFonts w:ascii="Times New Roman" w:eastAsiaTheme="minorEastAsia" w:hAnsi="Times New Roman" w:cs="Times New Roman"/>
          <w:sz w:val="24"/>
          <w:szCs w:val="24"/>
        </w:rPr>
        <w:t xml:space="preserve">(1959) </w:t>
      </w:r>
      <w:r w:rsidR="00D4388A" w:rsidRPr="00BC1E6D">
        <w:rPr>
          <w:rFonts w:ascii="Times New Roman" w:eastAsiaTheme="minorEastAsia" w:hAnsi="Times New Roman" w:cs="Times New Roman"/>
          <w:sz w:val="24"/>
          <w:szCs w:val="24"/>
        </w:rPr>
        <w:t>pioneered Modern Portfolio Theory</w:t>
      </w:r>
      <w:r w:rsidR="008A523A" w:rsidRPr="00BC1E6D">
        <w:rPr>
          <w:rFonts w:ascii="Times New Roman" w:eastAsiaTheme="minorEastAsia" w:hAnsi="Times New Roman" w:cs="Times New Roman"/>
          <w:sz w:val="24"/>
          <w:szCs w:val="24"/>
        </w:rPr>
        <w:t xml:space="preserve"> </w:t>
      </w:r>
      <w:r w:rsidR="00D524A6" w:rsidRPr="00BC1E6D">
        <w:rPr>
          <w:rFonts w:ascii="Times New Roman" w:eastAsiaTheme="minorEastAsia" w:hAnsi="Times New Roman" w:cs="Times New Roman"/>
          <w:sz w:val="24"/>
          <w:szCs w:val="24"/>
        </w:rPr>
        <w:t>(MPT)</w:t>
      </w:r>
      <w:r w:rsidR="0094697D" w:rsidRPr="00BC1E6D">
        <w:rPr>
          <w:rFonts w:ascii="Times New Roman" w:eastAsiaTheme="minorEastAsia" w:hAnsi="Times New Roman" w:cs="Times New Roman"/>
          <w:sz w:val="24"/>
          <w:szCs w:val="24"/>
        </w:rPr>
        <w:t xml:space="preserve">. </w:t>
      </w:r>
      <w:r w:rsidR="00C212E8" w:rsidRPr="00BC1E6D">
        <w:rPr>
          <w:rFonts w:ascii="Times New Roman" w:eastAsiaTheme="minorEastAsia" w:hAnsi="Times New Roman" w:cs="Times New Roman"/>
          <w:sz w:val="24"/>
          <w:szCs w:val="24"/>
        </w:rPr>
        <w:t xml:space="preserve">His suggestion was that a portfolio with </w:t>
      </w:r>
      <w:r w:rsidR="00692AA0" w:rsidRPr="00BC1E6D">
        <w:rPr>
          <w:rFonts w:ascii="Times New Roman" w:eastAsiaTheme="minorEastAsia" w:hAnsi="Times New Roman" w:cs="Times New Roman"/>
          <w:sz w:val="24"/>
          <w:szCs w:val="24"/>
        </w:rPr>
        <w:t xml:space="preserve">lower variation of returns was better than </w:t>
      </w:r>
      <w:r w:rsidR="00963E04" w:rsidRPr="00BC1E6D">
        <w:rPr>
          <w:rFonts w:ascii="Times New Roman" w:eastAsiaTheme="minorEastAsia" w:hAnsi="Times New Roman" w:cs="Times New Roman"/>
          <w:sz w:val="24"/>
          <w:szCs w:val="24"/>
        </w:rPr>
        <w:t xml:space="preserve">one with higher variation, given the two portfolios had equal </w:t>
      </w:r>
      <w:r w:rsidR="003269F2" w:rsidRPr="00BC1E6D">
        <w:rPr>
          <w:rFonts w:ascii="Times New Roman" w:eastAsiaTheme="minorEastAsia" w:hAnsi="Times New Roman" w:cs="Times New Roman"/>
          <w:sz w:val="24"/>
          <w:szCs w:val="24"/>
        </w:rPr>
        <w:t xml:space="preserve">returns </w:t>
      </w:r>
      <w:r w:rsidR="00CF772D" w:rsidRPr="00BC1E6D">
        <w:rPr>
          <w:rFonts w:ascii="Times New Roman" w:eastAsiaTheme="minorEastAsia" w:hAnsi="Times New Roman" w:cs="Times New Roman"/>
          <w:sz w:val="24"/>
          <w:szCs w:val="24"/>
        </w:rPr>
        <w:t xml:space="preserve">overall or equal predicted returns. </w:t>
      </w:r>
      <w:r w:rsidR="00BE3708" w:rsidRPr="00BC1E6D">
        <w:rPr>
          <w:rFonts w:ascii="Times New Roman" w:eastAsiaTheme="minorEastAsia" w:hAnsi="Times New Roman" w:cs="Times New Roman"/>
          <w:sz w:val="24"/>
          <w:szCs w:val="24"/>
        </w:rPr>
        <w:t>Thi</w:t>
      </w:r>
      <w:r w:rsidR="008E31DA" w:rsidRPr="00BC1E6D">
        <w:rPr>
          <w:rFonts w:ascii="Times New Roman" w:eastAsiaTheme="minorEastAsia" w:hAnsi="Times New Roman" w:cs="Times New Roman"/>
          <w:sz w:val="24"/>
          <w:szCs w:val="24"/>
        </w:rPr>
        <w:t xml:space="preserve">s discounted returns for a portfolio by how much risk the investor was taking on. </w:t>
      </w:r>
      <w:r w:rsidR="0047585C" w:rsidRPr="00BC1E6D">
        <w:rPr>
          <w:rFonts w:ascii="Times New Roman" w:eastAsiaTheme="minorEastAsia" w:hAnsi="Times New Roman" w:cs="Times New Roman"/>
          <w:sz w:val="24"/>
          <w:szCs w:val="24"/>
        </w:rPr>
        <w:t xml:space="preserve">Then, the theory posits, the investor must be compensated for taking on increased risk </w:t>
      </w:r>
      <w:r w:rsidR="00BF22E5" w:rsidRPr="00BC1E6D">
        <w:rPr>
          <w:rFonts w:ascii="Times New Roman" w:eastAsiaTheme="minorEastAsia" w:hAnsi="Times New Roman" w:cs="Times New Roman"/>
          <w:sz w:val="24"/>
          <w:szCs w:val="24"/>
        </w:rPr>
        <w:t>through increased returns.</w:t>
      </w:r>
      <w:r w:rsidR="00663321" w:rsidRPr="00BC1E6D">
        <w:rPr>
          <w:rFonts w:ascii="Times New Roman" w:eastAsiaTheme="minorEastAsia" w:hAnsi="Times New Roman" w:cs="Times New Roman"/>
          <w:sz w:val="24"/>
          <w:szCs w:val="24"/>
        </w:rPr>
        <w:t xml:space="preserve"> The idea that </w:t>
      </w:r>
      <w:r w:rsidR="00D17B3B" w:rsidRPr="00BC1E6D">
        <w:rPr>
          <w:rFonts w:ascii="Times New Roman" w:eastAsiaTheme="minorEastAsia" w:hAnsi="Times New Roman" w:cs="Times New Roman"/>
          <w:sz w:val="24"/>
          <w:szCs w:val="24"/>
        </w:rPr>
        <w:t xml:space="preserve">risk is a driving factor </w:t>
      </w:r>
      <w:r w:rsidR="001C6593" w:rsidRPr="00BC1E6D">
        <w:rPr>
          <w:rFonts w:ascii="Times New Roman" w:eastAsiaTheme="minorEastAsia" w:hAnsi="Times New Roman" w:cs="Times New Roman"/>
          <w:sz w:val="24"/>
          <w:szCs w:val="24"/>
        </w:rPr>
        <w:t xml:space="preserve">in portfolio selection was </w:t>
      </w:r>
      <w:r w:rsidR="00661DFA" w:rsidRPr="00BC1E6D">
        <w:rPr>
          <w:rFonts w:ascii="Times New Roman" w:eastAsiaTheme="minorEastAsia" w:hAnsi="Times New Roman" w:cs="Times New Roman"/>
          <w:sz w:val="24"/>
          <w:szCs w:val="24"/>
        </w:rPr>
        <w:t>the</w:t>
      </w:r>
      <w:r w:rsidR="001C6593" w:rsidRPr="00BC1E6D">
        <w:rPr>
          <w:rFonts w:ascii="Times New Roman" w:eastAsiaTheme="minorEastAsia" w:hAnsi="Times New Roman" w:cs="Times New Roman"/>
          <w:sz w:val="24"/>
          <w:szCs w:val="24"/>
        </w:rPr>
        <w:t xml:space="preserve"> seminal contribution to </w:t>
      </w:r>
      <w:r w:rsidR="00D524A6" w:rsidRPr="00BC1E6D">
        <w:rPr>
          <w:rFonts w:ascii="Times New Roman" w:eastAsiaTheme="minorEastAsia" w:hAnsi="Times New Roman" w:cs="Times New Roman"/>
          <w:sz w:val="24"/>
          <w:szCs w:val="24"/>
        </w:rPr>
        <w:t>MPT</w:t>
      </w:r>
      <w:r w:rsidR="001C6593" w:rsidRPr="00BC1E6D">
        <w:rPr>
          <w:rFonts w:ascii="Times New Roman" w:eastAsiaTheme="minorEastAsia" w:hAnsi="Times New Roman" w:cs="Times New Roman"/>
          <w:sz w:val="24"/>
          <w:szCs w:val="24"/>
        </w:rPr>
        <w:t xml:space="preserve"> </w:t>
      </w:r>
      <w:r w:rsidR="006C3153" w:rsidRPr="00BC1E6D">
        <w:rPr>
          <w:rFonts w:ascii="Times New Roman" w:eastAsiaTheme="minorEastAsia" w:hAnsi="Times New Roman" w:cs="Times New Roman"/>
          <w:sz w:val="24"/>
          <w:szCs w:val="24"/>
        </w:rPr>
        <w:t xml:space="preserve">and has been the groundwork for many risk-based theories developed since. </w:t>
      </w:r>
    </w:p>
    <w:p w14:paraId="5DB0B952" w14:textId="3C2EF176" w:rsidR="006C738E" w:rsidRPr="00BC1E6D" w:rsidRDefault="00C96F8E"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Since</w:t>
      </w:r>
      <w:r w:rsidR="00D36312" w:rsidRPr="00BC1E6D">
        <w:rPr>
          <w:rFonts w:ascii="Times New Roman" w:eastAsiaTheme="minorEastAsia" w:hAnsi="Times New Roman" w:cs="Times New Roman"/>
          <w:sz w:val="24"/>
          <w:szCs w:val="24"/>
        </w:rPr>
        <w:t xml:space="preserve"> </w:t>
      </w:r>
      <w:r w:rsidR="00325FB2" w:rsidRPr="00BC1E6D">
        <w:rPr>
          <w:rFonts w:ascii="Times New Roman" w:eastAsiaTheme="minorEastAsia" w:hAnsi="Times New Roman" w:cs="Times New Roman"/>
          <w:sz w:val="24"/>
          <w:szCs w:val="24"/>
        </w:rPr>
        <w:t>1959</w:t>
      </w:r>
      <w:r w:rsidRPr="00BC1E6D">
        <w:rPr>
          <w:rFonts w:ascii="Times New Roman" w:eastAsiaTheme="minorEastAsia" w:hAnsi="Times New Roman" w:cs="Times New Roman"/>
          <w:sz w:val="24"/>
          <w:szCs w:val="24"/>
        </w:rPr>
        <w:t>, many</w:t>
      </w:r>
      <w:r w:rsidR="00325FB2" w:rsidRPr="00BC1E6D">
        <w:rPr>
          <w:rFonts w:ascii="Times New Roman" w:eastAsiaTheme="minorEastAsia" w:hAnsi="Times New Roman" w:cs="Times New Roman"/>
          <w:sz w:val="24"/>
          <w:szCs w:val="24"/>
        </w:rPr>
        <w:t xml:space="preserve"> have iterated on MPT and attempted to create more sophisticated models of risk. </w:t>
      </w:r>
      <w:r w:rsidR="00076290" w:rsidRPr="00BC1E6D">
        <w:rPr>
          <w:rFonts w:ascii="Times New Roman" w:eastAsiaTheme="minorEastAsia" w:hAnsi="Times New Roman" w:cs="Times New Roman"/>
          <w:sz w:val="24"/>
          <w:szCs w:val="24"/>
        </w:rPr>
        <w:t>The most well-known example would be the Capital Asset Pricing Model,</w:t>
      </w:r>
      <w:r w:rsidR="002001B7" w:rsidRPr="00BC1E6D">
        <w:rPr>
          <w:rFonts w:ascii="Times New Roman" w:eastAsiaTheme="minorEastAsia" w:hAnsi="Times New Roman" w:cs="Times New Roman"/>
          <w:sz w:val="24"/>
          <w:szCs w:val="24"/>
        </w:rPr>
        <w:t xml:space="preserve"> which was developed in</w:t>
      </w:r>
      <w:r w:rsidR="007D790B" w:rsidRPr="00BC1E6D">
        <w:rPr>
          <w:rFonts w:ascii="Times New Roman" w:eastAsiaTheme="minorEastAsia" w:hAnsi="Times New Roman" w:cs="Times New Roman"/>
          <w:sz w:val="24"/>
          <w:szCs w:val="24"/>
        </w:rPr>
        <w:t xml:space="preserve"> the 1960s</w:t>
      </w:r>
      <w:r w:rsidR="002001B7" w:rsidRPr="00BC1E6D">
        <w:rPr>
          <w:rFonts w:ascii="Times New Roman" w:eastAsiaTheme="minorEastAsia" w:hAnsi="Times New Roman" w:cs="Times New Roman"/>
          <w:sz w:val="24"/>
          <w:szCs w:val="24"/>
        </w:rPr>
        <w:t xml:space="preserve"> by William Sharpe</w:t>
      </w:r>
      <w:r w:rsidR="00F42F6E" w:rsidRPr="00BC1E6D">
        <w:rPr>
          <w:rFonts w:ascii="Times New Roman" w:eastAsiaTheme="minorEastAsia" w:hAnsi="Times New Roman" w:cs="Times New Roman"/>
          <w:sz w:val="24"/>
          <w:szCs w:val="24"/>
        </w:rPr>
        <w:t xml:space="preserve"> (1964)</w:t>
      </w:r>
      <w:r w:rsidR="002001B7" w:rsidRPr="00BC1E6D">
        <w:rPr>
          <w:rFonts w:ascii="Times New Roman" w:eastAsiaTheme="minorEastAsia" w:hAnsi="Times New Roman" w:cs="Times New Roman"/>
          <w:sz w:val="24"/>
          <w:szCs w:val="24"/>
        </w:rPr>
        <w:t>, John Litner</w:t>
      </w:r>
      <w:r w:rsidR="00F42F6E" w:rsidRPr="00BC1E6D">
        <w:rPr>
          <w:rFonts w:ascii="Times New Roman" w:eastAsiaTheme="minorEastAsia" w:hAnsi="Times New Roman" w:cs="Times New Roman"/>
          <w:sz w:val="24"/>
          <w:szCs w:val="24"/>
        </w:rPr>
        <w:t xml:space="preserve"> (1965)</w:t>
      </w:r>
      <w:r w:rsidR="002001B7" w:rsidRPr="00BC1E6D">
        <w:rPr>
          <w:rFonts w:ascii="Times New Roman" w:eastAsiaTheme="minorEastAsia" w:hAnsi="Times New Roman" w:cs="Times New Roman"/>
          <w:sz w:val="24"/>
          <w:szCs w:val="24"/>
        </w:rPr>
        <w:t>, and Fischer Black</w:t>
      </w:r>
      <w:r w:rsidR="005305B7" w:rsidRPr="00BC1E6D">
        <w:rPr>
          <w:rFonts w:ascii="Times New Roman" w:eastAsiaTheme="minorEastAsia" w:hAnsi="Times New Roman" w:cs="Times New Roman"/>
          <w:sz w:val="24"/>
          <w:szCs w:val="24"/>
        </w:rPr>
        <w:t xml:space="preserve"> </w:t>
      </w:r>
      <w:r w:rsidR="0051584D" w:rsidRPr="00BC1E6D">
        <w:rPr>
          <w:rFonts w:ascii="Times New Roman" w:eastAsiaTheme="minorEastAsia" w:hAnsi="Times New Roman" w:cs="Times New Roman"/>
          <w:sz w:val="24"/>
          <w:szCs w:val="24"/>
        </w:rPr>
        <w:t>(</w:t>
      </w:r>
      <w:r w:rsidR="005305B7" w:rsidRPr="00BC1E6D">
        <w:rPr>
          <w:rFonts w:ascii="Times New Roman" w:eastAsiaTheme="minorEastAsia" w:hAnsi="Times New Roman" w:cs="Times New Roman"/>
          <w:sz w:val="24"/>
          <w:szCs w:val="24"/>
        </w:rPr>
        <w:t>1972</w:t>
      </w:r>
      <w:r w:rsidR="0051584D" w:rsidRPr="00BC1E6D">
        <w:rPr>
          <w:rFonts w:ascii="Times New Roman" w:eastAsiaTheme="minorEastAsia" w:hAnsi="Times New Roman" w:cs="Times New Roman"/>
          <w:sz w:val="24"/>
          <w:szCs w:val="24"/>
        </w:rPr>
        <w:t>)</w:t>
      </w:r>
      <w:r w:rsidR="0051584D" w:rsidRPr="00BC1E6D">
        <w:rPr>
          <w:rFonts w:ascii="Times New Roman" w:eastAsiaTheme="minorEastAsia" w:hAnsi="Times New Roman" w:cs="Times New Roman"/>
          <w:sz w:val="24"/>
          <w:szCs w:val="24"/>
        </w:rPr>
        <w:t xml:space="preserve">. </w:t>
      </w:r>
      <w:r w:rsidR="002001B7" w:rsidRPr="00BC1E6D">
        <w:rPr>
          <w:rFonts w:ascii="Times New Roman" w:eastAsiaTheme="minorEastAsia" w:hAnsi="Times New Roman" w:cs="Times New Roman"/>
          <w:sz w:val="24"/>
          <w:szCs w:val="24"/>
        </w:rPr>
        <w:lastRenderedPageBreak/>
        <w:t xml:space="preserve">The focus of each of their works was to determine which parts of a securities risk could be eliminated through diversification. In theory, an investor would only have to analyze the aggregate risk changes brought by adding a security to a portfolio. A single addition, in a well-diversified portfolio, would increase risk </w:t>
      </w:r>
      <w:r w:rsidR="005E7680" w:rsidRPr="00BC1E6D">
        <w:rPr>
          <w:rFonts w:ascii="Times New Roman" w:eastAsiaTheme="minorEastAsia" w:hAnsi="Times New Roman" w:cs="Times New Roman"/>
          <w:sz w:val="24"/>
          <w:szCs w:val="24"/>
        </w:rPr>
        <w:t>infinitesimally</w:t>
      </w:r>
      <w:r w:rsidR="002001B7" w:rsidRPr="00BC1E6D">
        <w:rPr>
          <w:rFonts w:ascii="Times New Roman" w:eastAsiaTheme="minorEastAsia" w:hAnsi="Times New Roman" w:cs="Times New Roman"/>
          <w:sz w:val="24"/>
          <w:szCs w:val="24"/>
        </w:rPr>
        <w:t xml:space="preserve">. </w:t>
      </w:r>
      <w:r w:rsidR="00F75656" w:rsidRPr="00BC1E6D">
        <w:rPr>
          <w:rFonts w:ascii="Times New Roman" w:eastAsiaTheme="minorEastAsia" w:hAnsi="Times New Roman" w:cs="Times New Roman"/>
          <w:sz w:val="24"/>
          <w:szCs w:val="24"/>
        </w:rPr>
        <w:t xml:space="preserve">This is the concept of diversification in a portfolio. </w:t>
      </w:r>
      <w:r w:rsidR="002001B7" w:rsidRPr="00BC1E6D">
        <w:rPr>
          <w:rFonts w:ascii="Times New Roman" w:eastAsiaTheme="minorEastAsia" w:hAnsi="Times New Roman" w:cs="Times New Roman"/>
          <w:sz w:val="24"/>
          <w:szCs w:val="24"/>
        </w:rPr>
        <w:t>The risk that was unavoidable was called </w:t>
      </w:r>
      <w:r w:rsidR="005E7680" w:rsidRPr="00BC1E6D">
        <w:rPr>
          <w:rFonts w:ascii="Times New Roman" w:eastAsiaTheme="minorEastAsia" w:hAnsi="Times New Roman" w:cs="Times New Roman"/>
          <w:sz w:val="24"/>
          <w:szCs w:val="24"/>
        </w:rPr>
        <w:t>systematic risk</w:t>
      </w:r>
      <w:r w:rsidR="005A1122" w:rsidRPr="00BC1E6D">
        <w:rPr>
          <w:rFonts w:ascii="Times New Roman" w:eastAsiaTheme="minorEastAsia" w:hAnsi="Times New Roman" w:cs="Times New Roman"/>
          <w:sz w:val="24"/>
          <w:szCs w:val="24"/>
        </w:rPr>
        <w:t xml:space="preserve">. The CAPM </w:t>
      </w:r>
      <w:r w:rsidR="00076290" w:rsidRPr="00BC1E6D">
        <w:rPr>
          <w:rFonts w:ascii="Times New Roman" w:eastAsiaTheme="minorEastAsia" w:hAnsi="Times New Roman" w:cs="Times New Roman"/>
          <w:sz w:val="24"/>
          <w:szCs w:val="24"/>
        </w:rPr>
        <w:t>assigns each security in a portfolio a Beta</w:t>
      </w:r>
      <w:r w:rsidR="00A554D1" w:rsidRPr="00BC1E6D">
        <w:rPr>
          <w:rFonts w:ascii="Times New Roman" w:eastAsiaTheme="minorEastAsia" w:hAnsi="Times New Roman" w:cs="Times New Roman"/>
          <w:sz w:val="24"/>
          <w:szCs w:val="24"/>
        </w:rPr>
        <w:t>, β, that represents its variance with respect to the market</w:t>
      </w:r>
      <w:r w:rsidR="00DC2679" w:rsidRPr="00BC1E6D">
        <w:rPr>
          <w:rFonts w:ascii="Times New Roman" w:eastAsiaTheme="minorEastAsia" w:hAnsi="Times New Roman" w:cs="Times New Roman"/>
          <w:sz w:val="24"/>
          <w:szCs w:val="24"/>
        </w:rPr>
        <w:t>, the “systematic risk”</w:t>
      </w:r>
      <w:r w:rsidR="00A554D1" w:rsidRPr="00BC1E6D">
        <w:rPr>
          <w:rFonts w:ascii="Times New Roman" w:eastAsiaTheme="minorEastAsia" w:hAnsi="Times New Roman" w:cs="Times New Roman"/>
          <w:sz w:val="24"/>
          <w:szCs w:val="24"/>
        </w:rPr>
        <w:t xml:space="preserve">. A security with a </w:t>
      </w:r>
      <w:r w:rsidR="005315A9" w:rsidRPr="00BC1E6D">
        <w:rPr>
          <w:rFonts w:ascii="Times New Roman" w:eastAsiaTheme="minorEastAsia" w:hAnsi="Times New Roman" w:cs="Times New Roman"/>
          <w:sz w:val="24"/>
          <w:szCs w:val="24"/>
        </w:rPr>
        <w:t xml:space="preserve">β above 1 represents a </w:t>
      </w:r>
      <w:r w:rsidR="00A04E4A" w:rsidRPr="00BC1E6D">
        <w:rPr>
          <w:rFonts w:ascii="Times New Roman" w:eastAsiaTheme="minorEastAsia" w:hAnsi="Times New Roman" w:cs="Times New Roman"/>
          <w:sz w:val="24"/>
          <w:szCs w:val="24"/>
        </w:rPr>
        <w:t xml:space="preserve">security that is more volatile than the </w:t>
      </w:r>
      <w:r w:rsidR="006C738E" w:rsidRPr="00BC1E6D">
        <w:rPr>
          <w:rFonts w:ascii="Times New Roman" w:eastAsiaTheme="minorEastAsia" w:hAnsi="Times New Roman" w:cs="Times New Roman"/>
          <w:sz w:val="24"/>
          <w:szCs w:val="24"/>
        </w:rPr>
        <w:t>market</w:t>
      </w:r>
      <w:r w:rsidR="00A04E4A" w:rsidRPr="00BC1E6D">
        <w:rPr>
          <w:rFonts w:ascii="Times New Roman" w:eastAsiaTheme="minorEastAsia" w:hAnsi="Times New Roman" w:cs="Times New Roman"/>
          <w:sz w:val="24"/>
          <w:szCs w:val="24"/>
        </w:rPr>
        <w:t>.</w:t>
      </w:r>
      <w:r w:rsidR="006C738E" w:rsidRPr="00BC1E6D">
        <w:rPr>
          <w:rFonts w:ascii="Times New Roman" w:eastAsiaTheme="minorEastAsia" w:hAnsi="Times New Roman" w:cs="Times New Roman"/>
          <w:sz w:val="24"/>
          <w:szCs w:val="24"/>
        </w:rPr>
        <w:t xml:space="preserve"> Mathematically</w:t>
      </w:r>
      <w:r w:rsidR="002A3B37" w:rsidRPr="00BC1E6D">
        <w:rPr>
          <w:rFonts w:ascii="Times New Roman" w:eastAsiaTheme="minorEastAsia" w:hAnsi="Times New Roman" w:cs="Times New Roman"/>
          <w:sz w:val="24"/>
          <w:szCs w:val="24"/>
        </w:rPr>
        <w:t xml:space="preserve">: </w:t>
      </w:r>
    </w:p>
    <w:p w14:paraId="3EFF9C74" w14:textId="387F2FFB" w:rsidR="006C738E" w:rsidRPr="00BC1E6D" w:rsidRDefault="00000000" w:rsidP="00BB37F6">
      <w:pPr>
        <w:spacing w:line="276"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Cov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e>
            </m:d>
            <m:ctrlPr>
              <w:rPr>
                <w:rFonts w:ascii="Cambria Math" w:eastAsiaTheme="minorEastAsia" w:hAnsi="Cambria Math" w:cs="Times New Roman"/>
                <w:i/>
                <w:sz w:val="24"/>
                <w:szCs w:val="24"/>
              </w:rPr>
            </m:ctrlPr>
          </m:den>
        </m:f>
      </m:oMath>
      <w:r w:rsidR="00BB37F6" w:rsidRPr="00BC1E6D">
        <w:rPr>
          <w:rFonts w:ascii="Times New Roman" w:eastAsiaTheme="minorEastAsia" w:hAnsi="Times New Roman" w:cs="Times New Roman"/>
          <w:sz w:val="24"/>
          <w:szCs w:val="24"/>
        </w:rPr>
        <w:tab/>
      </w:r>
      <w:r w:rsidR="00BB37F6" w:rsidRPr="00BC1E6D">
        <w:rPr>
          <w:rFonts w:ascii="Times New Roman" w:eastAsiaTheme="minorEastAsia" w:hAnsi="Times New Roman" w:cs="Times New Roman"/>
          <w:sz w:val="24"/>
          <w:szCs w:val="24"/>
        </w:rPr>
        <w:tab/>
      </w:r>
      <w:r w:rsidR="005550A6" w:rsidRPr="00BC1E6D">
        <w:rPr>
          <w:rFonts w:ascii="Times New Roman" w:eastAsiaTheme="minorEastAsia" w:hAnsi="Times New Roman" w:cs="Times New Roman"/>
          <w:sz w:val="24"/>
          <w:szCs w:val="24"/>
        </w:rPr>
        <w:t>(</w:t>
      </w:r>
      <w:r w:rsidR="001205A5" w:rsidRPr="00BC1E6D">
        <w:rPr>
          <w:rFonts w:ascii="Times New Roman" w:eastAsiaTheme="minorEastAsia" w:hAnsi="Times New Roman" w:cs="Times New Roman"/>
          <w:sz w:val="24"/>
          <w:szCs w:val="24"/>
        </w:rPr>
        <w:t>1</w:t>
      </w:r>
      <w:r w:rsidR="005550A6" w:rsidRPr="00BC1E6D">
        <w:rPr>
          <w:rFonts w:ascii="Times New Roman" w:eastAsiaTheme="minorEastAsia" w:hAnsi="Times New Roman" w:cs="Times New Roman"/>
          <w:sz w:val="24"/>
          <w:szCs w:val="24"/>
        </w:rPr>
        <w:t>)</w:t>
      </w:r>
    </w:p>
    <w:p w14:paraId="6CDC83D9" w14:textId="7A094609" w:rsidR="00957DBF" w:rsidRPr="00BC1E6D" w:rsidRDefault="002A3B37"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For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B44AED" w:rsidRPr="00BC1E6D">
        <w:rPr>
          <w:rFonts w:ascii="Times New Roman" w:eastAsiaTheme="minorEastAsia" w:hAnsi="Times New Roman" w:cs="Times New Roman"/>
          <w:sz w:val="24"/>
          <w:szCs w:val="24"/>
        </w:rPr>
        <w:t xml:space="preserve"> asset in a portfolio,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oMath>
      <w:r w:rsidR="00B44AED" w:rsidRPr="00BC1E6D">
        <w:rPr>
          <w:rFonts w:ascii="Times New Roman" w:eastAsiaTheme="minorEastAsia" w:hAnsi="Times New Roman" w:cs="Times New Roman"/>
          <w:sz w:val="24"/>
          <w:szCs w:val="24"/>
        </w:rPr>
        <w:t xml:space="preserve"> is market returns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957DBF" w:rsidRPr="00BC1E6D">
        <w:rPr>
          <w:rFonts w:ascii="Times New Roman" w:eastAsiaTheme="minorEastAsia" w:hAnsi="Times New Roman" w:cs="Times New Roman"/>
          <w:sz w:val="24"/>
          <w:szCs w:val="24"/>
        </w:rPr>
        <w:t xml:space="preserve"> is the return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957DBF" w:rsidRPr="00BC1E6D">
        <w:rPr>
          <w:rFonts w:ascii="Times New Roman" w:eastAsiaTheme="minorEastAsia" w:hAnsi="Times New Roman" w:cs="Times New Roman"/>
          <w:sz w:val="24"/>
          <w:szCs w:val="24"/>
        </w:rPr>
        <w:t xml:space="preserve"> asset. </w:t>
      </w:r>
    </w:p>
    <w:p w14:paraId="724F0D5C" w14:textId="49A6F072" w:rsidR="00114CF5" w:rsidRPr="00BC1E6D" w:rsidRDefault="00114CF5"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CAPM then predicts returns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BC1E6D">
        <w:rPr>
          <w:rFonts w:ascii="Times New Roman" w:eastAsiaTheme="minorEastAsia" w:hAnsi="Times New Roman" w:cs="Times New Roman"/>
          <w:sz w:val="24"/>
          <w:szCs w:val="24"/>
        </w:rPr>
        <w:t xml:space="preserve"> asset to be modelled as: </w:t>
      </w:r>
    </w:p>
    <w:p w14:paraId="0AC9A5BE" w14:textId="4BFDC0F7" w:rsidR="00114CF5" w:rsidRPr="00BC1E6D" w:rsidRDefault="00160761" w:rsidP="005550A6">
      <w:pPr>
        <w:spacing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e>
        </m:d>
      </m:oMath>
      <w:r w:rsidR="005550A6" w:rsidRPr="00BC1E6D">
        <w:rPr>
          <w:rFonts w:ascii="Times New Roman" w:eastAsiaTheme="minorEastAsia" w:hAnsi="Times New Roman" w:cs="Times New Roman"/>
          <w:sz w:val="24"/>
          <w:szCs w:val="24"/>
        </w:rPr>
        <w:tab/>
      </w:r>
      <w:r w:rsidR="005550A6" w:rsidRPr="00BC1E6D">
        <w:rPr>
          <w:rFonts w:ascii="Times New Roman" w:eastAsiaTheme="minorEastAsia" w:hAnsi="Times New Roman" w:cs="Times New Roman"/>
          <w:sz w:val="24"/>
          <w:szCs w:val="24"/>
        </w:rPr>
        <w:tab/>
        <w:t>(</w:t>
      </w:r>
      <w:r w:rsidR="001205A5" w:rsidRPr="00BC1E6D">
        <w:rPr>
          <w:rFonts w:ascii="Times New Roman" w:eastAsiaTheme="minorEastAsia" w:hAnsi="Times New Roman" w:cs="Times New Roman"/>
          <w:sz w:val="24"/>
          <w:szCs w:val="24"/>
        </w:rPr>
        <w:t>2</w:t>
      </w:r>
      <w:r w:rsidR="005550A6" w:rsidRPr="00BC1E6D">
        <w:rPr>
          <w:rFonts w:ascii="Times New Roman" w:eastAsiaTheme="minorEastAsia" w:hAnsi="Times New Roman" w:cs="Times New Roman"/>
          <w:sz w:val="24"/>
          <w:szCs w:val="24"/>
        </w:rPr>
        <w:t>)</w:t>
      </w:r>
    </w:p>
    <w:p w14:paraId="35983E40" w14:textId="561A34E7" w:rsidR="00DD42A6" w:rsidRPr="00BC1E6D" w:rsidRDefault="00B21ADD"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risk-free rate of return(i.e., government bond) is denoted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Pr="00BC1E6D">
        <w:rPr>
          <w:rFonts w:ascii="Times New Roman" w:eastAsiaTheme="minorEastAsia" w:hAnsi="Times New Roman" w:cs="Times New Roman"/>
          <w:sz w:val="24"/>
          <w:szCs w:val="24"/>
        </w:rPr>
        <w:t xml:space="preserve">. </w:t>
      </w:r>
      <w:r w:rsidR="00DD42A6" w:rsidRPr="00BC1E6D">
        <w:rPr>
          <w:rFonts w:ascii="Times New Roman" w:eastAsiaTheme="minorEastAsia" w:hAnsi="Times New Roman" w:cs="Times New Roman"/>
          <w:sz w:val="24"/>
          <w:szCs w:val="24"/>
        </w:rPr>
        <w:t>The market risk premium</w:t>
      </w:r>
      <w:r w:rsidR="00AF7F5B" w:rsidRPr="00BC1E6D">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e>
        </m:d>
      </m:oMath>
      <w:r w:rsidR="00AF12D8" w:rsidRPr="00BC1E6D">
        <w:rPr>
          <w:rFonts w:ascii="Times New Roman" w:eastAsiaTheme="minorEastAsia" w:hAnsi="Times New Roman" w:cs="Times New Roman"/>
          <w:sz w:val="24"/>
          <w:szCs w:val="24"/>
        </w:rPr>
        <w:t xml:space="preserve">, </w:t>
      </w:r>
      <w:r w:rsidR="006A6997" w:rsidRPr="00BC1E6D">
        <w:rPr>
          <w:rFonts w:ascii="Times New Roman" w:eastAsiaTheme="minorEastAsia" w:hAnsi="Times New Roman" w:cs="Times New Roman"/>
          <w:sz w:val="24"/>
          <w:szCs w:val="24"/>
        </w:rPr>
        <w:t xml:space="preserve">allows </w:t>
      </w:r>
      <w:r w:rsidR="00F9662A" w:rsidRPr="00BC1E6D">
        <w:rPr>
          <w:rFonts w:ascii="Times New Roman" w:eastAsiaTheme="minorEastAsia" w:hAnsi="Times New Roman" w:cs="Times New Roman"/>
          <w:sz w:val="24"/>
          <w:szCs w:val="24"/>
        </w:rPr>
        <w:t xml:space="preserve">a portfolio/securities’ returns to be adjusted for risk. </w:t>
      </w:r>
      <w:r w:rsidR="005D0F07" w:rsidRPr="00BC1E6D">
        <w:rPr>
          <w:rFonts w:ascii="Times New Roman" w:eastAsiaTheme="minorEastAsia" w:hAnsi="Times New Roman" w:cs="Times New Roman"/>
          <w:sz w:val="24"/>
          <w:szCs w:val="24"/>
        </w:rPr>
        <w:t xml:space="preserve">The driver of returns is the </w:t>
      </w:r>
      <w:r w:rsidR="004556E9" w:rsidRPr="00BC1E6D">
        <w:rPr>
          <w:rFonts w:ascii="Times New Roman" w:eastAsiaTheme="minorEastAsia" w:hAnsi="Times New Roman" w:cs="Times New Roman"/>
          <w:sz w:val="24"/>
          <w:szCs w:val="24"/>
        </w:rPr>
        <w:t xml:space="preserve">assets relative volatility, β. </w:t>
      </w:r>
    </w:p>
    <w:p w14:paraId="5C34489C" w14:textId="127015EC" w:rsidR="00FF0EBD" w:rsidRPr="00634DD6" w:rsidRDefault="001D47D4" w:rsidP="00BD3816">
      <w:pPr>
        <w:pStyle w:val="Heading3"/>
        <w:spacing w:line="276" w:lineRule="auto"/>
        <w:rPr>
          <w:rFonts w:ascii="Times New Roman" w:eastAsiaTheme="minorEastAsia" w:hAnsi="Times New Roman" w:cs="Times New Roman"/>
          <w:b/>
          <w:bCs/>
          <w:color w:val="auto"/>
        </w:rPr>
      </w:pPr>
      <w:r w:rsidRPr="00634DD6">
        <w:rPr>
          <w:rFonts w:ascii="Times New Roman" w:eastAsiaTheme="minorEastAsia" w:hAnsi="Times New Roman" w:cs="Times New Roman"/>
          <w:b/>
          <w:bCs/>
          <w:color w:val="auto"/>
        </w:rPr>
        <w:t>Arbitrage Pricing Theory</w:t>
      </w:r>
    </w:p>
    <w:p w14:paraId="33FBBCB5" w14:textId="172644DE" w:rsidR="007E189E" w:rsidRPr="00BC1E6D" w:rsidRDefault="00AA13F3"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w:t>
      </w:r>
      <w:r w:rsidR="00F54986" w:rsidRPr="00BC1E6D">
        <w:rPr>
          <w:rFonts w:ascii="Times New Roman" w:eastAsiaTheme="minorEastAsia" w:hAnsi="Times New Roman" w:cs="Times New Roman"/>
          <w:sz w:val="24"/>
          <w:szCs w:val="24"/>
        </w:rPr>
        <w:t>Arbitrage Pricing T</w:t>
      </w:r>
      <w:r w:rsidRPr="00BC1E6D">
        <w:rPr>
          <w:rFonts w:ascii="Times New Roman" w:eastAsiaTheme="minorEastAsia" w:hAnsi="Times New Roman" w:cs="Times New Roman"/>
          <w:sz w:val="24"/>
          <w:szCs w:val="24"/>
        </w:rPr>
        <w:t xml:space="preserve">heory was first introduced by Stephen Ross </w:t>
      </w:r>
      <w:r w:rsidR="00C679CB" w:rsidRPr="00BC1E6D">
        <w:rPr>
          <w:rFonts w:ascii="Times New Roman" w:eastAsiaTheme="minorEastAsia" w:hAnsi="Times New Roman" w:cs="Times New Roman"/>
          <w:sz w:val="24"/>
          <w:szCs w:val="24"/>
        </w:rPr>
        <w:t xml:space="preserve">(1976). </w:t>
      </w:r>
      <w:r w:rsidR="00A5163B" w:rsidRPr="00BC1E6D">
        <w:rPr>
          <w:rFonts w:ascii="Times New Roman" w:eastAsiaTheme="minorEastAsia" w:hAnsi="Times New Roman" w:cs="Times New Roman"/>
          <w:sz w:val="24"/>
          <w:szCs w:val="24"/>
        </w:rPr>
        <w:t xml:space="preserve">It extends the </w:t>
      </w:r>
      <w:r w:rsidR="00DF50EF" w:rsidRPr="00BC1E6D">
        <w:rPr>
          <w:rFonts w:ascii="Times New Roman" w:eastAsiaTheme="minorEastAsia" w:hAnsi="Times New Roman" w:cs="Times New Roman"/>
          <w:sz w:val="24"/>
          <w:szCs w:val="24"/>
        </w:rPr>
        <w:t>CAP</w:t>
      </w:r>
      <w:r w:rsidR="00C51690" w:rsidRPr="00BC1E6D">
        <w:rPr>
          <w:rFonts w:ascii="Times New Roman" w:eastAsiaTheme="minorEastAsia" w:hAnsi="Times New Roman" w:cs="Times New Roman"/>
          <w:sz w:val="24"/>
          <w:szCs w:val="24"/>
        </w:rPr>
        <w:t xml:space="preserve">M to incorporate </w:t>
      </w:r>
      <w:r w:rsidR="003E5281" w:rsidRPr="00BC1E6D">
        <w:rPr>
          <w:rFonts w:ascii="Times New Roman" w:eastAsiaTheme="minorEastAsia" w:hAnsi="Times New Roman" w:cs="Times New Roman"/>
          <w:sz w:val="24"/>
          <w:szCs w:val="24"/>
        </w:rPr>
        <w:t>the systematic effects</w:t>
      </w:r>
      <w:r w:rsidR="00FC3AD7" w:rsidRPr="00BC1E6D">
        <w:rPr>
          <w:rFonts w:ascii="Times New Roman" w:eastAsiaTheme="minorEastAsia" w:hAnsi="Times New Roman" w:cs="Times New Roman"/>
          <w:sz w:val="24"/>
          <w:szCs w:val="24"/>
        </w:rPr>
        <w:t xml:space="preserve"> into </w:t>
      </w:r>
      <m:oMath>
        <m:r>
          <w:rPr>
            <w:rFonts w:ascii="Cambria Math" w:eastAsiaTheme="minorEastAsia" w:hAnsi="Cambria Math" w:cs="Times New Roman"/>
            <w:sz w:val="24"/>
            <w:szCs w:val="24"/>
          </w:rPr>
          <m:t xml:space="preserve">n </m:t>
        </m:r>
      </m:oMath>
      <w:r w:rsidR="009C6528" w:rsidRPr="00BC1E6D">
        <w:rPr>
          <w:rFonts w:ascii="Times New Roman" w:eastAsiaTheme="minorEastAsia" w:hAnsi="Times New Roman" w:cs="Times New Roman"/>
          <w:sz w:val="24"/>
          <w:szCs w:val="24"/>
        </w:rPr>
        <w:t>factors</w:t>
      </w:r>
      <w:r w:rsidR="009A56C5" w:rsidRPr="00BC1E6D">
        <w:rPr>
          <w:rFonts w:ascii="Times New Roman" w:eastAsiaTheme="minorEastAsia" w:hAnsi="Times New Roman" w:cs="Times New Roman"/>
          <w:sz w:val="24"/>
          <w:szCs w:val="24"/>
        </w:rPr>
        <w:t xml:space="preserve"> </w:t>
      </w:r>
      <w:r w:rsidR="009C6528" w:rsidRPr="00BC1E6D">
        <w:rPr>
          <w:rFonts w:ascii="Times New Roman" w:eastAsiaTheme="minorEastAsia" w:hAnsi="Times New Roman" w:cs="Times New Roman"/>
          <w:sz w:val="24"/>
          <w:szCs w:val="24"/>
        </w:rPr>
        <w:t xml:space="preserve">to be chosen by the </w:t>
      </w:r>
      <w:r w:rsidR="00317855" w:rsidRPr="00BC1E6D">
        <w:rPr>
          <w:rFonts w:ascii="Times New Roman" w:eastAsiaTheme="minorEastAsia" w:hAnsi="Times New Roman" w:cs="Times New Roman"/>
          <w:sz w:val="24"/>
          <w:szCs w:val="24"/>
        </w:rPr>
        <w:t xml:space="preserve">modeler. </w:t>
      </w:r>
      <w:r w:rsidR="007E189E" w:rsidRPr="00BC1E6D">
        <w:rPr>
          <w:rFonts w:ascii="Times New Roman" w:eastAsiaTheme="minorEastAsia" w:hAnsi="Times New Roman" w:cs="Times New Roman"/>
          <w:sz w:val="24"/>
          <w:szCs w:val="24"/>
        </w:rPr>
        <w:t xml:space="preserve">The model is represented mathematically as: </w:t>
      </w:r>
    </w:p>
    <w:p w14:paraId="647AE8B8" w14:textId="23717992" w:rsidR="00C15507" w:rsidRPr="00BC1E6D" w:rsidRDefault="0086339E" w:rsidP="00DD2493">
      <w:pPr>
        <w:spacing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i2</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in</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m:t>
            </m:r>
          </m:sub>
        </m:sSub>
      </m:oMath>
      <w:r w:rsidR="00DD2493" w:rsidRPr="00BC1E6D">
        <w:rPr>
          <w:rFonts w:ascii="Times New Roman" w:eastAsiaTheme="minorEastAsia" w:hAnsi="Times New Roman" w:cs="Times New Roman"/>
          <w:sz w:val="24"/>
          <w:szCs w:val="24"/>
        </w:rPr>
        <w:tab/>
        <w:t>(</w:t>
      </w:r>
      <w:r w:rsidR="001205A5" w:rsidRPr="00BC1E6D">
        <w:rPr>
          <w:rFonts w:ascii="Times New Roman" w:eastAsiaTheme="minorEastAsia" w:hAnsi="Times New Roman" w:cs="Times New Roman"/>
          <w:sz w:val="24"/>
          <w:szCs w:val="24"/>
        </w:rPr>
        <w:t>3</w:t>
      </w:r>
      <w:r w:rsidR="00DD2493" w:rsidRPr="00BC1E6D">
        <w:rPr>
          <w:rFonts w:ascii="Times New Roman" w:eastAsiaTheme="minorEastAsia" w:hAnsi="Times New Roman" w:cs="Times New Roman"/>
          <w:sz w:val="24"/>
          <w:szCs w:val="24"/>
        </w:rPr>
        <w:t>)</w:t>
      </w:r>
    </w:p>
    <w:p w14:paraId="05FF16B0" w14:textId="77777777" w:rsidR="005F2C03" w:rsidRPr="00BC1E6D" w:rsidRDefault="0065185C" w:rsidP="00BD3816">
      <w:pPr>
        <w:spacing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oMath>
      <w:r w:rsidR="008B3BCF" w:rsidRPr="00BC1E6D">
        <w:rPr>
          <w:rFonts w:ascii="Times New Roman" w:eastAsiaTheme="minorEastAsia" w:hAnsi="Times New Roman" w:cs="Times New Roman"/>
          <w:sz w:val="24"/>
          <w:szCs w:val="24"/>
        </w:rPr>
        <w:t xml:space="preserve"> is the expected return for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8B3BCF" w:rsidRPr="00BC1E6D">
        <w:rPr>
          <w:rFonts w:ascii="Times New Roman" w:eastAsiaTheme="minorEastAsia" w:hAnsi="Times New Roman" w:cs="Times New Roman"/>
          <w:sz w:val="24"/>
          <w:szCs w:val="24"/>
        </w:rPr>
        <w:t xml:space="preserve"> asset</w:t>
      </w:r>
      <w:r w:rsidR="00931994" w:rsidRPr="00BC1E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00931994" w:rsidRPr="00BC1E6D">
        <w:rPr>
          <w:rFonts w:ascii="Times New Roman" w:eastAsiaTheme="minorEastAsia" w:hAnsi="Times New Roman" w:cs="Times New Roman"/>
          <w:sz w:val="24"/>
          <w:szCs w:val="24"/>
        </w:rPr>
        <w:t xml:space="preserve"> </w:t>
      </w:r>
      <w:r w:rsidR="008B3BCF" w:rsidRPr="00BC1E6D">
        <w:rPr>
          <w:rFonts w:ascii="Times New Roman" w:eastAsiaTheme="minorEastAsia" w:hAnsi="Times New Roman" w:cs="Times New Roman"/>
          <w:sz w:val="24"/>
          <w:szCs w:val="24"/>
        </w:rPr>
        <w:t>is the risk-free return rate</w:t>
      </w:r>
      <w:r w:rsidR="006C6804" w:rsidRPr="00BC1E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n</m:t>
            </m:r>
          </m:sub>
        </m:sSub>
      </m:oMath>
      <w:r w:rsidR="006C6804" w:rsidRPr="00BC1E6D">
        <w:rPr>
          <w:rFonts w:ascii="Times New Roman" w:eastAsiaTheme="minorEastAsia"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th</m:t>
            </m:r>
          </m:sup>
        </m:sSup>
      </m:oMath>
      <w:r w:rsidR="006C6804" w:rsidRPr="00BC1E6D">
        <w:rPr>
          <w:rFonts w:ascii="Times New Roman" w:eastAsiaTheme="minorEastAsia" w:hAnsi="Times New Roman" w:cs="Times New Roman"/>
          <w:sz w:val="24"/>
          <w:szCs w:val="24"/>
        </w:rPr>
        <w:t xml:space="preserve"> factor’s risk </w:t>
      </w:r>
      <w:r w:rsidR="00360AA6" w:rsidRPr="00BC1E6D">
        <w:rPr>
          <w:rFonts w:ascii="Times New Roman" w:eastAsiaTheme="minorEastAsia" w:hAnsi="Times New Roman" w:cs="Times New Roman"/>
          <w:sz w:val="24"/>
          <w:szCs w:val="24"/>
        </w:rPr>
        <w:t xml:space="preserve">premium,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in</m:t>
            </m:r>
          </m:sub>
        </m:sSub>
      </m:oMath>
      <w:r w:rsidR="00360AA6" w:rsidRPr="00BC1E6D">
        <w:rPr>
          <w:rFonts w:ascii="Times New Roman" w:eastAsiaTheme="minorEastAsia" w:hAnsi="Times New Roman" w:cs="Times New Roman"/>
          <w:sz w:val="24"/>
          <w:szCs w:val="24"/>
        </w:rPr>
        <w:t xml:space="preserve"> is the </w:t>
      </w:r>
      <w:r w:rsidR="00C90F08" w:rsidRPr="00BC1E6D">
        <w:rPr>
          <w:rFonts w:ascii="Times New Roman" w:eastAsiaTheme="minorEastAsia" w:hAnsi="Times New Roman" w:cs="Times New Roman"/>
          <w:sz w:val="24"/>
          <w:szCs w:val="24"/>
        </w:rPr>
        <w:t xml:space="preserve">factor loading specific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th</m:t>
            </m:r>
          </m:sup>
        </m:sSup>
      </m:oMath>
      <w:r w:rsidR="00C90F08" w:rsidRPr="00BC1E6D">
        <w:rPr>
          <w:rFonts w:ascii="Times New Roman" w:eastAsiaTheme="minorEastAsia" w:hAnsi="Times New Roman" w:cs="Times New Roman"/>
          <w:sz w:val="24"/>
          <w:szCs w:val="24"/>
        </w:rPr>
        <w:t xml:space="preserve"> factor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E23CB8" w:rsidRPr="00BC1E6D">
        <w:rPr>
          <w:rFonts w:ascii="Times New Roman" w:eastAsiaTheme="minorEastAsia" w:hAnsi="Times New Roman" w:cs="Times New Roman"/>
          <w:sz w:val="24"/>
          <w:szCs w:val="24"/>
        </w:rPr>
        <w:t xml:space="preserve"> asset,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ϵ</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oMath>
      <w:r w:rsidR="00E23CB8" w:rsidRPr="00BC1E6D">
        <w:rPr>
          <w:rFonts w:ascii="Times New Roman" w:eastAsiaTheme="minorEastAsia" w:hAnsi="Times New Roman" w:cs="Times New Roman"/>
          <w:sz w:val="24"/>
          <w:szCs w:val="24"/>
        </w:rPr>
        <w:t xml:space="preserve"> is </w:t>
      </w:r>
      <w:r w:rsidR="002666A1" w:rsidRPr="00BC1E6D">
        <w:rPr>
          <w:rFonts w:ascii="Times New Roman" w:eastAsiaTheme="minorEastAsia" w:hAnsi="Times New Roman" w:cs="Times New Roman"/>
          <w:sz w:val="24"/>
          <w:szCs w:val="24"/>
        </w:rPr>
        <w:t xml:space="preserve">the error term. </w:t>
      </w:r>
      <w:r w:rsidR="00947B68" w:rsidRPr="00BC1E6D">
        <w:rPr>
          <w:rFonts w:ascii="Times New Roman" w:eastAsiaTheme="minorEastAsia" w:hAnsi="Times New Roman" w:cs="Times New Roman"/>
          <w:sz w:val="24"/>
          <w:szCs w:val="24"/>
        </w:rPr>
        <w:t xml:space="preserve">Each </w:t>
      </w:r>
      <w:r w:rsidR="00E701D2" w:rsidRPr="00BC1E6D">
        <w:rPr>
          <w:rFonts w:ascii="Times New Roman" w:eastAsiaTheme="minorEastAsia" w:hAnsi="Times New Roman" w:cs="Times New Roman"/>
          <w:sz w:val="24"/>
          <w:szCs w:val="24"/>
        </w:rPr>
        <w:t xml:space="preserve">asset </w:t>
      </w:r>
      <m:oMath>
        <m:r>
          <w:rPr>
            <w:rFonts w:ascii="Cambria Math" w:eastAsiaTheme="minorEastAsia" w:hAnsi="Cambria Math" w:cs="Times New Roman"/>
            <w:sz w:val="24"/>
            <w:szCs w:val="24"/>
          </w:rPr>
          <m:t>i</m:t>
        </m:r>
      </m:oMath>
      <w:r w:rsidR="00E701D2" w:rsidRPr="00BC1E6D">
        <w:rPr>
          <w:rFonts w:ascii="Times New Roman" w:eastAsiaTheme="minorEastAsia" w:hAnsi="Times New Roman" w:cs="Times New Roman"/>
          <w:sz w:val="24"/>
          <w:szCs w:val="24"/>
        </w:rPr>
        <w:t xml:space="preserve"> </w:t>
      </w:r>
      <w:r w:rsidR="00741449" w:rsidRPr="00BC1E6D">
        <w:rPr>
          <w:rFonts w:ascii="Times New Roman" w:eastAsiaTheme="minorEastAsia" w:hAnsi="Times New Roman" w:cs="Times New Roman"/>
          <w:sz w:val="24"/>
          <w:szCs w:val="24"/>
        </w:rPr>
        <w:t>receives</w:t>
      </w:r>
      <w:r w:rsidR="00E701D2" w:rsidRPr="00BC1E6D">
        <w:rPr>
          <w:rFonts w:ascii="Times New Roman" w:eastAsiaTheme="minorEastAsia" w:hAnsi="Times New Roman" w:cs="Times New Roman"/>
          <w:sz w:val="24"/>
          <w:szCs w:val="24"/>
        </w:rPr>
        <w:t xml:space="preserve"> its own set of </w:t>
      </w:r>
      <m:oMath>
        <m:r>
          <w:rPr>
            <w:rFonts w:ascii="Cambria Math" w:eastAsiaTheme="minorEastAsia" w:hAnsi="Cambria Math" w:cs="Times New Roman"/>
            <w:sz w:val="24"/>
            <w:szCs w:val="24"/>
          </w:rPr>
          <m:t>n</m:t>
        </m:r>
      </m:oMath>
      <w:r w:rsidR="00AE5D43" w:rsidRPr="00BC1E6D">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β</m:t>
        </m:r>
      </m:oMath>
      <w:r w:rsidR="00525494" w:rsidRPr="00BC1E6D">
        <w:rPr>
          <w:rFonts w:ascii="Times New Roman" w:eastAsiaTheme="minorEastAsia" w:hAnsi="Times New Roman" w:cs="Times New Roman"/>
          <w:sz w:val="24"/>
          <w:szCs w:val="24"/>
        </w:rPr>
        <w:t xml:space="preserve">’s specific to that asset and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sidR="00525494" w:rsidRPr="00BC1E6D">
        <w:rPr>
          <w:rFonts w:ascii="Times New Roman" w:eastAsiaTheme="minorEastAsia" w:hAnsi="Times New Roman" w:cs="Times New Roman"/>
          <w:sz w:val="24"/>
          <w:szCs w:val="24"/>
        </w:rPr>
        <w:t xml:space="preserve">factor </w:t>
      </w:r>
      <m:oMath>
        <m:r>
          <m:rPr>
            <m:sty m:val="p"/>
          </m:rPr>
          <w:rPr>
            <w:rFonts w:ascii="Cambria Math" w:eastAsiaTheme="minorEastAsia" w:hAnsi="Cambria Math" w:cs="Times New Roman"/>
            <w:sz w:val="24"/>
            <w:szCs w:val="24"/>
          </w:rPr>
          <m:t>δ</m:t>
        </m:r>
      </m:oMath>
      <w:r w:rsidR="00C6405E" w:rsidRPr="00BC1E6D">
        <w:rPr>
          <w:rFonts w:ascii="Times New Roman" w:eastAsiaTheme="minorEastAsia" w:hAnsi="Times New Roman" w:cs="Times New Roman"/>
          <w:sz w:val="24"/>
          <w:szCs w:val="24"/>
        </w:rPr>
        <w:t xml:space="preserve">. </w:t>
      </w:r>
    </w:p>
    <w:p w14:paraId="26F77395" w14:textId="12192C60" w:rsidR="00B25FB9" w:rsidRPr="00BC1E6D" w:rsidRDefault="00B25FB9"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model is </w:t>
      </w:r>
      <w:r w:rsidR="00DD50C8" w:rsidRPr="00BC1E6D">
        <w:rPr>
          <w:rFonts w:ascii="Times New Roman" w:eastAsiaTheme="minorEastAsia" w:hAnsi="Times New Roman" w:cs="Times New Roman"/>
          <w:sz w:val="24"/>
          <w:szCs w:val="24"/>
        </w:rPr>
        <w:t>intuitive when</w:t>
      </w:r>
      <w:r w:rsidR="0043193C" w:rsidRPr="00BC1E6D">
        <w:rPr>
          <w:rFonts w:ascii="Times New Roman" w:eastAsiaTheme="minorEastAsia" w:hAnsi="Times New Roman" w:cs="Times New Roman"/>
          <w:sz w:val="24"/>
          <w:szCs w:val="24"/>
        </w:rPr>
        <w:t xml:space="preserve"> </w:t>
      </w:r>
      <w:r w:rsidR="00DD50C8" w:rsidRPr="00BC1E6D">
        <w:rPr>
          <w:rFonts w:ascii="Times New Roman" w:eastAsiaTheme="minorEastAsia" w:hAnsi="Times New Roman" w:cs="Times New Roman"/>
          <w:sz w:val="24"/>
          <w:szCs w:val="24"/>
        </w:rPr>
        <w:t>consider</w:t>
      </w:r>
      <w:r w:rsidR="0043193C" w:rsidRPr="00BC1E6D">
        <w:rPr>
          <w:rFonts w:ascii="Times New Roman" w:eastAsiaTheme="minorEastAsia" w:hAnsi="Times New Roman" w:cs="Times New Roman"/>
          <w:sz w:val="24"/>
          <w:szCs w:val="24"/>
        </w:rPr>
        <w:t>ing</w:t>
      </w:r>
      <w:r w:rsidR="00DD50C8" w:rsidRPr="00BC1E6D">
        <w:rPr>
          <w:rFonts w:ascii="Times New Roman" w:eastAsiaTheme="minorEastAsia" w:hAnsi="Times New Roman" w:cs="Times New Roman"/>
          <w:sz w:val="24"/>
          <w:szCs w:val="24"/>
        </w:rPr>
        <w:t xml:space="preserve"> certain factors. Stock prices seem to respond to the news. </w:t>
      </w:r>
      <w:r w:rsidR="00813428" w:rsidRPr="00BC1E6D">
        <w:rPr>
          <w:rFonts w:ascii="Times New Roman" w:eastAsiaTheme="minorEastAsia" w:hAnsi="Times New Roman" w:cs="Times New Roman"/>
          <w:sz w:val="24"/>
          <w:szCs w:val="24"/>
        </w:rPr>
        <w:t xml:space="preserve">When inflation goes up, investors grow wary of the future and pull investment, dropping stock prices. </w:t>
      </w:r>
      <w:r w:rsidR="001F2857" w:rsidRPr="00BC1E6D">
        <w:rPr>
          <w:rFonts w:ascii="Times New Roman" w:eastAsiaTheme="minorEastAsia" w:hAnsi="Times New Roman" w:cs="Times New Roman"/>
          <w:sz w:val="24"/>
          <w:szCs w:val="24"/>
        </w:rPr>
        <w:t xml:space="preserve">When the Federal Reserve announces an interest rate hike, markets </w:t>
      </w:r>
      <w:r w:rsidR="00164B87" w:rsidRPr="00BC1E6D">
        <w:rPr>
          <w:rFonts w:ascii="Times New Roman" w:eastAsiaTheme="minorEastAsia" w:hAnsi="Times New Roman" w:cs="Times New Roman"/>
          <w:sz w:val="24"/>
          <w:szCs w:val="24"/>
        </w:rPr>
        <w:t xml:space="preserve">may </w:t>
      </w:r>
      <w:r w:rsidR="001F2857" w:rsidRPr="00BC1E6D">
        <w:rPr>
          <w:rFonts w:ascii="Times New Roman" w:eastAsiaTheme="minorEastAsia" w:hAnsi="Times New Roman" w:cs="Times New Roman"/>
          <w:sz w:val="24"/>
          <w:szCs w:val="24"/>
        </w:rPr>
        <w:t>respond negatively.</w:t>
      </w:r>
      <w:r w:rsidR="001A7572" w:rsidRPr="00BC1E6D">
        <w:rPr>
          <w:rFonts w:ascii="Times New Roman" w:eastAsiaTheme="minorEastAsia" w:hAnsi="Times New Roman" w:cs="Times New Roman"/>
          <w:sz w:val="24"/>
          <w:szCs w:val="24"/>
        </w:rPr>
        <w:t xml:space="preserve"> </w:t>
      </w:r>
    </w:p>
    <w:p w14:paraId="3901DE15" w14:textId="408334AB" w:rsidR="00FD6353" w:rsidRPr="00634DD6" w:rsidRDefault="00FD6353" w:rsidP="00BD3816">
      <w:pPr>
        <w:pStyle w:val="Heading4"/>
        <w:spacing w:line="276" w:lineRule="auto"/>
        <w:rPr>
          <w:rFonts w:ascii="Times New Roman" w:eastAsiaTheme="minorEastAsia" w:hAnsi="Times New Roman" w:cs="Times New Roman"/>
          <w:b/>
          <w:bCs/>
          <w:color w:val="auto"/>
          <w:sz w:val="24"/>
          <w:szCs w:val="24"/>
        </w:rPr>
      </w:pPr>
      <w:r w:rsidRPr="00634DD6">
        <w:rPr>
          <w:rFonts w:ascii="Times New Roman" w:eastAsiaTheme="minorEastAsia" w:hAnsi="Times New Roman" w:cs="Times New Roman"/>
          <w:b/>
          <w:bCs/>
          <w:color w:val="auto"/>
          <w:sz w:val="24"/>
          <w:szCs w:val="24"/>
        </w:rPr>
        <w:t>Choice of Factors</w:t>
      </w:r>
    </w:p>
    <w:p w14:paraId="7E94F785" w14:textId="51BB5D4E" w:rsidR="00FD6353" w:rsidRPr="00BC1E6D" w:rsidRDefault="00C513F4"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An analysis of the CAPM is relatively simple as each </w:t>
      </w:r>
      <w:r w:rsidR="000624D5" w:rsidRPr="00BC1E6D">
        <w:rPr>
          <w:rFonts w:ascii="Times New Roman" w:eastAsiaTheme="minorEastAsia" w:hAnsi="Times New Roman" w:cs="Times New Roman"/>
          <w:sz w:val="24"/>
          <w:szCs w:val="24"/>
        </w:rPr>
        <w:t xml:space="preserve">asset only has one parameter to be calculated, a single β. The </w:t>
      </w:r>
      <w:r w:rsidR="000B7D17" w:rsidRPr="00BC1E6D">
        <w:rPr>
          <w:rFonts w:ascii="Times New Roman" w:eastAsiaTheme="minorEastAsia" w:hAnsi="Times New Roman" w:cs="Times New Roman"/>
          <w:sz w:val="24"/>
          <w:szCs w:val="24"/>
        </w:rPr>
        <w:t>APT is a model wherein the modeler decides which factors to include is their analysis</w:t>
      </w:r>
      <w:r w:rsidR="00B73E31" w:rsidRPr="00BC1E6D">
        <w:rPr>
          <w:rFonts w:ascii="Times New Roman" w:eastAsiaTheme="minorEastAsia" w:hAnsi="Times New Roman" w:cs="Times New Roman"/>
          <w:sz w:val="24"/>
          <w:szCs w:val="24"/>
        </w:rPr>
        <w:t xml:space="preserve">. It follows that the </w:t>
      </w:r>
      <w:r w:rsidR="00B73E31" w:rsidRPr="00BC1E6D">
        <w:rPr>
          <w:rFonts w:ascii="Times New Roman" w:eastAsiaTheme="minorEastAsia" w:hAnsi="Times New Roman" w:cs="Times New Roman"/>
          <w:i/>
          <w:iCs/>
          <w:sz w:val="24"/>
          <w:szCs w:val="24"/>
        </w:rPr>
        <w:t xml:space="preserve">correct </w:t>
      </w:r>
      <w:r w:rsidR="00B73E31" w:rsidRPr="00BC1E6D">
        <w:rPr>
          <w:rFonts w:ascii="Times New Roman" w:eastAsiaTheme="minorEastAsia" w:hAnsi="Times New Roman" w:cs="Times New Roman"/>
          <w:sz w:val="24"/>
          <w:szCs w:val="24"/>
        </w:rPr>
        <w:t>choice of factors has been a source of debate f</w:t>
      </w:r>
      <w:r w:rsidR="006C6ED8" w:rsidRPr="00BC1E6D">
        <w:rPr>
          <w:rFonts w:ascii="Times New Roman" w:eastAsiaTheme="minorEastAsia" w:hAnsi="Times New Roman" w:cs="Times New Roman"/>
          <w:sz w:val="24"/>
          <w:szCs w:val="24"/>
        </w:rPr>
        <w:t>or the past five decades.</w:t>
      </w:r>
      <w:r w:rsidR="0043193C" w:rsidRPr="00BC1E6D">
        <w:rPr>
          <w:rFonts w:ascii="Times New Roman" w:eastAsiaTheme="minorEastAsia" w:hAnsi="Times New Roman" w:cs="Times New Roman"/>
          <w:sz w:val="24"/>
          <w:szCs w:val="24"/>
        </w:rPr>
        <w:t xml:space="preserve"> </w:t>
      </w:r>
      <w:r w:rsidR="00326103" w:rsidRPr="00BC1E6D">
        <w:rPr>
          <w:rFonts w:ascii="Times New Roman" w:eastAsiaTheme="minorEastAsia" w:hAnsi="Times New Roman" w:cs="Times New Roman"/>
          <w:sz w:val="24"/>
          <w:szCs w:val="24"/>
        </w:rPr>
        <w:t>Ross</w:t>
      </w:r>
      <w:r w:rsidR="00164B87" w:rsidRPr="00BC1E6D">
        <w:rPr>
          <w:rFonts w:ascii="Times New Roman" w:eastAsiaTheme="minorEastAsia" w:hAnsi="Times New Roman" w:cs="Times New Roman"/>
          <w:sz w:val="24"/>
          <w:szCs w:val="24"/>
        </w:rPr>
        <w:t xml:space="preserve"> (</w:t>
      </w:r>
      <w:r w:rsidR="00863124" w:rsidRPr="00BC1E6D">
        <w:rPr>
          <w:rFonts w:ascii="Times New Roman" w:eastAsiaTheme="minorEastAsia" w:hAnsi="Times New Roman" w:cs="Times New Roman"/>
          <w:sz w:val="24"/>
          <w:szCs w:val="24"/>
        </w:rPr>
        <w:t>19</w:t>
      </w:r>
      <w:r w:rsidR="009E7556" w:rsidRPr="00BC1E6D">
        <w:rPr>
          <w:rFonts w:ascii="Times New Roman" w:eastAsiaTheme="minorEastAsia" w:hAnsi="Times New Roman" w:cs="Times New Roman"/>
          <w:sz w:val="24"/>
          <w:szCs w:val="24"/>
        </w:rPr>
        <w:t>76</w:t>
      </w:r>
      <w:r w:rsidR="00164B87" w:rsidRPr="00BC1E6D">
        <w:rPr>
          <w:rFonts w:ascii="Times New Roman" w:eastAsiaTheme="minorEastAsia" w:hAnsi="Times New Roman" w:cs="Times New Roman"/>
          <w:sz w:val="24"/>
          <w:szCs w:val="24"/>
        </w:rPr>
        <w:t>)</w:t>
      </w:r>
      <w:r w:rsidR="009E7556" w:rsidRPr="00BC1E6D">
        <w:rPr>
          <w:rFonts w:ascii="Times New Roman" w:eastAsiaTheme="minorEastAsia" w:hAnsi="Times New Roman" w:cs="Times New Roman"/>
          <w:sz w:val="24"/>
          <w:szCs w:val="24"/>
        </w:rPr>
        <w:t xml:space="preserve"> </w:t>
      </w:r>
      <w:r w:rsidR="00326103" w:rsidRPr="00BC1E6D">
        <w:rPr>
          <w:rFonts w:ascii="Times New Roman" w:eastAsiaTheme="minorEastAsia" w:hAnsi="Times New Roman" w:cs="Times New Roman"/>
          <w:sz w:val="24"/>
          <w:szCs w:val="24"/>
        </w:rPr>
        <w:t>sa</w:t>
      </w:r>
      <w:r w:rsidR="0043193C" w:rsidRPr="00BC1E6D">
        <w:rPr>
          <w:rFonts w:ascii="Times New Roman" w:eastAsiaTheme="minorEastAsia" w:hAnsi="Times New Roman" w:cs="Times New Roman"/>
          <w:sz w:val="24"/>
          <w:szCs w:val="24"/>
        </w:rPr>
        <w:t>id</w:t>
      </w:r>
      <w:r w:rsidR="00326103" w:rsidRPr="00BC1E6D">
        <w:rPr>
          <w:rFonts w:ascii="Times New Roman" w:eastAsiaTheme="minorEastAsia" w:hAnsi="Times New Roman" w:cs="Times New Roman"/>
          <w:sz w:val="24"/>
          <w:szCs w:val="24"/>
        </w:rPr>
        <w:t xml:space="preserve"> that the factors can be grouped into firm-specific</w:t>
      </w:r>
      <w:r w:rsidR="00A254AA" w:rsidRPr="00BC1E6D">
        <w:rPr>
          <w:rFonts w:ascii="Times New Roman" w:eastAsiaTheme="minorEastAsia" w:hAnsi="Times New Roman" w:cs="Times New Roman"/>
          <w:sz w:val="24"/>
          <w:szCs w:val="24"/>
        </w:rPr>
        <w:t xml:space="preserve"> and non-firm-specific, “systematic” factors. </w:t>
      </w:r>
      <w:r w:rsidR="000B1582" w:rsidRPr="00BC1E6D">
        <w:rPr>
          <w:rFonts w:ascii="Times New Roman" w:eastAsiaTheme="minorEastAsia" w:hAnsi="Times New Roman" w:cs="Times New Roman"/>
          <w:sz w:val="24"/>
          <w:szCs w:val="24"/>
        </w:rPr>
        <w:t xml:space="preserve">Examples of the former would be cash flows, price-earnings ratio, </w:t>
      </w:r>
      <w:r w:rsidR="007D11FD" w:rsidRPr="00BC1E6D">
        <w:rPr>
          <w:rFonts w:ascii="Times New Roman" w:eastAsiaTheme="minorEastAsia" w:hAnsi="Times New Roman" w:cs="Times New Roman"/>
          <w:sz w:val="24"/>
          <w:szCs w:val="24"/>
        </w:rPr>
        <w:t xml:space="preserve">industry, and company age. </w:t>
      </w:r>
      <w:r w:rsidR="00DC3F87" w:rsidRPr="00BC1E6D">
        <w:rPr>
          <w:rFonts w:ascii="Times New Roman" w:eastAsiaTheme="minorEastAsia" w:hAnsi="Times New Roman" w:cs="Times New Roman"/>
          <w:sz w:val="24"/>
          <w:szCs w:val="24"/>
        </w:rPr>
        <w:t xml:space="preserve">The latter would generally include macroeconomic indicators </w:t>
      </w:r>
      <w:r w:rsidR="00DC3F87" w:rsidRPr="00BC1E6D">
        <w:rPr>
          <w:rFonts w:ascii="Times New Roman" w:eastAsiaTheme="minorEastAsia" w:hAnsi="Times New Roman" w:cs="Times New Roman"/>
          <w:sz w:val="24"/>
          <w:szCs w:val="24"/>
        </w:rPr>
        <w:lastRenderedPageBreak/>
        <w:t xml:space="preserve">such as </w:t>
      </w:r>
      <w:r w:rsidR="00983ACD" w:rsidRPr="00BC1E6D">
        <w:rPr>
          <w:rFonts w:ascii="Times New Roman" w:eastAsiaTheme="minorEastAsia" w:hAnsi="Times New Roman" w:cs="Times New Roman"/>
          <w:sz w:val="24"/>
          <w:szCs w:val="24"/>
        </w:rPr>
        <w:t xml:space="preserve">interest rates, inflation, and GDP changes. </w:t>
      </w:r>
      <w:r w:rsidR="00646334" w:rsidRPr="00BC1E6D">
        <w:rPr>
          <w:rFonts w:ascii="Times New Roman" w:eastAsiaTheme="minorEastAsia" w:hAnsi="Times New Roman" w:cs="Times New Roman"/>
          <w:sz w:val="24"/>
          <w:szCs w:val="24"/>
        </w:rPr>
        <w:t xml:space="preserve">This analysis focuses exclusively on systematic factors. </w:t>
      </w:r>
    </w:p>
    <w:p w14:paraId="77009DB3" w14:textId="01F05201" w:rsidR="000760B6" w:rsidRPr="00BC1E6D" w:rsidRDefault="003D667B"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For </w:t>
      </w:r>
      <w:r w:rsidR="000F6600" w:rsidRPr="00BC1E6D">
        <w:rPr>
          <w:rFonts w:ascii="Times New Roman" w:eastAsiaTheme="minorEastAsia" w:hAnsi="Times New Roman" w:cs="Times New Roman"/>
          <w:sz w:val="24"/>
          <w:szCs w:val="24"/>
        </w:rPr>
        <w:t>guidance on choosing groups of factors, I turn to a 19</w:t>
      </w:r>
      <w:r w:rsidR="00332D55" w:rsidRPr="00BC1E6D">
        <w:rPr>
          <w:rFonts w:ascii="Times New Roman" w:eastAsiaTheme="minorEastAsia" w:hAnsi="Times New Roman" w:cs="Times New Roman"/>
          <w:sz w:val="24"/>
          <w:szCs w:val="24"/>
        </w:rPr>
        <w:t>86 pap</w:t>
      </w:r>
      <w:r w:rsidR="002950CE" w:rsidRPr="00BC1E6D">
        <w:rPr>
          <w:rFonts w:ascii="Times New Roman" w:eastAsiaTheme="minorEastAsia" w:hAnsi="Times New Roman" w:cs="Times New Roman"/>
          <w:sz w:val="24"/>
          <w:szCs w:val="24"/>
        </w:rPr>
        <w:t xml:space="preserve">er in the Journal of Business </w:t>
      </w:r>
      <w:r w:rsidR="00332D55" w:rsidRPr="00BC1E6D">
        <w:rPr>
          <w:rFonts w:ascii="Times New Roman" w:eastAsiaTheme="minorEastAsia" w:hAnsi="Times New Roman" w:cs="Times New Roman"/>
          <w:sz w:val="24"/>
          <w:szCs w:val="24"/>
        </w:rPr>
        <w:t xml:space="preserve">by Chen, </w:t>
      </w:r>
      <w:r w:rsidR="002725E8" w:rsidRPr="00BC1E6D">
        <w:rPr>
          <w:rFonts w:ascii="Times New Roman" w:eastAsiaTheme="minorEastAsia" w:hAnsi="Times New Roman" w:cs="Times New Roman"/>
          <w:sz w:val="24"/>
          <w:szCs w:val="24"/>
        </w:rPr>
        <w:t>Nai-Fu, Roll, and Ross</w:t>
      </w:r>
      <w:r w:rsidR="001A5596" w:rsidRPr="00BC1E6D">
        <w:rPr>
          <w:rFonts w:ascii="Times New Roman" w:eastAsiaTheme="minorEastAsia" w:hAnsi="Times New Roman" w:cs="Times New Roman"/>
          <w:sz w:val="24"/>
          <w:szCs w:val="24"/>
        </w:rPr>
        <w:t xml:space="preserve"> (</w:t>
      </w:r>
      <w:r w:rsidR="001721B3" w:rsidRPr="00BC1E6D">
        <w:rPr>
          <w:rFonts w:ascii="Times New Roman" w:eastAsiaTheme="minorEastAsia" w:hAnsi="Times New Roman" w:cs="Times New Roman"/>
          <w:sz w:val="24"/>
          <w:szCs w:val="24"/>
        </w:rPr>
        <w:t>1986)</w:t>
      </w:r>
      <w:r w:rsidR="002725E8" w:rsidRPr="00BC1E6D">
        <w:rPr>
          <w:rFonts w:ascii="Times New Roman" w:eastAsiaTheme="minorEastAsia" w:hAnsi="Times New Roman" w:cs="Times New Roman"/>
          <w:sz w:val="24"/>
          <w:szCs w:val="24"/>
        </w:rPr>
        <w:t xml:space="preserve">. </w:t>
      </w:r>
      <w:r w:rsidR="001628F7" w:rsidRPr="00BC1E6D">
        <w:rPr>
          <w:rFonts w:ascii="Times New Roman" w:eastAsiaTheme="minorEastAsia" w:hAnsi="Times New Roman" w:cs="Times New Roman"/>
          <w:sz w:val="24"/>
          <w:szCs w:val="24"/>
        </w:rPr>
        <w:t xml:space="preserve">They posit that </w:t>
      </w:r>
      <w:r w:rsidR="00D5298D" w:rsidRPr="00BC1E6D">
        <w:rPr>
          <w:rFonts w:ascii="Times New Roman" w:eastAsiaTheme="minorEastAsia" w:hAnsi="Times New Roman" w:cs="Times New Roman"/>
          <w:sz w:val="24"/>
          <w:szCs w:val="24"/>
        </w:rPr>
        <w:t>because stock prices</w:t>
      </w:r>
      <w:r w:rsidR="00EA5230" w:rsidRPr="00BC1E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EA5230" w:rsidRPr="00BC1E6D">
        <w:rPr>
          <w:rFonts w:ascii="Times New Roman" w:eastAsiaTheme="minorEastAsia" w:hAnsi="Times New Roman" w:cs="Times New Roman"/>
          <w:sz w:val="24"/>
          <w:szCs w:val="24"/>
        </w:rPr>
        <w:t>,</w:t>
      </w:r>
      <w:r w:rsidR="00D5298D" w:rsidRPr="00BC1E6D">
        <w:rPr>
          <w:rFonts w:ascii="Times New Roman" w:eastAsiaTheme="minorEastAsia" w:hAnsi="Times New Roman" w:cs="Times New Roman"/>
          <w:sz w:val="24"/>
          <w:szCs w:val="24"/>
        </w:rPr>
        <w:t xml:space="preserve"> can be written as </w:t>
      </w:r>
      <m:oMath>
        <m:r>
          <w:rPr>
            <w:rFonts w:ascii="Cambria Math" w:eastAsiaTheme="minorEastAsia" w:hAnsi="Cambria Math" w:cs="Times New Roman"/>
            <w:sz w:val="24"/>
            <w:szCs w:val="24"/>
          </w:rPr>
          <m:t>p=</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k</m:t>
            </m:r>
            <m:ctrlPr>
              <w:rPr>
                <w:rFonts w:ascii="Cambria Math" w:eastAsiaTheme="minorEastAsia" w:hAnsi="Cambria Math" w:cs="Times New Roman"/>
                <w:i/>
                <w:sz w:val="24"/>
                <w:szCs w:val="24"/>
              </w:rPr>
            </m:ctrlPr>
          </m:den>
        </m:f>
      </m:oMath>
      <w:r w:rsidR="00F47AB5" w:rsidRPr="00BC1E6D">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F47AB5" w:rsidRPr="00BC1E6D">
        <w:rPr>
          <w:rFonts w:ascii="Times New Roman" w:eastAsiaTheme="minorEastAsia" w:hAnsi="Times New Roman" w:cs="Times New Roman"/>
          <w:sz w:val="24"/>
          <w:szCs w:val="24"/>
        </w:rPr>
        <w:t xml:space="preserve"> is expected future dividend stream</w:t>
      </w:r>
      <w:r w:rsidR="00EB4CDC" w:rsidRPr="00BC1E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EB4CDC" w:rsidRPr="00BC1E6D">
        <w:rPr>
          <w:rFonts w:ascii="Times New Roman" w:eastAsiaTheme="minorEastAsia" w:hAnsi="Times New Roman" w:cs="Times New Roman"/>
          <w:sz w:val="24"/>
          <w:szCs w:val="24"/>
        </w:rPr>
        <w:t xml:space="preserve"> is the discount rate, then </w:t>
      </w:r>
      <w:r w:rsidR="000760B6" w:rsidRPr="00BC1E6D">
        <w:rPr>
          <w:rFonts w:ascii="Times New Roman" w:eastAsiaTheme="minorEastAsia" w:hAnsi="Times New Roman" w:cs="Times New Roman"/>
          <w:sz w:val="24"/>
          <w:szCs w:val="24"/>
        </w:rPr>
        <w:t>actual returns in any period can be written as:</w:t>
      </w:r>
    </w:p>
    <w:p w14:paraId="0CFE0EDC" w14:textId="5D989BE9" w:rsidR="000760B6" w:rsidRPr="00BC1E6D" w:rsidRDefault="00000000" w:rsidP="00572AA3">
      <w:pPr>
        <w:spacing w:line="276"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dp</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dk</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k</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den>
        </m:f>
      </m:oMath>
      <w:r w:rsidR="00572AA3" w:rsidRPr="00BC1E6D">
        <w:rPr>
          <w:rFonts w:ascii="Times New Roman" w:eastAsiaTheme="minorEastAsia" w:hAnsi="Times New Roman" w:cs="Times New Roman"/>
          <w:sz w:val="24"/>
          <w:szCs w:val="24"/>
        </w:rPr>
        <w:tab/>
        <w:t>(6)</w:t>
      </w:r>
    </w:p>
    <w:p w14:paraId="03613352" w14:textId="2BD3AFD1" w:rsidR="000778DD" w:rsidRPr="00BC1E6D" w:rsidRDefault="00350440"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factors that influence returns will be factors that </w:t>
      </w:r>
      <w:r w:rsidR="00AD3B92" w:rsidRPr="00BC1E6D">
        <w:rPr>
          <w:rFonts w:ascii="Times New Roman" w:eastAsiaTheme="minorEastAsia" w:hAnsi="Times New Roman" w:cs="Times New Roman"/>
          <w:sz w:val="24"/>
          <w:szCs w:val="24"/>
        </w:rPr>
        <w:t xml:space="preserve">change the discount factor </w:t>
      </w:r>
      <m:oMath>
        <m:r>
          <w:rPr>
            <w:rFonts w:ascii="Cambria Math" w:eastAsiaTheme="minorEastAsia" w:hAnsi="Cambria Math" w:cs="Times New Roman"/>
            <w:sz w:val="24"/>
            <w:szCs w:val="24"/>
          </w:rPr>
          <m:t>k</m:t>
        </m:r>
      </m:oMath>
      <w:r w:rsidR="00AD3B92" w:rsidRPr="00BC1E6D">
        <w:rPr>
          <w:rFonts w:ascii="Times New Roman" w:eastAsiaTheme="minorEastAsia" w:hAnsi="Times New Roman" w:cs="Times New Roman"/>
          <w:sz w:val="24"/>
          <w:szCs w:val="24"/>
        </w:rPr>
        <w:t xml:space="preserve"> or expected cash flows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9067D2" w:rsidRPr="00BC1E6D">
        <w:rPr>
          <w:rFonts w:ascii="Times New Roman" w:eastAsiaTheme="minorEastAsia" w:hAnsi="Times New Roman" w:cs="Times New Roman"/>
          <w:sz w:val="24"/>
          <w:szCs w:val="24"/>
        </w:rPr>
        <w:t>.</w:t>
      </w:r>
      <w:r w:rsidR="00D41AB0" w:rsidRPr="00BC1E6D">
        <w:rPr>
          <w:rFonts w:ascii="Times New Roman" w:eastAsiaTheme="minorEastAsia" w:hAnsi="Times New Roman" w:cs="Times New Roman"/>
          <w:sz w:val="24"/>
          <w:szCs w:val="24"/>
        </w:rPr>
        <w:t xml:space="preserve"> </w:t>
      </w:r>
      <w:r w:rsidR="000778DD" w:rsidRPr="00BC1E6D">
        <w:rPr>
          <w:rFonts w:ascii="Times New Roman" w:eastAsiaTheme="minorEastAsia" w:hAnsi="Times New Roman" w:cs="Times New Roman"/>
          <w:sz w:val="24"/>
          <w:szCs w:val="24"/>
        </w:rPr>
        <w:t xml:space="preserve">Using this logic, their paper </w:t>
      </w:r>
      <w:r w:rsidR="00CC518F" w:rsidRPr="00BC1E6D">
        <w:rPr>
          <w:rFonts w:ascii="Times New Roman" w:eastAsiaTheme="minorEastAsia" w:hAnsi="Times New Roman" w:cs="Times New Roman"/>
          <w:sz w:val="24"/>
          <w:szCs w:val="24"/>
        </w:rPr>
        <w:t xml:space="preserve">proposes </w:t>
      </w:r>
      <w:r w:rsidR="006A52B4" w:rsidRPr="00BC1E6D">
        <w:rPr>
          <w:rFonts w:ascii="Times New Roman" w:eastAsiaTheme="minorEastAsia" w:hAnsi="Times New Roman" w:cs="Times New Roman"/>
          <w:sz w:val="24"/>
          <w:szCs w:val="24"/>
        </w:rPr>
        <w:t>s</w:t>
      </w:r>
      <w:r w:rsidR="004F4112" w:rsidRPr="00BC1E6D">
        <w:rPr>
          <w:rFonts w:ascii="Times New Roman" w:eastAsiaTheme="minorEastAsia" w:hAnsi="Times New Roman" w:cs="Times New Roman"/>
          <w:sz w:val="24"/>
          <w:szCs w:val="24"/>
        </w:rPr>
        <w:t>ix non-market</w:t>
      </w:r>
      <w:r w:rsidR="0081715F" w:rsidRPr="00BC1E6D">
        <w:rPr>
          <w:rFonts w:ascii="Times New Roman" w:eastAsiaTheme="minorEastAsia" w:hAnsi="Times New Roman" w:cs="Times New Roman"/>
          <w:sz w:val="24"/>
          <w:szCs w:val="24"/>
        </w:rPr>
        <w:t xml:space="preserve"> index</w:t>
      </w:r>
      <w:r w:rsidR="00667689" w:rsidRPr="00BC1E6D">
        <w:rPr>
          <w:rFonts w:ascii="Times New Roman" w:eastAsiaTheme="minorEastAsia" w:hAnsi="Times New Roman" w:cs="Times New Roman"/>
          <w:sz w:val="24"/>
          <w:szCs w:val="24"/>
        </w:rPr>
        <w:t xml:space="preserve"> factors that would likely influence future returns. </w:t>
      </w:r>
    </w:p>
    <w:p w14:paraId="585F280B" w14:textId="3D44B6C2" w:rsidR="00567310" w:rsidRPr="00BC1E6D" w:rsidRDefault="005D371F"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Industrial Production</w:t>
      </w:r>
      <w:r w:rsidR="000A3AAD" w:rsidRPr="00BC1E6D">
        <w:rPr>
          <w:rFonts w:ascii="Times New Roman" w:eastAsiaTheme="minorEastAsia" w:hAnsi="Times New Roman" w:cs="Times New Roman"/>
          <w:sz w:val="24"/>
          <w:szCs w:val="24"/>
        </w:rPr>
        <w:t xml:space="preserve"> </w:t>
      </w:r>
      <w:r w:rsidR="008E67AD" w:rsidRPr="00BC1E6D">
        <w:rPr>
          <w:rFonts w:ascii="Times New Roman" w:eastAsiaTheme="minorEastAsia" w:hAnsi="Times New Roman" w:cs="Times New Roman"/>
          <w:sz w:val="24"/>
          <w:szCs w:val="24"/>
        </w:rPr>
        <w:t>–</w:t>
      </w:r>
      <w:r w:rsidR="000A3AAD" w:rsidRPr="00BC1E6D">
        <w:rPr>
          <w:rFonts w:ascii="Times New Roman" w:eastAsiaTheme="minorEastAsia" w:hAnsi="Times New Roman" w:cs="Times New Roman"/>
          <w:sz w:val="24"/>
          <w:szCs w:val="24"/>
        </w:rPr>
        <w:t xml:space="preserve"> </w:t>
      </w:r>
      <w:r w:rsidR="007252C5">
        <w:rPr>
          <w:rFonts w:ascii="Times New Roman" w:eastAsiaTheme="minorEastAsia" w:hAnsi="Times New Roman" w:cs="Times New Roman"/>
          <w:sz w:val="24"/>
          <w:szCs w:val="24"/>
        </w:rPr>
        <w:t>C</w:t>
      </w:r>
      <w:r w:rsidR="003A1BE4" w:rsidRPr="00BC1E6D">
        <w:rPr>
          <w:rFonts w:ascii="Times New Roman" w:eastAsiaTheme="minorEastAsia" w:hAnsi="Times New Roman" w:cs="Times New Roman"/>
          <w:sz w:val="24"/>
          <w:szCs w:val="24"/>
        </w:rPr>
        <w:t xml:space="preserve">hanges in industrial production are likely </w:t>
      </w:r>
      <w:r w:rsidR="00AE2DD1" w:rsidRPr="00BC1E6D">
        <w:rPr>
          <w:rFonts w:ascii="Times New Roman" w:eastAsiaTheme="minorEastAsia" w:hAnsi="Times New Roman" w:cs="Times New Roman"/>
          <w:sz w:val="24"/>
          <w:szCs w:val="24"/>
        </w:rPr>
        <w:t>to change the price of an asset</w:t>
      </w:r>
      <w:r w:rsidR="002F574B" w:rsidRPr="00BC1E6D">
        <w:rPr>
          <w:rFonts w:ascii="Times New Roman" w:eastAsiaTheme="minorEastAsia" w:hAnsi="Times New Roman" w:cs="Times New Roman"/>
          <w:sz w:val="24"/>
          <w:szCs w:val="24"/>
        </w:rPr>
        <w:t>. If more production th</w:t>
      </w:r>
      <w:r w:rsidR="00C4714F" w:rsidRPr="00BC1E6D">
        <w:rPr>
          <w:rFonts w:ascii="Times New Roman" w:eastAsiaTheme="minorEastAsia" w:hAnsi="Times New Roman" w:cs="Times New Roman"/>
          <w:sz w:val="24"/>
          <w:szCs w:val="24"/>
        </w:rPr>
        <w:t>a</w:t>
      </w:r>
      <w:r w:rsidR="002F574B" w:rsidRPr="00BC1E6D">
        <w:rPr>
          <w:rFonts w:ascii="Times New Roman" w:eastAsiaTheme="minorEastAsia" w:hAnsi="Times New Roman" w:cs="Times New Roman"/>
          <w:sz w:val="24"/>
          <w:szCs w:val="24"/>
        </w:rPr>
        <w:t xml:space="preserve">n </w:t>
      </w:r>
      <w:r w:rsidR="0090796D" w:rsidRPr="00BC1E6D">
        <w:rPr>
          <w:rFonts w:ascii="Times New Roman" w:eastAsiaTheme="minorEastAsia" w:hAnsi="Times New Roman" w:cs="Times New Roman"/>
          <w:sz w:val="24"/>
          <w:szCs w:val="24"/>
        </w:rPr>
        <w:t>had previously been</w:t>
      </w:r>
      <w:r w:rsidR="002F574B" w:rsidRPr="00BC1E6D">
        <w:rPr>
          <w:rFonts w:ascii="Times New Roman" w:eastAsiaTheme="minorEastAsia" w:hAnsi="Times New Roman" w:cs="Times New Roman"/>
          <w:sz w:val="24"/>
          <w:szCs w:val="24"/>
        </w:rPr>
        <w:t xml:space="preserve"> expected takes place, the asset’s price may rise </w:t>
      </w:r>
      <w:r w:rsidR="006C5D55" w:rsidRPr="00BC1E6D">
        <w:rPr>
          <w:rFonts w:ascii="Times New Roman" w:eastAsiaTheme="minorEastAsia" w:hAnsi="Times New Roman" w:cs="Times New Roman"/>
          <w:sz w:val="24"/>
          <w:szCs w:val="24"/>
        </w:rPr>
        <w:t xml:space="preserve">if the information had not already been priced </w:t>
      </w:r>
      <w:r w:rsidR="0090796D" w:rsidRPr="00BC1E6D">
        <w:rPr>
          <w:rFonts w:ascii="Times New Roman" w:eastAsiaTheme="minorEastAsia" w:hAnsi="Times New Roman" w:cs="Times New Roman"/>
          <w:sz w:val="24"/>
          <w:szCs w:val="24"/>
        </w:rPr>
        <w:t>into</w:t>
      </w:r>
      <w:r w:rsidR="006C5D55" w:rsidRPr="00BC1E6D">
        <w:rPr>
          <w:rFonts w:ascii="Times New Roman" w:eastAsiaTheme="minorEastAsia" w:hAnsi="Times New Roman" w:cs="Times New Roman"/>
          <w:sz w:val="24"/>
          <w:szCs w:val="24"/>
        </w:rPr>
        <w:t xml:space="preserve"> the market. </w:t>
      </w:r>
    </w:p>
    <w:p w14:paraId="10D7366F" w14:textId="5959E464" w:rsidR="00567310" w:rsidRPr="00BC1E6D" w:rsidRDefault="0090796D"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Inflation </w:t>
      </w:r>
      <w:r w:rsidR="000742B6" w:rsidRPr="00BC1E6D">
        <w:rPr>
          <w:rFonts w:ascii="Times New Roman" w:eastAsiaTheme="minorEastAsia" w:hAnsi="Times New Roman" w:cs="Times New Roman"/>
          <w:sz w:val="24"/>
          <w:szCs w:val="24"/>
        </w:rPr>
        <w:t>–</w:t>
      </w:r>
      <w:r w:rsidRPr="00BC1E6D">
        <w:rPr>
          <w:rFonts w:ascii="Times New Roman" w:eastAsiaTheme="minorEastAsia" w:hAnsi="Times New Roman" w:cs="Times New Roman"/>
          <w:sz w:val="24"/>
          <w:szCs w:val="24"/>
        </w:rPr>
        <w:t xml:space="preserve"> </w:t>
      </w:r>
      <w:r w:rsidR="007252C5">
        <w:rPr>
          <w:rFonts w:ascii="Times New Roman" w:eastAsiaTheme="minorEastAsia" w:hAnsi="Times New Roman" w:cs="Times New Roman"/>
          <w:sz w:val="24"/>
          <w:szCs w:val="24"/>
        </w:rPr>
        <w:t>Changes</w:t>
      </w:r>
      <w:r w:rsidR="00744724" w:rsidRPr="00BC1E6D">
        <w:rPr>
          <w:rFonts w:ascii="Times New Roman" w:eastAsiaTheme="minorEastAsia" w:hAnsi="Times New Roman" w:cs="Times New Roman"/>
          <w:sz w:val="24"/>
          <w:szCs w:val="24"/>
        </w:rPr>
        <w:t xml:space="preserve"> in</w:t>
      </w:r>
      <w:r w:rsidR="000742B6" w:rsidRPr="00BC1E6D">
        <w:rPr>
          <w:rFonts w:ascii="Times New Roman" w:eastAsiaTheme="minorEastAsia" w:hAnsi="Times New Roman" w:cs="Times New Roman"/>
          <w:sz w:val="24"/>
          <w:szCs w:val="24"/>
        </w:rPr>
        <w:t xml:space="preserve"> inflation change the discount factor and may cause investors to </w:t>
      </w:r>
      <w:r w:rsidR="00744724" w:rsidRPr="00BC1E6D">
        <w:rPr>
          <w:rFonts w:ascii="Times New Roman" w:eastAsiaTheme="minorEastAsia" w:hAnsi="Times New Roman" w:cs="Times New Roman"/>
          <w:sz w:val="24"/>
          <w:szCs w:val="24"/>
        </w:rPr>
        <w:t>divest from assets as the true return has now been discounted</w:t>
      </w:r>
      <w:r w:rsidR="000A12E9" w:rsidRPr="00BC1E6D">
        <w:rPr>
          <w:rFonts w:ascii="Times New Roman" w:eastAsiaTheme="minorEastAsia" w:hAnsi="Times New Roman" w:cs="Times New Roman"/>
          <w:sz w:val="24"/>
          <w:szCs w:val="24"/>
        </w:rPr>
        <w:t>.</w:t>
      </w:r>
    </w:p>
    <w:p w14:paraId="5A2A086B" w14:textId="016445AE" w:rsidR="000A12E9" w:rsidRPr="00BC1E6D" w:rsidRDefault="00DE1044"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Risk Premia – The difference between </w:t>
      </w:r>
      <w:r w:rsidR="00690CCA" w:rsidRPr="00BC1E6D">
        <w:rPr>
          <w:rFonts w:ascii="Times New Roman" w:eastAsiaTheme="minorEastAsia" w:hAnsi="Times New Roman" w:cs="Times New Roman"/>
          <w:sz w:val="24"/>
          <w:szCs w:val="24"/>
        </w:rPr>
        <w:t xml:space="preserve">corporate bond portfolio returns and long-term government bond returns. This </w:t>
      </w:r>
      <w:r w:rsidR="009B51C2" w:rsidRPr="00BC1E6D">
        <w:rPr>
          <w:rFonts w:ascii="Times New Roman" w:eastAsiaTheme="minorEastAsia" w:hAnsi="Times New Roman" w:cs="Times New Roman"/>
          <w:sz w:val="24"/>
          <w:szCs w:val="24"/>
        </w:rPr>
        <w:t xml:space="preserve">can be thought of as a measure of </w:t>
      </w:r>
      <w:r w:rsidR="000A12E9" w:rsidRPr="00BC1E6D">
        <w:rPr>
          <w:rFonts w:ascii="Times New Roman" w:eastAsiaTheme="minorEastAsia" w:hAnsi="Times New Roman" w:cs="Times New Roman"/>
          <w:sz w:val="24"/>
          <w:szCs w:val="24"/>
        </w:rPr>
        <w:t xml:space="preserve">the degree of risk aversion implicit in pricing. </w:t>
      </w:r>
    </w:p>
    <w:p w14:paraId="7D909744" w14:textId="4BB226A6" w:rsidR="00A348EC" w:rsidRPr="00BC1E6D" w:rsidRDefault="00F57F0B"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Term Structure – Unanticipated return on long term bonds. It is measured as the difference between </w:t>
      </w:r>
      <w:r w:rsidR="000E19D8" w:rsidRPr="00BC1E6D">
        <w:rPr>
          <w:rFonts w:ascii="Times New Roman" w:eastAsiaTheme="minorEastAsia" w:hAnsi="Times New Roman" w:cs="Times New Roman"/>
          <w:sz w:val="24"/>
          <w:szCs w:val="24"/>
        </w:rPr>
        <w:t xml:space="preserve">the </w:t>
      </w:r>
      <w:r w:rsidR="00A348EC" w:rsidRPr="00BC1E6D">
        <w:rPr>
          <w:rFonts w:ascii="Times New Roman" w:eastAsiaTheme="minorEastAsia" w:hAnsi="Times New Roman" w:cs="Times New Roman"/>
          <w:sz w:val="24"/>
          <w:szCs w:val="24"/>
        </w:rPr>
        <w:t xml:space="preserve">long-term bond yield and all other bond yields. </w:t>
      </w:r>
    </w:p>
    <w:p w14:paraId="32FA801D" w14:textId="670DD363" w:rsidR="00EE3652" w:rsidRPr="00BC1E6D" w:rsidRDefault="005A2EF7"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Consumption </w:t>
      </w:r>
      <w:r w:rsidR="003D2D02" w:rsidRPr="00BC1E6D">
        <w:rPr>
          <w:rFonts w:ascii="Times New Roman" w:eastAsiaTheme="minorEastAsia" w:hAnsi="Times New Roman" w:cs="Times New Roman"/>
          <w:sz w:val="24"/>
          <w:szCs w:val="24"/>
        </w:rPr>
        <w:t>–</w:t>
      </w:r>
      <w:r w:rsidRPr="00BC1E6D">
        <w:rPr>
          <w:rFonts w:ascii="Times New Roman" w:eastAsiaTheme="minorEastAsia" w:hAnsi="Times New Roman" w:cs="Times New Roman"/>
          <w:sz w:val="24"/>
          <w:szCs w:val="24"/>
        </w:rPr>
        <w:t xml:space="preserve"> </w:t>
      </w:r>
      <w:r w:rsidR="002B5951">
        <w:rPr>
          <w:rFonts w:ascii="Times New Roman" w:eastAsiaTheme="minorEastAsia" w:hAnsi="Times New Roman" w:cs="Times New Roman"/>
          <w:sz w:val="24"/>
          <w:szCs w:val="24"/>
        </w:rPr>
        <w:t>C</w:t>
      </w:r>
      <w:r w:rsidR="003D2D02" w:rsidRPr="00BC1E6D">
        <w:rPr>
          <w:rFonts w:ascii="Times New Roman" w:eastAsiaTheme="minorEastAsia" w:hAnsi="Times New Roman" w:cs="Times New Roman"/>
          <w:sz w:val="24"/>
          <w:szCs w:val="24"/>
        </w:rPr>
        <w:t xml:space="preserve">hanges in consumption are signals of consumer </w:t>
      </w:r>
      <w:r w:rsidR="00EE3652" w:rsidRPr="00BC1E6D">
        <w:rPr>
          <w:rFonts w:ascii="Times New Roman" w:eastAsiaTheme="minorEastAsia" w:hAnsi="Times New Roman" w:cs="Times New Roman"/>
          <w:sz w:val="24"/>
          <w:szCs w:val="24"/>
        </w:rPr>
        <w:t xml:space="preserve">expectations that may influence investors decisions to invest. </w:t>
      </w:r>
    </w:p>
    <w:p w14:paraId="564F158C" w14:textId="1D629CAA" w:rsidR="00EE3652" w:rsidRPr="00BC1E6D" w:rsidRDefault="00C33DA7"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Oil prices – </w:t>
      </w:r>
      <w:r w:rsidR="002B5951">
        <w:rPr>
          <w:rFonts w:ascii="Times New Roman" w:eastAsiaTheme="minorEastAsia" w:hAnsi="Times New Roman" w:cs="Times New Roman"/>
          <w:sz w:val="24"/>
          <w:szCs w:val="24"/>
        </w:rPr>
        <w:t>C</w:t>
      </w:r>
      <w:r w:rsidRPr="00BC1E6D">
        <w:rPr>
          <w:rFonts w:ascii="Times New Roman" w:eastAsiaTheme="minorEastAsia" w:hAnsi="Times New Roman" w:cs="Times New Roman"/>
          <w:sz w:val="24"/>
          <w:szCs w:val="24"/>
        </w:rPr>
        <w:t>hanges in o</w:t>
      </w:r>
      <w:r w:rsidR="006A52B4" w:rsidRPr="00BC1E6D">
        <w:rPr>
          <w:rFonts w:ascii="Times New Roman" w:eastAsiaTheme="minorEastAsia" w:hAnsi="Times New Roman" w:cs="Times New Roman"/>
          <w:sz w:val="24"/>
          <w:szCs w:val="24"/>
        </w:rPr>
        <w:t>il prices can be a good signal as to future expenditures</w:t>
      </w:r>
      <w:r w:rsidR="007A1E10" w:rsidRPr="00BC1E6D">
        <w:rPr>
          <w:rFonts w:ascii="Times New Roman" w:eastAsiaTheme="minorEastAsia" w:hAnsi="Times New Roman" w:cs="Times New Roman"/>
          <w:sz w:val="24"/>
          <w:szCs w:val="24"/>
        </w:rPr>
        <w:t xml:space="preserve"> given the importance of energy production on </w:t>
      </w:r>
      <w:r w:rsidR="00225FF8" w:rsidRPr="00BC1E6D">
        <w:rPr>
          <w:rFonts w:ascii="Times New Roman" w:eastAsiaTheme="minorEastAsia" w:hAnsi="Times New Roman" w:cs="Times New Roman"/>
          <w:sz w:val="24"/>
          <w:szCs w:val="24"/>
        </w:rPr>
        <w:t xml:space="preserve">business and </w:t>
      </w:r>
      <w:r w:rsidR="007A1E10" w:rsidRPr="00BC1E6D">
        <w:rPr>
          <w:rFonts w:ascii="Times New Roman" w:eastAsiaTheme="minorEastAsia" w:hAnsi="Times New Roman" w:cs="Times New Roman"/>
          <w:sz w:val="24"/>
          <w:szCs w:val="24"/>
        </w:rPr>
        <w:t>everyday life</w:t>
      </w:r>
      <w:r w:rsidR="006A52B4" w:rsidRPr="00BC1E6D">
        <w:rPr>
          <w:rFonts w:ascii="Times New Roman" w:eastAsiaTheme="minorEastAsia" w:hAnsi="Times New Roman" w:cs="Times New Roman"/>
          <w:sz w:val="24"/>
          <w:szCs w:val="24"/>
        </w:rPr>
        <w:t xml:space="preserve">. </w:t>
      </w:r>
    </w:p>
    <w:p w14:paraId="624BB095" w14:textId="507B46A4" w:rsidR="0081715F" w:rsidRPr="00BC1E6D" w:rsidRDefault="0081715F"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In addition, there is a market index factor</w:t>
      </w:r>
      <w:r w:rsidR="000D3A21" w:rsidRPr="00BC1E6D">
        <w:rPr>
          <w:rFonts w:ascii="Times New Roman" w:eastAsiaTheme="minorEastAsia" w:hAnsi="Times New Roman" w:cs="Times New Roman"/>
          <w:sz w:val="24"/>
          <w:szCs w:val="24"/>
        </w:rPr>
        <w:t xml:space="preserve">, the returns of a market index, that act as the control variable in the model. </w:t>
      </w:r>
    </w:p>
    <w:p w14:paraId="735B698A" w14:textId="523068B6" w:rsidR="000D3A21" w:rsidRPr="00BC1E6D" w:rsidRDefault="000D3A21" w:rsidP="00BD3816">
      <w:pPr>
        <w:pStyle w:val="ListParagraph"/>
        <w:numPr>
          <w:ilvl w:val="0"/>
          <w:numId w:val="4"/>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Market Indices – Changes in market indices are a factor that this paper included because it could capture most of the systematic factors priced in by the markets that the macroeconomic variables were unable to catch. This will “absorb” the systematic impacts not caused by the other factors. Used as a control, essentially. </w:t>
      </w:r>
    </w:p>
    <w:p w14:paraId="274DE913" w14:textId="08FEB3D8" w:rsidR="00F619D0" w:rsidRPr="00BC1E6D" w:rsidRDefault="006615A1"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The</w:t>
      </w:r>
      <w:r w:rsidR="00B46CE1" w:rsidRPr="00BC1E6D">
        <w:rPr>
          <w:rFonts w:ascii="Times New Roman" w:eastAsiaTheme="minorEastAsia" w:hAnsi="Times New Roman" w:cs="Times New Roman"/>
          <w:sz w:val="24"/>
          <w:szCs w:val="24"/>
        </w:rPr>
        <w:t xml:space="preserve"> </w:t>
      </w:r>
      <w:r w:rsidRPr="00BC1E6D">
        <w:rPr>
          <w:rFonts w:ascii="Times New Roman" w:eastAsiaTheme="minorEastAsia" w:hAnsi="Times New Roman" w:cs="Times New Roman"/>
          <w:sz w:val="24"/>
          <w:szCs w:val="24"/>
        </w:rPr>
        <w:t>analysis by Chen, Nai-Fu, Roll, and Ros</w:t>
      </w:r>
      <w:r w:rsidR="005C2A90" w:rsidRPr="00BC1E6D">
        <w:rPr>
          <w:rFonts w:ascii="Times New Roman" w:eastAsiaTheme="minorEastAsia" w:hAnsi="Times New Roman" w:cs="Times New Roman"/>
          <w:sz w:val="24"/>
          <w:szCs w:val="24"/>
        </w:rPr>
        <w:t>s</w:t>
      </w:r>
      <w:r w:rsidR="00B46CE1" w:rsidRPr="00BC1E6D">
        <w:rPr>
          <w:rFonts w:ascii="Times New Roman" w:eastAsiaTheme="minorEastAsia" w:hAnsi="Times New Roman" w:cs="Times New Roman"/>
          <w:sz w:val="24"/>
          <w:szCs w:val="24"/>
        </w:rPr>
        <w:t xml:space="preserve"> (1986)</w:t>
      </w:r>
      <w:r w:rsidR="005C2A90" w:rsidRPr="00BC1E6D">
        <w:rPr>
          <w:rFonts w:ascii="Times New Roman" w:eastAsiaTheme="minorEastAsia" w:hAnsi="Times New Roman" w:cs="Times New Roman"/>
          <w:sz w:val="24"/>
          <w:szCs w:val="24"/>
        </w:rPr>
        <w:t xml:space="preserve"> ran analyses including the market index</w:t>
      </w:r>
      <w:r w:rsidR="003F310F" w:rsidRPr="00BC1E6D">
        <w:rPr>
          <w:rFonts w:ascii="Times New Roman" w:eastAsiaTheme="minorEastAsia" w:hAnsi="Times New Roman" w:cs="Times New Roman"/>
          <w:sz w:val="24"/>
          <w:szCs w:val="24"/>
        </w:rPr>
        <w:t xml:space="preserve"> </w:t>
      </w:r>
      <w:r w:rsidR="005C2A90" w:rsidRPr="00BC1E6D">
        <w:rPr>
          <w:rFonts w:ascii="Times New Roman" w:eastAsiaTheme="minorEastAsia" w:hAnsi="Times New Roman" w:cs="Times New Roman"/>
          <w:sz w:val="24"/>
          <w:szCs w:val="24"/>
        </w:rPr>
        <w:t xml:space="preserve">and </w:t>
      </w:r>
      <w:r w:rsidR="000D7CAC" w:rsidRPr="00BC1E6D">
        <w:rPr>
          <w:rFonts w:ascii="Times New Roman" w:eastAsiaTheme="minorEastAsia" w:hAnsi="Times New Roman" w:cs="Times New Roman"/>
          <w:sz w:val="24"/>
          <w:szCs w:val="24"/>
        </w:rPr>
        <w:t>analyses not including the market index</w:t>
      </w:r>
      <w:r w:rsidR="00921FCE" w:rsidRPr="00BC1E6D">
        <w:rPr>
          <w:rFonts w:ascii="Times New Roman" w:eastAsiaTheme="minorEastAsia" w:hAnsi="Times New Roman" w:cs="Times New Roman"/>
          <w:sz w:val="24"/>
          <w:szCs w:val="24"/>
        </w:rPr>
        <w:t xml:space="preserve"> on a set of portfolios</w:t>
      </w:r>
      <w:r w:rsidR="000D7CAC" w:rsidRPr="00BC1E6D">
        <w:rPr>
          <w:rFonts w:ascii="Times New Roman" w:eastAsiaTheme="minorEastAsia" w:hAnsi="Times New Roman" w:cs="Times New Roman"/>
          <w:sz w:val="24"/>
          <w:szCs w:val="24"/>
        </w:rPr>
        <w:t xml:space="preserve">. </w:t>
      </w:r>
      <w:r w:rsidR="00157FB0" w:rsidRPr="00BC1E6D">
        <w:rPr>
          <w:rFonts w:ascii="Times New Roman" w:eastAsiaTheme="minorEastAsia" w:hAnsi="Times New Roman" w:cs="Times New Roman"/>
          <w:sz w:val="24"/>
          <w:szCs w:val="24"/>
        </w:rPr>
        <w:t xml:space="preserve">The </w:t>
      </w:r>
      <w:r w:rsidR="001D5517" w:rsidRPr="00BC1E6D">
        <w:rPr>
          <w:rFonts w:ascii="Times New Roman" w:eastAsiaTheme="minorEastAsia" w:hAnsi="Times New Roman" w:cs="Times New Roman"/>
          <w:sz w:val="24"/>
          <w:szCs w:val="24"/>
        </w:rPr>
        <w:t xml:space="preserve">objective was </w:t>
      </w:r>
      <w:r w:rsidR="00157FB0" w:rsidRPr="00BC1E6D">
        <w:rPr>
          <w:rFonts w:ascii="Times New Roman" w:eastAsiaTheme="minorEastAsia" w:hAnsi="Times New Roman" w:cs="Times New Roman"/>
          <w:sz w:val="24"/>
          <w:szCs w:val="24"/>
        </w:rPr>
        <w:t>to test the</w:t>
      </w:r>
      <w:r w:rsidR="001D5517" w:rsidRPr="00BC1E6D">
        <w:rPr>
          <w:rFonts w:ascii="Times New Roman" w:eastAsiaTheme="minorEastAsia" w:hAnsi="Times New Roman" w:cs="Times New Roman"/>
          <w:sz w:val="24"/>
          <w:szCs w:val="24"/>
        </w:rPr>
        <w:t xml:space="preserve"> CAPM and APT. </w:t>
      </w:r>
      <w:r w:rsidR="00A93030" w:rsidRPr="00BC1E6D">
        <w:rPr>
          <w:rFonts w:ascii="Times New Roman" w:eastAsiaTheme="minorEastAsia" w:hAnsi="Times New Roman" w:cs="Times New Roman"/>
          <w:sz w:val="24"/>
          <w:szCs w:val="24"/>
        </w:rPr>
        <w:t>The CAPM would imply that adding the market index to the analysis</w:t>
      </w:r>
      <w:r w:rsidR="00921FCE" w:rsidRPr="00BC1E6D">
        <w:rPr>
          <w:rFonts w:ascii="Times New Roman" w:eastAsiaTheme="minorEastAsia" w:hAnsi="Times New Roman" w:cs="Times New Roman"/>
          <w:sz w:val="24"/>
          <w:szCs w:val="24"/>
        </w:rPr>
        <w:t xml:space="preserve">, </w:t>
      </w:r>
      <w:r w:rsidR="00A93030" w:rsidRPr="00BC1E6D">
        <w:rPr>
          <w:rFonts w:ascii="Times New Roman" w:eastAsiaTheme="minorEastAsia" w:hAnsi="Times New Roman" w:cs="Times New Roman"/>
          <w:sz w:val="24"/>
          <w:szCs w:val="24"/>
        </w:rPr>
        <w:t>obtain</w:t>
      </w:r>
      <w:r w:rsidR="00921FCE" w:rsidRPr="00BC1E6D">
        <w:rPr>
          <w:rFonts w:ascii="Times New Roman" w:eastAsiaTheme="minorEastAsia" w:hAnsi="Times New Roman" w:cs="Times New Roman"/>
          <w:sz w:val="24"/>
          <w:szCs w:val="24"/>
        </w:rPr>
        <w:t>ing</w:t>
      </w:r>
      <w:r w:rsidR="00A93030" w:rsidRPr="00BC1E6D">
        <w:rPr>
          <w:rFonts w:ascii="Times New Roman" w:eastAsiaTheme="minorEastAsia" w:hAnsi="Times New Roman" w:cs="Times New Roman"/>
          <w:sz w:val="24"/>
          <w:szCs w:val="24"/>
        </w:rPr>
        <w:t xml:space="preserve"> the beta estimat</w:t>
      </w:r>
      <w:r w:rsidR="00921FCE" w:rsidRPr="00BC1E6D">
        <w:rPr>
          <w:rFonts w:ascii="Times New Roman" w:eastAsiaTheme="minorEastAsia" w:hAnsi="Times New Roman" w:cs="Times New Roman"/>
          <w:sz w:val="24"/>
          <w:szCs w:val="24"/>
        </w:rPr>
        <w:t xml:space="preserve">e, would </w:t>
      </w:r>
      <w:r w:rsidR="00C924CB" w:rsidRPr="00BC1E6D">
        <w:rPr>
          <w:rFonts w:ascii="Times New Roman" w:eastAsiaTheme="minorEastAsia" w:hAnsi="Times New Roman" w:cs="Times New Roman"/>
          <w:sz w:val="24"/>
          <w:szCs w:val="24"/>
        </w:rPr>
        <w:t xml:space="preserve">be sufficient to explain price movements in the portfolio </w:t>
      </w:r>
      <w:r w:rsidR="00563834" w:rsidRPr="00BC1E6D">
        <w:rPr>
          <w:rFonts w:ascii="Times New Roman" w:eastAsiaTheme="minorEastAsia" w:hAnsi="Times New Roman" w:cs="Times New Roman"/>
          <w:sz w:val="24"/>
          <w:szCs w:val="24"/>
        </w:rPr>
        <w:t xml:space="preserve">and the macroeconomic variables would be insignificant. </w:t>
      </w:r>
      <w:r w:rsidR="00DF3087" w:rsidRPr="00BC1E6D">
        <w:rPr>
          <w:rFonts w:ascii="Times New Roman" w:eastAsiaTheme="minorEastAsia" w:hAnsi="Times New Roman" w:cs="Times New Roman"/>
          <w:sz w:val="24"/>
          <w:szCs w:val="24"/>
        </w:rPr>
        <w:t xml:space="preserve">The APT would suggest that the </w:t>
      </w:r>
      <w:r w:rsidR="00DF3087" w:rsidRPr="00BC1E6D">
        <w:rPr>
          <w:rFonts w:ascii="Times New Roman" w:eastAsiaTheme="minorEastAsia" w:hAnsi="Times New Roman" w:cs="Times New Roman"/>
          <w:sz w:val="24"/>
          <w:szCs w:val="24"/>
        </w:rPr>
        <w:lastRenderedPageBreak/>
        <w:t xml:space="preserve">macroeconomic variables had explanatory power </w:t>
      </w:r>
      <w:r w:rsidR="00A01480" w:rsidRPr="00BC1E6D">
        <w:rPr>
          <w:rFonts w:ascii="Times New Roman" w:eastAsiaTheme="minorEastAsia" w:hAnsi="Times New Roman" w:cs="Times New Roman"/>
          <w:sz w:val="24"/>
          <w:szCs w:val="24"/>
        </w:rPr>
        <w:t>to explain why the prices of the portfolio changed</w:t>
      </w:r>
      <w:r w:rsidR="00120B9B" w:rsidRPr="00BC1E6D">
        <w:rPr>
          <w:rFonts w:ascii="Times New Roman" w:eastAsiaTheme="minorEastAsia" w:hAnsi="Times New Roman" w:cs="Times New Roman"/>
          <w:sz w:val="24"/>
          <w:szCs w:val="24"/>
        </w:rPr>
        <w:t>, i.e., significant regression coefficients.</w:t>
      </w:r>
    </w:p>
    <w:p w14:paraId="654A3861" w14:textId="122CDF0A" w:rsidR="000A12E9" w:rsidRPr="00BC1E6D" w:rsidRDefault="00B46CE1" w:rsidP="00011E45">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w:t>
      </w:r>
      <w:r w:rsidR="0033358C" w:rsidRPr="00BC1E6D">
        <w:rPr>
          <w:rFonts w:ascii="Times New Roman" w:eastAsiaTheme="minorEastAsia" w:hAnsi="Times New Roman" w:cs="Times New Roman"/>
          <w:sz w:val="24"/>
          <w:szCs w:val="24"/>
        </w:rPr>
        <w:t xml:space="preserve">hey find that </w:t>
      </w:r>
      <w:r w:rsidR="00E553D0" w:rsidRPr="00BC1E6D">
        <w:rPr>
          <w:rFonts w:ascii="Times New Roman" w:eastAsiaTheme="minorEastAsia" w:hAnsi="Times New Roman" w:cs="Times New Roman"/>
          <w:sz w:val="24"/>
          <w:szCs w:val="24"/>
        </w:rPr>
        <w:t>the macroeconomic variables</w:t>
      </w:r>
      <w:r w:rsidR="00A974D9" w:rsidRPr="00BC1E6D">
        <w:rPr>
          <w:rFonts w:ascii="Times New Roman" w:eastAsiaTheme="minorEastAsia" w:hAnsi="Times New Roman" w:cs="Times New Roman"/>
          <w:sz w:val="24"/>
          <w:szCs w:val="24"/>
        </w:rPr>
        <w:t xml:space="preserve"> </w:t>
      </w:r>
      <w:r w:rsidR="00E553D0" w:rsidRPr="00BC1E6D">
        <w:rPr>
          <w:rFonts w:ascii="Times New Roman" w:eastAsiaTheme="minorEastAsia" w:hAnsi="Times New Roman" w:cs="Times New Roman"/>
          <w:sz w:val="24"/>
          <w:szCs w:val="24"/>
        </w:rPr>
        <w:t xml:space="preserve">consistently have </w:t>
      </w:r>
      <w:r w:rsidR="00D523E4" w:rsidRPr="00BC1E6D">
        <w:rPr>
          <w:rFonts w:ascii="Times New Roman" w:eastAsiaTheme="minorEastAsia" w:hAnsi="Times New Roman" w:cs="Times New Roman"/>
          <w:sz w:val="24"/>
          <w:szCs w:val="24"/>
        </w:rPr>
        <w:t>significant effects on the pricing of the portfolio</w:t>
      </w:r>
      <w:r w:rsidR="00A974D9" w:rsidRPr="00BC1E6D">
        <w:rPr>
          <w:rFonts w:ascii="Times New Roman" w:eastAsiaTheme="minorEastAsia" w:hAnsi="Times New Roman" w:cs="Times New Roman"/>
          <w:sz w:val="24"/>
          <w:szCs w:val="24"/>
        </w:rPr>
        <w:t xml:space="preserve"> when not including </w:t>
      </w:r>
      <w:r w:rsidR="00626D8A" w:rsidRPr="00BC1E6D">
        <w:rPr>
          <w:rFonts w:ascii="Times New Roman" w:eastAsiaTheme="minorEastAsia" w:hAnsi="Times New Roman" w:cs="Times New Roman"/>
          <w:sz w:val="24"/>
          <w:szCs w:val="24"/>
        </w:rPr>
        <w:t xml:space="preserve">the market index, </w:t>
      </w:r>
      <w:r w:rsidR="005906E9" w:rsidRPr="00BC1E6D">
        <w:rPr>
          <w:rFonts w:ascii="Times New Roman" w:eastAsiaTheme="minorEastAsia" w:hAnsi="Times New Roman" w:cs="Times New Roman"/>
          <w:sz w:val="24"/>
          <w:szCs w:val="24"/>
        </w:rPr>
        <w:t xml:space="preserve">and that the inclusion of the market index </w:t>
      </w:r>
      <w:r w:rsidR="00BD66D9" w:rsidRPr="00BC1E6D">
        <w:rPr>
          <w:rFonts w:ascii="Times New Roman" w:eastAsiaTheme="minorEastAsia" w:hAnsi="Times New Roman" w:cs="Times New Roman"/>
          <w:sz w:val="24"/>
          <w:szCs w:val="24"/>
        </w:rPr>
        <w:t>causes a large drop in significance of the macroeconomic variables, while some still are significant</w:t>
      </w:r>
      <w:r w:rsidRPr="00BC1E6D">
        <w:rPr>
          <w:rFonts w:ascii="Times New Roman" w:eastAsiaTheme="minorEastAsia" w:hAnsi="Times New Roman" w:cs="Times New Roman"/>
          <w:sz w:val="24"/>
          <w:szCs w:val="24"/>
        </w:rPr>
        <w:t xml:space="preserve">. </w:t>
      </w:r>
      <w:r w:rsidR="00DF5DB0" w:rsidRPr="00BC1E6D">
        <w:rPr>
          <w:rFonts w:ascii="Times New Roman" w:eastAsiaTheme="minorEastAsia" w:hAnsi="Times New Roman" w:cs="Times New Roman"/>
          <w:sz w:val="24"/>
          <w:szCs w:val="24"/>
        </w:rPr>
        <w:t xml:space="preserve">For them, in </w:t>
      </w:r>
      <w:r w:rsidR="000E0126" w:rsidRPr="00BC1E6D">
        <w:rPr>
          <w:rFonts w:ascii="Times New Roman" w:eastAsiaTheme="minorEastAsia" w:hAnsi="Times New Roman" w:cs="Times New Roman"/>
          <w:sz w:val="24"/>
          <w:szCs w:val="24"/>
        </w:rPr>
        <w:t>most</w:t>
      </w:r>
      <w:r w:rsidR="00DF5DB0" w:rsidRPr="00BC1E6D">
        <w:rPr>
          <w:rFonts w:ascii="Times New Roman" w:eastAsiaTheme="minorEastAsia" w:hAnsi="Times New Roman" w:cs="Times New Roman"/>
          <w:sz w:val="24"/>
          <w:szCs w:val="24"/>
        </w:rPr>
        <w:t xml:space="preserve"> time periods, the CAPM was the model that </w:t>
      </w:r>
      <w:r w:rsidR="00B44AC2" w:rsidRPr="00BC1E6D">
        <w:rPr>
          <w:rFonts w:ascii="Times New Roman" w:eastAsiaTheme="minorEastAsia" w:hAnsi="Times New Roman" w:cs="Times New Roman"/>
          <w:sz w:val="24"/>
          <w:szCs w:val="24"/>
        </w:rPr>
        <w:t xml:space="preserve">worked for explaining </w:t>
      </w:r>
      <w:r w:rsidR="00434EA1" w:rsidRPr="00BC1E6D">
        <w:rPr>
          <w:rFonts w:ascii="Times New Roman" w:eastAsiaTheme="minorEastAsia" w:hAnsi="Times New Roman" w:cs="Times New Roman"/>
          <w:sz w:val="24"/>
          <w:szCs w:val="24"/>
        </w:rPr>
        <w:t xml:space="preserve">variability of portfolio returns, but market </w:t>
      </w:r>
      <w:r w:rsidR="009E3D3E" w:rsidRPr="00BC1E6D">
        <w:rPr>
          <w:rFonts w:ascii="Times New Roman" w:eastAsiaTheme="minorEastAsia" w:hAnsi="Times New Roman" w:cs="Times New Roman"/>
          <w:sz w:val="24"/>
          <w:szCs w:val="24"/>
        </w:rPr>
        <w:t>indices</w:t>
      </w:r>
      <w:r w:rsidR="00434EA1" w:rsidRPr="00BC1E6D">
        <w:rPr>
          <w:rFonts w:ascii="Times New Roman" w:eastAsiaTheme="minorEastAsia" w:hAnsi="Times New Roman" w:cs="Times New Roman"/>
          <w:sz w:val="24"/>
          <w:szCs w:val="24"/>
        </w:rPr>
        <w:t xml:space="preserve"> were not significant for predicting future returns(Chen, Nai-Fu, Roll, and Ross</w:t>
      </w:r>
      <w:r w:rsidRPr="00BC1E6D">
        <w:rPr>
          <w:rFonts w:ascii="Times New Roman" w:eastAsiaTheme="minorEastAsia" w:hAnsi="Times New Roman" w:cs="Times New Roman"/>
          <w:sz w:val="24"/>
          <w:szCs w:val="24"/>
        </w:rPr>
        <w:t xml:space="preserve"> </w:t>
      </w:r>
      <w:r w:rsidR="00434EA1" w:rsidRPr="00BC1E6D">
        <w:rPr>
          <w:rFonts w:ascii="Times New Roman" w:eastAsiaTheme="minorEastAsia" w:hAnsi="Times New Roman" w:cs="Times New Roman"/>
          <w:sz w:val="24"/>
          <w:szCs w:val="24"/>
        </w:rPr>
        <w:t xml:space="preserve">1986). </w:t>
      </w:r>
      <w:r w:rsidR="00D43D1C" w:rsidRPr="00BC1E6D">
        <w:rPr>
          <w:rFonts w:ascii="Times New Roman" w:eastAsiaTheme="minorEastAsia" w:hAnsi="Times New Roman" w:cs="Times New Roman"/>
          <w:sz w:val="24"/>
          <w:szCs w:val="24"/>
        </w:rPr>
        <w:t xml:space="preserve">In this paper, I aim to perform an analysis </w:t>
      </w:r>
      <w:r w:rsidR="000C71FA" w:rsidRPr="00BC1E6D">
        <w:rPr>
          <w:rFonts w:ascii="Times New Roman" w:eastAsiaTheme="minorEastAsia" w:hAnsi="Times New Roman" w:cs="Times New Roman"/>
          <w:sz w:val="24"/>
          <w:szCs w:val="24"/>
        </w:rPr>
        <w:t>like</w:t>
      </w:r>
      <w:r w:rsidR="00D43D1C" w:rsidRPr="00BC1E6D">
        <w:rPr>
          <w:rFonts w:ascii="Times New Roman" w:eastAsiaTheme="minorEastAsia" w:hAnsi="Times New Roman" w:cs="Times New Roman"/>
          <w:sz w:val="24"/>
          <w:szCs w:val="24"/>
        </w:rPr>
        <w:t xml:space="preserve"> theirs, but only to analyze which model, APT or CAPM, </w:t>
      </w:r>
      <w:r w:rsidR="00A56478" w:rsidRPr="00BC1E6D">
        <w:rPr>
          <w:rFonts w:ascii="Times New Roman" w:eastAsiaTheme="minorEastAsia" w:hAnsi="Times New Roman" w:cs="Times New Roman"/>
          <w:sz w:val="24"/>
          <w:szCs w:val="24"/>
        </w:rPr>
        <w:t xml:space="preserve">fits the </w:t>
      </w:r>
      <w:r w:rsidR="00332ADF" w:rsidRPr="00BC1E6D">
        <w:rPr>
          <w:rFonts w:ascii="Times New Roman" w:eastAsiaTheme="minorEastAsia" w:hAnsi="Times New Roman" w:cs="Times New Roman"/>
          <w:sz w:val="24"/>
          <w:szCs w:val="24"/>
        </w:rPr>
        <w:t xml:space="preserve">modelling of returns across investment sectors. </w:t>
      </w:r>
    </w:p>
    <w:p w14:paraId="433B7399" w14:textId="01F1F35A" w:rsidR="00BD23E4" w:rsidRPr="0021794D" w:rsidRDefault="00D65C7C" w:rsidP="0021794D">
      <w:pPr>
        <w:pStyle w:val="Heading2"/>
        <w:jc w:val="center"/>
        <w:rPr>
          <w:b/>
          <w:bCs/>
          <w:color w:val="auto"/>
        </w:rPr>
      </w:pPr>
      <w:r w:rsidRPr="0021794D">
        <w:rPr>
          <w:b/>
          <w:bCs/>
          <w:color w:val="auto"/>
        </w:rPr>
        <w:t>Data</w:t>
      </w:r>
    </w:p>
    <w:p w14:paraId="127E1077" w14:textId="34C41257" w:rsidR="00AD0A44" w:rsidRPr="00A72BB8" w:rsidRDefault="00022772" w:rsidP="00BD3816">
      <w:pPr>
        <w:pStyle w:val="Heading3"/>
        <w:spacing w:line="276" w:lineRule="auto"/>
        <w:rPr>
          <w:rFonts w:ascii="Times New Roman" w:eastAsiaTheme="minorEastAsia" w:hAnsi="Times New Roman" w:cs="Times New Roman"/>
          <w:b/>
          <w:bCs/>
          <w:color w:val="auto"/>
        </w:rPr>
      </w:pPr>
      <w:r w:rsidRPr="00A72BB8">
        <w:rPr>
          <w:rFonts w:ascii="Times New Roman" w:eastAsiaTheme="minorEastAsia" w:hAnsi="Times New Roman" w:cs="Times New Roman"/>
          <w:b/>
          <w:bCs/>
          <w:color w:val="auto"/>
        </w:rPr>
        <w:t>Macroeconomic Data(Exogenous variables)</w:t>
      </w:r>
    </w:p>
    <w:p w14:paraId="4D65CA04" w14:textId="5E754DEF" w:rsidR="00D65C7C" w:rsidRPr="00BC1E6D" w:rsidRDefault="0024534F"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All</w:t>
      </w:r>
      <w:r w:rsidR="004C2EAC" w:rsidRPr="00BC1E6D">
        <w:rPr>
          <w:rFonts w:ascii="Times New Roman" w:eastAsiaTheme="minorEastAsia" w:hAnsi="Times New Roman" w:cs="Times New Roman"/>
          <w:sz w:val="24"/>
          <w:szCs w:val="24"/>
        </w:rPr>
        <w:t xml:space="preserve"> the </w:t>
      </w:r>
      <w:r w:rsidR="00622C04" w:rsidRPr="00BC1E6D">
        <w:rPr>
          <w:rFonts w:ascii="Times New Roman" w:eastAsiaTheme="minorEastAsia" w:hAnsi="Times New Roman" w:cs="Times New Roman"/>
          <w:sz w:val="24"/>
          <w:szCs w:val="24"/>
        </w:rPr>
        <w:t xml:space="preserve">macroeconomic </w:t>
      </w:r>
      <w:r w:rsidR="004C2EAC" w:rsidRPr="00BC1E6D">
        <w:rPr>
          <w:rFonts w:ascii="Times New Roman" w:eastAsiaTheme="minorEastAsia" w:hAnsi="Times New Roman" w:cs="Times New Roman"/>
          <w:sz w:val="24"/>
          <w:szCs w:val="24"/>
        </w:rPr>
        <w:t xml:space="preserve">data were pulled from </w:t>
      </w:r>
      <w:r w:rsidR="00D15795" w:rsidRPr="00BC1E6D">
        <w:rPr>
          <w:rFonts w:ascii="Times New Roman" w:eastAsiaTheme="minorEastAsia" w:hAnsi="Times New Roman" w:cs="Times New Roman"/>
          <w:sz w:val="24"/>
          <w:szCs w:val="24"/>
        </w:rPr>
        <w:t xml:space="preserve">the </w:t>
      </w:r>
      <w:r w:rsidR="004C2EAC" w:rsidRPr="00BC1E6D">
        <w:rPr>
          <w:rFonts w:ascii="Times New Roman" w:eastAsiaTheme="minorEastAsia" w:hAnsi="Times New Roman" w:cs="Times New Roman"/>
          <w:sz w:val="24"/>
          <w:szCs w:val="24"/>
        </w:rPr>
        <w:t>F</w:t>
      </w:r>
      <w:r w:rsidR="00D15795" w:rsidRPr="00BC1E6D">
        <w:rPr>
          <w:rFonts w:ascii="Times New Roman" w:eastAsiaTheme="minorEastAsia" w:hAnsi="Times New Roman" w:cs="Times New Roman"/>
          <w:sz w:val="24"/>
          <w:szCs w:val="24"/>
        </w:rPr>
        <w:t xml:space="preserve">ederal </w:t>
      </w:r>
      <w:r w:rsidR="004C2EAC" w:rsidRPr="00BC1E6D">
        <w:rPr>
          <w:rFonts w:ascii="Times New Roman" w:eastAsiaTheme="minorEastAsia" w:hAnsi="Times New Roman" w:cs="Times New Roman"/>
          <w:sz w:val="24"/>
          <w:szCs w:val="24"/>
        </w:rPr>
        <w:t>R</w:t>
      </w:r>
      <w:r w:rsidR="00D15795" w:rsidRPr="00BC1E6D">
        <w:rPr>
          <w:rFonts w:ascii="Times New Roman" w:eastAsiaTheme="minorEastAsia" w:hAnsi="Times New Roman" w:cs="Times New Roman"/>
          <w:sz w:val="24"/>
          <w:szCs w:val="24"/>
        </w:rPr>
        <w:t xml:space="preserve">eserve </w:t>
      </w:r>
      <w:r w:rsidR="004C2EAC" w:rsidRPr="00BC1E6D">
        <w:rPr>
          <w:rFonts w:ascii="Times New Roman" w:eastAsiaTheme="minorEastAsia" w:hAnsi="Times New Roman" w:cs="Times New Roman"/>
          <w:sz w:val="24"/>
          <w:szCs w:val="24"/>
        </w:rPr>
        <w:t>E</w:t>
      </w:r>
      <w:r w:rsidR="0030632F" w:rsidRPr="00BC1E6D">
        <w:rPr>
          <w:rFonts w:ascii="Times New Roman" w:eastAsiaTheme="minorEastAsia" w:hAnsi="Times New Roman" w:cs="Times New Roman"/>
          <w:sz w:val="24"/>
          <w:szCs w:val="24"/>
        </w:rPr>
        <w:t xml:space="preserve">conomic </w:t>
      </w:r>
      <w:r w:rsidR="004C2EAC" w:rsidRPr="00BC1E6D">
        <w:rPr>
          <w:rFonts w:ascii="Times New Roman" w:eastAsiaTheme="minorEastAsia" w:hAnsi="Times New Roman" w:cs="Times New Roman"/>
          <w:sz w:val="24"/>
          <w:szCs w:val="24"/>
        </w:rPr>
        <w:t>D</w:t>
      </w:r>
      <w:r w:rsidR="0030632F" w:rsidRPr="00BC1E6D">
        <w:rPr>
          <w:rFonts w:ascii="Times New Roman" w:eastAsiaTheme="minorEastAsia" w:hAnsi="Times New Roman" w:cs="Times New Roman"/>
          <w:sz w:val="24"/>
          <w:szCs w:val="24"/>
        </w:rPr>
        <w:t>ata</w:t>
      </w:r>
      <w:r w:rsidR="00B46CE1" w:rsidRPr="00BC1E6D">
        <w:rPr>
          <w:rFonts w:ascii="Times New Roman" w:eastAsiaTheme="minorEastAsia" w:hAnsi="Times New Roman" w:cs="Times New Roman"/>
          <w:sz w:val="24"/>
          <w:szCs w:val="24"/>
        </w:rPr>
        <w:t xml:space="preserve"> </w:t>
      </w:r>
      <w:r w:rsidR="0030632F" w:rsidRPr="00BC1E6D">
        <w:rPr>
          <w:rFonts w:ascii="Times New Roman" w:eastAsiaTheme="minorEastAsia" w:hAnsi="Times New Roman" w:cs="Times New Roman"/>
          <w:sz w:val="24"/>
          <w:szCs w:val="24"/>
        </w:rPr>
        <w:t>(FRED) website</w:t>
      </w:r>
      <w:r w:rsidR="00AF75CE" w:rsidRPr="00BC1E6D">
        <w:rPr>
          <w:rFonts w:ascii="Times New Roman" w:eastAsiaTheme="minorEastAsia" w:hAnsi="Times New Roman" w:cs="Times New Roman"/>
          <w:sz w:val="24"/>
          <w:szCs w:val="24"/>
        </w:rPr>
        <w:t xml:space="preserve"> using t</w:t>
      </w:r>
      <w:r w:rsidR="006A0CF9" w:rsidRPr="00BC1E6D">
        <w:rPr>
          <w:rFonts w:ascii="Times New Roman" w:eastAsiaTheme="minorEastAsia" w:hAnsi="Times New Roman" w:cs="Times New Roman"/>
          <w:sz w:val="24"/>
          <w:szCs w:val="24"/>
        </w:rPr>
        <w:t>he Pandas web data reader library in Python</w:t>
      </w:r>
      <w:r w:rsidR="00A630C8" w:rsidRPr="00BC1E6D">
        <w:rPr>
          <w:rFonts w:ascii="Times New Roman" w:eastAsiaTheme="minorEastAsia" w:hAnsi="Times New Roman" w:cs="Times New Roman"/>
          <w:sz w:val="24"/>
          <w:szCs w:val="24"/>
        </w:rPr>
        <w:t>, unless otherwise mentioned</w:t>
      </w:r>
      <w:r w:rsidR="004C2EAC" w:rsidRPr="00BC1E6D">
        <w:rPr>
          <w:rFonts w:ascii="Times New Roman" w:eastAsiaTheme="minorEastAsia" w:hAnsi="Times New Roman" w:cs="Times New Roman"/>
          <w:sz w:val="24"/>
          <w:szCs w:val="24"/>
        </w:rPr>
        <w:t xml:space="preserve">. </w:t>
      </w:r>
      <w:r w:rsidR="00D623B7" w:rsidRPr="00BC1E6D">
        <w:rPr>
          <w:rFonts w:ascii="Times New Roman" w:eastAsiaTheme="minorEastAsia" w:hAnsi="Times New Roman" w:cs="Times New Roman"/>
          <w:sz w:val="24"/>
          <w:szCs w:val="24"/>
        </w:rPr>
        <w:t xml:space="preserve">All data are time-series, </w:t>
      </w:r>
      <w:r w:rsidR="00C36317" w:rsidRPr="00BC1E6D">
        <w:rPr>
          <w:rFonts w:ascii="Times New Roman" w:eastAsiaTheme="minorEastAsia" w:hAnsi="Times New Roman" w:cs="Times New Roman"/>
          <w:sz w:val="24"/>
          <w:szCs w:val="24"/>
        </w:rPr>
        <w:t>quarterly sampled, differenced</w:t>
      </w:r>
      <w:r w:rsidR="00FA1AEA" w:rsidRPr="00BC1E6D">
        <w:rPr>
          <w:rFonts w:ascii="Times New Roman" w:eastAsiaTheme="minorEastAsia" w:hAnsi="Times New Roman" w:cs="Times New Roman"/>
          <w:sz w:val="24"/>
          <w:szCs w:val="24"/>
        </w:rPr>
        <w:t xml:space="preserve"> data. </w:t>
      </w:r>
      <w:r w:rsidR="00FE4D59" w:rsidRPr="00BC1E6D">
        <w:rPr>
          <w:rFonts w:ascii="Times New Roman" w:eastAsiaTheme="minorEastAsia" w:hAnsi="Times New Roman" w:cs="Times New Roman"/>
          <w:sz w:val="24"/>
          <w:szCs w:val="24"/>
        </w:rPr>
        <w:t xml:space="preserve">Variables that are not rates were logged. </w:t>
      </w:r>
      <w:r w:rsidR="0026626E" w:rsidRPr="00BC1E6D">
        <w:rPr>
          <w:rFonts w:ascii="Times New Roman" w:eastAsiaTheme="minorEastAsia" w:hAnsi="Times New Roman" w:cs="Times New Roman"/>
          <w:sz w:val="24"/>
          <w:szCs w:val="24"/>
        </w:rPr>
        <w:t xml:space="preserve">Aliases, </w:t>
      </w:r>
      <w:r w:rsidR="00FA01F5" w:rsidRPr="00BC1E6D">
        <w:rPr>
          <w:rFonts w:ascii="Times New Roman" w:eastAsiaTheme="minorEastAsia" w:hAnsi="Times New Roman" w:cs="Times New Roman"/>
          <w:sz w:val="24"/>
          <w:szCs w:val="24"/>
        </w:rPr>
        <w:t>descriptions of data, and original data sources are listed below</w:t>
      </w:r>
      <w:r w:rsidR="00330D29" w:rsidRPr="00BC1E6D">
        <w:rPr>
          <w:rFonts w:ascii="Times New Roman" w:eastAsiaTheme="minorEastAsia" w:hAnsi="Times New Roman" w:cs="Times New Roman"/>
          <w:sz w:val="24"/>
          <w:szCs w:val="24"/>
        </w:rPr>
        <w:t xml:space="preserve"> in table 1. </w:t>
      </w:r>
    </w:p>
    <w:tbl>
      <w:tblPr>
        <w:tblW w:w="15207" w:type="dxa"/>
        <w:tblLayout w:type="fixed"/>
        <w:tblLook w:val="04A0" w:firstRow="1" w:lastRow="0" w:firstColumn="1" w:lastColumn="0" w:noHBand="0" w:noVBand="1"/>
      </w:tblPr>
      <w:tblGrid>
        <w:gridCol w:w="960"/>
        <w:gridCol w:w="2727"/>
        <w:gridCol w:w="960"/>
        <w:gridCol w:w="960"/>
        <w:gridCol w:w="105"/>
        <w:gridCol w:w="855"/>
        <w:gridCol w:w="960"/>
        <w:gridCol w:w="960"/>
        <w:gridCol w:w="960"/>
        <w:gridCol w:w="960"/>
        <w:gridCol w:w="57"/>
        <w:gridCol w:w="903"/>
        <w:gridCol w:w="960"/>
        <w:gridCol w:w="960"/>
        <w:gridCol w:w="960"/>
        <w:gridCol w:w="960"/>
      </w:tblGrid>
      <w:tr w:rsidR="00BC1E6D" w:rsidRPr="00BC1E6D" w14:paraId="48F4C77B" w14:textId="77777777" w:rsidTr="00451D84">
        <w:trPr>
          <w:trHeight w:val="300"/>
        </w:trPr>
        <w:tc>
          <w:tcPr>
            <w:tcW w:w="960" w:type="dxa"/>
            <w:tcBorders>
              <w:top w:val="nil"/>
              <w:left w:val="nil"/>
              <w:bottom w:val="nil"/>
              <w:right w:val="nil"/>
            </w:tcBorders>
            <w:shd w:val="clear" w:color="auto" w:fill="auto"/>
            <w:noWrap/>
            <w:vAlign w:val="bottom"/>
            <w:hideMark/>
          </w:tcPr>
          <w:p w14:paraId="27FE8F17" w14:textId="77777777" w:rsidR="004223FC" w:rsidRPr="00BC1E6D" w:rsidRDefault="004223FC" w:rsidP="004223FC">
            <w:pPr>
              <w:spacing w:after="0" w:line="240" w:lineRule="auto"/>
              <w:rPr>
                <w:rFonts w:ascii="Times New Roman" w:eastAsia="Times New Roman" w:hAnsi="Times New Roman" w:cs="Times New Roman"/>
                <w:b/>
                <w:bCs/>
                <w:sz w:val="20"/>
                <w:szCs w:val="20"/>
              </w:rPr>
            </w:pPr>
            <w:r w:rsidRPr="00BC1E6D">
              <w:rPr>
                <w:rFonts w:ascii="Times New Roman" w:eastAsia="Times New Roman" w:hAnsi="Times New Roman" w:cs="Times New Roman"/>
                <w:b/>
                <w:bCs/>
                <w:sz w:val="20"/>
                <w:szCs w:val="20"/>
              </w:rPr>
              <w:t>Table 1</w:t>
            </w:r>
          </w:p>
        </w:tc>
        <w:tc>
          <w:tcPr>
            <w:tcW w:w="2727" w:type="dxa"/>
            <w:tcBorders>
              <w:top w:val="nil"/>
              <w:left w:val="nil"/>
              <w:bottom w:val="nil"/>
              <w:right w:val="nil"/>
            </w:tcBorders>
            <w:shd w:val="clear" w:color="auto" w:fill="auto"/>
            <w:noWrap/>
            <w:vAlign w:val="bottom"/>
            <w:hideMark/>
          </w:tcPr>
          <w:p w14:paraId="6BC42FAF" w14:textId="77777777" w:rsidR="004223FC" w:rsidRPr="00BC1E6D" w:rsidRDefault="004223FC" w:rsidP="004223FC">
            <w:pPr>
              <w:spacing w:after="0" w:line="240" w:lineRule="auto"/>
              <w:rPr>
                <w:rFonts w:ascii="Times New Roman" w:eastAsia="Times New Roman" w:hAnsi="Times New Roman" w:cs="Times New Roman"/>
                <w:b/>
                <w:bCs/>
                <w:sz w:val="20"/>
                <w:szCs w:val="20"/>
              </w:rPr>
            </w:pPr>
          </w:p>
        </w:tc>
        <w:tc>
          <w:tcPr>
            <w:tcW w:w="960" w:type="dxa"/>
            <w:tcBorders>
              <w:top w:val="nil"/>
              <w:left w:val="nil"/>
              <w:bottom w:val="nil"/>
              <w:right w:val="nil"/>
            </w:tcBorders>
            <w:shd w:val="clear" w:color="auto" w:fill="auto"/>
            <w:noWrap/>
            <w:vAlign w:val="bottom"/>
            <w:hideMark/>
          </w:tcPr>
          <w:p w14:paraId="60662D9B"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F075D7"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5E58D7B"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714907"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0B64DD"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3294B86"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433A54"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821A2E0"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7236AD"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A879BF"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534145"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FBC658" w14:textId="77777777" w:rsidR="004223FC" w:rsidRPr="00BC1E6D" w:rsidRDefault="004223FC" w:rsidP="004223FC">
            <w:pPr>
              <w:spacing w:after="0" w:line="240" w:lineRule="auto"/>
              <w:rPr>
                <w:rFonts w:ascii="Times New Roman" w:eastAsia="Times New Roman" w:hAnsi="Times New Roman" w:cs="Times New Roman"/>
                <w:sz w:val="20"/>
                <w:szCs w:val="20"/>
              </w:rPr>
            </w:pPr>
          </w:p>
        </w:tc>
      </w:tr>
      <w:tr w:rsidR="00BC1E6D" w:rsidRPr="00BC1E6D" w14:paraId="3AC53FD6" w14:textId="77777777" w:rsidTr="00451D84">
        <w:trPr>
          <w:trHeight w:val="300"/>
        </w:trPr>
        <w:tc>
          <w:tcPr>
            <w:tcW w:w="6567" w:type="dxa"/>
            <w:gridSpan w:val="6"/>
            <w:tcBorders>
              <w:top w:val="nil"/>
              <w:left w:val="nil"/>
              <w:bottom w:val="nil"/>
              <w:right w:val="nil"/>
            </w:tcBorders>
            <w:shd w:val="clear" w:color="auto" w:fill="auto"/>
            <w:noWrap/>
            <w:vAlign w:val="bottom"/>
            <w:hideMark/>
          </w:tcPr>
          <w:p w14:paraId="71958549" w14:textId="77777777" w:rsidR="004223FC" w:rsidRPr="00BC1E6D" w:rsidRDefault="004223FC" w:rsidP="004223FC">
            <w:pPr>
              <w:spacing w:after="0" w:line="240"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 xml:space="preserve">Data Series Aliases, Descriptions, and Source </w:t>
            </w:r>
          </w:p>
        </w:tc>
        <w:tc>
          <w:tcPr>
            <w:tcW w:w="960" w:type="dxa"/>
            <w:tcBorders>
              <w:top w:val="nil"/>
              <w:left w:val="nil"/>
              <w:bottom w:val="nil"/>
              <w:right w:val="nil"/>
            </w:tcBorders>
            <w:shd w:val="clear" w:color="auto" w:fill="auto"/>
            <w:noWrap/>
            <w:vAlign w:val="bottom"/>
            <w:hideMark/>
          </w:tcPr>
          <w:p w14:paraId="102725ED" w14:textId="77777777" w:rsidR="004223FC" w:rsidRPr="00BC1E6D" w:rsidRDefault="004223FC" w:rsidP="004223FC">
            <w:pPr>
              <w:spacing w:after="0" w:line="240"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48E6B7DC"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2846B1"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CD0FC"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C5A47D5"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82B2FC"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194A15"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3BEDFC"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2594AC" w14:textId="77777777" w:rsidR="004223FC" w:rsidRPr="00BC1E6D" w:rsidRDefault="004223FC" w:rsidP="004223FC">
            <w:pPr>
              <w:spacing w:after="0" w:line="240" w:lineRule="auto"/>
              <w:rPr>
                <w:rFonts w:ascii="Times New Roman" w:eastAsia="Times New Roman" w:hAnsi="Times New Roman" w:cs="Times New Roman"/>
                <w:sz w:val="20"/>
                <w:szCs w:val="20"/>
              </w:rPr>
            </w:pPr>
          </w:p>
        </w:tc>
      </w:tr>
      <w:tr w:rsidR="00BC1E6D" w:rsidRPr="00BC1E6D" w14:paraId="5AB9941C" w14:textId="77777777" w:rsidTr="00451D84">
        <w:trPr>
          <w:trHeight w:val="300"/>
        </w:trPr>
        <w:tc>
          <w:tcPr>
            <w:tcW w:w="960" w:type="dxa"/>
            <w:tcBorders>
              <w:top w:val="single" w:sz="4" w:space="0" w:color="auto"/>
              <w:left w:val="nil"/>
              <w:bottom w:val="single" w:sz="4" w:space="0" w:color="auto"/>
              <w:right w:val="nil"/>
            </w:tcBorders>
            <w:shd w:val="clear" w:color="auto" w:fill="auto"/>
            <w:noWrap/>
            <w:vAlign w:val="bottom"/>
            <w:hideMark/>
          </w:tcPr>
          <w:p w14:paraId="3C2EC32D" w14:textId="77777777" w:rsidR="004223FC" w:rsidRPr="00BC1E6D" w:rsidRDefault="004223FC" w:rsidP="004223FC">
            <w:pPr>
              <w:spacing w:after="0" w:line="240" w:lineRule="auto"/>
              <w:jc w:val="center"/>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Alias</w:t>
            </w:r>
          </w:p>
        </w:tc>
        <w:tc>
          <w:tcPr>
            <w:tcW w:w="8487" w:type="dxa"/>
            <w:gridSpan w:val="8"/>
            <w:tcBorders>
              <w:top w:val="single" w:sz="4" w:space="0" w:color="auto"/>
              <w:left w:val="nil"/>
              <w:bottom w:val="single" w:sz="4" w:space="0" w:color="auto"/>
              <w:right w:val="nil"/>
            </w:tcBorders>
            <w:shd w:val="clear" w:color="auto" w:fill="auto"/>
            <w:noWrap/>
            <w:vAlign w:val="bottom"/>
            <w:hideMark/>
          </w:tcPr>
          <w:p w14:paraId="69025782" w14:textId="71339C8F" w:rsidR="004223FC" w:rsidRPr="00BC1E6D" w:rsidRDefault="0029777F" w:rsidP="00451D84">
            <w:pPr>
              <w:spacing w:after="0" w:line="240"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 xml:space="preserve">                                    </w:t>
            </w:r>
            <w:r w:rsidR="004223FC" w:rsidRPr="00BC1E6D">
              <w:rPr>
                <w:rFonts w:ascii="Times New Roman" w:eastAsia="Times New Roman" w:hAnsi="Times New Roman" w:cs="Times New Roman"/>
                <w:i/>
                <w:iCs/>
                <w:sz w:val="20"/>
                <w:szCs w:val="20"/>
              </w:rPr>
              <w:t>Description</w:t>
            </w:r>
            <w:r w:rsidRPr="00BC1E6D">
              <w:rPr>
                <w:rFonts w:ascii="Times New Roman" w:eastAsia="Times New Roman" w:hAnsi="Times New Roman" w:cs="Times New Roman"/>
                <w:i/>
                <w:iCs/>
                <w:sz w:val="20"/>
                <w:szCs w:val="20"/>
              </w:rPr>
              <w:t xml:space="preserve">                                                                                Source</w:t>
            </w:r>
          </w:p>
        </w:tc>
        <w:tc>
          <w:tcPr>
            <w:tcW w:w="5760" w:type="dxa"/>
            <w:gridSpan w:val="7"/>
            <w:tcBorders>
              <w:top w:val="single" w:sz="4" w:space="0" w:color="auto"/>
              <w:left w:val="nil"/>
              <w:bottom w:val="single" w:sz="4" w:space="0" w:color="auto"/>
              <w:right w:val="nil"/>
            </w:tcBorders>
            <w:shd w:val="clear" w:color="auto" w:fill="auto"/>
            <w:noWrap/>
            <w:vAlign w:val="bottom"/>
            <w:hideMark/>
          </w:tcPr>
          <w:p w14:paraId="19E3FEFB" w14:textId="36FFA396" w:rsidR="004223FC" w:rsidRPr="00BC1E6D" w:rsidRDefault="004223FC" w:rsidP="00451D84">
            <w:pPr>
              <w:spacing w:after="0" w:line="240" w:lineRule="auto"/>
              <w:rPr>
                <w:rFonts w:ascii="Times New Roman" w:eastAsia="Times New Roman" w:hAnsi="Times New Roman" w:cs="Times New Roman"/>
                <w:i/>
                <w:iCs/>
                <w:sz w:val="20"/>
                <w:szCs w:val="20"/>
              </w:rPr>
            </w:pPr>
          </w:p>
        </w:tc>
      </w:tr>
      <w:tr w:rsidR="00BC1E6D" w:rsidRPr="00BC1E6D" w14:paraId="7DB9B31F"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1C73E777"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dIP</w:t>
            </w:r>
          </w:p>
        </w:tc>
        <w:tc>
          <w:tcPr>
            <w:tcW w:w="4752" w:type="dxa"/>
            <w:gridSpan w:val="4"/>
            <w:tcBorders>
              <w:top w:val="single" w:sz="4" w:space="0" w:color="auto"/>
              <w:left w:val="nil"/>
              <w:bottom w:val="nil"/>
              <w:right w:val="nil"/>
            </w:tcBorders>
            <w:shd w:val="clear" w:color="auto" w:fill="auto"/>
            <w:noWrap/>
            <w:vAlign w:val="bottom"/>
            <w:hideMark/>
          </w:tcPr>
          <w:p w14:paraId="25838C49"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 xml:space="preserve">Logged Quarterly Changes in Industrial Production: Total Index </w:t>
            </w:r>
          </w:p>
        </w:tc>
        <w:tc>
          <w:tcPr>
            <w:tcW w:w="4752" w:type="dxa"/>
            <w:gridSpan w:val="6"/>
            <w:tcBorders>
              <w:top w:val="single" w:sz="4" w:space="0" w:color="auto"/>
              <w:left w:val="nil"/>
              <w:bottom w:val="nil"/>
              <w:right w:val="nil"/>
            </w:tcBorders>
            <w:shd w:val="clear" w:color="auto" w:fill="auto"/>
            <w:noWrap/>
            <w:vAlign w:val="bottom"/>
            <w:hideMark/>
          </w:tcPr>
          <w:p w14:paraId="42A98E02"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Board of Governors of Federal Reserve System</w:t>
            </w:r>
          </w:p>
        </w:tc>
      </w:tr>
      <w:tr w:rsidR="00BC1E6D" w:rsidRPr="00BC1E6D" w14:paraId="2F4B97BC"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5819A8A4"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dEI</w:t>
            </w:r>
          </w:p>
        </w:tc>
        <w:tc>
          <w:tcPr>
            <w:tcW w:w="4752" w:type="dxa"/>
            <w:gridSpan w:val="4"/>
            <w:tcBorders>
              <w:top w:val="nil"/>
              <w:left w:val="nil"/>
              <w:bottom w:val="nil"/>
              <w:right w:val="nil"/>
            </w:tcBorders>
            <w:shd w:val="clear" w:color="auto" w:fill="auto"/>
            <w:noWrap/>
            <w:vAlign w:val="bottom"/>
            <w:hideMark/>
          </w:tcPr>
          <w:p w14:paraId="6B67897F"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 xml:space="preserve">Quarterly Changes in Expected 1-year Inflation: 1-Year Expected Inflation </w:t>
            </w:r>
          </w:p>
        </w:tc>
        <w:tc>
          <w:tcPr>
            <w:tcW w:w="4752" w:type="dxa"/>
            <w:gridSpan w:val="6"/>
            <w:tcBorders>
              <w:top w:val="nil"/>
              <w:left w:val="nil"/>
              <w:bottom w:val="nil"/>
              <w:right w:val="nil"/>
            </w:tcBorders>
            <w:shd w:val="clear" w:color="auto" w:fill="auto"/>
            <w:noWrap/>
            <w:vAlign w:val="bottom"/>
            <w:hideMark/>
          </w:tcPr>
          <w:p w14:paraId="7E12B8E1"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Federal Reserve Bank of Cleveland</w:t>
            </w:r>
          </w:p>
        </w:tc>
      </w:tr>
      <w:tr w:rsidR="00BC1E6D" w:rsidRPr="00BC1E6D" w14:paraId="6732AF08"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0208D4DA"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dUPR</w:t>
            </w:r>
          </w:p>
        </w:tc>
        <w:tc>
          <w:tcPr>
            <w:tcW w:w="4752" w:type="dxa"/>
            <w:gridSpan w:val="4"/>
            <w:vMerge w:val="restart"/>
            <w:tcBorders>
              <w:top w:val="nil"/>
              <w:left w:val="nil"/>
              <w:bottom w:val="nil"/>
              <w:right w:val="nil"/>
            </w:tcBorders>
            <w:shd w:val="clear" w:color="auto" w:fill="auto"/>
            <w:hideMark/>
          </w:tcPr>
          <w:p w14:paraId="27DA6299"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Quarterly Changes in Moody's Seasoned Baa Corporate Bond Yield Relative to Yield on 10-Year Treasury Constant Maturity</w:t>
            </w:r>
          </w:p>
        </w:tc>
        <w:tc>
          <w:tcPr>
            <w:tcW w:w="4752" w:type="dxa"/>
            <w:gridSpan w:val="6"/>
            <w:tcBorders>
              <w:top w:val="nil"/>
              <w:left w:val="nil"/>
              <w:bottom w:val="nil"/>
              <w:right w:val="nil"/>
            </w:tcBorders>
            <w:shd w:val="clear" w:color="auto" w:fill="auto"/>
            <w:noWrap/>
            <w:vAlign w:val="bottom"/>
            <w:hideMark/>
          </w:tcPr>
          <w:p w14:paraId="0005524B"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Federal Reserve Bank of Atlanta</w:t>
            </w:r>
          </w:p>
        </w:tc>
      </w:tr>
      <w:tr w:rsidR="00BC1E6D" w:rsidRPr="00BC1E6D" w14:paraId="7C5E76F0"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1E71B10F"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p>
        </w:tc>
        <w:tc>
          <w:tcPr>
            <w:tcW w:w="4752" w:type="dxa"/>
            <w:gridSpan w:val="4"/>
            <w:vMerge/>
            <w:tcBorders>
              <w:top w:val="nil"/>
              <w:left w:val="nil"/>
              <w:bottom w:val="nil"/>
              <w:right w:val="nil"/>
            </w:tcBorders>
            <w:vAlign w:val="center"/>
            <w:hideMark/>
          </w:tcPr>
          <w:p w14:paraId="0AA2440D"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4752" w:type="dxa"/>
            <w:gridSpan w:val="6"/>
            <w:tcBorders>
              <w:top w:val="nil"/>
              <w:left w:val="nil"/>
              <w:bottom w:val="nil"/>
              <w:right w:val="nil"/>
            </w:tcBorders>
            <w:shd w:val="clear" w:color="auto" w:fill="auto"/>
            <w:noWrap/>
            <w:vAlign w:val="bottom"/>
            <w:hideMark/>
          </w:tcPr>
          <w:p w14:paraId="0E1951A9"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Federal Reserve Bank of St. Louis</w:t>
            </w:r>
          </w:p>
        </w:tc>
      </w:tr>
      <w:tr w:rsidR="00BC1E6D" w:rsidRPr="00BC1E6D" w14:paraId="7B7888C6"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4F05DE61"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dUI</w:t>
            </w:r>
          </w:p>
        </w:tc>
        <w:tc>
          <w:tcPr>
            <w:tcW w:w="4752" w:type="dxa"/>
            <w:gridSpan w:val="4"/>
            <w:vMerge w:val="restart"/>
            <w:tcBorders>
              <w:top w:val="nil"/>
              <w:left w:val="nil"/>
              <w:bottom w:val="nil"/>
              <w:right w:val="nil"/>
            </w:tcBorders>
            <w:shd w:val="clear" w:color="auto" w:fill="auto"/>
            <w:vAlign w:val="bottom"/>
            <w:hideMark/>
          </w:tcPr>
          <w:p w14:paraId="2F311F8F"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Quarterly Changes in Unexpected Inflation: Inflation(t) – Expected Inflation(t-12)</w:t>
            </w:r>
          </w:p>
        </w:tc>
        <w:tc>
          <w:tcPr>
            <w:tcW w:w="4752" w:type="dxa"/>
            <w:gridSpan w:val="6"/>
            <w:vMerge w:val="restart"/>
            <w:tcBorders>
              <w:top w:val="nil"/>
              <w:left w:val="nil"/>
              <w:bottom w:val="nil"/>
              <w:right w:val="nil"/>
            </w:tcBorders>
            <w:shd w:val="clear" w:color="auto" w:fill="auto"/>
            <w:hideMark/>
          </w:tcPr>
          <w:p w14:paraId="0A946F25"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Federal Reserve Bank of Atlanta</w:t>
            </w:r>
          </w:p>
        </w:tc>
      </w:tr>
      <w:tr w:rsidR="00BC1E6D" w:rsidRPr="00BC1E6D" w14:paraId="02B2598A"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5A2405D2"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p>
        </w:tc>
        <w:tc>
          <w:tcPr>
            <w:tcW w:w="4752" w:type="dxa"/>
            <w:gridSpan w:val="4"/>
            <w:vMerge/>
            <w:tcBorders>
              <w:top w:val="nil"/>
              <w:left w:val="nil"/>
              <w:bottom w:val="nil"/>
              <w:right w:val="nil"/>
            </w:tcBorders>
            <w:vAlign w:val="center"/>
            <w:hideMark/>
          </w:tcPr>
          <w:p w14:paraId="330026BA"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4752" w:type="dxa"/>
            <w:gridSpan w:val="6"/>
            <w:vMerge/>
            <w:tcBorders>
              <w:top w:val="nil"/>
              <w:left w:val="nil"/>
              <w:bottom w:val="nil"/>
              <w:right w:val="nil"/>
            </w:tcBorders>
            <w:vAlign w:val="center"/>
            <w:hideMark/>
          </w:tcPr>
          <w:p w14:paraId="27DA7474" w14:textId="77777777" w:rsidR="004223FC" w:rsidRPr="00BC1E6D" w:rsidRDefault="004223FC" w:rsidP="004223FC">
            <w:pPr>
              <w:spacing w:after="0" w:line="240" w:lineRule="auto"/>
              <w:rPr>
                <w:rFonts w:ascii="Times New Roman" w:eastAsia="Times New Roman" w:hAnsi="Times New Roman" w:cs="Times New Roman"/>
                <w:sz w:val="20"/>
                <w:szCs w:val="20"/>
              </w:rPr>
            </w:pPr>
          </w:p>
        </w:tc>
      </w:tr>
      <w:tr w:rsidR="00BC1E6D" w:rsidRPr="00BC1E6D" w14:paraId="66DCC62D"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0F21BCFB"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dUTS</w:t>
            </w:r>
          </w:p>
        </w:tc>
        <w:tc>
          <w:tcPr>
            <w:tcW w:w="4752" w:type="dxa"/>
            <w:gridSpan w:val="4"/>
            <w:vMerge w:val="restart"/>
            <w:tcBorders>
              <w:top w:val="nil"/>
              <w:left w:val="nil"/>
              <w:bottom w:val="nil"/>
              <w:right w:val="nil"/>
            </w:tcBorders>
            <w:shd w:val="clear" w:color="auto" w:fill="auto"/>
            <w:hideMark/>
          </w:tcPr>
          <w:p w14:paraId="1C5BA55B"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Quarterly Changes in Long-term bond returns in period t - total bond returns in period t-1</w:t>
            </w:r>
          </w:p>
        </w:tc>
        <w:tc>
          <w:tcPr>
            <w:tcW w:w="4752" w:type="dxa"/>
            <w:gridSpan w:val="6"/>
            <w:vMerge w:val="restart"/>
            <w:tcBorders>
              <w:top w:val="nil"/>
              <w:left w:val="nil"/>
              <w:bottom w:val="nil"/>
              <w:right w:val="nil"/>
            </w:tcBorders>
            <w:shd w:val="clear" w:color="auto" w:fill="auto"/>
            <w:hideMark/>
          </w:tcPr>
          <w:p w14:paraId="02E35912"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Organization for Economic Cooperation and Development, Board of Governors of the Federal Reserve System</w:t>
            </w:r>
          </w:p>
        </w:tc>
      </w:tr>
      <w:tr w:rsidR="00BC1E6D" w:rsidRPr="00BC1E6D" w14:paraId="4655EF61"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3EABA6DC"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p>
        </w:tc>
        <w:tc>
          <w:tcPr>
            <w:tcW w:w="4752" w:type="dxa"/>
            <w:gridSpan w:val="4"/>
            <w:vMerge/>
            <w:tcBorders>
              <w:top w:val="nil"/>
              <w:left w:val="nil"/>
              <w:bottom w:val="nil"/>
              <w:right w:val="nil"/>
            </w:tcBorders>
            <w:vAlign w:val="center"/>
            <w:hideMark/>
          </w:tcPr>
          <w:p w14:paraId="5A2D0FBA" w14:textId="77777777" w:rsidR="004223FC" w:rsidRPr="00BC1E6D" w:rsidRDefault="004223FC" w:rsidP="004223FC">
            <w:pPr>
              <w:spacing w:after="0" w:line="240" w:lineRule="auto"/>
              <w:rPr>
                <w:rFonts w:ascii="Times New Roman" w:eastAsia="Times New Roman" w:hAnsi="Times New Roman" w:cs="Times New Roman"/>
                <w:sz w:val="20"/>
                <w:szCs w:val="20"/>
              </w:rPr>
            </w:pPr>
          </w:p>
        </w:tc>
        <w:tc>
          <w:tcPr>
            <w:tcW w:w="4752" w:type="dxa"/>
            <w:gridSpan w:val="6"/>
            <w:vMerge/>
            <w:tcBorders>
              <w:top w:val="nil"/>
              <w:left w:val="nil"/>
              <w:bottom w:val="nil"/>
              <w:right w:val="nil"/>
            </w:tcBorders>
            <w:vAlign w:val="center"/>
            <w:hideMark/>
          </w:tcPr>
          <w:p w14:paraId="0DC12931" w14:textId="77777777" w:rsidR="004223FC" w:rsidRPr="00BC1E6D" w:rsidRDefault="004223FC" w:rsidP="004223FC">
            <w:pPr>
              <w:spacing w:after="0" w:line="240" w:lineRule="auto"/>
              <w:rPr>
                <w:rFonts w:ascii="Times New Roman" w:eastAsia="Times New Roman" w:hAnsi="Times New Roman" w:cs="Times New Roman"/>
                <w:sz w:val="20"/>
                <w:szCs w:val="20"/>
              </w:rPr>
            </w:pPr>
          </w:p>
        </w:tc>
      </w:tr>
      <w:tr w:rsidR="00BC1E6D" w:rsidRPr="00BC1E6D" w14:paraId="24FFF13D" w14:textId="77777777" w:rsidTr="00451D84">
        <w:trPr>
          <w:gridAfter w:val="5"/>
          <w:wAfter w:w="4743" w:type="dxa"/>
          <w:trHeight w:val="315"/>
        </w:trPr>
        <w:tc>
          <w:tcPr>
            <w:tcW w:w="960" w:type="dxa"/>
            <w:tcBorders>
              <w:top w:val="nil"/>
              <w:left w:val="nil"/>
              <w:bottom w:val="nil"/>
              <w:right w:val="nil"/>
            </w:tcBorders>
            <w:shd w:val="clear" w:color="auto" w:fill="auto"/>
            <w:noWrap/>
            <w:hideMark/>
          </w:tcPr>
          <w:p w14:paraId="69CD2704"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dPC</w:t>
            </w:r>
          </w:p>
        </w:tc>
        <w:tc>
          <w:tcPr>
            <w:tcW w:w="4752" w:type="dxa"/>
            <w:gridSpan w:val="4"/>
            <w:tcBorders>
              <w:top w:val="nil"/>
              <w:left w:val="nil"/>
              <w:bottom w:val="nil"/>
              <w:right w:val="nil"/>
            </w:tcBorders>
            <w:shd w:val="clear" w:color="auto" w:fill="auto"/>
            <w:noWrap/>
            <w:vAlign w:val="bottom"/>
            <w:hideMark/>
          </w:tcPr>
          <w:p w14:paraId="7E5EA8EE"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Logged Quarterly Changes in Personal Consumption Expenditures</w:t>
            </w:r>
          </w:p>
        </w:tc>
        <w:tc>
          <w:tcPr>
            <w:tcW w:w="4752" w:type="dxa"/>
            <w:gridSpan w:val="6"/>
            <w:tcBorders>
              <w:top w:val="nil"/>
              <w:left w:val="nil"/>
              <w:bottom w:val="nil"/>
              <w:right w:val="nil"/>
            </w:tcBorders>
            <w:shd w:val="clear" w:color="auto" w:fill="auto"/>
            <w:noWrap/>
            <w:vAlign w:val="bottom"/>
            <w:hideMark/>
          </w:tcPr>
          <w:p w14:paraId="1083A28F"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U.S. Bureau of Economic Analysis</w:t>
            </w:r>
          </w:p>
        </w:tc>
      </w:tr>
      <w:tr w:rsidR="00BC1E6D" w:rsidRPr="00BC1E6D" w14:paraId="2A270381" w14:textId="77777777" w:rsidTr="00451D84">
        <w:trPr>
          <w:gridAfter w:val="5"/>
          <w:wAfter w:w="4743" w:type="dxa"/>
          <w:trHeight w:val="300"/>
        </w:trPr>
        <w:tc>
          <w:tcPr>
            <w:tcW w:w="960" w:type="dxa"/>
            <w:tcBorders>
              <w:top w:val="nil"/>
              <w:left w:val="nil"/>
              <w:bottom w:val="nil"/>
              <w:right w:val="nil"/>
            </w:tcBorders>
            <w:shd w:val="clear" w:color="auto" w:fill="auto"/>
            <w:noWrap/>
            <w:hideMark/>
          </w:tcPr>
          <w:p w14:paraId="09D667DD"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dOP</w:t>
            </w:r>
          </w:p>
        </w:tc>
        <w:tc>
          <w:tcPr>
            <w:tcW w:w="4752" w:type="dxa"/>
            <w:gridSpan w:val="4"/>
            <w:tcBorders>
              <w:top w:val="nil"/>
              <w:left w:val="nil"/>
              <w:bottom w:val="nil"/>
              <w:right w:val="nil"/>
            </w:tcBorders>
            <w:shd w:val="clear" w:color="auto" w:fill="auto"/>
            <w:noWrap/>
            <w:vAlign w:val="bottom"/>
            <w:hideMark/>
          </w:tcPr>
          <w:p w14:paraId="015B2D54"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Logged Quarterly Changes in  Crude Oil Prices</w:t>
            </w:r>
          </w:p>
        </w:tc>
        <w:tc>
          <w:tcPr>
            <w:tcW w:w="4752" w:type="dxa"/>
            <w:gridSpan w:val="6"/>
            <w:tcBorders>
              <w:top w:val="nil"/>
              <w:left w:val="nil"/>
              <w:bottom w:val="nil"/>
              <w:right w:val="nil"/>
            </w:tcBorders>
            <w:shd w:val="clear" w:color="auto" w:fill="auto"/>
            <w:noWrap/>
            <w:vAlign w:val="bottom"/>
            <w:hideMark/>
          </w:tcPr>
          <w:p w14:paraId="21E6B128"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U.S. Energy Information Administration</w:t>
            </w:r>
          </w:p>
        </w:tc>
      </w:tr>
      <w:tr w:rsidR="00451D84" w:rsidRPr="00BC1E6D" w14:paraId="13FA4E89" w14:textId="77777777" w:rsidTr="00451D84">
        <w:trPr>
          <w:gridAfter w:val="5"/>
          <w:wAfter w:w="4743" w:type="dxa"/>
          <w:trHeight w:val="300"/>
        </w:trPr>
        <w:tc>
          <w:tcPr>
            <w:tcW w:w="960" w:type="dxa"/>
            <w:tcBorders>
              <w:top w:val="nil"/>
              <w:left w:val="nil"/>
              <w:bottom w:val="single" w:sz="4" w:space="0" w:color="auto"/>
              <w:right w:val="nil"/>
            </w:tcBorders>
            <w:shd w:val="clear" w:color="auto" w:fill="auto"/>
            <w:noWrap/>
            <w:hideMark/>
          </w:tcPr>
          <w:p w14:paraId="35BE4524" w14:textId="77777777" w:rsidR="004223FC" w:rsidRPr="00BC1E6D" w:rsidRDefault="004223FC" w:rsidP="004223FC">
            <w:pPr>
              <w:spacing w:after="0" w:line="240"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dSP500</w:t>
            </w:r>
          </w:p>
        </w:tc>
        <w:tc>
          <w:tcPr>
            <w:tcW w:w="4752" w:type="dxa"/>
            <w:gridSpan w:val="4"/>
            <w:tcBorders>
              <w:top w:val="nil"/>
              <w:left w:val="nil"/>
              <w:bottom w:val="single" w:sz="4" w:space="0" w:color="auto"/>
              <w:right w:val="nil"/>
            </w:tcBorders>
            <w:shd w:val="clear" w:color="auto" w:fill="auto"/>
            <w:noWrap/>
            <w:vAlign w:val="bottom"/>
            <w:hideMark/>
          </w:tcPr>
          <w:p w14:paraId="5F6F4D08"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Logged Quarterly Changes in S&amp;P500 Price</w:t>
            </w:r>
          </w:p>
        </w:tc>
        <w:tc>
          <w:tcPr>
            <w:tcW w:w="4752" w:type="dxa"/>
            <w:gridSpan w:val="6"/>
            <w:tcBorders>
              <w:top w:val="nil"/>
              <w:left w:val="nil"/>
              <w:bottom w:val="single" w:sz="4" w:space="0" w:color="auto"/>
              <w:right w:val="nil"/>
            </w:tcBorders>
            <w:shd w:val="clear" w:color="auto" w:fill="auto"/>
            <w:noWrap/>
            <w:vAlign w:val="bottom"/>
            <w:hideMark/>
          </w:tcPr>
          <w:p w14:paraId="4BEB110F" w14:textId="77777777" w:rsidR="004223FC" w:rsidRPr="00BC1E6D" w:rsidRDefault="004223FC" w:rsidP="004223FC">
            <w:pPr>
              <w:spacing w:after="0" w:line="240"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Yahoo Finance</w:t>
            </w:r>
          </w:p>
        </w:tc>
      </w:tr>
    </w:tbl>
    <w:p w14:paraId="3DE8EA77" w14:textId="77777777" w:rsidR="00330D29" w:rsidRPr="00BC1E6D" w:rsidRDefault="00330D29" w:rsidP="00BD3816">
      <w:pPr>
        <w:spacing w:line="276" w:lineRule="auto"/>
        <w:rPr>
          <w:rFonts w:ascii="Times New Roman" w:eastAsiaTheme="minorEastAsia" w:hAnsi="Times New Roman" w:cs="Times New Roman"/>
          <w:sz w:val="24"/>
          <w:szCs w:val="24"/>
        </w:rPr>
      </w:pPr>
    </w:p>
    <w:p w14:paraId="0D0C5593" w14:textId="7C8E347A" w:rsidR="008B16AE" w:rsidRPr="00BC1E6D" w:rsidRDefault="00BD5BA9"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After </w:t>
      </w:r>
      <w:r w:rsidR="00134E12" w:rsidRPr="00BC1E6D">
        <w:rPr>
          <w:rFonts w:ascii="Times New Roman" w:eastAsiaTheme="minorEastAsia" w:hAnsi="Times New Roman" w:cs="Times New Roman"/>
          <w:sz w:val="24"/>
          <w:szCs w:val="24"/>
        </w:rPr>
        <w:t>review</w:t>
      </w:r>
      <w:r w:rsidRPr="00BC1E6D">
        <w:rPr>
          <w:rFonts w:ascii="Times New Roman" w:eastAsiaTheme="minorEastAsia" w:hAnsi="Times New Roman" w:cs="Times New Roman"/>
          <w:sz w:val="24"/>
          <w:szCs w:val="24"/>
        </w:rPr>
        <w:t xml:space="preserve">, it was decided that </w:t>
      </w:r>
      <w:r w:rsidR="00BD72D1" w:rsidRPr="00BC1E6D">
        <w:rPr>
          <w:rFonts w:ascii="Times New Roman" w:eastAsiaTheme="minorEastAsia" w:hAnsi="Times New Roman" w:cs="Times New Roman"/>
          <w:sz w:val="24"/>
          <w:szCs w:val="24"/>
        </w:rPr>
        <w:t xml:space="preserve">changes in </w:t>
      </w:r>
      <w:r w:rsidR="00134E12" w:rsidRPr="00BC1E6D">
        <w:rPr>
          <w:rFonts w:ascii="Times New Roman" w:eastAsiaTheme="minorEastAsia" w:hAnsi="Times New Roman" w:cs="Times New Roman"/>
          <w:sz w:val="24"/>
          <w:szCs w:val="24"/>
        </w:rPr>
        <w:t xml:space="preserve">personal consumption would be omitted from the model. It has a high correlation with </w:t>
      </w:r>
      <w:r w:rsidR="00FF581A" w:rsidRPr="00BC1E6D">
        <w:rPr>
          <w:rFonts w:ascii="Times New Roman" w:eastAsiaTheme="minorEastAsia" w:hAnsi="Times New Roman" w:cs="Times New Roman"/>
          <w:sz w:val="24"/>
          <w:szCs w:val="24"/>
        </w:rPr>
        <w:t>industrial production</w:t>
      </w:r>
      <w:r w:rsidR="007521C3" w:rsidRPr="00BC1E6D">
        <w:rPr>
          <w:rFonts w:ascii="Times New Roman" w:eastAsiaTheme="minorEastAsia" w:hAnsi="Times New Roman" w:cs="Times New Roman"/>
          <w:sz w:val="24"/>
          <w:szCs w:val="24"/>
        </w:rPr>
        <w:t>(0.8)</w:t>
      </w:r>
      <w:r w:rsidR="004B33F8" w:rsidRPr="00BC1E6D">
        <w:rPr>
          <w:rFonts w:ascii="Times New Roman" w:eastAsiaTheme="minorEastAsia" w:hAnsi="Times New Roman" w:cs="Times New Roman"/>
          <w:sz w:val="24"/>
          <w:szCs w:val="24"/>
        </w:rPr>
        <w:t xml:space="preserve">. </w:t>
      </w:r>
      <w:r w:rsidR="00BD72D1" w:rsidRPr="00BC1E6D">
        <w:rPr>
          <w:rFonts w:ascii="Times New Roman" w:eastAsiaTheme="minorEastAsia" w:hAnsi="Times New Roman" w:cs="Times New Roman"/>
          <w:sz w:val="24"/>
          <w:szCs w:val="24"/>
        </w:rPr>
        <w:t xml:space="preserve">This raises the issue of </w:t>
      </w:r>
      <w:r w:rsidR="00C61F45" w:rsidRPr="00BC1E6D">
        <w:rPr>
          <w:rFonts w:ascii="Times New Roman" w:eastAsiaTheme="minorEastAsia" w:hAnsi="Times New Roman" w:cs="Times New Roman"/>
          <w:sz w:val="24"/>
          <w:szCs w:val="24"/>
        </w:rPr>
        <w:t>multicollinearity,</w:t>
      </w:r>
      <w:r w:rsidR="00BD72D1" w:rsidRPr="00BC1E6D">
        <w:rPr>
          <w:rFonts w:ascii="Times New Roman" w:eastAsiaTheme="minorEastAsia" w:hAnsi="Times New Roman" w:cs="Times New Roman"/>
          <w:sz w:val="24"/>
          <w:szCs w:val="24"/>
        </w:rPr>
        <w:t xml:space="preserve"> </w:t>
      </w:r>
      <w:r w:rsidR="006C7784" w:rsidRPr="00BC1E6D">
        <w:rPr>
          <w:rFonts w:ascii="Times New Roman" w:eastAsiaTheme="minorEastAsia" w:hAnsi="Times New Roman" w:cs="Times New Roman"/>
          <w:sz w:val="24"/>
          <w:szCs w:val="24"/>
        </w:rPr>
        <w:t>and the two measures would likely be expl</w:t>
      </w:r>
      <w:r w:rsidR="00200818" w:rsidRPr="00BC1E6D">
        <w:rPr>
          <w:rFonts w:ascii="Times New Roman" w:eastAsiaTheme="minorEastAsia" w:hAnsi="Times New Roman" w:cs="Times New Roman"/>
          <w:sz w:val="24"/>
          <w:szCs w:val="24"/>
        </w:rPr>
        <w:t xml:space="preserve">aining too much in our model. </w:t>
      </w:r>
      <w:r w:rsidR="008B16AE" w:rsidRPr="00BC1E6D">
        <w:rPr>
          <w:rFonts w:ascii="Times New Roman" w:eastAsiaTheme="minorEastAsia" w:hAnsi="Times New Roman" w:cs="Times New Roman"/>
          <w:sz w:val="24"/>
          <w:szCs w:val="24"/>
        </w:rPr>
        <w:t xml:space="preserve">Figure 1 shows the trends of each of </w:t>
      </w:r>
      <w:r w:rsidR="00383A08" w:rsidRPr="00BC1E6D">
        <w:rPr>
          <w:rFonts w:ascii="Times New Roman" w:eastAsiaTheme="minorEastAsia" w:hAnsi="Times New Roman" w:cs="Times New Roman"/>
          <w:sz w:val="24"/>
          <w:szCs w:val="24"/>
        </w:rPr>
        <w:t>the</w:t>
      </w:r>
      <w:r w:rsidR="008B16AE" w:rsidRPr="00BC1E6D">
        <w:rPr>
          <w:rFonts w:ascii="Times New Roman" w:eastAsiaTheme="minorEastAsia" w:hAnsi="Times New Roman" w:cs="Times New Roman"/>
          <w:sz w:val="24"/>
          <w:szCs w:val="24"/>
        </w:rPr>
        <w:t xml:space="preserve"> </w:t>
      </w:r>
      <w:r w:rsidR="00A07546" w:rsidRPr="00BC1E6D">
        <w:rPr>
          <w:rFonts w:ascii="Times New Roman" w:eastAsiaTheme="minorEastAsia" w:hAnsi="Times New Roman" w:cs="Times New Roman"/>
          <w:sz w:val="24"/>
          <w:szCs w:val="24"/>
        </w:rPr>
        <w:t>pre-differenced</w:t>
      </w:r>
      <w:r w:rsidR="00113168" w:rsidRPr="00BC1E6D">
        <w:rPr>
          <w:rFonts w:ascii="Times New Roman" w:eastAsiaTheme="minorEastAsia" w:hAnsi="Times New Roman" w:cs="Times New Roman"/>
          <w:sz w:val="24"/>
          <w:szCs w:val="24"/>
        </w:rPr>
        <w:t xml:space="preserve">, non-derived </w:t>
      </w:r>
      <w:r w:rsidR="00A07546" w:rsidRPr="00BC1E6D">
        <w:rPr>
          <w:rFonts w:ascii="Times New Roman" w:eastAsiaTheme="minorEastAsia" w:hAnsi="Times New Roman" w:cs="Times New Roman"/>
          <w:sz w:val="24"/>
          <w:szCs w:val="24"/>
        </w:rPr>
        <w:t xml:space="preserve">data series of exogenous variables. Note that IP and OP’s y—axis are on the right side, with the other variables y-axis being on the left. </w:t>
      </w:r>
      <w:r w:rsidR="004936DD" w:rsidRPr="00BC1E6D">
        <w:rPr>
          <w:rFonts w:ascii="Times New Roman" w:eastAsiaTheme="minorEastAsia" w:hAnsi="Times New Roman" w:cs="Times New Roman"/>
          <w:sz w:val="24"/>
          <w:szCs w:val="24"/>
        </w:rPr>
        <w:t>Note: All graphs were made using Python</w:t>
      </w:r>
      <w:r w:rsidR="00BF3057" w:rsidRPr="00BC1E6D">
        <w:rPr>
          <w:rFonts w:ascii="Times New Roman" w:eastAsiaTheme="minorEastAsia" w:hAnsi="Times New Roman" w:cs="Times New Roman"/>
          <w:sz w:val="24"/>
          <w:szCs w:val="24"/>
        </w:rPr>
        <w:t>’s Matplotlib and Seaborn packages.</w:t>
      </w:r>
    </w:p>
    <w:p w14:paraId="38887038" w14:textId="1FBCB90C" w:rsidR="00852C75" w:rsidRPr="00BC1E6D" w:rsidRDefault="009E5C1D" w:rsidP="002029A9">
      <w:pPr>
        <w:spacing w:line="276" w:lineRule="auto"/>
        <w:jc w:val="center"/>
        <w:rPr>
          <w:rFonts w:ascii="Times New Roman" w:eastAsiaTheme="minorEastAsia" w:hAnsi="Times New Roman" w:cs="Times New Roman"/>
          <w:sz w:val="24"/>
          <w:szCs w:val="24"/>
        </w:rPr>
      </w:pPr>
      <w:r>
        <w:rPr>
          <w:rFonts w:eastAsiaTheme="minorEastAsia"/>
          <w:noProof/>
        </w:rPr>
        <w:lastRenderedPageBreak/>
        <w:drawing>
          <wp:inline distT="0" distB="0" distL="0" distR="0" wp14:anchorId="7BF13024" wp14:editId="27125211">
            <wp:extent cx="4981575" cy="2615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91" cy="2624899"/>
                    </a:xfrm>
                    <a:prstGeom prst="rect">
                      <a:avLst/>
                    </a:prstGeom>
                    <a:noFill/>
                    <a:ln>
                      <a:noFill/>
                    </a:ln>
                  </pic:spPr>
                </pic:pic>
              </a:graphicData>
            </a:graphic>
          </wp:inline>
        </w:drawing>
      </w:r>
    </w:p>
    <w:p w14:paraId="0F932CF5" w14:textId="4E6F466C" w:rsidR="004B43F5" w:rsidRPr="00BC1E6D" w:rsidRDefault="00852C75" w:rsidP="00E50CE4">
      <w:pPr>
        <w:pStyle w:val="Caption"/>
        <w:spacing w:line="276" w:lineRule="auto"/>
        <w:ind w:left="2880" w:firstLine="720"/>
        <w:rPr>
          <w:rFonts w:ascii="Times New Roman" w:hAnsi="Times New Roman" w:cs="Times New Roman"/>
          <w:color w:val="auto"/>
          <w:sz w:val="24"/>
          <w:szCs w:val="24"/>
        </w:rPr>
      </w:pPr>
      <w:r w:rsidRPr="00BC1E6D">
        <w:rPr>
          <w:rFonts w:ascii="Times New Roman" w:hAnsi="Times New Roman" w:cs="Times New Roman"/>
          <w:color w:val="auto"/>
          <w:sz w:val="24"/>
          <w:szCs w:val="24"/>
        </w:rPr>
        <w:t xml:space="preserve">Figure </w:t>
      </w:r>
      <w:r w:rsidRPr="00BC1E6D">
        <w:rPr>
          <w:rFonts w:ascii="Times New Roman" w:hAnsi="Times New Roman" w:cs="Times New Roman"/>
          <w:color w:val="auto"/>
          <w:sz w:val="24"/>
          <w:szCs w:val="24"/>
        </w:rPr>
        <w:fldChar w:fldCharType="begin"/>
      </w:r>
      <w:r w:rsidRPr="00BC1E6D">
        <w:rPr>
          <w:rFonts w:ascii="Times New Roman" w:hAnsi="Times New Roman" w:cs="Times New Roman"/>
          <w:color w:val="auto"/>
          <w:sz w:val="24"/>
          <w:szCs w:val="24"/>
        </w:rPr>
        <w:instrText xml:space="preserve"> SEQ Figure \* ARABIC </w:instrText>
      </w:r>
      <w:r w:rsidRPr="00BC1E6D">
        <w:rPr>
          <w:rFonts w:ascii="Times New Roman" w:hAnsi="Times New Roman" w:cs="Times New Roman"/>
          <w:color w:val="auto"/>
          <w:sz w:val="24"/>
          <w:szCs w:val="24"/>
        </w:rPr>
        <w:fldChar w:fldCharType="separate"/>
      </w:r>
      <w:r w:rsidR="00E71E48" w:rsidRPr="00BC1E6D">
        <w:rPr>
          <w:rFonts w:ascii="Times New Roman" w:hAnsi="Times New Roman" w:cs="Times New Roman"/>
          <w:noProof/>
          <w:color w:val="auto"/>
          <w:sz w:val="24"/>
          <w:szCs w:val="24"/>
        </w:rPr>
        <w:t>1</w:t>
      </w:r>
      <w:r w:rsidRPr="00BC1E6D">
        <w:rPr>
          <w:rFonts w:ascii="Times New Roman" w:hAnsi="Times New Roman" w:cs="Times New Roman"/>
          <w:color w:val="auto"/>
          <w:sz w:val="24"/>
          <w:szCs w:val="24"/>
        </w:rPr>
        <w:fldChar w:fldCharType="end"/>
      </w:r>
      <w:r w:rsidRPr="00BC1E6D">
        <w:rPr>
          <w:rFonts w:ascii="Times New Roman" w:hAnsi="Times New Roman" w:cs="Times New Roman"/>
          <w:color w:val="auto"/>
          <w:sz w:val="24"/>
          <w:szCs w:val="24"/>
        </w:rPr>
        <w:t xml:space="preserve">: </w:t>
      </w:r>
      <w:r w:rsidR="008E1EDF" w:rsidRPr="00BC1E6D">
        <w:rPr>
          <w:rFonts w:ascii="Times New Roman" w:hAnsi="Times New Roman" w:cs="Times New Roman"/>
          <w:color w:val="auto"/>
          <w:sz w:val="24"/>
          <w:szCs w:val="24"/>
        </w:rPr>
        <w:t>Macro Trends</w:t>
      </w:r>
    </w:p>
    <w:p w14:paraId="58BD5B78" w14:textId="09A9A9A3" w:rsidR="007B3682" w:rsidRPr="00BC1E6D" w:rsidRDefault="00CD4F46"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The exogenous variables to be used in the regression models were derived from these series as described above. </w:t>
      </w:r>
      <w:r w:rsidR="00937EE6" w:rsidRPr="00BC1E6D">
        <w:rPr>
          <w:rFonts w:ascii="Times New Roman" w:hAnsi="Times New Roman" w:cs="Times New Roman"/>
          <w:sz w:val="24"/>
          <w:szCs w:val="24"/>
        </w:rPr>
        <w:t xml:space="preserve">The correlation matrix for the </w:t>
      </w:r>
      <w:r w:rsidR="00DF6CE6">
        <w:rPr>
          <w:rFonts w:ascii="Times New Roman" w:hAnsi="Times New Roman" w:cs="Times New Roman"/>
          <w:sz w:val="24"/>
          <w:szCs w:val="24"/>
        </w:rPr>
        <w:t xml:space="preserve">differenced </w:t>
      </w:r>
      <w:r w:rsidR="00937EE6" w:rsidRPr="00BC1E6D">
        <w:rPr>
          <w:rFonts w:ascii="Times New Roman" w:hAnsi="Times New Roman" w:cs="Times New Roman"/>
          <w:sz w:val="24"/>
          <w:szCs w:val="24"/>
        </w:rPr>
        <w:t>variables</w:t>
      </w:r>
      <w:r w:rsidR="000141FB" w:rsidRPr="00BC1E6D">
        <w:rPr>
          <w:rFonts w:ascii="Times New Roman" w:hAnsi="Times New Roman" w:cs="Times New Roman"/>
          <w:sz w:val="24"/>
          <w:szCs w:val="24"/>
        </w:rPr>
        <w:t xml:space="preserve"> </w:t>
      </w:r>
      <w:r w:rsidR="00937EE6" w:rsidRPr="00BC1E6D">
        <w:rPr>
          <w:rFonts w:ascii="Times New Roman" w:hAnsi="Times New Roman" w:cs="Times New Roman"/>
          <w:sz w:val="24"/>
          <w:szCs w:val="24"/>
        </w:rPr>
        <w:t>is shown below</w:t>
      </w:r>
      <w:r w:rsidR="00D30BD7" w:rsidRPr="00BC1E6D">
        <w:rPr>
          <w:rFonts w:ascii="Times New Roman" w:hAnsi="Times New Roman" w:cs="Times New Roman"/>
          <w:sz w:val="24"/>
          <w:szCs w:val="24"/>
        </w:rPr>
        <w:t xml:space="preserve"> in table </w:t>
      </w:r>
      <w:r w:rsidR="004D1EFB" w:rsidRPr="00BC1E6D">
        <w:rPr>
          <w:rFonts w:ascii="Times New Roman" w:hAnsi="Times New Roman" w:cs="Times New Roman"/>
          <w:sz w:val="24"/>
          <w:szCs w:val="24"/>
        </w:rPr>
        <w:t>2</w:t>
      </w:r>
      <w:r w:rsidR="00937EE6" w:rsidRPr="00BC1E6D">
        <w:rPr>
          <w:rFonts w:ascii="Times New Roman" w:hAnsi="Times New Roman" w:cs="Times New Roman"/>
          <w:sz w:val="24"/>
          <w:szCs w:val="24"/>
        </w:rPr>
        <w:t xml:space="preserve">. </w:t>
      </w:r>
    </w:p>
    <w:tbl>
      <w:tblPr>
        <w:tblW w:w="7714" w:type="dxa"/>
        <w:jc w:val="center"/>
        <w:tblLook w:val="04A0" w:firstRow="1" w:lastRow="0" w:firstColumn="1" w:lastColumn="0" w:noHBand="0" w:noVBand="1"/>
      </w:tblPr>
      <w:tblGrid>
        <w:gridCol w:w="1080"/>
        <w:gridCol w:w="857"/>
        <w:gridCol w:w="960"/>
        <w:gridCol w:w="960"/>
        <w:gridCol w:w="960"/>
        <w:gridCol w:w="960"/>
        <w:gridCol w:w="960"/>
        <w:gridCol w:w="977"/>
      </w:tblGrid>
      <w:tr w:rsidR="00BC1E6D" w:rsidRPr="00BC1E6D" w14:paraId="2BC22F08" w14:textId="77777777" w:rsidTr="002B3C8A">
        <w:trPr>
          <w:trHeight w:val="300"/>
          <w:jc w:val="center"/>
        </w:trPr>
        <w:tc>
          <w:tcPr>
            <w:tcW w:w="1080" w:type="dxa"/>
            <w:tcBorders>
              <w:top w:val="nil"/>
              <w:left w:val="nil"/>
              <w:bottom w:val="nil"/>
              <w:right w:val="nil"/>
            </w:tcBorders>
            <w:shd w:val="clear" w:color="auto" w:fill="auto"/>
            <w:noWrap/>
            <w:vAlign w:val="bottom"/>
            <w:hideMark/>
          </w:tcPr>
          <w:p w14:paraId="315E227F" w14:textId="0B4DC3A9" w:rsidR="00E0205D" w:rsidRPr="00C93C63" w:rsidRDefault="00E0205D" w:rsidP="00BD3816">
            <w:pPr>
              <w:spacing w:after="0" w:line="276" w:lineRule="auto"/>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Table</w:t>
            </w:r>
            <w:r w:rsidR="002B3C8A" w:rsidRPr="00C93C63">
              <w:rPr>
                <w:rFonts w:ascii="Times New Roman" w:eastAsia="Times New Roman" w:hAnsi="Times New Roman" w:cs="Times New Roman"/>
                <w:b/>
                <w:bCs/>
                <w:sz w:val="20"/>
                <w:szCs w:val="20"/>
              </w:rPr>
              <w:t xml:space="preserve"> </w:t>
            </w:r>
            <w:r w:rsidR="004D1EFB" w:rsidRPr="00C93C63">
              <w:rPr>
                <w:rFonts w:ascii="Times New Roman" w:eastAsia="Times New Roman" w:hAnsi="Times New Roman" w:cs="Times New Roman"/>
                <w:b/>
                <w:bCs/>
                <w:sz w:val="20"/>
                <w:szCs w:val="20"/>
              </w:rPr>
              <w:t>2</w:t>
            </w:r>
          </w:p>
        </w:tc>
        <w:tc>
          <w:tcPr>
            <w:tcW w:w="857" w:type="dxa"/>
            <w:tcBorders>
              <w:top w:val="nil"/>
              <w:left w:val="nil"/>
              <w:bottom w:val="nil"/>
              <w:right w:val="nil"/>
            </w:tcBorders>
            <w:shd w:val="clear" w:color="auto" w:fill="auto"/>
            <w:noWrap/>
            <w:vAlign w:val="bottom"/>
            <w:hideMark/>
          </w:tcPr>
          <w:p w14:paraId="035E24E7" w14:textId="77777777" w:rsidR="00E0205D" w:rsidRPr="00C93C63" w:rsidRDefault="00E0205D" w:rsidP="00BD3816">
            <w:pPr>
              <w:spacing w:after="0" w:line="276" w:lineRule="auto"/>
              <w:rPr>
                <w:rFonts w:ascii="Times New Roman" w:eastAsia="Times New Roman" w:hAnsi="Times New Roman" w:cs="Times New Roman"/>
                <w:b/>
                <w:bCs/>
                <w:sz w:val="20"/>
                <w:szCs w:val="20"/>
              </w:rPr>
            </w:pPr>
          </w:p>
        </w:tc>
        <w:tc>
          <w:tcPr>
            <w:tcW w:w="960" w:type="dxa"/>
            <w:tcBorders>
              <w:top w:val="nil"/>
              <w:left w:val="nil"/>
              <w:bottom w:val="nil"/>
              <w:right w:val="nil"/>
            </w:tcBorders>
            <w:shd w:val="clear" w:color="auto" w:fill="auto"/>
            <w:noWrap/>
            <w:vAlign w:val="bottom"/>
            <w:hideMark/>
          </w:tcPr>
          <w:p w14:paraId="4DBA5F53"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E7CFD8"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1D3908"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21BE27"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88AB45"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601F4C62" w14:textId="77777777" w:rsidR="00E0205D" w:rsidRPr="00C93C63" w:rsidRDefault="00E0205D" w:rsidP="00BD3816">
            <w:pPr>
              <w:spacing w:after="0" w:line="276" w:lineRule="auto"/>
              <w:rPr>
                <w:rFonts w:ascii="Times New Roman" w:eastAsia="Times New Roman" w:hAnsi="Times New Roman" w:cs="Times New Roman"/>
                <w:sz w:val="20"/>
                <w:szCs w:val="20"/>
              </w:rPr>
            </w:pPr>
          </w:p>
        </w:tc>
      </w:tr>
      <w:tr w:rsidR="00BC1E6D" w:rsidRPr="00BC1E6D" w14:paraId="4A870EA4" w14:textId="77777777" w:rsidTr="002B3C8A">
        <w:trPr>
          <w:trHeight w:val="300"/>
          <w:jc w:val="center"/>
        </w:trPr>
        <w:tc>
          <w:tcPr>
            <w:tcW w:w="4817" w:type="dxa"/>
            <w:gridSpan w:val="5"/>
            <w:tcBorders>
              <w:top w:val="nil"/>
              <w:left w:val="nil"/>
              <w:bottom w:val="nil"/>
              <w:right w:val="nil"/>
            </w:tcBorders>
            <w:shd w:val="clear" w:color="auto" w:fill="auto"/>
            <w:noWrap/>
            <w:vAlign w:val="bottom"/>
            <w:hideMark/>
          </w:tcPr>
          <w:p w14:paraId="5393212B" w14:textId="77777777" w:rsidR="00E0205D" w:rsidRPr="00C93C63" w:rsidRDefault="00E0205D" w:rsidP="00BD3816">
            <w:pPr>
              <w:spacing w:after="0" w:line="276" w:lineRule="auto"/>
              <w:rPr>
                <w:rFonts w:ascii="Times New Roman" w:eastAsia="Times New Roman" w:hAnsi="Times New Roman" w:cs="Times New Roman"/>
                <w:i/>
                <w:iCs/>
                <w:sz w:val="20"/>
                <w:szCs w:val="20"/>
              </w:rPr>
            </w:pPr>
            <w:r w:rsidRPr="00C93C63">
              <w:rPr>
                <w:rFonts w:ascii="Times New Roman" w:eastAsia="Times New Roman" w:hAnsi="Times New Roman" w:cs="Times New Roman"/>
                <w:i/>
                <w:iCs/>
                <w:sz w:val="20"/>
                <w:szCs w:val="20"/>
              </w:rPr>
              <w:t>Correlation Matrix for Exogenous Variables</w:t>
            </w:r>
          </w:p>
        </w:tc>
        <w:tc>
          <w:tcPr>
            <w:tcW w:w="960" w:type="dxa"/>
            <w:tcBorders>
              <w:top w:val="nil"/>
              <w:left w:val="nil"/>
              <w:bottom w:val="nil"/>
              <w:right w:val="nil"/>
            </w:tcBorders>
            <w:shd w:val="clear" w:color="auto" w:fill="auto"/>
            <w:noWrap/>
            <w:vAlign w:val="bottom"/>
            <w:hideMark/>
          </w:tcPr>
          <w:p w14:paraId="4E6C519A" w14:textId="77777777" w:rsidR="00E0205D" w:rsidRPr="00C93C63" w:rsidRDefault="00E0205D" w:rsidP="00BD3816">
            <w:pPr>
              <w:spacing w:after="0" w:line="276"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2C8358C3" w14:textId="77777777" w:rsidR="00E0205D" w:rsidRPr="00C93C63" w:rsidRDefault="00E0205D" w:rsidP="00BD3816">
            <w:pPr>
              <w:spacing w:after="0" w:line="276" w:lineRule="auto"/>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14:paraId="45F1062F" w14:textId="77777777" w:rsidR="00E0205D" w:rsidRPr="00C93C63" w:rsidRDefault="00E0205D" w:rsidP="00BD3816">
            <w:pPr>
              <w:spacing w:after="0" w:line="276" w:lineRule="auto"/>
              <w:rPr>
                <w:rFonts w:ascii="Times New Roman" w:eastAsia="Times New Roman" w:hAnsi="Times New Roman" w:cs="Times New Roman"/>
                <w:sz w:val="20"/>
                <w:szCs w:val="20"/>
              </w:rPr>
            </w:pPr>
          </w:p>
        </w:tc>
      </w:tr>
      <w:tr w:rsidR="00BC1E6D" w:rsidRPr="00BC1E6D" w14:paraId="62EAF9D5" w14:textId="77777777" w:rsidTr="002B3C8A">
        <w:trPr>
          <w:trHeight w:val="300"/>
          <w:jc w:val="center"/>
        </w:trPr>
        <w:tc>
          <w:tcPr>
            <w:tcW w:w="1080" w:type="dxa"/>
            <w:tcBorders>
              <w:top w:val="single" w:sz="4" w:space="0" w:color="auto"/>
              <w:left w:val="nil"/>
              <w:bottom w:val="single" w:sz="4" w:space="0" w:color="auto"/>
              <w:right w:val="nil"/>
            </w:tcBorders>
            <w:shd w:val="clear" w:color="auto" w:fill="auto"/>
            <w:noWrap/>
            <w:vAlign w:val="bottom"/>
            <w:hideMark/>
          </w:tcPr>
          <w:p w14:paraId="3A49940D" w14:textId="77777777" w:rsidR="00E0205D" w:rsidRPr="00C93C63" w:rsidRDefault="00E0205D" w:rsidP="00BD3816">
            <w:pPr>
              <w:spacing w:after="0" w:line="276" w:lineRule="auto"/>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 </w:t>
            </w:r>
          </w:p>
        </w:tc>
        <w:tc>
          <w:tcPr>
            <w:tcW w:w="857" w:type="dxa"/>
            <w:tcBorders>
              <w:top w:val="single" w:sz="4" w:space="0" w:color="auto"/>
              <w:left w:val="nil"/>
              <w:bottom w:val="single" w:sz="4" w:space="0" w:color="auto"/>
              <w:right w:val="nil"/>
            </w:tcBorders>
            <w:shd w:val="clear" w:color="auto" w:fill="auto"/>
            <w:noWrap/>
            <w:hideMark/>
          </w:tcPr>
          <w:p w14:paraId="33C194D5"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dIP</w:t>
            </w:r>
          </w:p>
        </w:tc>
        <w:tc>
          <w:tcPr>
            <w:tcW w:w="960" w:type="dxa"/>
            <w:tcBorders>
              <w:top w:val="single" w:sz="4" w:space="0" w:color="auto"/>
              <w:left w:val="nil"/>
              <w:bottom w:val="single" w:sz="4" w:space="0" w:color="auto"/>
              <w:right w:val="nil"/>
            </w:tcBorders>
            <w:shd w:val="clear" w:color="auto" w:fill="auto"/>
            <w:noWrap/>
            <w:hideMark/>
          </w:tcPr>
          <w:p w14:paraId="24778E9D"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dEI</w:t>
            </w:r>
          </w:p>
        </w:tc>
        <w:tc>
          <w:tcPr>
            <w:tcW w:w="960" w:type="dxa"/>
            <w:tcBorders>
              <w:top w:val="single" w:sz="4" w:space="0" w:color="auto"/>
              <w:left w:val="nil"/>
              <w:bottom w:val="single" w:sz="4" w:space="0" w:color="auto"/>
              <w:right w:val="nil"/>
            </w:tcBorders>
            <w:shd w:val="clear" w:color="auto" w:fill="auto"/>
            <w:noWrap/>
            <w:hideMark/>
          </w:tcPr>
          <w:p w14:paraId="19A6F1B5"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dUPR</w:t>
            </w:r>
          </w:p>
        </w:tc>
        <w:tc>
          <w:tcPr>
            <w:tcW w:w="960" w:type="dxa"/>
            <w:tcBorders>
              <w:top w:val="single" w:sz="4" w:space="0" w:color="auto"/>
              <w:left w:val="nil"/>
              <w:bottom w:val="single" w:sz="4" w:space="0" w:color="auto"/>
              <w:right w:val="nil"/>
            </w:tcBorders>
            <w:shd w:val="clear" w:color="auto" w:fill="auto"/>
            <w:noWrap/>
            <w:hideMark/>
          </w:tcPr>
          <w:p w14:paraId="349369F9"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dUI</w:t>
            </w:r>
          </w:p>
        </w:tc>
        <w:tc>
          <w:tcPr>
            <w:tcW w:w="960" w:type="dxa"/>
            <w:tcBorders>
              <w:top w:val="single" w:sz="4" w:space="0" w:color="auto"/>
              <w:left w:val="nil"/>
              <w:bottom w:val="single" w:sz="4" w:space="0" w:color="auto"/>
              <w:right w:val="nil"/>
            </w:tcBorders>
            <w:shd w:val="clear" w:color="auto" w:fill="auto"/>
            <w:noWrap/>
            <w:hideMark/>
          </w:tcPr>
          <w:p w14:paraId="1655384C"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dUTS</w:t>
            </w:r>
          </w:p>
        </w:tc>
        <w:tc>
          <w:tcPr>
            <w:tcW w:w="960" w:type="dxa"/>
            <w:tcBorders>
              <w:top w:val="single" w:sz="4" w:space="0" w:color="auto"/>
              <w:left w:val="nil"/>
              <w:bottom w:val="single" w:sz="4" w:space="0" w:color="auto"/>
              <w:right w:val="nil"/>
            </w:tcBorders>
            <w:shd w:val="clear" w:color="auto" w:fill="auto"/>
            <w:noWrap/>
            <w:hideMark/>
          </w:tcPr>
          <w:p w14:paraId="5E5D6FFC"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dOP</w:t>
            </w:r>
          </w:p>
        </w:tc>
        <w:tc>
          <w:tcPr>
            <w:tcW w:w="977" w:type="dxa"/>
            <w:tcBorders>
              <w:top w:val="single" w:sz="4" w:space="0" w:color="auto"/>
              <w:left w:val="nil"/>
              <w:bottom w:val="single" w:sz="4" w:space="0" w:color="auto"/>
              <w:right w:val="nil"/>
            </w:tcBorders>
            <w:shd w:val="clear" w:color="auto" w:fill="auto"/>
            <w:noWrap/>
            <w:hideMark/>
          </w:tcPr>
          <w:p w14:paraId="419DEF1D"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dSP500</w:t>
            </w:r>
          </w:p>
        </w:tc>
      </w:tr>
      <w:tr w:rsidR="00BC1E6D" w:rsidRPr="00BC1E6D" w14:paraId="120CB3A5" w14:textId="77777777" w:rsidTr="002B3C8A">
        <w:trPr>
          <w:trHeight w:val="300"/>
          <w:jc w:val="center"/>
        </w:trPr>
        <w:tc>
          <w:tcPr>
            <w:tcW w:w="1080" w:type="dxa"/>
            <w:tcBorders>
              <w:top w:val="nil"/>
              <w:left w:val="nil"/>
              <w:bottom w:val="nil"/>
              <w:right w:val="nil"/>
            </w:tcBorders>
            <w:shd w:val="clear" w:color="auto" w:fill="auto"/>
            <w:noWrap/>
            <w:hideMark/>
          </w:tcPr>
          <w:p w14:paraId="6B7F5976"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dIP</w:t>
            </w:r>
          </w:p>
        </w:tc>
        <w:tc>
          <w:tcPr>
            <w:tcW w:w="857" w:type="dxa"/>
            <w:tcBorders>
              <w:top w:val="nil"/>
              <w:left w:val="nil"/>
              <w:bottom w:val="nil"/>
              <w:right w:val="nil"/>
            </w:tcBorders>
            <w:shd w:val="clear" w:color="auto" w:fill="auto"/>
            <w:noWrap/>
            <w:vAlign w:val="bottom"/>
            <w:hideMark/>
          </w:tcPr>
          <w:p w14:paraId="0F97F217"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60" w:type="dxa"/>
            <w:tcBorders>
              <w:top w:val="nil"/>
              <w:left w:val="nil"/>
              <w:bottom w:val="nil"/>
              <w:right w:val="nil"/>
            </w:tcBorders>
            <w:shd w:val="clear" w:color="auto" w:fill="auto"/>
            <w:noWrap/>
            <w:vAlign w:val="bottom"/>
            <w:hideMark/>
          </w:tcPr>
          <w:p w14:paraId="532F175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0.503</w:t>
            </w:r>
          </w:p>
        </w:tc>
        <w:tc>
          <w:tcPr>
            <w:tcW w:w="960" w:type="dxa"/>
            <w:tcBorders>
              <w:top w:val="nil"/>
              <w:left w:val="nil"/>
              <w:bottom w:val="nil"/>
              <w:right w:val="nil"/>
            </w:tcBorders>
            <w:shd w:val="clear" w:color="auto" w:fill="auto"/>
            <w:noWrap/>
            <w:vAlign w:val="bottom"/>
            <w:hideMark/>
          </w:tcPr>
          <w:p w14:paraId="509EA31E"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-0.606</w:t>
            </w:r>
          </w:p>
        </w:tc>
        <w:tc>
          <w:tcPr>
            <w:tcW w:w="960" w:type="dxa"/>
            <w:tcBorders>
              <w:top w:val="nil"/>
              <w:left w:val="nil"/>
              <w:bottom w:val="nil"/>
              <w:right w:val="nil"/>
            </w:tcBorders>
            <w:shd w:val="clear" w:color="auto" w:fill="auto"/>
            <w:noWrap/>
            <w:vAlign w:val="bottom"/>
            <w:hideMark/>
          </w:tcPr>
          <w:p w14:paraId="70E4992D"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0.132</w:t>
            </w:r>
          </w:p>
        </w:tc>
        <w:tc>
          <w:tcPr>
            <w:tcW w:w="960" w:type="dxa"/>
            <w:tcBorders>
              <w:top w:val="nil"/>
              <w:left w:val="nil"/>
              <w:bottom w:val="nil"/>
              <w:right w:val="nil"/>
            </w:tcBorders>
            <w:shd w:val="clear" w:color="auto" w:fill="auto"/>
            <w:noWrap/>
            <w:vAlign w:val="bottom"/>
            <w:hideMark/>
          </w:tcPr>
          <w:p w14:paraId="0CD5470A"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0.071</w:t>
            </w:r>
          </w:p>
        </w:tc>
        <w:tc>
          <w:tcPr>
            <w:tcW w:w="960" w:type="dxa"/>
            <w:tcBorders>
              <w:top w:val="nil"/>
              <w:left w:val="nil"/>
              <w:bottom w:val="nil"/>
              <w:right w:val="nil"/>
            </w:tcBorders>
            <w:shd w:val="clear" w:color="auto" w:fill="auto"/>
            <w:noWrap/>
            <w:vAlign w:val="bottom"/>
            <w:hideMark/>
          </w:tcPr>
          <w:p w14:paraId="6D130F7D"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w:t>
            </w:r>
          </w:p>
        </w:tc>
        <w:tc>
          <w:tcPr>
            <w:tcW w:w="977" w:type="dxa"/>
            <w:tcBorders>
              <w:top w:val="nil"/>
              <w:left w:val="nil"/>
              <w:bottom w:val="nil"/>
              <w:right w:val="nil"/>
            </w:tcBorders>
            <w:shd w:val="clear" w:color="auto" w:fill="auto"/>
            <w:noWrap/>
            <w:vAlign w:val="bottom"/>
            <w:hideMark/>
          </w:tcPr>
          <w:p w14:paraId="0F462BD8"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0.556</w:t>
            </w:r>
          </w:p>
        </w:tc>
      </w:tr>
      <w:tr w:rsidR="00BC1E6D" w:rsidRPr="00BC1E6D" w14:paraId="442F2BF4" w14:textId="77777777" w:rsidTr="002B3C8A">
        <w:trPr>
          <w:trHeight w:val="300"/>
          <w:jc w:val="center"/>
        </w:trPr>
        <w:tc>
          <w:tcPr>
            <w:tcW w:w="1080" w:type="dxa"/>
            <w:tcBorders>
              <w:top w:val="nil"/>
              <w:left w:val="nil"/>
              <w:bottom w:val="nil"/>
              <w:right w:val="nil"/>
            </w:tcBorders>
            <w:shd w:val="clear" w:color="auto" w:fill="auto"/>
            <w:noWrap/>
            <w:hideMark/>
          </w:tcPr>
          <w:p w14:paraId="0C5480EF"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dEI</w:t>
            </w:r>
          </w:p>
        </w:tc>
        <w:tc>
          <w:tcPr>
            <w:tcW w:w="857" w:type="dxa"/>
            <w:tcBorders>
              <w:top w:val="nil"/>
              <w:left w:val="nil"/>
              <w:bottom w:val="nil"/>
              <w:right w:val="nil"/>
            </w:tcBorders>
            <w:shd w:val="clear" w:color="auto" w:fill="auto"/>
            <w:noWrap/>
            <w:vAlign w:val="bottom"/>
            <w:hideMark/>
          </w:tcPr>
          <w:p w14:paraId="20E308F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0.503</w:t>
            </w:r>
          </w:p>
        </w:tc>
        <w:tc>
          <w:tcPr>
            <w:tcW w:w="960" w:type="dxa"/>
            <w:tcBorders>
              <w:top w:val="nil"/>
              <w:left w:val="nil"/>
              <w:bottom w:val="nil"/>
              <w:right w:val="nil"/>
            </w:tcBorders>
            <w:shd w:val="clear" w:color="auto" w:fill="auto"/>
            <w:noWrap/>
            <w:vAlign w:val="bottom"/>
            <w:hideMark/>
          </w:tcPr>
          <w:p w14:paraId="40DB07A0"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60" w:type="dxa"/>
            <w:tcBorders>
              <w:top w:val="nil"/>
              <w:left w:val="nil"/>
              <w:bottom w:val="nil"/>
              <w:right w:val="nil"/>
            </w:tcBorders>
            <w:shd w:val="clear" w:color="auto" w:fill="auto"/>
            <w:noWrap/>
            <w:vAlign w:val="bottom"/>
            <w:hideMark/>
          </w:tcPr>
          <w:p w14:paraId="2DC06B8E"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-0.52</w:t>
            </w:r>
          </w:p>
        </w:tc>
        <w:tc>
          <w:tcPr>
            <w:tcW w:w="960" w:type="dxa"/>
            <w:tcBorders>
              <w:top w:val="nil"/>
              <w:left w:val="nil"/>
              <w:bottom w:val="nil"/>
              <w:right w:val="nil"/>
            </w:tcBorders>
            <w:shd w:val="clear" w:color="auto" w:fill="auto"/>
            <w:noWrap/>
            <w:vAlign w:val="bottom"/>
            <w:hideMark/>
          </w:tcPr>
          <w:p w14:paraId="49EAE5AD"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0.195</w:t>
            </w:r>
          </w:p>
        </w:tc>
        <w:tc>
          <w:tcPr>
            <w:tcW w:w="960" w:type="dxa"/>
            <w:tcBorders>
              <w:top w:val="nil"/>
              <w:left w:val="nil"/>
              <w:bottom w:val="nil"/>
              <w:right w:val="nil"/>
            </w:tcBorders>
            <w:shd w:val="clear" w:color="auto" w:fill="auto"/>
            <w:noWrap/>
            <w:vAlign w:val="bottom"/>
            <w:hideMark/>
          </w:tcPr>
          <w:p w14:paraId="5379F570"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w:t>
            </w:r>
          </w:p>
        </w:tc>
        <w:tc>
          <w:tcPr>
            <w:tcW w:w="960" w:type="dxa"/>
            <w:tcBorders>
              <w:top w:val="nil"/>
              <w:left w:val="nil"/>
              <w:bottom w:val="nil"/>
              <w:right w:val="nil"/>
            </w:tcBorders>
            <w:shd w:val="clear" w:color="auto" w:fill="auto"/>
            <w:noWrap/>
            <w:vAlign w:val="bottom"/>
            <w:hideMark/>
          </w:tcPr>
          <w:p w14:paraId="08C9B07E"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0.589</w:t>
            </w:r>
          </w:p>
        </w:tc>
        <w:tc>
          <w:tcPr>
            <w:tcW w:w="977" w:type="dxa"/>
            <w:tcBorders>
              <w:top w:val="nil"/>
              <w:left w:val="nil"/>
              <w:bottom w:val="nil"/>
              <w:right w:val="nil"/>
            </w:tcBorders>
            <w:shd w:val="clear" w:color="auto" w:fill="auto"/>
            <w:noWrap/>
            <w:vAlign w:val="bottom"/>
            <w:hideMark/>
          </w:tcPr>
          <w:p w14:paraId="3C848D58"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0.29</w:t>
            </w:r>
          </w:p>
        </w:tc>
      </w:tr>
      <w:tr w:rsidR="00BC1E6D" w:rsidRPr="00BC1E6D" w14:paraId="6E64ED7C" w14:textId="77777777" w:rsidTr="002B3C8A">
        <w:trPr>
          <w:trHeight w:val="300"/>
          <w:jc w:val="center"/>
        </w:trPr>
        <w:tc>
          <w:tcPr>
            <w:tcW w:w="1080" w:type="dxa"/>
            <w:tcBorders>
              <w:top w:val="nil"/>
              <w:left w:val="nil"/>
              <w:bottom w:val="nil"/>
              <w:right w:val="nil"/>
            </w:tcBorders>
            <w:shd w:val="clear" w:color="auto" w:fill="auto"/>
            <w:noWrap/>
            <w:hideMark/>
          </w:tcPr>
          <w:p w14:paraId="60B61850"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dUPR</w:t>
            </w:r>
          </w:p>
        </w:tc>
        <w:tc>
          <w:tcPr>
            <w:tcW w:w="857" w:type="dxa"/>
            <w:tcBorders>
              <w:top w:val="nil"/>
              <w:left w:val="nil"/>
              <w:bottom w:val="nil"/>
              <w:right w:val="nil"/>
            </w:tcBorders>
            <w:shd w:val="clear" w:color="auto" w:fill="auto"/>
            <w:noWrap/>
            <w:vAlign w:val="bottom"/>
            <w:hideMark/>
          </w:tcPr>
          <w:p w14:paraId="44CFABC0"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-0.606</w:t>
            </w:r>
          </w:p>
        </w:tc>
        <w:tc>
          <w:tcPr>
            <w:tcW w:w="960" w:type="dxa"/>
            <w:tcBorders>
              <w:top w:val="nil"/>
              <w:left w:val="nil"/>
              <w:bottom w:val="nil"/>
              <w:right w:val="nil"/>
            </w:tcBorders>
            <w:shd w:val="clear" w:color="auto" w:fill="auto"/>
            <w:noWrap/>
            <w:vAlign w:val="bottom"/>
            <w:hideMark/>
          </w:tcPr>
          <w:p w14:paraId="6DFCB3C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-0.52</w:t>
            </w:r>
          </w:p>
        </w:tc>
        <w:tc>
          <w:tcPr>
            <w:tcW w:w="960" w:type="dxa"/>
            <w:tcBorders>
              <w:top w:val="nil"/>
              <w:left w:val="nil"/>
              <w:bottom w:val="nil"/>
              <w:right w:val="nil"/>
            </w:tcBorders>
            <w:shd w:val="clear" w:color="auto" w:fill="auto"/>
            <w:noWrap/>
            <w:vAlign w:val="bottom"/>
            <w:hideMark/>
          </w:tcPr>
          <w:p w14:paraId="128A8B27"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60" w:type="dxa"/>
            <w:tcBorders>
              <w:top w:val="nil"/>
              <w:left w:val="nil"/>
              <w:bottom w:val="nil"/>
              <w:right w:val="nil"/>
            </w:tcBorders>
            <w:shd w:val="clear" w:color="auto" w:fill="auto"/>
            <w:noWrap/>
            <w:vAlign w:val="bottom"/>
            <w:hideMark/>
          </w:tcPr>
          <w:p w14:paraId="68091C5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-0.034</w:t>
            </w:r>
          </w:p>
        </w:tc>
        <w:tc>
          <w:tcPr>
            <w:tcW w:w="960" w:type="dxa"/>
            <w:tcBorders>
              <w:top w:val="nil"/>
              <w:left w:val="nil"/>
              <w:bottom w:val="nil"/>
              <w:right w:val="nil"/>
            </w:tcBorders>
            <w:shd w:val="clear" w:color="auto" w:fill="auto"/>
            <w:noWrap/>
            <w:vAlign w:val="bottom"/>
            <w:hideMark/>
          </w:tcPr>
          <w:p w14:paraId="40908F18"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-0.215</w:t>
            </w:r>
          </w:p>
        </w:tc>
        <w:tc>
          <w:tcPr>
            <w:tcW w:w="960" w:type="dxa"/>
            <w:tcBorders>
              <w:top w:val="nil"/>
              <w:left w:val="nil"/>
              <w:bottom w:val="nil"/>
              <w:right w:val="nil"/>
            </w:tcBorders>
            <w:shd w:val="clear" w:color="auto" w:fill="auto"/>
            <w:noWrap/>
            <w:vAlign w:val="bottom"/>
            <w:hideMark/>
          </w:tcPr>
          <w:p w14:paraId="04CE57A0"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-0.513</w:t>
            </w:r>
          </w:p>
        </w:tc>
        <w:tc>
          <w:tcPr>
            <w:tcW w:w="977" w:type="dxa"/>
            <w:tcBorders>
              <w:top w:val="nil"/>
              <w:left w:val="nil"/>
              <w:bottom w:val="nil"/>
              <w:right w:val="nil"/>
            </w:tcBorders>
            <w:shd w:val="clear" w:color="auto" w:fill="auto"/>
            <w:noWrap/>
            <w:vAlign w:val="bottom"/>
            <w:hideMark/>
          </w:tcPr>
          <w:p w14:paraId="7B0448A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-0.624</w:t>
            </w:r>
          </w:p>
        </w:tc>
      </w:tr>
      <w:tr w:rsidR="00BC1E6D" w:rsidRPr="00BC1E6D" w14:paraId="1E5F2BBB" w14:textId="77777777" w:rsidTr="002B3C8A">
        <w:trPr>
          <w:trHeight w:val="300"/>
          <w:jc w:val="center"/>
        </w:trPr>
        <w:tc>
          <w:tcPr>
            <w:tcW w:w="1080" w:type="dxa"/>
            <w:tcBorders>
              <w:top w:val="nil"/>
              <w:left w:val="nil"/>
              <w:bottom w:val="nil"/>
              <w:right w:val="nil"/>
            </w:tcBorders>
            <w:shd w:val="clear" w:color="auto" w:fill="auto"/>
            <w:noWrap/>
            <w:hideMark/>
          </w:tcPr>
          <w:p w14:paraId="30F7A9C1"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dUI</w:t>
            </w:r>
          </w:p>
        </w:tc>
        <w:tc>
          <w:tcPr>
            <w:tcW w:w="857" w:type="dxa"/>
            <w:tcBorders>
              <w:top w:val="nil"/>
              <w:left w:val="nil"/>
              <w:bottom w:val="nil"/>
              <w:right w:val="nil"/>
            </w:tcBorders>
            <w:shd w:val="clear" w:color="auto" w:fill="auto"/>
            <w:noWrap/>
            <w:vAlign w:val="bottom"/>
            <w:hideMark/>
          </w:tcPr>
          <w:p w14:paraId="283826C2"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0.132</w:t>
            </w:r>
          </w:p>
        </w:tc>
        <w:tc>
          <w:tcPr>
            <w:tcW w:w="960" w:type="dxa"/>
            <w:tcBorders>
              <w:top w:val="nil"/>
              <w:left w:val="nil"/>
              <w:bottom w:val="nil"/>
              <w:right w:val="nil"/>
            </w:tcBorders>
            <w:shd w:val="clear" w:color="auto" w:fill="auto"/>
            <w:noWrap/>
            <w:vAlign w:val="bottom"/>
            <w:hideMark/>
          </w:tcPr>
          <w:p w14:paraId="0D33AB8F"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0.195</w:t>
            </w:r>
          </w:p>
        </w:tc>
        <w:tc>
          <w:tcPr>
            <w:tcW w:w="960" w:type="dxa"/>
            <w:tcBorders>
              <w:top w:val="nil"/>
              <w:left w:val="nil"/>
              <w:bottom w:val="nil"/>
              <w:right w:val="nil"/>
            </w:tcBorders>
            <w:shd w:val="clear" w:color="auto" w:fill="auto"/>
            <w:noWrap/>
            <w:vAlign w:val="bottom"/>
            <w:hideMark/>
          </w:tcPr>
          <w:p w14:paraId="12494094"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-0.034</w:t>
            </w:r>
          </w:p>
        </w:tc>
        <w:tc>
          <w:tcPr>
            <w:tcW w:w="960" w:type="dxa"/>
            <w:tcBorders>
              <w:top w:val="nil"/>
              <w:left w:val="nil"/>
              <w:bottom w:val="nil"/>
              <w:right w:val="nil"/>
            </w:tcBorders>
            <w:shd w:val="clear" w:color="auto" w:fill="auto"/>
            <w:noWrap/>
            <w:vAlign w:val="bottom"/>
            <w:hideMark/>
          </w:tcPr>
          <w:p w14:paraId="1F3F270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60" w:type="dxa"/>
            <w:tcBorders>
              <w:top w:val="nil"/>
              <w:left w:val="nil"/>
              <w:bottom w:val="nil"/>
              <w:right w:val="nil"/>
            </w:tcBorders>
            <w:shd w:val="clear" w:color="auto" w:fill="auto"/>
            <w:noWrap/>
            <w:vAlign w:val="bottom"/>
            <w:hideMark/>
          </w:tcPr>
          <w:p w14:paraId="54C86F3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0.185</w:t>
            </w:r>
          </w:p>
        </w:tc>
        <w:tc>
          <w:tcPr>
            <w:tcW w:w="960" w:type="dxa"/>
            <w:tcBorders>
              <w:top w:val="nil"/>
              <w:left w:val="nil"/>
              <w:bottom w:val="nil"/>
              <w:right w:val="nil"/>
            </w:tcBorders>
            <w:shd w:val="clear" w:color="auto" w:fill="auto"/>
            <w:noWrap/>
            <w:vAlign w:val="bottom"/>
            <w:hideMark/>
          </w:tcPr>
          <w:p w14:paraId="2860462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0.15</w:t>
            </w:r>
          </w:p>
        </w:tc>
        <w:tc>
          <w:tcPr>
            <w:tcW w:w="977" w:type="dxa"/>
            <w:tcBorders>
              <w:top w:val="nil"/>
              <w:left w:val="nil"/>
              <w:bottom w:val="nil"/>
              <w:right w:val="nil"/>
            </w:tcBorders>
            <w:shd w:val="clear" w:color="auto" w:fill="auto"/>
            <w:noWrap/>
            <w:vAlign w:val="bottom"/>
            <w:hideMark/>
          </w:tcPr>
          <w:p w14:paraId="106F716D"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-0.034</w:t>
            </w:r>
          </w:p>
        </w:tc>
      </w:tr>
      <w:tr w:rsidR="00BC1E6D" w:rsidRPr="00BC1E6D" w14:paraId="2EDD1938" w14:textId="77777777" w:rsidTr="002B3C8A">
        <w:trPr>
          <w:trHeight w:val="300"/>
          <w:jc w:val="center"/>
        </w:trPr>
        <w:tc>
          <w:tcPr>
            <w:tcW w:w="1080" w:type="dxa"/>
            <w:tcBorders>
              <w:top w:val="nil"/>
              <w:left w:val="nil"/>
              <w:bottom w:val="nil"/>
              <w:right w:val="nil"/>
            </w:tcBorders>
            <w:shd w:val="clear" w:color="auto" w:fill="auto"/>
            <w:noWrap/>
            <w:hideMark/>
          </w:tcPr>
          <w:p w14:paraId="441D6333"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dUTS</w:t>
            </w:r>
          </w:p>
        </w:tc>
        <w:tc>
          <w:tcPr>
            <w:tcW w:w="857" w:type="dxa"/>
            <w:tcBorders>
              <w:top w:val="nil"/>
              <w:left w:val="nil"/>
              <w:bottom w:val="nil"/>
              <w:right w:val="nil"/>
            </w:tcBorders>
            <w:shd w:val="clear" w:color="auto" w:fill="auto"/>
            <w:noWrap/>
            <w:vAlign w:val="bottom"/>
            <w:hideMark/>
          </w:tcPr>
          <w:p w14:paraId="36737332"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0.071</w:t>
            </w:r>
          </w:p>
        </w:tc>
        <w:tc>
          <w:tcPr>
            <w:tcW w:w="960" w:type="dxa"/>
            <w:tcBorders>
              <w:top w:val="nil"/>
              <w:left w:val="nil"/>
              <w:bottom w:val="nil"/>
              <w:right w:val="nil"/>
            </w:tcBorders>
            <w:shd w:val="clear" w:color="auto" w:fill="auto"/>
            <w:noWrap/>
            <w:vAlign w:val="bottom"/>
            <w:hideMark/>
          </w:tcPr>
          <w:p w14:paraId="06170C9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w:t>
            </w:r>
          </w:p>
        </w:tc>
        <w:tc>
          <w:tcPr>
            <w:tcW w:w="960" w:type="dxa"/>
            <w:tcBorders>
              <w:top w:val="nil"/>
              <w:left w:val="nil"/>
              <w:bottom w:val="nil"/>
              <w:right w:val="nil"/>
            </w:tcBorders>
            <w:shd w:val="clear" w:color="auto" w:fill="auto"/>
            <w:noWrap/>
            <w:vAlign w:val="bottom"/>
            <w:hideMark/>
          </w:tcPr>
          <w:p w14:paraId="3D4A1ADA"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-0.215</w:t>
            </w:r>
          </w:p>
        </w:tc>
        <w:tc>
          <w:tcPr>
            <w:tcW w:w="960" w:type="dxa"/>
            <w:tcBorders>
              <w:top w:val="nil"/>
              <w:left w:val="nil"/>
              <w:bottom w:val="nil"/>
              <w:right w:val="nil"/>
            </w:tcBorders>
            <w:shd w:val="clear" w:color="auto" w:fill="auto"/>
            <w:noWrap/>
            <w:vAlign w:val="bottom"/>
            <w:hideMark/>
          </w:tcPr>
          <w:p w14:paraId="5EF4E08E"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0.185</w:t>
            </w:r>
          </w:p>
        </w:tc>
        <w:tc>
          <w:tcPr>
            <w:tcW w:w="960" w:type="dxa"/>
            <w:tcBorders>
              <w:top w:val="nil"/>
              <w:left w:val="nil"/>
              <w:bottom w:val="nil"/>
              <w:right w:val="nil"/>
            </w:tcBorders>
            <w:shd w:val="clear" w:color="auto" w:fill="auto"/>
            <w:noWrap/>
            <w:vAlign w:val="bottom"/>
            <w:hideMark/>
          </w:tcPr>
          <w:p w14:paraId="73578CB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60" w:type="dxa"/>
            <w:tcBorders>
              <w:top w:val="nil"/>
              <w:left w:val="nil"/>
              <w:bottom w:val="nil"/>
              <w:right w:val="nil"/>
            </w:tcBorders>
            <w:shd w:val="clear" w:color="auto" w:fill="auto"/>
            <w:noWrap/>
            <w:vAlign w:val="bottom"/>
            <w:hideMark/>
          </w:tcPr>
          <w:p w14:paraId="00BF10BF"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0.144</w:t>
            </w:r>
          </w:p>
        </w:tc>
        <w:tc>
          <w:tcPr>
            <w:tcW w:w="977" w:type="dxa"/>
            <w:tcBorders>
              <w:top w:val="nil"/>
              <w:left w:val="nil"/>
              <w:bottom w:val="nil"/>
              <w:right w:val="nil"/>
            </w:tcBorders>
            <w:shd w:val="clear" w:color="auto" w:fill="auto"/>
            <w:noWrap/>
            <w:vAlign w:val="bottom"/>
            <w:hideMark/>
          </w:tcPr>
          <w:p w14:paraId="3CF21A05"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-0.111</w:t>
            </w:r>
          </w:p>
        </w:tc>
      </w:tr>
      <w:tr w:rsidR="00BC1E6D" w:rsidRPr="00BC1E6D" w14:paraId="5A326EFA" w14:textId="77777777" w:rsidTr="002B3C8A">
        <w:trPr>
          <w:trHeight w:val="300"/>
          <w:jc w:val="center"/>
        </w:trPr>
        <w:tc>
          <w:tcPr>
            <w:tcW w:w="1080" w:type="dxa"/>
            <w:tcBorders>
              <w:top w:val="nil"/>
              <w:left w:val="nil"/>
              <w:bottom w:val="nil"/>
              <w:right w:val="nil"/>
            </w:tcBorders>
            <w:shd w:val="clear" w:color="auto" w:fill="auto"/>
            <w:noWrap/>
            <w:hideMark/>
          </w:tcPr>
          <w:p w14:paraId="731D51C2"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dOP</w:t>
            </w:r>
          </w:p>
        </w:tc>
        <w:tc>
          <w:tcPr>
            <w:tcW w:w="857" w:type="dxa"/>
            <w:tcBorders>
              <w:top w:val="nil"/>
              <w:left w:val="nil"/>
              <w:bottom w:val="nil"/>
              <w:right w:val="nil"/>
            </w:tcBorders>
            <w:shd w:val="clear" w:color="auto" w:fill="auto"/>
            <w:noWrap/>
            <w:vAlign w:val="bottom"/>
            <w:hideMark/>
          </w:tcPr>
          <w:p w14:paraId="46D66634"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w:t>
            </w:r>
          </w:p>
        </w:tc>
        <w:tc>
          <w:tcPr>
            <w:tcW w:w="960" w:type="dxa"/>
            <w:tcBorders>
              <w:top w:val="nil"/>
              <w:left w:val="nil"/>
              <w:bottom w:val="nil"/>
              <w:right w:val="nil"/>
            </w:tcBorders>
            <w:shd w:val="clear" w:color="auto" w:fill="auto"/>
            <w:noWrap/>
            <w:vAlign w:val="bottom"/>
            <w:hideMark/>
          </w:tcPr>
          <w:p w14:paraId="2A1BB3EE"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0.589</w:t>
            </w:r>
          </w:p>
        </w:tc>
        <w:tc>
          <w:tcPr>
            <w:tcW w:w="960" w:type="dxa"/>
            <w:tcBorders>
              <w:top w:val="nil"/>
              <w:left w:val="nil"/>
              <w:bottom w:val="nil"/>
              <w:right w:val="nil"/>
            </w:tcBorders>
            <w:shd w:val="clear" w:color="auto" w:fill="auto"/>
            <w:noWrap/>
            <w:vAlign w:val="bottom"/>
            <w:hideMark/>
          </w:tcPr>
          <w:p w14:paraId="03D27F8A"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-0.513</w:t>
            </w:r>
          </w:p>
        </w:tc>
        <w:tc>
          <w:tcPr>
            <w:tcW w:w="960" w:type="dxa"/>
            <w:tcBorders>
              <w:top w:val="nil"/>
              <w:left w:val="nil"/>
              <w:bottom w:val="nil"/>
              <w:right w:val="nil"/>
            </w:tcBorders>
            <w:shd w:val="clear" w:color="auto" w:fill="auto"/>
            <w:noWrap/>
            <w:vAlign w:val="bottom"/>
            <w:hideMark/>
          </w:tcPr>
          <w:p w14:paraId="3D738EF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0.15</w:t>
            </w:r>
          </w:p>
        </w:tc>
        <w:tc>
          <w:tcPr>
            <w:tcW w:w="960" w:type="dxa"/>
            <w:tcBorders>
              <w:top w:val="nil"/>
              <w:left w:val="nil"/>
              <w:bottom w:val="nil"/>
              <w:right w:val="nil"/>
            </w:tcBorders>
            <w:shd w:val="clear" w:color="auto" w:fill="auto"/>
            <w:noWrap/>
            <w:vAlign w:val="bottom"/>
            <w:hideMark/>
          </w:tcPr>
          <w:p w14:paraId="153FD480"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0.144</w:t>
            </w:r>
          </w:p>
        </w:tc>
        <w:tc>
          <w:tcPr>
            <w:tcW w:w="960" w:type="dxa"/>
            <w:tcBorders>
              <w:top w:val="nil"/>
              <w:left w:val="nil"/>
              <w:bottom w:val="nil"/>
              <w:right w:val="nil"/>
            </w:tcBorders>
            <w:shd w:val="clear" w:color="auto" w:fill="auto"/>
            <w:noWrap/>
            <w:vAlign w:val="bottom"/>
            <w:hideMark/>
          </w:tcPr>
          <w:p w14:paraId="4CC7EC45"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c>
          <w:tcPr>
            <w:tcW w:w="977" w:type="dxa"/>
            <w:tcBorders>
              <w:top w:val="nil"/>
              <w:left w:val="nil"/>
              <w:bottom w:val="nil"/>
              <w:right w:val="nil"/>
            </w:tcBorders>
            <w:shd w:val="clear" w:color="auto" w:fill="auto"/>
            <w:noWrap/>
            <w:vAlign w:val="bottom"/>
            <w:hideMark/>
          </w:tcPr>
          <w:p w14:paraId="2CBFEEA1"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0.328</w:t>
            </w:r>
          </w:p>
        </w:tc>
      </w:tr>
      <w:tr w:rsidR="00E0205D" w:rsidRPr="00BC1E6D" w14:paraId="5ADF1706" w14:textId="77777777" w:rsidTr="002B3C8A">
        <w:trPr>
          <w:trHeight w:val="300"/>
          <w:jc w:val="center"/>
        </w:trPr>
        <w:tc>
          <w:tcPr>
            <w:tcW w:w="1080" w:type="dxa"/>
            <w:tcBorders>
              <w:top w:val="nil"/>
              <w:left w:val="nil"/>
              <w:bottom w:val="single" w:sz="4" w:space="0" w:color="auto"/>
              <w:right w:val="nil"/>
            </w:tcBorders>
            <w:shd w:val="clear" w:color="auto" w:fill="auto"/>
            <w:noWrap/>
            <w:hideMark/>
          </w:tcPr>
          <w:p w14:paraId="5BD85A84" w14:textId="77777777" w:rsidR="00E0205D" w:rsidRPr="00C93C63" w:rsidRDefault="00E0205D"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dSP500</w:t>
            </w:r>
          </w:p>
        </w:tc>
        <w:tc>
          <w:tcPr>
            <w:tcW w:w="857" w:type="dxa"/>
            <w:tcBorders>
              <w:top w:val="nil"/>
              <w:left w:val="nil"/>
              <w:bottom w:val="single" w:sz="4" w:space="0" w:color="auto"/>
              <w:right w:val="nil"/>
            </w:tcBorders>
            <w:shd w:val="clear" w:color="auto" w:fill="auto"/>
            <w:noWrap/>
            <w:vAlign w:val="bottom"/>
            <w:hideMark/>
          </w:tcPr>
          <w:p w14:paraId="161550C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0.556</w:t>
            </w:r>
          </w:p>
        </w:tc>
        <w:tc>
          <w:tcPr>
            <w:tcW w:w="960" w:type="dxa"/>
            <w:tcBorders>
              <w:top w:val="nil"/>
              <w:left w:val="nil"/>
              <w:bottom w:val="single" w:sz="4" w:space="0" w:color="auto"/>
              <w:right w:val="nil"/>
            </w:tcBorders>
            <w:shd w:val="clear" w:color="auto" w:fill="auto"/>
            <w:noWrap/>
            <w:vAlign w:val="bottom"/>
            <w:hideMark/>
          </w:tcPr>
          <w:p w14:paraId="4AC96997"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0.29</w:t>
            </w:r>
          </w:p>
        </w:tc>
        <w:tc>
          <w:tcPr>
            <w:tcW w:w="960" w:type="dxa"/>
            <w:tcBorders>
              <w:top w:val="nil"/>
              <w:left w:val="nil"/>
              <w:bottom w:val="single" w:sz="4" w:space="0" w:color="auto"/>
              <w:right w:val="nil"/>
            </w:tcBorders>
            <w:shd w:val="clear" w:color="auto" w:fill="auto"/>
            <w:noWrap/>
            <w:vAlign w:val="bottom"/>
            <w:hideMark/>
          </w:tcPr>
          <w:p w14:paraId="2BE4AAA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-0.624</w:t>
            </w:r>
          </w:p>
        </w:tc>
        <w:tc>
          <w:tcPr>
            <w:tcW w:w="960" w:type="dxa"/>
            <w:tcBorders>
              <w:top w:val="nil"/>
              <w:left w:val="nil"/>
              <w:bottom w:val="single" w:sz="4" w:space="0" w:color="auto"/>
              <w:right w:val="nil"/>
            </w:tcBorders>
            <w:shd w:val="clear" w:color="auto" w:fill="auto"/>
            <w:noWrap/>
            <w:vAlign w:val="bottom"/>
            <w:hideMark/>
          </w:tcPr>
          <w:p w14:paraId="7E72EE7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-0.034</w:t>
            </w:r>
          </w:p>
        </w:tc>
        <w:tc>
          <w:tcPr>
            <w:tcW w:w="960" w:type="dxa"/>
            <w:tcBorders>
              <w:top w:val="nil"/>
              <w:left w:val="nil"/>
              <w:bottom w:val="single" w:sz="4" w:space="0" w:color="auto"/>
              <w:right w:val="nil"/>
            </w:tcBorders>
            <w:shd w:val="clear" w:color="auto" w:fill="auto"/>
            <w:noWrap/>
            <w:vAlign w:val="bottom"/>
            <w:hideMark/>
          </w:tcPr>
          <w:p w14:paraId="1A32BDAC"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-0.111</w:t>
            </w:r>
          </w:p>
        </w:tc>
        <w:tc>
          <w:tcPr>
            <w:tcW w:w="960" w:type="dxa"/>
            <w:tcBorders>
              <w:top w:val="nil"/>
              <w:left w:val="nil"/>
              <w:bottom w:val="single" w:sz="4" w:space="0" w:color="auto"/>
              <w:right w:val="nil"/>
            </w:tcBorders>
            <w:shd w:val="clear" w:color="auto" w:fill="auto"/>
            <w:noWrap/>
            <w:vAlign w:val="bottom"/>
            <w:hideMark/>
          </w:tcPr>
          <w:p w14:paraId="27A327C2"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0.328</w:t>
            </w:r>
          </w:p>
        </w:tc>
        <w:tc>
          <w:tcPr>
            <w:tcW w:w="977" w:type="dxa"/>
            <w:tcBorders>
              <w:top w:val="nil"/>
              <w:left w:val="nil"/>
              <w:bottom w:val="single" w:sz="4" w:space="0" w:color="auto"/>
              <w:right w:val="nil"/>
            </w:tcBorders>
            <w:shd w:val="clear" w:color="auto" w:fill="auto"/>
            <w:noWrap/>
            <w:vAlign w:val="bottom"/>
            <w:hideMark/>
          </w:tcPr>
          <w:p w14:paraId="393900C3" w14:textId="77777777" w:rsidR="00E0205D" w:rsidRPr="00C93C63" w:rsidRDefault="00E0205D" w:rsidP="00BD3816">
            <w:pPr>
              <w:spacing w:after="0" w:line="276"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w:t>
            </w:r>
          </w:p>
        </w:tc>
      </w:tr>
    </w:tbl>
    <w:p w14:paraId="2D6BE289" w14:textId="77777777" w:rsidR="00B97B29" w:rsidRPr="00BC1E6D" w:rsidRDefault="00B97B29" w:rsidP="00BD3816">
      <w:pPr>
        <w:spacing w:line="276" w:lineRule="auto"/>
        <w:rPr>
          <w:rFonts w:ascii="Times New Roman" w:hAnsi="Times New Roman" w:cs="Times New Roman"/>
          <w:sz w:val="24"/>
          <w:szCs w:val="24"/>
        </w:rPr>
      </w:pPr>
    </w:p>
    <w:p w14:paraId="1B4AD6A7" w14:textId="0A11710D" w:rsidR="004B0152" w:rsidRPr="00BC1E6D" w:rsidRDefault="00D05137"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The correlations that do exist are </w:t>
      </w:r>
      <w:r w:rsidR="00615B51" w:rsidRPr="00BC1E6D">
        <w:rPr>
          <w:rFonts w:ascii="Times New Roman" w:hAnsi="Times New Roman" w:cs="Times New Roman"/>
          <w:sz w:val="24"/>
          <w:szCs w:val="24"/>
        </w:rPr>
        <w:t xml:space="preserve">mostly </w:t>
      </w:r>
      <w:r w:rsidRPr="00BC1E6D">
        <w:rPr>
          <w:rFonts w:ascii="Times New Roman" w:hAnsi="Times New Roman" w:cs="Times New Roman"/>
          <w:sz w:val="24"/>
          <w:szCs w:val="24"/>
        </w:rPr>
        <w:t xml:space="preserve">expected. </w:t>
      </w:r>
      <w:r w:rsidR="00F57C40" w:rsidRPr="00BC1E6D">
        <w:rPr>
          <w:rFonts w:ascii="Times New Roman" w:hAnsi="Times New Roman" w:cs="Times New Roman"/>
          <w:sz w:val="24"/>
          <w:szCs w:val="24"/>
        </w:rPr>
        <w:t>For instance, i</w:t>
      </w:r>
      <w:r w:rsidRPr="00BC1E6D">
        <w:rPr>
          <w:rFonts w:ascii="Times New Roman" w:hAnsi="Times New Roman" w:cs="Times New Roman"/>
          <w:sz w:val="24"/>
          <w:szCs w:val="24"/>
        </w:rPr>
        <w:t xml:space="preserve">ndustrial production is correlated with </w:t>
      </w:r>
      <w:r w:rsidR="00932BAF" w:rsidRPr="00BC1E6D">
        <w:rPr>
          <w:rFonts w:ascii="Times New Roman" w:hAnsi="Times New Roman" w:cs="Times New Roman"/>
          <w:sz w:val="24"/>
          <w:szCs w:val="24"/>
        </w:rPr>
        <w:t xml:space="preserve">changes in expected inflation positively as this may increase investments in the macroeconomy, </w:t>
      </w:r>
      <w:r w:rsidR="00037C2B" w:rsidRPr="00BC1E6D">
        <w:rPr>
          <w:rFonts w:ascii="Times New Roman" w:hAnsi="Times New Roman" w:cs="Times New Roman"/>
          <w:sz w:val="24"/>
          <w:szCs w:val="24"/>
        </w:rPr>
        <w:t>it is correlated negatively with changes in the risk premia</w:t>
      </w:r>
      <w:r w:rsidR="00E65080" w:rsidRPr="00BC1E6D">
        <w:rPr>
          <w:rFonts w:ascii="Times New Roman" w:hAnsi="Times New Roman" w:cs="Times New Roman"/>
          <w:sz w:val="24"/>
          <w:szCs w:val="24"/>
        </w:rPr>
        <w:t xml:space="preserve">, which may cause disinvestment, and is positively correlated with changes in the sp500 as </w:t>
      </w:r>
      <w:r w:rsidR="00D81EAD" w:rsidRPr="00BC1E6D">
        <w:rPr>
          <w:rFonts w:ascii="Times New Roman" w:hAnsi="Times New Roman" w:cs="Times New Roman"/>
          <w:sz w:val="24"/>
          <w:szCs w:val="24"/>
        </w:rPr>
        <w:t xml:space="preserve">investors invest more into production when it is increasing. </w:t>
      </w:r>
      <w:r w:rsidR="00C43C01" w:rsidRPr="00BC1E6D">
        <w:rPr>
          <w:rFonts w:ascii="Times New Roman" w:hAnsi="Times New Roman" w:cs="Times New Roman"/>
          <w:sz w:val="24"/>
          <w:szCs w:val="24"/>
        </w:rPr>
        <w:t xml:space="preserve">None of the correlations are too high or concerning. </w:t>
      </w:r>
    </w:p>
    <w:p w14:paraId="3174F8F9" w14:textId="62776ABA" w:rsidR="00B97B29" w:rsidRPr="00BC1E6D" w:rsidRDefault="001038B3"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Table </w:t>
      </w:r>
      <w:r w:rsidR="004D1EFB" w:rsidRPr="00BC1E6D">
        <w:rPr>
          <w:rFonts w:ascii="Times New Roman" w:hAnsi="Times New Roman" w:cs="Times New Roman"/>
          <w:sz w:val="24"/>
          <w:szCs w:val="24"/>
        </w:rPr>
        <w:t>3</w:t>
      </w:r>
      <w:r w:rsidRPr="00BC1E6D">
        <w:rPr>
          <w:rFonts w:ascii="Times New Roman" w:hAnsi="Times New Roman" w:cs="Times New Roman"/>
          <w:sz w:val="24"/>
          <w:szCs w:val="24"/>
        </w:rPr>
        <w:t xml:space="preserve"> shows the </w:t>
      </w:r>
      <w:r w:rsidR="002628C1" w:rsidRPr="00BC1E6D">
        <w:rPr>
          <w:rFonts w:ascii="Times New Roman" w:hAnsi="Times New Roman" w:cs="Times New Roman"/>
          <w:sz w:val="24"/>
          <w:szCs w:val="24"/>
        </w:rPr>
        <w:t xml:space="preserve">descriptive </w:t>
      </w:r>
      <w:r w:rsidRPr="00BC1E6D">
        <w:rPr>
          <w:rFonts w:ascii="Times New Roman" w:hAnsi="Times New Roman" w:cs="Times New Roman"/>
          <w:sz w:val="24"/>
          <w:szCs w:val="24"/>
        </w:rPr>
        <w:t>data for each of the exogenous variables</w:t>
      </w:r>
      <w:r w:rsidR="002628C1" w:rsidRPr="00BC1E6D">
        <w:rPr>
          <w:rFonts w:ascii="Times New Roman" w:hAnsi="Times New Roman" w:cs="Times New Roman"/>
          <w:sz w:val="24"/>
          <w:szCs w:val="24"/>
        </w:rPr>
        <w:t xml:space="preserve">. </w:t>
      </w:r>
    </w:p>
    <w:p w14:paraId="6F58CFE8" w14:textId="77777777" w:rsidR="002F343C" w:rsidRPr="00BC1E6D" w:rsidRDefault="002F343C" w:rsidP="00BD3816">
      <w:pPr>
        <w:spacing w:line="276" w:lineRule="auto"/>
        <w:rPr>
          <w:rFonts w:ascii="Times New Roman" w:hAnsi="Times New Roman" w:cs="Times New Roman"/>
          <w:sz w:val="24"/>
          <w:szCs w:val="24"/>
        </w:rPr>
      </w:pPr>
    </w:p>
    <w:p w14:paraId="7FD49096" w14:textId="77777777" w:rsidR="002F343C" w:rsidRPr="00BC1E6D" w:rsidRDefault="002F343C" w:rsidP="00BD3816">
      <w:pPr>
        <w:spacing w:line="276" w:lineRule="auto"/>
        <w:rPr>
          <w:rFonts w:ascii="Times New Roman" w:hAnsi="Times New Roman" w:cs="Times New Roman"/>
          <w:sz w:val="24"/>
          <w:szCs w:val="24"/>
        </w:rPr>
      </w:pPr>
    </w:p>
    <w:p w14:paraId="7952E9DA" w14:textId="77777777" w:rsidR="002F343C" w:rsidRPr="00BC1E6D" w:rsidRDefault="002F343C" w:rsidP="00BD3816">
      <w:pPr>
        <w:spacing w:line="276" w:lineRule="auto"/>
        <w:rPr>
          <w:rFonts w:ascii="Times New Roman" w:hAnsi="Times New Roman" w:cs="Times New Roman"/>
          <w:sz w:val="24"/>
          <w:szCs w:val="24"/>
        </w:rPr>
      </w:pP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BC1E6D" w:rsidRPr="00C93C63" w14:paraId="02D9972F" w14:textId="77777777" w:rsidTr="00540664">
        <w:trPr>
          <w:trHeight w:val="300"/>
          <w:jc w:val="center"/>
        </w:trPr>
        <w:tc>
          <w:tcPr>
            <w:tcW w:w="960" w:type="dxa"/>
            <w:tcBorders>
              <w:top w:val="nil"/>
              <w:left w:val="nil"/>
              <w:bottom w:val="nil"/>
              <w:right w:val="nil"/>
            </w:tcBorders>
            <w:shd w:val="clear" w:color="auto" w:fill="auto"/>
            <w:noWrap/>
            <w:vAlign w:val="bottom"/>
            <w:hideMark/>
          </w:tcPr>
          <w:p w14:paraId="5A943580" w14:textId="1467910D" w:rsidR="00540664" w:rsidRPr="00C93C63" w:rsidRDefault="00540664" w:rsidP="00540664">
            <w:pPr>
              <w:spacing w:after="0" w:line="240" w:lineRule="auto"/>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lastRenderedPageBreak/>
              <w:t xml:space="preserve">Table </w:t>
            </w:r>
            <w:r w:rsidR="004D1EFB" w:rsidRPr="00C93C63">
              <w:rPr>
                <w:rFonts w:ascii="Times New Roman" w:eastAsia="Times New Roman" w:hAnsi="Times New Roman" w:cs="Times New Roman"/>
                <w:b/>
                <w:bCs/>
                <w:sz w:val="20"/>
                <w:szCs w:val="20"/>
              </w:rPr>
              <w:t>3</w:t>
            </w:r>
          </w:p>
        </w:tc>
        <w:tc>
          <w:tcPr>
            <w:tcW w:w="960" w:type="dxa"/>
            <w:tcBorders>
              <w:top w:val="nil"/>
              <w:left w:val="nil"/>
              <w:bottom w:val="nil"/>
              <w:right w:val="nil"/>
            </w:tcBorders>
            <w:shd w:val="clear" w:color="auto" w:fill="auto"/>
            <w:noWrap/>
            <w:vAlign w:val="bottom"/>
            <w:hideMark/>
          </w:tcPr>
          <w:p w14:paraId="02D54359" w14:textId="77777777" w:rsidR="00540664" w:rsidRPr="00C93C63" w:rsidRDefault="00540664" w:rsidP="00540664">
            <w:pPr>
              <w:spacing w:after="0" w:line="240" w:lineRule="auto"/>
              <w:rPr>
                <w:rFonts w:ascii="Times New Roman" w:eastAsia="Times New Roman" w:hAnsi="Times New Roman" w:cs="Times New Roman"/>
                <w:b/>
                <w:bCs/>
                <w:sz w:val="20"/>
                <w:szCs w:val="20"/>
              </w:rPr>
            </w:pPr>
          </w:p>
        </w:tc>
        <w:tc>
          <w:tcPr>
            <w:tcW w:w="960" w:type="dxa"/>
            <w:tcBorders>
              <w:top w:val="nil"/>
              <w:left w:val="nil"/>
              <w:bottom w:val="nil"/>
              <w:right w:val="nil"/>
            </w:tcBorders>
            <w:shd w:val="clear" w:color="auto" w:fill="auto"/>
            <w:noWrap/>
            <w:vAlign w:val="bottom"/>
            <w:hideMark/>
          </w:tcPr>
          <w:p w14:paraId="4A856AA0"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5845EE"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7FA916"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0865A94"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4DB257"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8BF6D87" w14:textId="77777777" w:rsidR="00540664" w:rsidRPr="00C93C63" w:rsidRDefault="00540664" w:rsidP="00540664">
            <w:pPr>
              <w:spacing w:after="0" w:line="240" w:lineRule="auto"/>
              <w:rPr>
                <w:rFonts w:ascii="Times New Roman" w:eastAsia="Times New Roman" w:hAnsi="Times New Roman" w:cs="Times New Roman"/>
                <w:sz w:val="20"/>
                <w:szCs w:val="20"/>
              </w:rPr>
            </w:pPr>
          </w:p>
        </w:tc>
      </w:tr>
      <w:tr w:rsidR="00BC1E6D" w:rsidRPr="00C93C63" w14:paraId="69DE1CE7" w14:textId="77777777" w:rsidTr="00540664">
        <w:trPr>
          <w:trHeight w:val="300"/>
          <w:jc w:val="center"/>
        </w:trPr>
        <w:tc>
          <w:tcPr>
            <w:tcW w:w="4800" w:type="dxa"/>
            <w:gridSpan w:val="5"/>
            <w:tcBorders>
              <w:top w:val="nil"/>
              <w:left w:val="nil"/>
              <w:bottom w:val="nil"/>
              <w:right w:val="nil"/>
            </w:tcBorders>
            <w:shd w:val="clear" w:color="auto" w:fill="auto"/>
            <w:noWrap/>
            <w:vAlign w:val="bottom"/>
            <w:hideMark/>
          </w:tcPr>
          <w:p w14:paraId="70898FF5" w14:textId="77777777" w:rsidR="00540664" w:rsidRPr="00C93C63" w:rsidRDefault="00540664" w:rsidP="00540664">
            <w:pPr>
              <w:spacing w:after="0" w:line="240" w:lineRule="auto"/>
              <w:rPr>
                <w:rFonts w:ascii="Times New Roman" w:eastAsia="Times New Roman" w:hAnsi="Times New Roman" w:cs="Times New Roman"/>
                <w:i/>
                <w:iCs/>
                <w:sz w:val="20"/>
                <w:szCs w:val="20"/>
              </w:rPr>
            </w:pPr>
            <w:r w:rsidRPr="00C93C63">
              <w:rPr>
                <w:rFonts w:ascii="Times New Roman" w:eastAsia="Times New Roman" w:hAnsi="Times New Roman" w:cs="Times New Roman"/>
                <w:i/>
                <w:iCs/>
                <w:sz w:val="20"/>
                <w:szCs w:val="20"/>
              </w:rPr>
              <w:t xml:space="preserve">Data Descriptions of Exogenous Variables </w:t>
            </w:r>
          </w:p>
        </w:tc>
        <w:tc>
          <w:tcPr>
            <w:tcW w:w="960" w:type="dxa"/>
            <w:tcBorders>
              <w:top w:val="nil"/>
              <w:left w:val="nil"/>
              <w:bottom w:val="nil"/>
              <w:right w:val="nil"/>
            </w:tcBorders>
            <w:shd w:val="clear" w:color="auto" w:fill="auto"/>
            <w:noWrap/>
            <w:vAlign w:val="bottom"/>
            <w:hideMark/>
          </w:tcPr>
          <w:p w14:paraId="68649873" w14:textId="77777777" w:rsidR="00540664" w:rsidRPr="00C93C63" w:rsidRDefault="00540664" w:rsidP="00540664">
            <w:pPr>
              <w:spacing w:after="0" w:line="240"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76395AA7" w14:textId="77777777" w:rsidR="00540664" w:rsidRPr="00C93C63" w:rsidRDefault="00540664" w:rsidP="0054066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157A192" w14:textId="77777777" w:rsidR="00540664" w:rsidRPr="00C93C63" w:rsidRDefault="00540664" w:rsidP="00540664">
            <w:pPr>
              <w:spacing w:after="0" w:line="240" w:lineRule="auto"/>
              <w:rPr>
                <w:rFonts w:ascii="Times New Roman" w:eastAsia="Times New Roman" w:hAnsi="Times New Roman" w:cs="Times New Roman"/>
                <w:sz w:val="20"/>
                <w:szCs w:val="20"/>
              </w:rPr>
            </w:pPr>
          </w:p>
        </w:tc>
      </w:tr>
      <w:tr w:rsidR="00BC1E6D" w:rsidRPr="00C93C63" w14:paraId="52C181C2" w14:textId="77777777" w:rsidTr="00540664">
        <w:trPr>
          <w:trHeight w:val="300"/>
          <w:jc w:val="center"/>
        </w:trPr>
        <w:tc>
          <w:tcPr>
            <w:tcW w:w="960" w:type="dxa"/>
            <w:tcBorders>
              <w:top w:val="single" w:sz="4" w:space="0" w:color="auto"/>
              <w:left w:val="nil"/>
              <w:bottom w:val="nil"/>
              <w:right w:val="nil"/>
            </w:tcBorders>
            <w:shd w:val="clear" w:color="auto" w:fill="auto"/>
            <w:noWrap/>
            <w:vAlign w:val="bottom"/>
            <w:hideMark/>
          </w:tcPr>
          <w:p w14:paraId="0907B2F9" w14:textId="77777777" w:rsidR="00540664" w:rsidRPr="00C93C63" w:rsidRDefault="00540664" w:rsidP="00540664">
            <w:pPr>
              <w:spacing w:after="0" w:line="240" w:lineRule="auto"/>
              <w:jc w:val="center"/>
              <w:rPr>
                <w:rFonts w:ascii="Times New Roman" w:eastAsia="Times New Roman" w:hAnsi="Times New Roman" w:cs="Times New Roman"/>
                <w:i/>
                <w:iCs/>
                <w:sz w:val="20"/>
                <w:szCs w:val="20"/>
              </w:rPr>
            </w:pPr>
            <w:r w:rsidRPr="00C93C63">
              <w:rPr>
                <w:rFonts w:ascii="Times New Roman" w:eastAsia="Times New Roman" w:hAnsi="Times New Roman" w:cs="Times New Roman"/>
                <w:i/>
                <w:iCs/>
                <w:sz w:val="20"/>
                <w:szCs w:val="20"/>
              </w:rPr>
              <w:t>Statistic</w:t>
            </w:r>
          </w:p>
        </w:tc>
        <w:tc>
          <w:tcPr>
            <w:tcW w:w="960" w:type="dxa"/>
            <w:tcBorders>
              <w:top w:val="single" w:sz="4" w:space="0" w:color="auto"/>
              <w:left w:val="nil"/>
              <w:bottom w:val="nil"/>
              <w:right w:val="nil"/>
            </w:tcBorders>
            <w:shd w:val="clear" w:color="auto" w:fill="auto"/>
            <w:noWrap/>
            <w:hideMark/>
          </w:tcPr>
          <w:p w14:paraId="0769A0E6"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dIP</w:t>
            </w:r>
          </w:p>
        </w:tc>
        <w:tc>
          <w:tcPr>
            <w:tcW w:w="960" w:type="dxa"/>
            <w:tcBorders>
              <w:top w:val="single" w:sz="4" w:space="0" w:color="auto"/>
              <w:left w:val="nil"/>
              <w:bottom w:val="nil"/>
              <w:right w:val="nil"/>
            </w:tcBorders>
            <w:shd w:val="clear" w:color="auto" w:fill="auto"/>
            <w:noWrap/>
            <w:hideMark/>
          </w:tcPr>
          <w:p w14:paraId="7A4E51FF"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dEI</w:t>
            </w:r>
          </w:p>
        </w:tc>
        <w:tc>
          <w:tcPr>
            <w:tcW w:w="960" w:type="dxa"/>
            <w:tcBorders>
              <w:top w:val="single" w:sz="4" w:space="0" w:color="auto"/>
              <w:left w:val="nil"/>
              <w:bottom w:val="nil"/>
              <w:right w:val="nil"/>
            </w:tcBorders>
            <w:shd w:val="clear" w:color="auto" w:fill="auto"/>
            <w:noWrap/>
            <w:hideMark/>
          </w:tcPr>
          <w:p w14:paraId="29AC978D"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dUPR</w:t>
            </w:r>
          </w:p>
        </w:tc>
        <w:tc>
          <w:tcPr>
            <w:tcW w:w="960" w:type="dxa"/>
            <w:tcBorders>
              <w:top w:val="single" w:sz="4" w:space="0" w:color="auto"/>
              <w:left w:val="nil"/>
              <w:bottom w:val="nil"/>
              <w:right w:val="nil"/>
            </w:tcBorders>
            <w:shd w:val="clear" w:color="auto" w:fill="auto"/>
            <w:noWrap/>
            <w:hideMark/>
          </w:tcPr>
          <w:p w14:paraId="5D3ED60F"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dUI</w:t>
            </w:r>
          </w:p>
        </w:tc>
        <w:tc>
          <w:tcPr>
            <w:tcW w:w="960" w:type="dxa"/>
            <w:tcBorders>
              <w:top w:val="single" w:sz="4" w:space="0" w:color="auto"/>
              <w:left w:val="nil"/>
              <w:bottom w:val="nil"/>
              <w:right w:val="nil"/>
            </w:tcBorders>
            <w:shd w:val="clear" w:color="auto" w:fill="auto"/>
            <w:noWrap/>
            <w:hideMark/>
          </w:tcPr>
          <w:p w14:paraId="4EA6F57C"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dUTS</w:t>
            </w:r>
          </w:p>
        </w:tc>
        <w:tc>
          <w:tcPr>
            <w:tcW w:w="960" w:type="dxa"/>
            <w:tcBorders>
              <w:top w:val="single" w:sz="4" w:space="0" w:color="auto"/>
              <w:left w:val="nil"/>
              <w:bottom w:val="nil"/>
              <w:right w:val="nil"/>
            </w:tcBorders>
            <w:shd w:val="clear" w:color="auto" w:fill="auto"/>
            <w:noWrap/>
            <w:hideMark/>
          </w:tcPr>
          <w:p w14:paraId="76246F6F"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dOP</w:t>
            </w:r>
          </w:p>
        </w:tc>
        <w:tc>
          <w:tcPr>
            <w:tcW w:w="960" w:type="dxa"/>
            <w:tcBorders>
              <w:top w:val="single" w:sz="4" w:space="0" w:color="auto"/>
              <w:left w:val="nil"/>
              <w:bottom w:val="nil"/>
              <w:right w:val="nil"/>
            </w:tcBorders>
            <w:shd w:val="clear" w:color="auto" w:fill="auto"/>
            <w:noWrap/>
            <w:hideMark/>
          </w:tcPr>
          <w:p w14:paraId="6ED3E9E9"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dSP500</w:t>
            </w:r>
          </w:p>
        </w:tc>
      </w:tr>
      <w:tr w:rsidR="00BC1E6D" w:rsidRPr="00C93C63" w14:paraId="2C5C7642" w14:textId="77777777" w:rsidTr="00540664">
        <w:trPr>
          <w:trHeight w:val="300"/>
          <w:jc w:val="center"/>
        </w:trPr>
        <w:tc>
          <w:tcPr>
            <w:tcW w:w="960" w:type="dxa"/>
            <w:tcBorders>
              <w:top w:val="single" w:sz="4" w:space="0" w:color="auto"/>
              <w:left w:val="nil"/>
              <w:bottom w:val="nil"/>
              <w:right w:val="nil"/>
            </w:tcBorders>
            <w:shd w:val="clear" w:color="auto" w:fill="auto"/>
            <w:noWrap/>
            <w:hideMark/>
          </w:tcPr>
          <w:p w14:paraId="649BE1E4"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count</w:t>
            </w:r>
          </w:p>
        </w:tc>
        <w:tc>
          <w:tcPr>
            <w:tcW w:w="960" w:type="dxa"/>
            <w:tcBorders>
              <w:top w:val="single" w:sz="4" w:space="0" w:color="auto"/>
              <w:left w:val="nil"/>
              <w:bottom w:val="nil"/>
              <w:right w:val="nil"/>
            </w:tcBorders>
            <w:shd w:val="clear" w:color="auto" w:fill="auto"/>
            <w:noWrap/>
            <w:vAlign w:val="bottom"/>
            <w:hideMark/>
          </w:tcPr>
          <w:p w14:paraId="4B35CFAE"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6A6D169B"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760934B0"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5A3731DB"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12808A6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684993B0"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960" w:type="dxa"/>
            <w:tcBorders>
              <w:top w:val="single" w:sz="4" w:space="0" w:color="auto"/>
              <w:left w:val="nil"/>
              <w:bottom w:val="nil"/>
              <w:right w:val="nil"/>
            </w:tcBorders>
            <w:shd w:val="clear" w:color="auto" w:fill="auto"/>
            <w:noWrap/>
            <w:vAlign w:val="bottom"/>
            <w:hideMark/>
          </w:tcPr>
          <w:p w14:paraId="69B3A8B7"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r>
      <w:tr w:rsidR="00BC1E6D" w:rsidRPr="00C93C63" w14:paraId="70805FBA" w14:textId="77777777" w:rsidTr="00540664">
        <w:trPr>
          <w:trHeight w:val="300"/>
          <w:jc w:val="center"/>
        </w:trPr>
        <w:tc>
          <w:tcPr>
            <w:tcW w:w="960" w:type="dxa"/>
            <w:tcBorders>
              <w:top w:val="nil"/>
              <w:left w:val="nil"/>
              <w:bottom w:val="nil"/>
              <w:right w:val="nil"/>
            </w:tcBorders>
            <w:shd w:val="clear" w:color="auto" w:fill="auto"/>
            <w:noWrap/>
            <w:hideMark/>
          </w:tcPr>
          <w:p w14:paraId="72318C87"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mean</w:t>
            </w:r>
          </w:p>
        </w:tc>
        <w:tc>
          <w:tcPr>
            <w:tcW w:w="960" w:type="dxa"/>
            <w:tcBorders>
              <w:top w:val="nil"/>
              <w:left w:val="nil"/>
              <w:bottom w:val="nil"/>
              <w:right w:val="nil"/>
            </w:tcBorders>
            <w:shd w:val="clear" w:color="auto" w:fill="auto"/>
            <w:noWrap/>
            <w:vAlign w:val="bottom"/>
            <w:hideMark/>
          </w:tcPr>
          <w:p w14:paraId="71E90CF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0.0041</w:t>
            </w:r>
          </w:p>
        </w:tc>
        <w:tc>
          <w:tcPr>
            <w:tcW w:w="960" w:type="dxa"/>
            <w:tcBorders>
              <w:top w:val="nil"/>
              <w:left w:val="nil"/>
              <w:bottom w:val="nil"/>
              <w:right w:val="nil"/>
            </w:tcBorders>
            <w:shd w:val="clear" w:color="auto" w:fill="auto"/>
            <w:noWrap/>
            <w:vAlign w:val="bottom"/>
            <w:hideMark/>
          </w:tcPr>
          <w:p w14:paraId="14A3CF6E"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-0.0079</w:t>
            </w:r>
          </w:p>
        </w:tc>
        <w:tc>
          <w:tcPr>
            <w:tcW w:w="960" w:type="dxa"/>
            <w:tcBorders>
              <w:top w:val="nil"/>
              <w:left w:val="nil"/>
              <w:bottom w:val="nil"/>
              <w:right w:val="nil"/>
            </w:tcBorders>
            <w:shd w:val="clear" w:color="auto" w:fill="auto"/>
            <w:noWrap/>
            <w:vAlign w:val="bottom"/>
            <w:hideMark/>
          </w:tcPr>
          <w:p w14:paraId="6B59652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-0.0072</w:t>
            </w:r>
          </w:p>
        </w:tc>
        <w:tc>
          <w:tcPr>
            <w:tcW w:w="960" w:type="dxa"/>
            <w:tcBorders>
              <w:top w:val="nil"/>
              <w:left w:val="nil"/>
              <w:bottom w:val="nil"/>
              <w:right w:val="nil"/>
            </w:tcBorders>
            <w:shd w:val="clear" w:color="auto" w:fill="auto"/>
            <w:noWrap/>
            <w:vAlign w:val="bottom"/>
            <w:hideMark/>
          </w:tcPr>
          <w:p w14:paraId="5F89AFB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-0.0156</w:t>
            </w:r>
          </w:p>
        </w:tc>
        <w:tc>
          <w:tcPr>
            <w:tcW w:w="960" w:type="dxa"/>
            <w:tcBorders>
              <w:top w:val="nil"/>
              <w:left w:val="nil"/>
              <w:bottom w:val="nil"/>
              <w:right w:val="nil"/>
            </w:tcBorders>
            <w:shd w:val="clear" w:color="auto" w:fill="auto"/>
            <w:noWrap/>
            <w:vAlign w:val="bottom"/>
            <w:hideMark/>
          </w:tcPr>
          <w:p w14:paraId="40266B06"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0.001</w:t>
            </w:r>
          </w:p>
        </w:tc>
        <w:tc>
          <w:tcPr>
            <w:tcW w:w="960" w:type="dxa"/>
            <w:tcBorders>
              <w:top w:val="nil"/>
              <w:left w:val="nil"/>
              <w:bottom w:val="nil"/>
              <w:right w:val="nil"/>
            </w:tcBorders>
            <w:shd w:val="clear" w:color="auto" w:fill="auto"/>
            <w:noWrap/>
            <w:vAlign w:val="bottom"/>
            <w:hideMark/>
          </w:tcPr>
          <w:p w14:paraId="1CE4AED5"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0.013</w:t>
            </w:r>
          </w:p>
        </w:tc>
        <w:tc>
          <w:tcPr>
            <w:tcW w:w="960" w:type="dxa"/>
            <w:tcBorders>
              <w:top w:val="nil"/>
              <w:left w:val="nil"/>
              <w:bottom w:val="nil"/>
              <w:right w:val="nil"/>
            </w:tcBorders>
            <w:shd w:val="clear" w:color="auto" w:fill="auto"/>
            <w:noWrap/>
            <w:vAlign w:val="bottom"/>
            <w:hideMark/>
          </w:tcPr>
          <w:p w14:paraId="0C13D93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0.0197</w:t>
            </w:r>
          </w:p>
        </w:tc>
      </w:tr>
      <w:tr w:rsidR="00BC1E6D" w:rsidRPr="00C93C63" w14:paraId="2DD49AB4" w14:textId="77777777" w:rsidTr="00540664">
        <w:trPr>
          <w:trHeight w:val="300"/>
          <w:jc w:val="center"/>
        </w:trPr>
        <w:tc>
          <w:tcPr>
            <w:tcW w:w="960" w:type="dxa"/>
            <w:tcBorders>
              <w:top w:val="nil"/>
              <w:left w:val="nil"/>
              <w:bottom w:val="nil"/>
              <w:right w:val="nil"/>
            </w:tcBorders>
            <w:shd w:val="clear" w:color="auto" w:fill="auto"/>
            <w:noWrap/>
            <w:hideMark/>
          </w:tcPr>
          <w:p w14:paraId="07E5597C"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std</w:t>
            </w:r>
          </w:p>
        </w:tc>
        <w:tc>
          <w:tcPr>
            <w:tcW w:w="960" w:type="dxa"/>
            <w:tcBorders>
              <w:top w:val="nil"/>
              <w:left w:val="nil"/>
              <w:bottom w:val="nil"/>
              <w:right w:val="nil"/>
            </w:tcBorders>
            <w:shd w:val="clear" w:color="auto" w:fill="auto"/>
            <w:noWrap/>
            <w:vAlign w:val="bottom"/>
            <w:hideMark/>
          </w:tcPr>
          <w:p w14:paraId="04A6A7B8"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0.0232</w:t>
            </w:r>
          </w:p>
        </w:tc>
        <w:tc>
          <w:tcPr>
            <w:tcW w:w="960" w:type="dxa"/>
            <w:tcBorders>
              <w:top w:val="nil"/>
              <w:left w:val="nil"/>
              <w:bottom w:val="nil"/>
              <w:right w:val="nil"/>
            </w:tcBorders>
            <w:shd w:val="clear" w:color="auto" w:fill="auto"/>
            <w:noWrap/>
            <w:vAlign w:val="bottom"/>
            <w:hideMark/>
          </w:tcPr>
          <w:p w14:paraId="087CDDC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0.4379</w:t>
            </w:r>
          </w:p>
        </w:tc>
        <w:tc>
          <w:tcPr>
            <w:tcW w:w="960" w:type="dxa"/>
            <w:tcBorders>
              <w:top w:val="nil"/>
              <w:left w:val="nil"/>
              <w:bottom w:val="nil"/>
              <w:right w:val="nil"/>
            </w:tcBorders>
            <w:shd w:val="clear" w:color="auto" w:fill="auto"/>
            <w:noWrap/>
            <w:vAlign w:val="bottom"/>
            <w:hideMark/>
          </w:tcPr>
          <w:p w14:paraId="39546A37"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0.4199</w:t>
            </w:r>
          </w:p>
        </w:tc>
        <w:tc>
          <w:tcPr>
            <w:tcW w:w="960" w:type="dxa"/>
            <w:tcBorders>
              <w:top w:val="nil"/>
              <w:left w:val="nil"/>
              <w:bottom w:val="nil"/>
              <w:right w:val="nil"/>
            </w:tcBorders>
            <w:shd w:val="clear" w:color="auto" w:fill="auto"/>
            <w:noWrap/>
            <w:vAlign w:val="bottom"/>
            <w:hideMark/>
          </w:tcPr>
          <w:p w14:paraId="767B9AC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0.2366</w:t>
            </w:r>
          </w:p>
        </w:tc>
        <w:tc>
          <w:tcPr>
            <w:tcW w:w="960" w:type="dxa"/>
            <w:tcBorders>
              <w:top w:val="nil"/>
              <w:left w:val="nil"/>
              <w:bottom w:val="nil"/>
              <w:right w:val="nil"/>
            </w:tcBorders>
            <w:shd w:val="clear" w:color="auto" w:fill="auto"/>
            <w:noWrap/>
            <w:vAlign w:val="bottom"/>
            <w:hideMark/>
          </w:tcPr>
          <w:p w14:paraId="7EEE3D47"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0.2319</w:t>
            </w:r>
          </w:p>
        </w:tc>
        <w:tc>
          <w:tcPr>
            <w:tcW w:w="960" w:type="dxa"/>
            <w:tcBorders>
              <w:top w:val="nil"/>
              <w:left w:val="nil"/>
              <w:bottom w:val="nil"/>
              <w:right w:val="nil"/>
            </w:tcBorders>
            <w:shd w:val="clear" w:color="auto" w:fill="auto"/>
            <w:noWrap/>
            <w:vAlign w:val="bottom"/>
            <w:hideMark/>
          </w:tcPr>
          <w:p w14:paraId="14B1BD6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0.2064</w:t>
            </w:r>
          </w:p>
        </w:tc>
        <w:tc>
          <w:tcPr>
            <w:tcW w:w="960" w:type="dxa"/>
            <w:tcBorders>
              <w:top w:val="nil"/>
              <w:left w:val="nil"/>
              <w:bottom w:val="nil"/>
              <w:right w:val="nil"/>
            </w:tcBorders>
            <w:shd w:val="clear" w:color="auto" w:fill="auto"/>
            <w:noWrap/>
            <w:vAlign w:val="bottom"/>
            <w:hideMark/>
          </w:tcPr>
          <w:p w14:paraId="01BC3F4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0.0785</w:t>
            </w:r>
          </w:p>
        </w:tc>
      </w:tr>
      <w:tr w:rsidR="00BC1E6D" w:rsidRPr="00C93C63" w14:paraId="6CDC17B0" w14:textId="77777777" w:rsidTr="00540664">
        <w:trPr>
          <w:trHeight w:val="300"/>
          <w:jc w:val="center"/>
        </w:trPr>
        <w:tc>
          <w:tcPr>
            <w:tcW w:w="960" w:type="dxa"/>
            <w:tcBorders>
              <w:top w:val="nil"/>
              <w:left w:val="nil"/>
              <w:bottom w:val="nil"/>
              <w:right w:val="nil"/>
            </w:tcBorders>
            <w:shd w:val="clear" w:color="auto" w:fill="auto"/>
            <w:noWrap/>
            <w:hideMark/>
          </w:tcPr>
          <w:p w14:paraId="503FB44C"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min</w:t>
            </w:r>
          </w:p>
        </w:tc>
        <w:tc>
          <w:tcPr>
            <w:tcW w:w="960" w:type="dxa"/>
            <w:tcBorders>
              <w:top w:val="nil"/>
              <w:left w:val="nil"/>
              <w:bottom w:val="nil"/>
              <w:right w:val="nil"/>
            </w:tcBorders>
            <w:shd w:val="clear" w:color="auto" w:fill="auto"/>
            <w:noWrap/>
            <w:vAlign w:val="bottom"/>
            <w:hideMark/>
          </w:tcPr>
          <w:p w14:paraId="36F4AE56"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-0.1806</w:t>
            </w:r>
          </w:p>
        </w:tc>
        <w:tc>
          <w:tcPr>
            <w:tcW w:w="960" w:type="dxa"/>
            <w:tcBorders>
              <w:top w:val="nil"/>
              <w:left w:val="nil"/>
              <w:bottom w:val="nil"/>
              <w:right w:val="nil"/>
            </w:tcBorders>
            <w:shd w:val="clear" w:color="auto" w:fill="auto"/>
            <w:noWrap/>
            <w:vAlign w:val="bottom"/>
            <w:hideMark/>
          </w:tcPr>
          <w:p w14:paraId="63D0F43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-1.775</w:t>
            </w:r>
          </w:p>
        </w:tc>
        <w:tc>
          <w:tcPr>
            <w:tcW w:w="960" w:type="dxa"/>
            <w:tcBorders>
              <w:top w:val="nil"/>
              <w:left w:val="nil"/>
              <w:bottom w:val="nil"/>
              <w:right w:val="nil"/>
            </w:tcBorders>
            <w:shd w:val="clear" w:color="auto" w:fill="auto"/>
            <w:noWrap/>
            <w:vAlign w:val="bottom"/>
            <w:hideMark/>
          </w:tcPr>
          <w:p w14:paraId="62355C5C"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-1.25</w:t>
            </w:r>
          </w:p>
        </w:tc>
        <w:tc>
          <w:tcPr>
            <w:tcW w:w="960" w:type="dxa"/>
            <w:tcBorders>
              <w:top w:val="nil"/>
              <w:left w:val="nil"/>
              <w:bottom w:val="nil"/>
              <w:right w:val="nil"/>
            </w:tcBorders>
            <w:shd w:val="clear" w:color="auto" w:fill="auto"/>
            <w:noWrap/>
            <w:vAlign w:val="bottom"/>
            <w:hideMark/>
          </w:tcPr>
          <w:p w14:paraId="34251DB9"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-0.64</w:t>
            </w:r>
          </w:p>
        </w:tc>
        <w:tc>
          <w:tcPr>
            <w:tcW w:w="960" w:type="dxa"/>
            <w:tcBorders>
              <w:top w:val="nil"/>
              <w:left w:val="nil"/>
              <w:bottom w:val="nil"/>
              <w:right w:val="nil"/>
            </w:tcBorders>
            <w:shd w:val="clear" w:color="auto" w:fill="auto"/>
            <w:noWrap/>
            <w:vAlign w:val="bottom"/>
            <w:hideMark/>
          </w:tcPr>
          <w:p w14:paraId="0EF2160E"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-0.88</w:t>
            </w:r>
          </w:p>
        </w:tc>
        <w:tc>
          <w:tcPr>
            <w:tcW w:w="960" w:type="dxa"/>
            <w:tcBorders>
              <w:top w:val="nil"/>
              <w:left w:val="nil"/>
              <w:bottom w:val="nil"/>
              <w:right w:val="nil"/>
            </w:tcBorders>
            <w:shd w:val="clear" w:color="auto" w:fill="auto"/>
            <w:noWrap/>
            <w:vAlign w:val="bottom"/>
            <w:hideMark/>
          </w:tcPr>
          <w:p w14:paraId="7844D460"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-1.0684</w:t>
            </w:r>
          </w:p>
        </w:tc>
        <w:tc>
          <w:tcPr>
            <w:tcW w:w="960" w:type="dxa"/>
            <w:tcBorders>
              <w:top w:val="nil"/>
              <w:left w:val="nil"/>
              <w:bottom w:val="nil"/>
              <w:right w:val="nil"/>
            </w:tcBorders>
            <w:shd w:val="clear" w:color="auto" w:fill="auto"/>
            <w:noWrap/>
            <w:vAlign w:val="bottom"/>
            <w:hideMark/>
          </w:tcPr>
          <w:p w14:paraId="0394570C"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-0.4601</w:t>
            </w:r>
          </w:p>
        </w:tc>
      </w:tr>
      <w:tr w:rsidR="00BC1E6D" w:rsidRPr="00C93C63" w14:paraId="7F723CF5" w14:textId="77777777" w:rsidTr="00540664">
        <w:trPr>
          <w:trHeight w:val="300"/>
          <w:jc w:val="center"/>
        </w:trPr>
        <w:tc>
          <w:tcPr>
            <w:tcW w:w="960" w:type="dxa"/>
            <w:tcBorders>
              <w:top w:val="nil"/>
              <w:left w:val="nil"/>
              <w:bottom w:val="nil"/>
              <w:right w:val="nil"/>
            </w:tcBorders>
            <w:shd w:val="clear" w:color="auto" w:fill="auto"/>
            <w:noWrap/>
            <w:hideMark/>
          </w:tcPr>
          <w:p w14:paraId="52859AD8"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25%</w:t>
            </w:r>
          </w:p>
        </w:tc>
        <w:tc>
          <w:tcPr>
            <w:tcW w:w="960" w:type="dxa"/>
            <w:tcBorders>
              <w:top w:val="nil"/>
              <w:left w:val="nil"/>
              <w:bottom w:val="nil"/>
              <w:right w:val="nil"/>
            </w:tcBorders>
            <w:shd w:val="clear" w:color="auto" w:fill="auto"/>
            <w:noWrap/>
            <w:vAlign w:val="bottom"/>
            <w:hideMark/>
          </w:tcPr>
          <w:p w14:paraId="6A923D7D"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-0.0002</w:t>
            </w:r>
          </w:p>
        </w:tc>
        <w:tc>
          <w:tcPr>
            <w:tcW w:w="960" w:type="dxa"/>
            <w:tcBorders>
              <w:top w:val="nil"/>
              <w:left w:val="nil"/>
              <w:bottom w:val="nil"/>
              <w:right w:val="nil"/>
            </w:tcBorders>
            <w:shd w:val="clear" w:color="auto" w:fill="auto"/>
            <w:noWrap/>
            <w:vAlign w:val="bottom"/>
            <w:hideMark/>
          </w:tcPr>
          <w:p w14:paraId="074DC94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-0.1915</w:t>
            </w:r>
          </w:p>
        </w:tc>
        <w:tc>
          <w:tcPr>
            <w:tcW w:w="960" w:type="dxa"/>
            <w:tcBorders>
              <w:top w:val="nil"/>
              <w:left w:val="nil"/>
              <w:bottom w:val="nil"/>
              <w:right w:val="nil"/>
            </w:tcBorders>
            <w:shd w:val="clear" w:color="auto" w:fill="auto"/>
            <w:noWrap/>
            <w:vAlign w:val="bottom"/>
            <w:hideMark/>
          </w:tcPr>
          <w:p w14:paraId="4E2EFBE9"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-0.16</w:t>
            </w:r>
          </w:p>
        </w:tc>
        <w:tc>
          <w:tcPr>
            <w:tcW w:w="960" w:type="dxa"/>
            <w:tcBorders>
              <w:top w:val="nil"/>
              <w:left w:val="nil"/>
              <w:bottom w:val="nil"/>
              <w:right w:val="nil"/>
            </w:tcBorders>
            <w:shd w:val="clear" w:color="auto" w:fill="auto"/>
            <w:noWrap/>
            <w:vAlign w:val="bottom"/>
            <w:hideMark/>
          </w:tcPr>
          <w:p w14:paraId="7B82FB0C"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-0.1298</w:t>
            </w:r>
          </w:p>
        </w:tc>
        <w:tc>
          <w:tcPr>
            <w:tcW w:w="960" w:type="dxa"/>
            <w:tcBorders>
              <w:top w:val="nil"/>
              <w:left w:val="nil"/>
              <w:bottom w:val="nil"/>
              <w:right w:val="nil"/>
            </w:tcBorders>
            <w:shd w:val="clear" w:color="auto" w:fill="auto"/>
            <w:noWrap/>
            <w:vAlign w:val="bottom"/>
            <w:hideMark/>
          </w:tcPr>
          <w:p w14:paraId="6AE600A8"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-0.16</w:t>
            </w:r>
          </w:p>
        </w:tc>
        <w:tc>
          <w:tcPr>
            <w:tcW w:w="960" w:type="dxa"/>
            <w:tcBorders>
              <w:top w:val="nil"/>
              <w:left w:val="nil"/>
              <w:bottom w:val="nil"/>
              <w:right w:val="nil"/>
            </w:tcBorders>
            <w:shd w:val="clear" w:color="auto" w:fill="auto"/>
            <w:noWrap/>
            <w:vAlign w:val="bottom"/>
            <w:hideMark/>
          </w:tcPr>
          <w:p w14:paraId="14B40C45"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-0.062</w:t>
            </w:r>
          </w:p>
        </w:tc>
        <w:tc>
          <w:tcPr>
            <w:tcW w:w="960" w:type="dxa"/>
            <w:tcBorders>
              <w:top w:val="nil"/>
              <w:left w:val="nil"/>
              <w:bottom w:val="nil"/>
              <w:right w:val="nil"/>
            </w:tcBorders>
            <w:shd w:val="clear" w:color="auto" w:fill="auto"/>
            <w:noWrap/>
            <w:vAlign w:val="bottom"/>
            <w:hideMark/>
          </w:tcPr>
          <w:p w14:paraId="5A47617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-0.0047</w:t>
            </w:r>
          </w:p>
        </w:tc>
      </w:tr>
      <w:tr w:rsidR="00BC1E6D" w:rsidRPr="00C93C63" w14:paraId="51D72AB9" w14:textId="77777777" w:rsidTr="00540664">
        <w:trPr>
          <w:trHeight w:val="300"/>
          <w:jc w:val="center"/>
        </w:trPr>
        <w:tc>
          <w:tcPr>
            <w:tcW w:w="960" w:type="dxa"/>
            <w:tcBorders>
              <w:top w:val="nil"/>
              <w:left w:val="nil"/>
              <w:bottom w:val="nil"/>
              <w:right w:val="nil"/>
            </w:tcBorders>
            <w:shd w:val="clear" w:color="auto" w:fill="auto"/>
            <w:noWrap/>
            <w:hideMark/>
          </w:tcPr>
          <w:p w14:paraId="5C998E72"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50%</w:t>
            </w:r>
          </w:p>
        </w:tc>
        <w:tc>
          <w:tcPr>
            <w:tcW w:w="960" w:type="dxa"/>
            <w:tcBorders>
              <w:top w:val="nil"/>
              <w:left w:val="nil"/>
              <w:bottom w:val="nil"/>
              <w:right w:val="nil"/>
            </w:tcBorders>
            <w:shd w:val="clear" w:color="auto" w:fill="auto"/>
            <w:noWrap/>
            <w:vAlign w:val="bottom"/>
            <w:hideMark/>
          </w:tcPr>
          <w:p w14:paraId="09FA869B"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0.0051</w:t>
            </w:r>
          </w:p>
        </w:tc>
        <w:tc>
          <w:tcPr>
            <w:tcW w:w="960" w:type="dxa"/>
            <w:tcBorders>
              <w:top w:val="nil"/>
              <w:left w:val="nil"/>
              <w:bottom w:val="nil"/>
              <w:right w:val="nil"/>
            </w:tcBorders>
            <w:shd w:val="clear" w:color="auto" w:fill="auto"/>
            <w:noWrap/>
            <w:vAlign w:val="bottom"/>
            <w:hideMark/>
          </w:tcPr>
          <w:p w14:paraId="6B0A9DF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0.0252</w:t>
            </w:r>
          </w:p>
        </w:tc>
        <w:tc>
          <w:tcPr>
            <w:tcW w:w="960" w:type="dxa"/>
            <w:tcBorders>
              <w:top w:val="nil"/>
              <w:left w:val="nil"/>
              <w:bottom w:val="nil"/>
              <w:right w:val="nil"/>
            </w:tcBorders>
            <w:shd w:val="clear" w:color="auto" w:fill="auto"/>
            <w:noWrap/>
            <w:vAlign w:val="bottom"/>
            <w:hideMark/>
          </w:tcPr>
          <w:p w14:paraId="115A9BF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-0.04</w:t>
            </w:r>
          </w:p>
        </w:tc>
        <w:tc>
          <w:tcPr>
            <w:tcW w:w="960" w:type="dxa"/>
            <w:tcBorders>
              <w:top w:val="nil"/>
              <w:left w:val="nil"/>
              <w:bottom w:val="nil"/>
              <w:right w:val="nil"/>
            </w:tcBorders>
            <w:shd w:val="clear" w:color="auto" w:fill="auto"/>
            <w:noWrap/>
            <w:vAlign w:val="bottom"/>
            <w:hideMark/>
          </w:tcPr>
          <w:p w14:paraId="5C1D4198"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-0.0003</w:t>
            </w:r>
          </w:p>
        </w:tc>
        <w:tc>
          <w:tcPr>
            <w:tcW w:w="960" w:type="dxa"/>
            <w:tcBorders>
              <w:top w:val="nil"/>
              <w:left w:val="nil"/>
              <w:bottom w:val="nil"/>
              <w:right w:val="nil"/>
            </w:tcBorders>
            <w:shd w:val="clear" w:color="auto" w:fill="auto"/>
            <w:noWrap/>
            <w:vAlign w:val="bottom"/>
            <w:hideMark/>
          </w:tcPr>
          <w:p w14:paraId="696A4446"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w:t>
            </w:r>
          </w:p>
        </w:tc>
        <w:tc>
          <w:tcPr>
            <w:tcW w:w="960" w:type="dxa"/>
            <w:tcBorders>
              <w:top w:val="nil"/>
              <w:left w:val="nil"/>
              <w:bottom w:val="nil"/>
              <w:right w:val="nil"/>
            </w:tcBorders>
            <w:shd w:val="clear" w:color="auto" w:fill="auto"/>
            <w:noWrap/>
            <w:vAlign w:val="bottom"/>
            <w:hideMark/>
          </w:tcPr>
          <w:p w14:paraId="2CCA2C63"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0.0331</w:t>
            </w:r>
          </w:p>
        </w:tc>
        <w:tc>
          <w:tcPr>
            <w:tcW w:w="960" w:type="dxa"/>
            <w:tcBorders>
              <w:top w:val="nil"/>
              <w:left w:val="nil"/>
              <w:bottom w:val="nil"/>
              <w:right w:val="nil"/>
            </w:tcBorders>
            <w:shd w:val="clear" w:color="auto" w:fill="auto"/>
            <w:noWrap/>
            <w:vAlign w:val="bottom"/>
            <w:hideMark/>
          </w:tcPr>
          <w:p w14:paraId="6315AE93"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0.0237</w:t>
            </w:r>
          </w:p>
        </w:tc>
      </w:tr>
      <w:tr w:rsidR="00BC1E6D" w:rsidRPr="00C93C63" w14:paraId="0157298F" w14:textId="77777777" w:rsidTr="00540664">
        <w:trPr>
          <w:trHeight w:val="300"/>
          <w:jc w:val="center"/>
        </w:trPr>
        <w:tc>
          <w:tcPr>
            <w:tcW w:w="960" w:type="dxa"/>
            <w:tcBorders>
              <w:top w:val="nil"/>
              <w:left w:val="nil"/>
              <w:bottom w:val="nil"/>
              <w:right w:val="nil"/>
            </w:tcBorders>
            <w:shd w:val="clear" w:color="auto" w:fill="auto"/>
            <w:noWrap/>
            <w:hideMark/>
          </w:tcPr>
          <w:p w14:paraId="468ED592"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75%</w:t>
            </w:r>
          </w:p>
        </w:tc>
        <w:tc>
          <w:tcPr>
            <w:tcW w:w="960" w:type="dxa"/>
            <w:tcBorders>
              <w:top w:val="nil"/>
              <w:left w:val="nil"/>
              <w:bottom w:val="nil"/>
              <w:right w:val="nil"/>
            </w:tcBorders>
            <w:shd w:val="clear" w:color="auto" w:fill="auto"/>
            <w:noWrap/>
            <w:vAlign w:val="bottom"/>
            <w:hideMark/>
          </w:tcPr>
          <w:p w14:paraId="70A41E20"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0.0114</w:t>
            </w:r>
          </w:p>
        </w:tc>
        <w:tc>
          <w:tcPr>
            <w:tcW w:w="960" w:type="dxa"/>
            <w:tcBorders>
              <w:top w:val="nil"/>
              <w:left w:val="nil"/>
              <w:bottom w:val="nil"/>
              <w:right w:val="nil"/>
            </w:tcBorders>
            <w:shd w:val="clear" w:color="auto" w:fill="auto"/>
            <w:noWrap/>
            <w:vAlign w:val="bottom"/>
            <w:hideMark/>
          </w:tcPr>
          <w:p w14:paraId="63249487"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0.1995</w:t>
            </w:r>
          </w:p>
        </w:tc>
        <w:tc>
          <w:tcPr>
            <w:tcW w:w="960" w:type="dxa"/>
            <w:tcBorders>
              <w:top w:val="nil"/>
              <w:left w:val="nil"/>
              <w:bottom w:val="nil"/>
              <w:right w:val="nil"/>
            </w:tcBorders>
            <w:shd w:val="clear" w:color="auto" w:fill="auto"/>
            <w:noWrap/>
            <w:vAlign w:val="bottom"/>
            <w:hideMark/>
          </w:tcPr>
          <w:p w14:paraId="0D62F64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w:t>
            </w:r>
          </w:p>
        </w:tc>
        <w:tc>
          <w:tcPr>
            <w:tcW w:w="960" w:type="dxa"/>
            <w:tcBorders>
              <w:top w:val="nil"/>
              <w:left w:val="nil"/>
              <w:bottom w:val="nil"/>
              <w:right w:val="nil"/>
            </w:tcBorders>
            <w:shd w:val="clear" w:color="auto" w:fill="auto"/>
            <w:noWrap/>
            <w:vAlign w:val="bottom"/>
            <w:hideMark/>
          </w:tcPr>
          <w:p w14:paraId="288DF514"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0.1051</w:t>
            </w:r>
          </w:p>
        </w:tc>
        <w:tc>
          <w:tcPr>
            <w:tcW w:w="960" w:type="dxa"/>
            <w:tcBorders>
              <w:top w:val="nil"/>
              <w:left w:val="nil"/>
              <w:bottom w:val="nil"/>
              <w:right w:val="nil"/>
            </w:tcBorders>
            <w:shd w:val="clear" w:color="auto" w:fill="auto"/>
            <w:noWrap/>
            <w:vAlign w:val="bottom"/>
            <w:hideMark/>
          </w:tcPr>
          <w:p w14:paraId="68FFD575"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0.1325</w:t>
            </w:r>
          </w:p>
        </w:tc>
        <w:tc>
          <w:tcPr>
            <w:tcW w:w="960" w:type="dxa"/>
            <w:tcBorders>
              <w:top w:val="nil"/>
              <w:left w:val="nil"/>
              <w:bottom w:val="nil"/>
              <w:right w:val="nil"/>
            </w:tcBorders>
            <w:shd w:val="clear" w:color="auto" w:fill="auto"/>
            <w:noWrap/>
            <w:vAlign w:val="bottom"/>
            <w:hideMark/>
          </w:tcPr>
          <w:p w14:paraId="39ACD780"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0.1068</w:t>
            </w:r>
          </w:p>
        </w:tc>
        <w:tc>
          <w:tcPr>
            <w:tcW w:w="960" w:type="dxa"/>
            <w:tcBorders>
              <w:top w:val="nil"/>
              <w:left w:val="nil"/>
              <w:bottom w:val="nil"/>
              <w:right w:val="nil"/>
            </w:tcBorders>
            <w:shd w:val="clear" w:color="auto" w:fill="auto"/>
            <w:noWrap/>
            <w:vAlign w:val="bottom"/>
            <w:hideMark/>
          </w:tcPr>
          <w:p w14:paraId="36D415D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0.0593</w:t>
            </w:r>
          </w:p>
        </w:tc>
      </w:tr>
      <w:tr w:rsidR="00C93C63" w:rsidRPr="00C93C63" w14:paraId="1D5F9571" w14:textId="77777777" w:rsidTr="00540664">
        <w:trPr>
          <w:trHeight w:val="300"/>
          <w:jc w:val="center"/>
        </w:trPr>
        <w:tc>
          <w:tcPr>
            <w:tcW w:w="960" w:type="dxa"/>
            <w:tcBorders>
              <w:top w:val="nil"/>
              <w:left w:val="nil"/>
              <w:bottom w:val="single" w:sz="4" w:space="0" w:color="auto"/>
              <w:right w:val="nil"/>
            </w:tcBorders>
            <w:shd w:val="clear" w:color="auto" w:fill="auto"/>
            <w:noWrap/>
            <w:hideMark/>
          </w:tcPr>
          <w:p w14:paraId="07E212DE" w14:textId="77777777" w:rsidR="00540664" w:rsidRPr="00C93C63" w:rsidRDefault="00540664" w:rsidP="00540664">
            <w:pPr>
              <w:spacing w:after="0" w:line="240"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max</w:t>
            </w:r>
          </w:p>
        </w:tc>
        <w:tc>
          <w:tcPr>
            <w:tcW w:w="960" w:type="dxa"/>
            <w:tcBorders>
              <w:top w:val="nil"/>
              <w:left w:val="nil"/>
              <w:bottom w:val="single" w:sz="4" w:space="0" w:color="auto"/>
              <w:right w:val="nil"/>
            </w:tcBorders>
            <w:shd w:val="clear" w:color="auto" w:fill="auto"/>
            <w:noWrap/>
            <w:vAlign w:val="bottom"/>
            <w:hideMark/>
          </w:tcPr>
          <w:p w14:paraId="06FA7FCE"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0.0609</w:t>
            </w:r>
          </w:p>
        </w:tc>
        <w:tc>
          <w:tcPr>
            <w:tcW w:w="960" w:type="dxa"/>
            <w:tcBorders>
              <w:top w:val="nil"/>
              <w:left w:val="nil"/>
              <w:bottom w:val="single" w:sz="4" w:space="0" w:color="auto"/>
              <w:right w:val="nil"/>
            </w:tcBorders>
            <w:shd w:val="clear" w:color="auto" w:fill="auto"/>
            <w:noWrap/>
            <w:vAlign w:val="bottom"/>
            <w:hideMark/>
          </w:tcPr>
          <w:p w14:paraId="5305C6CE"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1.0863</w:t>
            </w:r>
          </w:p>
        </w:tc>
        <w:tc>
          <w:tcPr>
            <w:tcW w:w="960" w:type="dxa"/>
            <w:tcBorders>
              <w:top w:val="nil"/>
              <w:left w:val="nil"/>
              <w:bottom w:val="single" w:sz="4" w:space="0" w:color="auto"/>
              <w:right w:val="nil"/>
            </w:tcBorders>
            <w:shd w:val="clear" w:color="auto" w:fill="auto"/>
            <w:noWrap/>
            <w:vAlign w:val="bottom"/>
            <w:hideMark/>
          </w:tcPr>
          <w:p w14:paraId="1FA8C18A"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2.64</w:t>
            </w:r>
          </w:p>
        </w:tc>
        <w:tc>
          <w:tcPr>
            <w:tcW w:w="960" w:type="dxa"/>
            <w:tcBorders>
              <w:top w:val="nil"/>
              <w:left w:val="nil"/>
              <w:bottom w:val="single" w:sz="4" w:space="0" w:color="auto"/>
              <w:right w:val="nil"/>
            </w:tcBorders>
            <w:shd w:val="clear" w:color="auto" w:fill="auto"/>
            <w:noWrap/>
            <w:vAlign w:val="bottom"/>
            <w:hideMark/>
          </w:tcPr>
          <w:p w14:paraId="28158E1F"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0.8799</w:t>
            </w:r>
          </w:p>
        </w:tc>
        <w:tc>
          <w:tcPr>
            <w:tcW w:w="960" w:type="dxa"/>
            <w:tcBorders>
              <w:top w:val="nil"/>
              <w:left w:val="nil"/>
              <w:bottom w:val="single" w:sz="4" w:space="0" w:color="auto"/>
              <w:right w:val="nil"/>
            </w:tcBorders>
            <w:shd w:val="clear" w:color="auto" w:fill="auto"/>
            <w:noWrap/>
            <w:vAlign w:val="bottom"/>
            <w:hideMark/>
          </w:tcPr>
          <w:p w14:paraId="5DF9FD92"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0.59</w:t>
            </w:r>
          </w:p>
        </w:tc>
        <w:tc>
          <w:tcPr>
            <w:tcW w:w="960" w:type="dxa"/>
            <w:tcBorders>
              <w:top w:val="nil"/>
              <w:left w:val="nil"/>
              <w:bottom w:val="single" w:sz="4" w:space="0" w:color="auto"/>
              <w:right w:val="nil"/>
            </w:tcBorders>
            <w:shd w:val="clear" w:color="auto" w:fill="auto"/>
            <w:noWrap/>
            <w:vAlign w:val="bottom"/>
            <w:hideMark/>
          </w:tcPr>
          <w:p w14:paraId="5A81C0B9"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0.6814</w:t>
            </w:r>
          </w:p>
        </w:tc>
        <w:tc>
          <w:tcPr>
            <w:tcW w:w="960" w:type="dxa"/>
            <w:tcBorders>
              <w:top w:val="nil"/>
              <w:left w:val="nil"/>
              <w:bottom w:val="single" w:sz="4" w:space="0" w:color="auto"/>
              <w:right w:val="nil"/>
            </w:tcBorders>
            <w:shd w:val="clear" w:color="auto" w:fill="auto"/>
            <w:noWrap/>
            <w:vAlign w:val="bottom"/>
            <w:hideMark/>
          </w:tcPr>
          <w:p w14:paraId="3ECB6E9F" w14:textId="77777777" w:rsidR="00540664" w:rsidRPr="00C93C63" w:rsidRDefault="00540664" w:rsidP="00540664">
            <w:pPr>
              <w:spacing w:after="0" w:line="240" w:lineRule="auto"/>
              <w:jc w:val="right"/>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0.2471</w:t>
            </w:r>
          </w:p>
        </w:tc>
      </w:tr>
    </w:tbl>
    <w:p w14:paraId="7CE0FCE7" w14:textId="77777777" w:rsidR="00540664" w:rsidRPr="00BC1E6D" w:rsidRDefault="00540664" w:rsidP="00540664">
      <w:pPr>
        <w:spacing w:line="276" w:lineRule="auto"/>
        <w:jc w:val="center"/>
        <w:rPr>
          <w:rFonts w:ascii="Times New Roman" w:hAnsi="Times New Roman" w:cs="Times New Roman"/>
          <w:sz w:val="24"/>
          <w:szCs w:val="24"/>
        </w:rPr>
      </w:pPr>
    </w:p>
    <w:p w14:paraId="05F0FF23" w14:textId="2D347800" w:rsidR="001C7D08" w:rsidRPr="00BC1E6D" w:rsidRDefault="00174A9F"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There were 14</w:t>
      </w:r>
      <w:r w:rsidR="00B37B90" w:rsidRPr="00BC1E6D">
        <w:rPr>
          <w:rFonts w:ascii="Times New Roman" w:eastAsiaTheme="minorEastAsia" w:hAnsi="Times New Roman" w:cs="Times New Roman"/>
          <w:sz w:val="24"/>
          <w:szCs w:val="24"/>
        </w:rPr>
        <w:t>8</w:t>
      </w:r>
      <w:r w:rsidRPr="00BC1E6D">
        <w:rPr>
          <w:rFonts w:ascii="Times New Roman" w:eastAsiaTheme="minorEastAsia" w:hAnsi="Times New Roman" w:cs="Times New Roman"/>
          <w:sz w:val="24"/>
          <w:szCs w:val="24"/>
        </w:rPr>
        <w:t xml:space="preserve"> months of data, as </w:t>
      </w:r>
      <w:r w:rsidR="0080041E" w:rsidRPr="00BC1E6D">
        <w:rPr>
          <w:rFonts w:ascii="Times New Roman" w:eastAsiaTheme="minorEastAsia" w:hAnsi="Times New Roman" w:cs="Times New Roman"/>
          <w:sz w:val="24"/>
          <w:szCs w:val="24"/>
        </w:rPr>
        <w:t>th</w:t>
      </w:r>
      <w:r w:rsidR="00B925BF" w:rsidRPr="00BC1E6D">
        <w:rPr>
          <w:rFonts w:ascii="Times New Roman" w:eastAsiaTheme="minorEastAsia" w:hAnsi="Times New Roman" w:cs="Times New Roman"/>
          <w:sz w:val="24"/>
          <w:szCs w:val="24"/>
        </w:rPr>
        <w:t xml:space="preserve">e oil data is only available </w:t>
      </w:r>
      <w:r w:rsidR="00D00A22" w:rsidRPr="00BC1E6D">
        <w:rPr>
          <w:rFonts w:ascii="Times New Roman" w:eastAsiaTheme="minorEastAsia" w:hAnsi="Times New Roman" w:cs="Times New Roman"/>
          <w:sz w:val="24"/>
          <w:szCs w:val="24"/>
        </w:rPr>
        <w:t>starting in 1986. This was not cause for concern</w:t>
      </w:r>
      <w:r w:rsidR="00D200B3" w:rsidRPr="00BC1E6D">
        <w:rPr>
          <w:rFonts w:ascii="Times New Roman" w:eastAsiaTheme="minorEastAsia" w:hAnsi="Times New Roman" w:cs="Times New Roman"/>
          <w:sz w:val="24"/>
          <w:szCs w:val="24"/>
        </w:rPr>
        <w:t xml:space="preserve">. The goal of this analysis is to apply the methodology to the “modern economy” </w:t>
      </w:r>
      <w:r w:rsidR="00F57E88" w:rsidRPr="00BC1E6D">
        <w:rPr>
          <w:rFonts w:ascii="Times New Roman" w:eastAsiaTheme="minorEastAsia" w:hAnsi="Times New Roman" w:cs="Times New Roman"/>
          <w:sz w:val="24"/>
          <w:szCs w:val="24"/>
        </w:rPr>
        <w:t>–</w:t>
      </w:r>
      <w:r w:rsidR="00D200B3" w:rsidRPr="00BC1E6D">
        <w:rPr>
          <w:rFonts w:ascii="Times New Roman" w:eastAsiaTheme="minorEastAsia" w:hAnsi="Times New Roman" w:cs="Times New Roman"/>
          <w:sz w:val="24"/>
          <w:szCs w:val="24"/>
        </w:rPr>
        <w:t xml:space="preserve"> </w:t>
      </w:r>
      <w:r w:rsidR="00F57E88" w:rsidRPr="00BC1E6D">
        <w:rPr>
          <w:rFonts w:ascii="Times New Roman" w:eastAsiaTheme="minorEastAsia" w:hAnsi="Times New Roman" w:cs="Times New Roman"/>
          <w:sz w:val="24"/>
          <w:szCs w:val="24"/>
        </w:rPr>
        <w:t>so only having data from after the</w:t>
      </w:r>
      <w:r w:rsidR="009F358D" w:rsidRPr="00BC1E6D">
        <w:rPr>
          <w:rFonts w:ascii="Times New Roman" w:eastAsiaTheme="minorEastAsia" w:hAnsi="Times New Roman" w:cs="Times New Roman"/>
          <w:sz w:val="24"/>
          <w:szCs w:val="24"/>
        </w:rPr>
        <w:t xml:space="preserve"> paper</w:t>
      </w:r>
      <w:r w:rsidR="00ED65A4" w:rsidRPr="00BC1E6D">
        <w:rPr>
          <w:rFonts w:ascii="Times New Roman" w:eastAsiaTheme="minorEastAsia" w:hAnsi="Times New Roman" w:cs="Times New Roman"/>
          <w:sz w:val="24"/>
          <w:szCs w:val="24"/>
        </w:rPr>
        <w:t xml:space="preserve"> by </w:t>
      </w:r>
      <w:r w:rsidR="0058789F" w:rsidRPr="00BC1E6D">
        <w:rPr>
          <w:rFonts w:ascii="Times New Roman" w:eastAsiaTheme="minorEastAsia" w:hAnsi="Times New Roman" w:cs="Times New Roman"/>
          <w:sz w:val="24"/>
          <w:szCs w:val="24"/>
        </w:rPr>
        <w:t xml:space="preserve">Chen, </w:t>
      </w:r>
      <w:r w:rsidR="00ED65A4" w:rsidRPr="00BC1E6D">
        <w:rPr>
          <w:rFonts w:ascii="Times New Roman" w:eastAsiaTheme="minorEastAsia" w:hAnsi="Times New Roman" w:cs="Times New Roman"/>
          <w:sz w:val="24"/>
          <w:szCs w:val="24"/>
        </w:rPr>
        <w:t xml:space="preserve">Nai-Fu, </w:t>
      </w:r>
      <w:r w:rsidR="0058789F" w:rsidRPr="00BC1E6D">
        <w:rPr>
          <w:rFonts w:ascii="Times New Roman" w:eastAsiaTheme="minorEastAsia" w:hAnsi="Times New Roman" w:cs="Times New Roman"/>
          <w:sz w:val="24"/>
          <w:szCs w:val="24"/>
        </w:rPr>
        <w:t>Roll, and Ross</w:t>
      </w:r>
      <w:r w:rsidR="00B46CE1" w:rsidRPr="00BC1E6D">
        <w:rPr>
          <w:rFonts w:ascii="Times New Roman" w:eastAsiaTheme="minorEastAsia" w:hAnsi="Times New Roman" w:cs="Times New Roman"/>
          <w:sz w:val="24"/>
          <w:szCs w:val="24"/>
        </w:rPr>
        <w:t xml:space="preserve"> (1986)</w:t>
      </w:r>
      <w:r w:rsidR="009F358D" w:rsidRPr="00BC1E6D">
        <w:rPr>
          <w:rFonts w:ascii="Times New Roman" w:eastAsiaTheme="minorEastAsia" w:hAnsi="Times New Roman" w:cs="Times New Roman"/>
          <w:sz w:val="24"/>
          <w:szCs w:val="24"/>
        </w:rPr>
        <w:t xml:space="preserve"> was a nice coincidence.</w:t>
      </w:r>
      <w:r w:rsidR="00FE6962">
        <w:rPr>
          <w:rFonts w:ascii="Times New Roman" w:eastAsiaTheme="minorEastAsia" w:hAnsi="Times New Roman" w:cs="Times New Roman"/>
          <w:sz w:val="24"/>
          <w:szCs w:val="24"/>
        </w:rPr>
        <w:t xml:space="preserve"> </w:t>
      </w:r>
      <w:r w:rsidR="005B17B6" w:rsidRPr="00BC1E6D">
        <w:rPr>
          <w:rFonts w:ascii="Times New Roman" w:eastAsiaTheme="minorEastAsia" w:hAnsi="Times New Roman" w:cs="Times New Roman"/>
          <w:sz w:val="24"/>
          <w:szCs w:val="24"/>
        </w:rPr>
        <w:t xml:space="preserve">The descriptive data are easy to interpret. </w:t>
      </w:r>
      <w:r w:rsidR="008D2C22" w:rsidRPr="00BC1E6D">
        <w:rPr>
          <w:rFonts w:ascii="Times New Roman" w:eastAsiaTheme="minorEastAsia" w:hAnsi="Times New Roman" w:cs="Times New Roman"/>
          <w:sz w:val="24"/>
          <w:szCs w:val="24"/>
        </w:rPr>
        <w:t xml:space="preserve">The mean shows how much </w:t>
      </w:r>
      <w:r w:rsidR="007A6408" w:rsidRPr="00BC1E6D">
        <w:rPr>
          <w:rFonts w:ascii="Times New Roman" w:eastAsiaTheme="minorEastAsia" w:hAnsi="Times New Roman" w:cs="Times New Roman"/>
          <w:sz w:val="24"/>
          <w:szCs w:val="24"/>
        </w:rPr>
        <w:t xml:space="preserve">these variables have changed, on average, quarterly, since 1986. For instance, </w:t>
      </w:r>
      <w:r w:rsidR="0085734F" w:rsidRPr="00BC1E6D">
        <w:rPr>
          <w:rFonts w:ascii="Times New Roman" w:eastAsiaTheme="minorEastAsia" w:hAnsi="Times New Roman" w:cs="Times New Roman"/>
          <w:sz w:val="24"/>
          <w:szCs w:val="24"/>
        </w:rPr>
        <w:t>industrial production(</w:t>
      </w:r>
      <w:r w:rsidR="005C08E6" w:rsidRPr="00BC1E6D">
        <w:rPr>
          <w:rFonts w:ascii="Times New Roman" w:eastAsiaTheme="minorEastAsia" w:hAnsi="Times New Roman" w:cs="Times New Roman"/>
          <w:sz w:val="24"/>
          <w:szCs w:val="24"/>
        </w:rPr>
        <w:t>dIP) has averaged a</w:t>
      </w:r>
      <w:r w:rsidR="00AB2F99" w:rsidRPr="00BC1E6D">
        <w:rPr>
          <w:rFonts w:ascii="Times New Roman" w:eastAsiaTheme="minorEastAsia" w:hAnsi="Times New Roman" w:cs="Times New Roman"/>
          <w:sz w:val="24"/>
          <w:szCs w:val="24"/>
        </w:rPr>
        <w:t xml:space="preserve">n approximately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0.004</m:t>
                    </m:r>
                  </m:sup>
                </m:sSup>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=4.01%</m:t>
        </m:r>
      </m:oMath>
      <w:r w:rsidR="000B68D6" w:rsidRPr="00BC1E6D">
        <w:rPr>
          <w:rFonts w:ascii="Times New Roman" w:eastAsiaTheme="minorEastAsia" w:hAnsi="Times New Roman" w:cs="Times New Roman"/>
          <w:sz w:val="24"/>
          <w:szCs w:val="24"/>
        </w:rPr>
        <w:t xml:space="preserve"> increase </w:t>
      </w:r>
      <w:r w:rsidR="00AB2F99" w:rsidRPr="00BC1E6D">
        <w:rPr>
          <w:rFonts w:ascii="Times New Roman" w:eastAsiaTheme="minorEastAsia" w:hAnsi="Times New Roman" w:cs="Times New Roman"/>
          <w:sz w:val="24"/>
          <w:szCs w:val="24"/>
        </w:rPr>
        <w:t xml:space="preserve">each quarter since 1986. Compounded to a year, this is approximately </w:t>
      </w:r>
      <w:r w:rsidR="00D04EE6" w:rsidRPr="00BC1E6D">
        <w:rPr>
          <w:rFonts w:ascii="Times New Roman" w:eastAsiaTheme="minorEastAsia" w:hAnsi="Times New Roman" w:cs="Times New Roman"/>
          <w:sz w:val="24"/>
          <w:szCs w:val="24"/>
        </w:rPr>
        <w:t xml:space="preserve">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1.04</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- 1</m:t>
        </m:r>
      </m:oMath>
      <w:r w:rsidR="00D04EE6" w:rsidRPr="00BC1E6D">
        <w:rPr>
          <w:rFonts w:ascii="Times New Roman" w:eastAsiaTheme="minorEastAsia" w:hAnsi="Times New Roman" w:cs="Times New Roman"/>
          <w:sz w:val="24"/>
          <w:szCs w:val="24"/>
        </w:rPr>
        <w:t xml:space="preserve"> = </w:t>
      </w:r>
      <w:r w:rsidR="00F63D76" w:rsidRPr="00BC1E6D">
        <w:rPr>
          <w:rFonts w:ascii="Times New Roman" w:eastAsiaTheme="minorEastAsia" w:hAnsi="Times New Roman" w:cs="Times New Roman"/>
          <w:sz w:val="24"/>
          <w:szCs w:val="24"/>
        </w:rPr>
        <w:t>1</w:t>
      </w:r>
      <w:r w:rsidR="0017750E" w:rsidRPr="00BC1E6D">
        <w:rPr>
          <w:rFonts w:ascii="Times New Roman" w:eastAsiaTheme="minorEastAsia" w:hAnsi="Times New Roman" w:cs="Times New Roman"/>
          <w:sz w:val="24"/>
          <w:szCs w:val="24"/>
        </w:rPr>
        <w:t>6</w:t>
      </w:r>
      <w:r w:rsidR="00F41D49" w:rsidRPr="00BC1E6D">
        <w:rPr>
          <w:rFonts w:ascii="Times New Roman" w:eastAsiaTheme="minorEastAsia" w:hAnsi="Times New Roman" w:cs="Times New Roman"/>
          <w:sz w:val="24"/>
          <w:szCs w:val="24"/>
        </w:rPr>
        <w:t>.</w:t>
      </w:r>
      <w:r w:rsidR="0017750E" w:rsidRPr="00BC1E6D">
        <w:rPr>
          <w:rFonts w:ascii="Times New Roman" w:eastAsiaTheme="minorEastAsia" w:hAnsi="Times New Roman" w:cs="Times New Roman"/>
          <w:sz w:val="24"/>
          <w:szCs w:val="24"/>
        </w:rPr>
        <w:t>98</w:t>
      </w:r>
      <w:r w:rsidR="00F63D76" w:rsidRPr="00BC1E6D">
        <w:rPr>
          <w:rFonts w:ascii="Times New Roman" w:eastAsiaTheme="minorEastAsia" w:hAnsi="Times New Roman" w:cs="Times New Roman"/>
          <w:sz w:val="24"/>
          <w:szCs w:val="24"/>
        </w:rPr>
        <w:t xml:space="preserve">% increase per year. </w:t>
      </w:r>
      <w:r w:rsidR="001F787B" w:rsidRPr="00BC1E6D">
        <w:rPr>
          <w:rFonts w:ascii="Times New Roman" w:eastAsiaTheme="minorEastAsia" w:hAnsi="Times New Roman" w:cs="Times New Roman"/>
          <w:sz w:val="24"/>
          <w:szCs w:val="24"/>
        </w:rPr>
        <w:t>The standard deviations show the spread of the quarterly returns since 1986</w:t>
      </w:r>
      <w:r w:rsidR="00192EB6" w:rsidRPr="00BC1E6D">
        <w:rPr>
          <w:rFonts w:ascii="Times New Roman" w:eastAsiaTheme="minorEastAsia" w:hAnsi="Times New Roman" w:cs="Times New Roman"/>
          <w:sz w:val="24"/>
          <w:szCs w:val="24"/>
        </w:rPr>
        <w:t xml:space="preserve">; </w:t>
      </w:r>
      <w:r w:rsidR="009C0A2A" w:rsidRPr="00BC1E6D">
        <w:rPr>
          <w:rFonts w:ascii="Times New Roman" w:eastAsiaTheme="minorEastAsia" w:hAnsi="Times New Roman" w:cs="Times New Roman"/>
          <w:sz w:val="24"/>
          <w:szCs w:val="24"/>
        </w:rPr>
        <w:t>industrial production</w:t>
      </w:r>
      <w:r w:rsidR="00192EB6" w:rsidRPr="00BC1E6D">
        <w:rPr>
          <w:rFonts w:ascii="Times New Roman" w:eastAsiaTheme="minorEastAsia" w:hAnsi="Times New Roman" w:cs="Times New Roman"/>
          <w:sz w:val="24"/>
          <w:szCs w:val="24"/>
        </w:rPr>
        <w:t xml:space="preserve"> varies the least – it increases at the most consistent </w:t>
      </w:r>
      <w:r w:rsidR="003D3F13" w:rsidRPr="00BC1E6D">
        <w:rPr>
          <w:rFonts w:ascii="Times New Roman" w:eastAsiaTheme="minorEastAsia" w:hAnsi="Times New Roman" w:cs="Times New Roman"/>
          <w:sz w:val="24"/>
          <w:szCs w:val="24"/>
        </w:rPr>
        <w:t>rate and</w:t>
      </w:r>
      <w:r w:rsidR="00192EB6" w:rsidRPr="00BC1E6D">
        <w:rPr>
          <w:rFonts w:ascii="Times New Roman" w:eastAsiaTheme="minorEastAsia" w:hAnsi="Times New Roman" w:cs="Times New Roman"/>
          <w:sz w:val="24"/>
          <w:szCs w:val="24"/>
        </w:rPr>
        <w:t xml:space="preserve"> </w:t>
      </w:r>
      <w:r w:rsidR="009C0A2A" w:rsidRPr="00BC1E6D">
        <w:rPr>
          <w:rFonts w:ascii="Times New Roman" w:eastAsiaTheme="minorEastAsia" w:hAnsi="Times New Roman" w:cs="Times New Roman"/>
          <w:sz w:val="24"/>
          <w:szCs w:val="24"/>
        </w:rPr>
        <w:t xml:space="preserve">expected inflation </w:t>
      </w:r>
      <w:r w:rsidR="00937803" w:rsidRPr="00BC1E6D">
        <w:rPr>
          <w:rFonts w:ascii="Times New Roman" w:eastAsiaTheme="minorEastAsia" w:hAnsi="Times New Roman" w:cs="Times New Roman"/>
          <w:sz w:val="24"/>
          <w:szCs w:val="24"/>
        </w:rPr>
        <w:t>has varied the most</w:t>
      </w:r>
      <w:r w:rsidR="00CF7017" w:rsidRPr="00BC1E6D">
        <w:rPr>
          <w:rFonts w:ascii="Times New Roman" w:eastAsiaTheme="minorEastAsia" w:hAnsi="Times New Roman" w:cs="Times New Roman"/>
          <w:sz w:val="24"/>
          <w:szCs w:val="24"/>
        </w:rPr>
        <w:t>. The min, max, and 25%, 50</w:t>
      </w:r>
      <w:r w:rsidR="003D3F13" w:rsidRPr="00BC1E6D">
        <w:rPr>
          <w:rFonts w:ascii="Times New Roman" w:eastAsiaTheme="minorEastAsia" w:hAnsi="Times New Roman" w:cs="Times New Roman"/>
          <w:sz w:val="24"/>
          <w:szCs w:val="24"/>
        </w:rPr>
        <w:t>%,</w:t>
      </w:r>
      <w:r w:rsidR="00CF7017" w:rsidRPr="00BC1E6D">
        <w:rPr>
          <w:rFonts w:ascii="Times New Roman" w:eastAsiaTheme="minorEastAsia" w:hAnsi="Times New Roman" w:cs="Times New Roman"/>
          <w:sz w:val="24"/>
          <w:szCs w:val="24"/>
        </w:rPr>
        <w:t>75%</w:t>
      </w:r>
      <w:r w:rsidR="003D3F13" w:rsidRPr="00BC1E6D">
        <w:rPr>
          <w:rFonts w:ascii="Times New Roman" w:eastAsiaTheme="minorEastAsia" w:hAnsi="Times New Roman" w:cs="Times New Roman"/>
          <w:sz w:val="24"/>
          <w:szCs w:val="24"/>
        </w:rPr>
        <w:t xml:space="preserve"> percentiles show the datapoints appearing at the respective quantiles in the data. </w:t>
      </w:r>
      <w:r w:rsidR="00341768" w:rsidRPr="00BC1E6D">
        <w:rPr>
          <w:rFonts w:ascii="Times New Roman" w:eastAsiaTheme="minorEastAsia" w:hAnsi="Times New Roman" w:cs="Times New Roman"/>
          <w:sz w:val="24"/>
          <w:szCs w:val="24"/>
        </w:rPr>
        <w:t xml:space="preserve">Figure </w:t>
      </w:r>
      <w:r w:rsidR="00B93B12" w:rsidRPr="00BC1E6D">
        <w:rPr>
          <w:rFonts w:ascii="Times New Roman" w:eastAsiaTheme="minorEastAsia" w:hAnsi="Times New Roman" w:cs="Times New Roman"/>
          <w:sz w:val="24"/>
          <w:szCs w:val="24"/>
        </w:rPr>
        <w:t>2</w:t>
      </w:r>
      <w:r w:rsidR="00341768" w:rsidRPr="00BC1E6D">
        <w:rPr>
          <w:rFonts w:ascii="Times New Roman" w:eastAsiaTheme="minorEastAsia" w:hAnsi="Times New Roman" w:cs="Times New Roman"/>
          <w:sz w:val="24"/>
          <w:szCs w:val="24"/>
        </w:rPr>
        <w:t xml:space="preserve"> shows the distributions of all the macro variables ex</w:t>
      </w:r>
      <w:r w:rsidR="00396F8D" w:rsidRPr="00BC1E6D">
        <w:rPr>
          <w:rFonts w:ascii="Times New Roman" w:eastAsiaTheme="minorEastAsia" w:hAnsi="Times New Roman" w:cs="Times New Roman"/>
          <w:sz w:val="24"/>
          <w:szCs w:val="24"/>
        </w:rPr>
        <w:t>cept</w:t>
      </w:r>
      <w:r w:rsidR="00341768" w:rsidRPr="00BC1E6D">
        <w:rPr>
          <w:rFonts w:ascii="Times New Roman" w:eastAsiaTheme="minorEastAsia" w:hAnsi="Times New Roman" w:cs="Times New Roman"/>
          <w:sz w:val="24"/>
          <w:szCs w:val="24"/>
        </w:rPr>
        <w:t xml:space="preserve"> dIP</w:t>
      </w:r>
      <w:r w:rsidR="002628C1" w:rsidRPr="00BC1E6D">
        <w:rPr>
          <w:rFonts w:ascii="Times New Roman" w:eastAsiaTheme="minorEastAsia" w:hAnsi="Times New Roman" w:cs="Times New Roman"/>
          <w:sz w:val="24"/>
          <w:szCs w:val="24"/>
        </w:rPr>
        <w:t>,</w:t>
      </w:r>
      <w:r w:rsidR="00341768" w:rsidRPr="00BC1E6D">
        <w:rPr>
          <w:rFonts w:ascii="Times New Roman" w:eastAsiaTheme="minorEastAsia" w:hAnsi="Times New Roman" w:cs="Times New Roman"/>
          <w:sz w:val="24"/>
          <w:szCs w:val="24"/>
        </w:rPr>
        <w:t xml:space="preserve"> which </w:t>
      </w:r>
      <w:r w:rsidR="003A5473" w:rsidRPr="00BC1E6D">
        <w:rPr>
          <w:rFonts w:ascii="Times New Roman" w:eastAsiaTheme="minorEastAsia" w:hAnsi="Times New Roman" w:cs="Times New Roman"/>
          <w:sz w:val="24"/>
          <w:szCs w:val="24"/>
        </w:rPr>
        <w:t xml:space="preserve">made the </w:t>
      </w:r>
      <w:r w:rsidR="00A14533" w:rsidRPr="00BC1E6D">
        <w:rPr>
          <w:rFonts w:ascii="Times New Roman" w:eastAsiaTheme="minorEastAsia" w:hAnsi="Times New Roman" w:cs="Times New Roman"/>
          <w:sz w:val="24"/>
          <w:szCs w:val="24"/>
        </w:rPr>
        <w:t>other variables hard to see</w:t>
      </w:r>
      <w:r w:rsidR="003A5473" w:rsidRPr="00BC1E6D">
        <w:rPr>
          <w:rFonts w:ascii="Times New Roman" w:eastAsiaTheme="minorEastAsia" w:hAnsi="Times New Roman" w:cs="Times New Roman"/>
          <w:sz w:val="24"/>
          <w:szCs w:val="24"/>
        </w:rPr>
        <w:t xml:space="preserve"> due to its </w:t>
      </w:r>
      <w:r w:rsidR="00A14533" w:rsidRPr="00BC1E6D">
        <w:rPr>
          <w:rFonts w:ascii="Times New Roman" w:eastAsiaTheme="minorEastAsia" w:hAnsi="Times New Roman" w:cs="Times New Roman"/>
          <w:sz w:val="24"/>
          <w:szCs w:val="24"/>
        </w:rPr>
        <w:t xml:space="preserve">relatively </w:t>
      </w:r>
      <w:r w:rsidR="003A5473" w:rsidRPr="00BC1E6D">
        <w:rPr>
          <w:rFonts w:ascii="Times New Roman" w:eastAsiaTheme="minorEastAsia" w:hAnsi="Times New Roman" w:cs="Times New Roman"/>
          <w:sz w:val="24"/>
          <w:szCs w:val="24"/>
        </w:rPr>
        <w:t xml:space="preserve">small standard deviation. </w:t>
      </w:r>
      <w:r w:rsidR="004875B8" w:rsidRPr="00BC1E6D">
        <w:rPr>
          <w:rFonts w:ascii="Times New Roman" w:eastAsiaTheme="minorEastAsia" w:hAnsi="Times New Roman" w:cs="Times New Roman"/>
          <w:sz w:val="24"/>
          <w:szCs w:val="24"/>
        </w:rPr>
        <w:t>The data all appear normally distributed</w:t>
      </w:r>
      <w:r w:rsidR="007A4448" w:rsidRPr="00BC1E6D">
        <w:rPr>
          <w:rFonts w:ascii="Times New Roman" w:eastAsiaTheme="minorEastAsia" w:hAnsi="Times New Roman" w:cs="Times New Roman"/>
          <w:sz w:val="24"/>
          <w:szCs w:val="24"/>
        </w:rPr>
        <w:t>.</w:t>
      </w:r>
      <w:r w:rsidR="004875B8" w:rsidRPr="00BC1E6D">
        <w:rPr>
          <w:rFonts w:ascii="Times New Roman" w:eastAsiaTheme="minorEastAsia" w:hAnsi="Times New Roman" w:cs="Times New Roman"/>
          <w:sz w:val="24"/>
          <w:szCs w:val="24"/>
        </w:rPr>
        <w:t xml:space="preserve"> </w:t>
      </w:r>
    </w:p>
    <w:p w14:paraId="01244FA3" w14:textId="0DB78330" w:rsidR="00E71E48" w:rsidRPr="00BC1E6D" w:rsidRDefault="0038677E" w:rsidP="00BD3816">
      <w:pPr>
        <w:keepNext/>
        <w:spacing w:line="276" w:lineRule="auto"/>
        <w:jc w:val="center"/>
        <w:rPr>
          <w:rFonts w:ascii="Times New Roman" w:hAnsi="Times New Roman" w:cs="Times New Roman"/>
          <w:sz w:val="24"/>
          <w:szCs w:val="24"/>
        </w:rPr>
      </w:pPr>
      <w:r>
        <w:rPr>
          <w:noProof/>
        </w:rPr>
        <w:drawing>
          <wp:inline distT="0" distB="0" distL="0" distR="0" wp14:anchorId="5A64A642" wp14:editId="7B94F21B">
            <wp:extent cx="5053998" cy="26479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214" cy="2660114"/>
                    </a:xfrm>
                    <a:prstGeom prst="rect">
                      <a:avLst/>
                    </a:prstGeom>
                    <a:noFill/>
                    <a:ln>
                      <a:noFill/>
                    </a:ln>
                  </pic:spPr>
                </pic:pic>
              </a:graphicData>
            </a:graphic>
          </wp:inline>
        </w:drawing>
      </w:r>
    </w:p>
    <w:p w14:paraId="7EA09017" w14:textId="27F1310F" w:rsidR="004B0152" w:rsidRPr="00BC1E6D" w:rsidRDefault="00E71E48" w:rsidP="00BD3816">
      <w:pPr>
        <w:pStyle w:val="Caption"/>
        <w:spacing w:line="276" w:lineRule="auto"/>
        <w:jc w:val="center"/>
        <w:rPr>
          <w:rFonts w:ascii="Times New Roman" w:eastAsiaTheme="minorEastAsia" w:hAnsi="Times New Roman" w:cs="Times New Roman"/>
          <w:color w:val="auto"/>
          <w:sz w:val="24"/>
          <w:szCs w:val="24"/>
        </w:rPr>
      </w:pPr>
      <w:r w:rsidRPr="00BC1E6D">
        <w:rPr>
          <w:rFonts w:ascii="Times New Roman" w:hAnsi="Times New Roman" w:cs="Times New Roman"/>
          <w:color w:val="auto"/>
          <w:sz w:val="24"/>
          <w:szCs w:val="24"/>
        </w:rPr>
        <w:t xml:space="preserve">Figure </w:t>
      </w:r>
      <w:r w:rsidRPr="00BC1E6D">
        <w:rPr>
          <w:rFonts w:ascii="Times New Roman" w:hAnsi="Times New Roman" w:cs="Times New Roman"/>
          <w:color w:val="auto"/>
          <w:sz w:val="24"/>
          <w:szCs w:val="24"/>
        </w:rPr>
        <w:fldChar w:fldCharType="begin"/>
      </w:r>
      <w:r w:rsidRPr="00BC1E6D">
        <w:rPr>
          <w:rFonts w:ascii="Times New Roman" w:hAnsi="Times New Roman" w:cs="Times New Roman"/>
          <w:color w:val="auto"/>
          <w:sz w:val="24"/>
          <w:szCs w:val="24"/>
        </w:rPr>
        <w:instrText xml:space="preserve"> SEQ Figure \* ARABIC </w:instrText>
      </w:r>
      <w:r w:rsidRPr="00BC1E6D">
        <w:rPr>
          <w:rFonts w:ascii="Times New Roman" w:hAnsi="Times New Roman" w:cs="Times New Roman"/>
          <w:color w:val="auto"/>
          <w:sz w:val="24"/>
          <w:szCs w:val="24"/>
        </w:rPr>
        <w:fldChar w:fldCharType="separate"/>
      </w:r>
      <w:r w:rsidRPr="00BC1E6D">
        <w:rPr>
          <w:rFonts w:ascii="Times New Roman" w:hAnsi="Times New Roman" w:cs="Times New Roman"/>
          <w:noProof/>
          <w:color w:val="auto"/>
          <w:sz w:val="24"/>
          <w:szCs w:val="24"/>
        </w:rPr>
        <w:t>2</w:t>
      </w:r>
      <w:r w:rsidRPr="00BC1E6D">
        <w:rPr>
          <w:rFonts w:ascii="Times New Roman" w:hAnsi="Times New Roman" w:cs="Times New Roman"/>
          <w:color w:val="auto"/>
          <w:sz w:val="24"/>
          <w:szCs w:val="24"/>
        </w:rPr>
        <w:fldChar w:fldCharType="end"/>
      </w:r>
      <w:r w:rsidRPr="00BC1E6D">
        <w:rPr>
          <w:rFonts w:ascii="Times New Roman" w:hAnsi="Times New Roman" w:cs="Times New Roman"/>
          <w:color w:val="auto"/>
          <w:sz w:val="24"/>
          <w:szCs w:val="24"/>
        </w:rPr>
        <w:t>: Distributions of Changes in Macro Trends</w:t>
      </w:r>
    </w:p>
    <w:p w14:paraId="719113D0" w14:textId="1EC01861" w:rsidR="006C738E" w:rsidRPr="00A72BB8" w:rsidRDefault="00022772" w:rsidP="00BD3816">
      <w:pPr>
        <w:pStyle w:val="Heading3"/>
        <w:spacing w:line="276" w:lineRule="auto"/>
        <w:rPr>
          <w:rFonts w:ascii="Times New Roman" w:eastAsiaTheme="minorEastAsia" w:hAnsi="Times New Roman" w:cs="Times New Roman"/>
          <w:b/>
          <w:bCs/>
          <w:color w:val="auto"/>
        </w:rPr>
      </w:pPr>
      <w:r w:rsidRPr="00A72BB8">
        <w:rPr>
          <w:rFonts w:ascii="Times New Roman" w:eastAsiaTheme="minorEastAsia" w:hAnsi="Times New Roman" w:cs="Times New Roman"/>
          <w:b/>
          <w:bCs/>
          <w:color w:val="auto"/>
        </w:rPr>
        <w:lastRenderedPageBreak/>
        <w:t>Stock Data</w:t>
      </w:r>
      <w:r w:rsidR="007713DC" w:rsidRPr="00A72BB8">
        <w:rPr>
          <w:rFonts w:ascii="Times New Roman" w:eastAsiaTheme="minorEastAsia" w:hAnsi="Times New Roman" w:cs="Times New Roman"/>
          <w:b/>
          <w:bCs/>
          <w:color w:val="auto"/>
        </w:rPr>
        <w:t xml:space="preserve"> </w:t>
      </w:r>
      <w:r w:rsidRPr="00A72BB8">
        <w:rPr>
          <w:rFonts w:ascii="Times New Roman" w:eastAsiaTheme="minorEastAsia" w:hAnsi="Times New Roman" w:cs="Times New Roman"/>
          <w:b/>
          <w:bCs/>
          <w:color w:val="auto"/>
        </w:rPr>
        <w:t>(</w:t>
      </w:r>
      <w:r w:rsidR="007713DC" w:rsidRPr="00A72BB8">
        <w:rPr>
          <w:rFonts w:ascii="Times New Roman" w:eastAsiaTheme="minorEastAsia" w:hAnsi="Times New Roman" w:cs="Times New Roman"/>
          <w:b/>
          <w:bCs/>
          <w:color w:val="auto"/>
        </w:rPr>
        <w:t>Segmented by Sector)</w:t>
      </w:r>
    </w:p>
    <w:p w14:paraId="403CF330" w14:textId="3027FDDF" w:rsidR="007A0C1F" w:rsidRPr="00BC1E6D" w:rsidRDefault="00C741CA"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complete list of S&amp;P500 constituents was pulled </w:t>
      </w:r>
      <w:r w:rsidR="001E2431" w:rsidRPr="00BC1E6D">
        <w:rPr>
          <w:rFonts w:ascii="Times New Roman" w:eastAsiaTheme="minorEastAsia" w:hAnsi="Times New Roman" w:cs="Times New Roman"/>
          <w:sz w:val="24"/>
          <w:szCs w:val="24"/>
        </w:rPr>
        <w:t>from</w:t>
      </w:r>
      <w:r w:rsidR="00C53F79" w:rsidRPr="00BC1E6D">
        <w:rPr>
          <w:rFonts w:ascii="Times New Roman" w:eastAsiaTheme="minorEastAsia" w:hAnsi="Times New Roman" w:cs="Times New Roman"/>
          <w:sz w:val="24"/>
          <w:szCs w:val="24"/>
        </w:rPr>
        <w:t xml:space="preserve"> TopForeignStocks.com a</w:t>
      </w:r>
      <w:r w:rsidR="008F65D0" w:rsidRPr="00BC1E6D">
        <w:rPr>
          <w:rFonts w:ascii="Times New Roman" w:eastAsiaTheme="minorEastAsia" w:hAnsi="Times New Roman" w:cs="Times New Roman"/>
          <w:sz w:val="24"/>
          <w:szCs w:val="24"/>
        </w:rPr>
        <w:t>nd</w:t>
      </w:r>
      <w:r w:rsidR="00C53F79" w:rsidRPr="00BC1E6D">
        <w:rPr>
          <w:rFonts w:ascii="Times New Roman" w:eastAsiaTheme="minorEastAsia" w:hAnsi="Times New Roman" w:cs="Times New Roman"/>
          <w:sz w:val="24"/>
          <w:szCs w:val="24"/>
        </w:rPr>
        <w:t xml:space="preserve"> was </w:t>
      </w:r>
      <w:r w:rsidR="00B81D3A" w:rsidRPr="00BC1E6D">
        <w:rPr>
          <w:rFonts w:ascii="Times New Roman" w:eastAsiaTheme="minorEastAsia" w:hAnsi="Times New Roman" w:cs="Times New Roman"/>
          <w:sz w:val="24"/>
          <w:szCs w:val="24"/>
        </w:rPr>
        <w:t>up to date</w:t>
      </w:r>
      <w:r w:rsidR="00C53F79" w:rsidRPr="00BC1E6D">
        <w:rPr>
          <w:rFonts w:ascii="Times New Roman" w:eastAsiaTheme="minorEastAsia" w:hAnsi="Times New Roman" w:cs="Times New Roman"/>
          <w:sz w:val="24"/>
          <w:szCs w:val="24"/>
        </w:rPr>
        <w:t xml:space="preserve"> as of November 15</w:t>
      </w:r>
      <w:r w:rsidR="00C53F79" w:rsidRPr="00BC1E6D">
        <w:rPr>
          <w:rFonts w:ascii="Times New Roman" w:eastAsiaTheme="minorEastAsia" w:hAnsi="Times New Roman" w:cs="Times New Roman"/>
          <w:sz w:val="24"/>
          <w:szCs w:val="24"/>
          <w:vertAlign w:val="superscript"/>
        </w:rPr>
        <w:t>th</w:t>
      </w:r>
      <w:r w:rsidR="00C53F79" w:rsidRPr="00BC1E6D">
        <w:rPr>
          <w:rFonts w:ascii="Times New Roman" w:eastAsiaTheme="minorEastAsia" w:hAnsi="Times New Roman" w:cs="Times New Roman"/>
          <w:sz w:val="24"/>
          <w:szCs w:val="24"/>
        </w:rPr>
        <w:t>, 2022</w:t>
      </w:r>
      <w:r w:rsidR="00E934D5" w:rsidRPr="00BC1E6D">
        <w:rPr>
          <w:rFonts w:ascii="Times New Roman" w:eastAsiaTheme="minorEastAsia" w:hAnsi="Times New Roman" w:cs="Times New Roman"/>
          <w:sz w:val="24"/>
          <w:szCs w:val="24"/>
        </w:rPr>
        <w:t>(Top Foreign Stocks</w:t>
      </w:r>
      <w:r w:rsidR="00523470" w:rsidRPr="00BC1E6D">
        <w:rPr>
          <w:rFonts w:ascii="Times New Roman" w:eastAsiaTheme="minorEastAsia" w:hAnsi="Times New Roman" w:cs="Times New Roman"/>
          <w:sz w:val="24"/>
          <w:szCs w:val="24"/>
        </w:rPr>
        <w:t xml:space="preserve"> 2022</w:t>
      </w:r>
      <w:r w:rsidR="00E934D5" w:rsidRPr="00BC1E6D">
        <w:rPr>
          <w:rFonts w:ascii="Times New Roman" w:eastAsiaTheme="minorEastAsia" w:hAnsi="Times New Roman" w:cs="Times New Roman"/>
          <w:sz w:val="24"/>
          <w:szCs w:val="24"/>
        </w:rPr>
        <w:t>)</w:t>
      </w:r>
      <w:r w:rsidR="00C53F79" w:rsidRPr="00BC1E6D">
        <w:rPr>
          <w:rFonts w:ascii="Times New Roman" w:eastAsiaTheme="minorEastAsia" w:hAnsi="Times New Roman" w:cs="Times New Roman"/>
          <w:sz w:val="24"/>
          <w:szCs w:val="24"/>
        </w:rPr>
        <w:t xml:space="preserve">. </w:t>
      </w:r>
      <w:r w:rsidR="00B24FEB" w:rsidRPr="00BC1E6D">
        <w:rPr>
          <w:rFonts w:ascii="Times New Roman" w:eastAsiaTheme="minorEastAsia" w:hAnsi="Times New Roman" w:cs="Times New Roman"/>
          <w:sz w:val="24"/>
          <w:szCs w:val="24"/>
        </w:rPr>
        <w:t xml:space="preserve">The dataset contained the name of the company, stock ticker, and sector. </w:t>
      </w:r>
      <w:r w:rsidR="006154A2" w:rsidRPr="00BC1E6D">
        <w:rPr>
          <w:rFonts w:ascii="Times New Roman" w:eastAsiaTheme="minorEastAsia" w:hAnsi="Times New Roman" w:cs="Times New Roman"/>
          <w:sz w:val="24"/>
          <w:szCs w:val="24"/>
        </w:rPr>
        <w:t>There are 510 stocks in the index, with 1</w:t>
      </w:r>
      <w:r w:rsidR="008E7778" w:rsidRPr="00BC1E6D">
        <w:rPr>
          <w:rFonts w:ascii="Times New Roman" w:eastAsiaTheme="minorEastAsia" w:hAnsi="Times New Roman" w:cs="Times New Roman"/>
          <w:sz w:val="24"/>
          <w:szCs w:val="24"/>
        </w:rPr>
        <w:t>2</w:t>
      </w:r>
      <w:r w:rsidR="006154A2" w:rsidRPr="00BC1E6D">
        <w:rPr>
          <w:rFonts w:ascii="Times New Roman" w:eastAsiaTheme="minorEastAsia" w:hAnsi="Times New Roman" w:cs="Times New Roman"/>
          <w:sz w:val="24"/>
          <w:szCs w:val="24"/>
        </w:rPr>
        <w:t xml:space="preserve"> possible sectors: </w:t>
      </w:r>
      <w:r w:rsidR="00682B03" w:rsidRPr="00BC1E6D">
        <w:rPr>
          <w:rFonts w:ascii="Times New Roman" w:eastAsiaTheme="minorEastAsia" w:hAnsi="Times New Roman" w:cs="Times New Roman"/>
          <w:sz w:val="24"/>
          <w:szCs w:val="24"/>
        </w:rPr>
        <w:t>Information Technology</w:t>
      </w:r>
      <w:r w:rsidR="000F3903" w:rsidRPr="00BC1E6D">
        <w:rPr>
          <w:rFonts w:ascii="Times New Roman" w:eastAsiaTheme="minorEastAsia" w:hAnsi="Times New Roman" w:cs="Times New Roman"/>
          <w:sz w:val="24"/>
          <w:szCs w:val="24"/>
        </w:rPr>
        <w:t>(IT)</w:t>
      </w:r>
      <w:r w:rsidR="00682B03" w:rsidRPr="00BC1E6D">
        <w:rPr>
          <w:rFonts w:ascii="Times New Roman" w:eastAsiaTheme="minorEastAsia" w:hAnsi="Times New Roman" w:cs="Times New Roman"/>
          <w:sz w:val="24"/>
          <w:szCs w:val="24"/>
        </w:rPr>
        <w:t>, Consumer Discretionary</w:t>
      </w:r>
      <w:r w:rsidR="000F3903" w:rsidRPr="00BC1E6D">
        <w:rPr>
          <w:rFonts w:ascii="Times New Roman" w:eastAsiaTheme="minorEastAsia" w:hAnsi="Times New Roman" w:cs="Times New Roman"/>
          <w:sz w:val="24"/>
          <w:szCs w:val="24"/>
        </w:rPr>
        <w:t>(CD)</w:t>
      </w:r>
      <w:r w:rsidR="00682B03" w:rsidRPr="00BC1E6D">
        <w:rPr>
          <w:rFonts w:ascii="Times New Roman" w:eastAsiaTheme="minorEastAsia" w:hAnsi="Times New Roman" w:cs="Times New Roman"/>
          <w:sz w:val="24"/>
          <w:szCs w:val="24"/>
        </w:rPr>
        <w:t>, Communication Services</w:t>
      </w:r>
      <w:r w:rsidR="000F3903" w:rsidRPr="00BC1E6D">
        <w:rPr>
          <w:rFonts w:ascii="Times New Roman" w:eastAsiaTheme="minorEastAsia" w:hAnsi="Times New Roman" w:cs="Times New Roman"/>
          <w:sz w:val="24"/>
          <w:szCs w:val="24"/>
        </w:rPr>
        <w:t>(Com)</w:t>
      </w:r>
      <w:r w:rsidR="00682B03" w:rsidRPr="00BC1E6D">
        <w:rPr>
          <w:rFonts w:ascii="Times New Roman" w:eastAsiaTheme="minorEastAsia" w:hAnsi="Times New Roman" w:cs="Times New Roman"/>
          <w:sz w:val="24"/>
          <w:szCs w:val="24"/>
        </w:rPr>
        <w:t>, Financials</w:t>
      </w:r>
      <w:r w:rsidR="000F3903" w:rsidRPr="00BC1E6D">
        <w:rPr>
          <w:rFonts w:ascii="Times New Roman" w:eastAsiaTheme="minorEastAsia" w:hAnsi="Times New Roman" w:cs="Times New Roman"/>
          <w:sz w:val="24"/>
          <w:szCs w:val="24"/>
        </w:rPr>
        <w:t>(Fin)</w:t>
      </w:r>
      <w:r w:rsidR="00682B03" w:rsidRPr="00BC1E6D">
        <w:rPr>
          <w:rFonts w:ascii="Times New Roman" w:eastAsiaTheme="minorEastAsia" w:hAnsi="Times New Roman" w:cs="Times New Roman"/>
          <w:sz w:val="24"/>
          <w:szCs w:val="24"/>
        </w:rPr>
        <w:t>, Health Care</w:t>
      </w:r>
      <w:r w:rsidR="000F3903" w:rsidRPr="00BC1E6D">
        <w:rPr>
          <w:rFonts w:ascii="Times New Roman" w:eastAsiaTheme="minorEastAsia" w:hAnsi="Times New Roman" w:cs="Times New Roman"/>
          <w:sz w:val="24"/>
          <w:szCs w:val="24"/>
        </w:rPr>
        <w:t>(HC)</w:t>
      </w:r>
      <w:r w:rsidR="00682B03" w:rsidRPr="00BC1E6D">
        <w:rPr>
          <w:rFonts w:ascii="Times New Roman" w:eastAsiaTheme="minorEastAsia" w:hAnsi="Times New Roman" w:cs="Times New Roman"/>
          <w:sz w:val="24"/>
          <w:szCs w:val="24"/>
        </w:rPr>
        <w:t>, Energy</w:t>
      </w:r>
      <w:r w:rsidR="000F3903" w:rsidRPr="00BC1E6D">
        <w:rPr>
          <w:rFonts w:ascii="Times New Roman" w:eastAsiaTheme="minorEastAsia" w:hAnsi="Times New Roman" w:cs="Times New Roman"/>
          <w:sz w:val="24"/>
          <w:szCs w:val="24"/>
        </w:rPr>
        <w:t>(E)</w:t>
      </w:r>
      <w:r w:rsidR="00682B03" w:rsidRPr="00BC1E6D">
        <w:rPr>
          <w:rFonts w:ascii="Times New Roman" w:eastAsiaTheme="minorEastAsia" w:hAnsi="Times New Roman" w:cs="Times New Roman"/>
          <w:sz w:val="24"/>
          <w:szCs w:val="24"/>
        </w:rPr>
        <w:t>, Consumer Staples</w:t>
      </w:r>
      <w:r w:rsidR="000F3903" w:rsidRPr="00BC1E6D">
        <w:rPr>
          <w:rFonts w:ascii="Times New Roman" w:eastAsiaTheme="minorEastAsia" w:hAnsi="Times New Roman" w:cs="Times New Roman"/>
          <w:sz w:val="24"/>
          <w:szCs w:val="24"/>
        </w:rPr>
        <w:t>(CS)</w:t>
      </w:r>
      <w:r w:rsidR="00682B03" w:rsidRPr="00BC1E6D">
        <w:rPr>
          <w:rFonts w:ascii="Times New Roman" w:eastAsiaTheme="minorEastAsia" w:hAnsi="Times New Roman" w:cs="Times New Roman"/>
          <w:sz w:val="24"/>
          <w:szCs w:val="24"/>
        </w:rPr>
        <w:t xml:space="preserve">, </w:t>
      </w:r>
      <w:r w:rsidR="004662FA" w:rsidRPr="00BC1E6D">
        <w:rPr>
          <w:rFonts w:ascii="Times New Roman" w:eastAsiaTheme="minorEastAsia" w:hAnsi="Times New Roman" w:cs="Times New Roman"/>
          <w:sz w:val="24"/>
          <w:szCs w:val="24"/>
        </w:rPr>
        <w:t>Utilities</w:t>
      </w:r>
      <w:r w:rsidR="000F3903" w:rsidRPr="00BC1E6D">
        <w:rPr>
          <w:rFonts w:ascii="Times New Roman" w:eastAsiaTheme="minorEastAsia" w:hAnsi="Times New Roman" w:cs="Times New Roman"/>
          <w:sz w:val="24"/>
          <w:szCs w:val="24"/>
        </w:rPr>
        <w:t>(U)</w:t>
      </w:r>
      <w:r w:rsidR="004662FA" w:rsidRPr="00BC1E6D">
        <w:rPr>
          <w:rFonts w:ascii="Times New Roman" w:eastAsiaTheme="minorEastAsia" w:hAnsi="Times New Roman" w:cs="Times New Roman"/>
          <w:sz w:val="24"/>
          <w:szCs w:val="24"/>
        </w:rPr>
        <w:t>, Industrials</w:t>
      </w:r>
      <w:r w:rsidR="000F3903" w:rsidRPr="00BC1E6D">
        <w:rPr>
          <w:rFonts w:ascii="Times New Roman" w:eastAsiaTheme="minorEastAsia" w:hAnsi="Times New Roman" w:cs="Times New Roman"/>
          <w:sz w:val="24"/>
          <w:szCs w:val="24"/>
        </w:rPr>
        <w:t>(Ind)</w:t>
      </w:r>
      <w:r w:rsidR="004662FA" w:rsidRPr="00BC1E6D">
        <w:rPr>
          <w:rFonts w:ascii="Times New Roman" w:eastAsiaTheme="minorEastAsia" w:hAnsi="Times New Roman" w:cs="Times New Roman"/>
          <w:sz w:val="24"/>
          <w:szCs w:val="24"/>
        </w:rPr>
        <w:t>, Materials</w:t>
      </w:r>
      <w:r w:rsidR="000F3903" w:rsidRPr="00BC1E6D">
        <w:rPr>
          <w:rFonts w:ascii="Times New Roman" w:eastAsiaTheme="minorEastAsia" w:hAnsi="Times New Roman" w:cs="Times New Roman"/>
          <w:sz w:val="24"/>
          <w:szCs w:val="24"/>
        </w:rPr>
        <w:t>(Mat)</w:t>
      </w:r>
      <w:r w:rsidR="008E7778" w:rsidRPr="00BC1E6D">
        <w:rPr>
          <w:rFonts w:ascii="Times New Roman" w:eastAsiaTheme="minorEastAsia" w:hAnsi="Times New Roman" w:cs="Times New Roman"/>
          <w:sz w:val="24"/>
          <w:szCs w:val="24"/>
        </w:rPr>
        <w:t>,</w:t>
      </w:r>
      <w:r w:rsidR="00E934D5" w:rsidRPr="00BC1E6D">
        <w:rPr>
          <w:rFonts w:ascii="Times New Roman" w:eastAsiaTheme="minorEastAsia" w:hAnsi="Times New Roman" w:cs="Times New Roman"/>
          <w:sz w:val="24"/>
          <w:szCs w:val="24"/>
        </w:rPr>
        <w:t xml:space="preserve"> </w:t>
      </w:r>
      <w:r w:rsidR="004662FA" w:rsidRPr="00BC1E6D">
        <w:rPr>
          <w:rFonts w:ascii="Times New Roman" w:eastAsiaTheme="minorEastAsia" w:hAnsi="Times New Roman" w:cs="Times New Roman"/>
          <w:sz w:val="24"/>
          <w:szCs w:val="24"/>
        </w:rPr>
        <w:t>Real Estate</w:t>
      </w:r>
      <w:r w:rsidR="000F3903" w:rsidRPr="00BC1E6D">
        <w:rPr>
          <w:rFonts w:ascii="Times New Roman" w:eastAsiaTheme="minorEastAsia" w:hAnsi="Times New Roman" w:cs="Times New Roman"/>
          <w:sz w:val="24"/>
          <w:szCs w:val="24"/>
        </w:rPr>
        <w:t>(RE)</w:t>
      </w:r>
      <w:r w:rsidR="008E7778" w:rsidRPr="00BC1E6D">
        <w:rPr>
          <w:rFonts w:ascii="Times New Roman" w:eastAsiaTheme="minorEastAsia" w:hAnsi="Times New Roman" w:cs="Times New Roman"/>
          <w:sz w:val="24"/>
          <w:szCs w:val="24"/>
        </w:rPr>
        <w:t>, and Unassigned</w:t>
      </w:r>
      <w:r w:rsidR="004662FA" w:rsidRPr="00BC1E6D">
        <w:rPr>
          <w:rFonts w:ascii="Times New Roman" w:eastAsiaTheme="minorEastAsia" w:hAnsi="Times New Roman" w:cs="Times New Roman"/>
          <w:sz w:val="24"/>
          <w:szCs w:val="24"/>
        </w:rPr>
        <w:t>.</w:t>
      </w:r>
      <w:r w:rsidR="008E7778" w:rsidRPr="00BC1E6D">
        <w:rPr>
          <w:rFonts w:ascii="Times New Roman" w:eastAsiaTheme="minorEastAsia" w:hAnsi="Times New Roman" w:cs="Times New Roman"/>
          <w:sz w:val="24"/>
          <w:szCs w:val="24"/>
        </w:rPr>
        <w:t xml:space="preserve"> Only one stock was in the </w:t>
      </w:r>
      <w:r w:rsidR="002A7BBF" w:rsidRPr="00BC1E6D">
        <w:rPr>
          <w:rFonts w:ascii="Times New Roman" w:eastAsiaTheme="minorEastAsia" w:hAnsi="Times New Roman" w:cs="Times New Roman"/>
          <w:sz w:val="24"/>
          <w:szCs w:val="24"/>
        </w:rPr>
        <w:t>U</w:t>
      </w:r>
      <w:r w:rsidR="008E7778" w:rsidRPr="00BC1E6D">
        <w:rPr>
          <w:rFonts w:ascii="Times New Roman" w:eastAsiaTheme="minorEastAsia" w:hAnsi="Times New Roman" w:cs="Times New Roman"/>
          <w:sz w:val="24"/>
          <w:szCs w:val="24"/>
        </w:rPr>
        <w:t xml:space="preserve">nassigned </w:t>
      </w:r>
      <w:r w:rsidR="002A7BBF" w:rsidRPr="00BC1E6D">
        <w:rPr>
          <w:rFonts w:ascii="Times New Roman" w:eastAsiaTheme="minorEastAsia" w:hAnsi="Times New Roman" w:cs="Times New Roman"/>
          <w:sz w:val="24"/>
          <w:szCs w:val="24"/>
        </w:rPr>
        <w:t xml:space="preserve">sector, so it was not included in the analysis. </w:t>
      </w:r>
      <w:r w:rsidR="007A0C1F" w:rsidRPr="00BC1E6D">
        <w:rPr>
          <w:rFonts w:ascii="Times New Roman" w:eastAsiaTheme="minorEastAsia" w:hAnsi="Times New Roman" w:cs="Times New Roman"/>
          <w:sz w:val="24"/>
          <w:szCs w:val="24"/>
        </w:rPr>
        <w:t>The data were scraped from Yaho</w:t>
      </w:r>
      <w:r w:rsidR="00FE3636" w:rsidRPr="00BC1E6D">
        <w:rPr>
          <w:rFonts w:ascii="Times New Roman" w:eastAsiaTheme="minorEastAsia" w:hAnsi="Times New Roman" w:cs="Times New Roman"/>
          <w:sz w:val="24"/>
          <w:szCs w:val="24"/>
        </w:rPr>
        <w:t xml:space="preserve">o Finance </w:t>
      </w:r>
      <w:r w:rsidR="007A0C1F" w:rsidRPr="00BC1E6D">
        <w:rPr>
          <w:rFonts w:ascii="Times New Roman" w:eastAsiaTheme="minorEastAsia" w:hAnsi="Times New Roman" w:cs="Times New Roman"/>
          <w:sz w:val="24"/>
          <w:szCs w:val="24"/>
        </w:rPr>
        <w:t xml:space="preserve">using Python </w:t>
      </w:r>
      <w:r w:rsidR="00FE3636" w:rsidRPr="00BC1E6D">
        <w:rPr>
          <w:rFonts w:ascii="Times New Roman" w:eastAsiaTheme="minorEastAsia" w:hAnsi="Times New Roman" w:cs="Times New Roman"/>
          <w:sz w:val="24"/>
          <w:szCs w:val="24"/>
        </w:rPr>
        <w:t xml:space="preserve">and averaged out by sector. </w:t>
      </w:r>
      <w:r w:rsidR="00E93AA2" w:rsidRPr="00BC1E6D">
        <w:rPr>
          <w:rFonts w:ascii="Times New Roman" w:eastAsiaTheme="minorEastAsia" w:hAnsi="Times New Roman" w:cs="Times New Roman"/>
          <w:sz w:val="24"/>
          <w:szCs w:val="24"/>
        </w:rPr>
        <w:t>Below</w:t>
      </w:r>
      <w:r w:rsidR="00805AE1" w:rsidRPr="00BC1E6D">
        <w:rPr>
          <w:rFonts w:ascii="Times New Roman" w:eastAsiaTheme="minorEastAsia" w:hAnsi="Times New Roman" w:cs="Times New Roman"/>
          <w:sz w:val="24"/>
          <w:szCs w:val="24"/>
        </w:rPr>
        <w:t xml:space="preserve"> in table </w:t>
      </w:r>
      <w:r w:rsidR="00565C5F" w:rsidRPr="00BC1E6D">
        <w:rPr>
          <w:rFonts w:ascii="Times New Roman" w:eastAsiaTheme="minorEastAsia" w:hAnsi="Times New Roman" w:cs="Times New Roman"/>
          <w:sz w:val="24"/>
          <w:szCs w:val="24"/>
        </w:rPr>
        <w:t>4</w:t>
      </w:r>
      <w:r w:rsidR="00E93AA2" w:rsidRPr="00BC1E6D">
        <w:rPr>
          <w:rFonts w:ascii="Times New Roman" w:eastAsiaTheme="minorEastAsia" w:hAnsi="Times New Roman" w:cs="Times New Roman"/>
          <w:sz w:val="24"/>
          <w:szCs w:val="24"/>
        </w:rPr>
        <w:t xml:space="preserve"> are the number of stocks from the S&amp;P500 in each sector.</w:t>
      </w:r>
      <w:r w:rsidR="00BC4743" w:rsidRPr="00BC1E6D">
        <w:rPr>
          <w:rFonts w:ascii="Times New Roman" w:eastAsiaTheme="minorEastAsia" w:hAnsi="Times New Roman" w:cs="Times New Roman"/>
          <w:sz w:val="24"/>
          <w:szCs w:val="24"/>
        </w:rPr>
        <w:t xml:space="preserve"> </w:t>
      </w:r>
    </w:p>
    <w:tbl>
      <w:tblPr>
        <w:tblW w:w="18607" w:type="dxa"/>
        <w:tblLayout w:type="fixed"/>
        <w:tblLook w:val="04A0" w:firstRow="1" w:lastRow="0" w:firstColumn="1" w:lastColumn="0" w:noHBand="0" w:noVBand="1"/>
      </w:tblPr>
      <w:tblGrid>
        <w:gridCol w:w="864"/>
        <w:gridCol w:w="864"/>
        <w:gridCol w:w="864"/>
        <w:gridCol w:w="864"/>
        <w:gridCol w:w="864"/>
        <w:gridCol w:w="864"/>
        <w:gridCol w:w="864"/>
        <w:gridCol w:w="50"/>
        <w:gridCol w:w="814"/>
        <w:gridCol w:w="864"/>
        <w:gridCol w:w="272"/>
        <w:gridCol w:w="592"/>
        <w:gridCol w:w="864"/>
        <w:gridCol w:w="458"/>
        <w:gridCol w:w="406"/>
        <w:gridCol w:w="554"/>
        <w:gridCol w:w="960"/>
        <w:gridCol w:w="960"/>
        <w:gridCol w:w="960"/>
        <w:gridCol w:w="960"/>
        <w:gridCol w:w="960"/>
        <w:gridCol w:w="960"/>
        <w:gridCol w:w="960"/>
        <w:gridCol w:w="965"/>
      </w:tblGrid>
      <w:tr w:rsidR="00BC1E6D" w:rsidRPr="00BC1E6D" w14:paraId="0C94FAB9" w14:textId="77777777" w:rsidTr="00823A00">
        <w:trPr>
          <w:trHeight w:val="300"/>
        </w:trPr>
        <w:tc>
          <w:tcPr>
            <w:tcW w:w="6098" w:type="dxa"/>
            <w:gridSpan w:val="8"/>
            <w:tcBorders>
              <w:top w:val="nil"/>
              <w:left w:val="nil"/>
              <w:bottom w:val="nil"/>
              <w:right w:val="nil"/>
            </w:tcBorders>
            <w:shd w:val="clear" w:color="auto" w:fill="auto"/>
            <w:noWrap/>
            <w:vAlign w:val="bottom"/>
            <w:hideMark/>
          </w:tcPr>
          <w:p w14:paraId="154B9030" w14:textId="754FC0C6" w:rsidR="00F9601F" w:rsidRPr="00BC1E6D" w:rsidRDefault="00F9601F" w:rsidP="00BD3816">
            <w:pPr>
              <w:spacing w:after="0" w:line="276" w:lineRule="auto"/>
              <w:rPr>
                <w:rFonts w:ascii="Times New Roman" w:eastAsia="Times New Roman" w:hAnsi="Times New Roman" w:cs="Times New Roman"/>
                <w:b/>
                <w:bCs/>
                <w:sz w:val="20"/>
                <w:szCs w:val="20"/>
              </w:rPr>
            </w:pPr>
            <w:r w:rsidRPr="00BC1E6D">
              <w:rPr>
                <w:rFonts w:ascii="Times New Roman" w:eastAsia="Times New Roman" w:hAnsi="Times New Roman" w:cs="Times New Roman"/>
                <w:b/>
                <w:bCs/>
                <w:sz w:val="20"/>
                <w:szCs w:val="20"/>
              </w:rPr>
              <w:t xml:space="preserve">Table </w:t>
            </w:r>
            <w:r w:rsidR="00565C5F" w:rsidRPr="00BC1E6D">
              <w:rPr>
                <w:rFonts w:ascii="Times New Roman" w:eastAsia="Times New Roman" w:hAnsi="Times New Roman" w:cs="Times New Roman"/>
                <w:b/>
                <w:bCs/>
                <w:sz w:val="20"/>
                <w:szCs w:val="20"/>
              </w:rPr>
              <w:t>4</w:t>
            </w:r>
          </w:p>
        </w:tc>
        <w:tc>
          <w:tcPr>
            <w:tcW w:w="1950" w:type="dxa"/>
            <w:gridSpan w:val="3"/>
            <w:tcBorders>
              <w:top w:val="nil"/>
              <w:left w:val="nil"/>
              <w:bottom w:val="nil"/>
              <w:right w:val="nil"/>
            </w:tcBorders>
            <w:shd w:val="clear" w:color="auto" w:fill="auto"/>
            <w:noWrap/>
            <w:vAlign w:val="bottom"/>
            <w:hideMark/>
          </w:tcPr>
          <w:p w14:paraId="0EE72F12" w14:textId="77777777" w:rsidR="00F9601F" w:rsidRPr="00BC1E6D" w:rsidRDefault="00F9601F" w:rsidP="00BD3816">
            <w:pPr>
              <w:spacing w:after="0" w:line="276" w:lineRule="auto"/>
              <w:rPr>
                <w:rFonts w:ascii="Times New Roman" w:eastAsia="Times New Roman" w:hAnsi="Times New Roman" w:cs="Times New Roman"/>
                <w:b/>
                <w:bCs/>
                <w:sz w:val="20"/>
                <w:szCs w:val="20"/>
              </w:rPr>
            </w:pPr>
          </w:p>
        </w:tc>
        <w:tc>
          <w:tcPr>
            <w:tcW w:w="1914" w:type="dxa"/>
            <w:gridSpan w:val="3"/>
            <w:tcBorders>
              <w:top w:val="nil"/>
              <w:left w:val="nil"/>
              <w:bottom w:val="nil"/>
              <w:right w:val="nil"/>
            </w:tcBorders>
            <w:shd w:val="clear" w:color="auto" w:fill="auto"/>
            <w:noWrap/>
            <w:vAlign w:val="bottom"/>
            <w:hideMark/>
          </w:tcPr>
          <w:p w14:paraId="560590C4"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2E8F9721"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A5A45B"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9F08F4"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2766EF"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A4C70C"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750A99"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247782"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098DAB"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0C8CB1FD" w14:textId="77777777" w:rsidR="00F9601F" w:rsidRPr="00BC1E6D" w:rsidRDefault="00F9601F" w:rsidP="00BD3816">
            <w:pPr>
              <w:spacing w:after="0" w:line="276" w:lineRule="auto"/>
              <w:rPr>
                <w:rFonts w:ascii="Times New Roman" w:eastAsia="Times New Roman" w:hAnsi="Times New Roman" w:cs="Times New Roman"/>
                <w:sz w:val="20"/>
                <w:szCs w:val="20"/>
              </w:rPr>
            </w:pPr>
          </w:p>
        </w:tc>
      </w:tr>
      <w:tr w:rsidR="00BC1E6D" w:rsidRPr="00BC1E6D" w14:paraId="350181FC" w14:textId="77777777" w:rsidTr="00823A00">
        <w:trPr>
          <w:trHeight w:val="300"/>
        </w:trPr>
        <w:tc>
          <w:tcPr>
            <w:tcW w:w="10922" w:type="dxa"/>
            <w:gridSpan w:val="16"/>
            <w:tcBorders>
              <w:top w:val="nil"/>
              <w:left w:val="nil"/>
              <w:bottom w:val="nil"/>
              <w:right w:val="nil"/>
            </w:tcBorders>
            <w:shd w:val="clear" w:color="auto" w:fill="auto"/>
            <w:noWrap/>
            <w:vAlign w:val="bottom"/>
            <w:hideMark/>
          </w:tcPr>
          <w:p w14:paraId="4A634D71" w14:textId="5804FBBE" w:rsidR="00F9601F" w:rsidRPr="00BC1E6D" w:rsidRDefault="00F9601F" w:rsidP="00BD3816">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Counts of Each Sector in the S&amp;P500</w:t>
            </w:r>
          </w:p>
        </w:tc>
        <w:tc>
          <w:tcPr>
            <w:tcW w:w="960" w:type="dxa"/>
            <w:tcBorders>
              <w:top w:val="nil"/>
              <w:left w:val="nil"/>
              <w:bottom w:val="nil"/>
              <w:right w:val="nil"/>
            </w:tcBorders>
            <w:shd w:val="clear" w:color="auto" w:fill="auto"/>
            <w:noWrap/>
            <w:vAlign w:val="bottom"/>
            <w:hideMark/>
          </w:tcPr>
          <w:p w14:paraId="5E9ED7C4" w14:textId="77777777" w:rsidR="00F9601F" w:rsidRPr="00BC1E6D" w:rsidRDefault="00F9601F" w:rsidP="00BD3816">
            <w:pPr>
              <w:spacing w:after="0" w:line="276"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0EC873BD"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0CE4F7"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B8A042"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E8FD95"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5535D6"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FF447C" w14:textId="77777777" w:rsidR="00F9601F" w:rsidRPr="00BC1E6D" w:rsidRDefault="00F9601F" w:rsidP="00BD3816">
            <w:pPr>
              <w:spacing w:after="0" w:line="276"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1CF3188C" w14:textId="77777777" w:rsidR="00F9601F" w:rsidRPr="00BC1E6D" w:rsidRDefault="00F9601F" w:rsidP="00BD3816">
            <w:pPr>
              <w:spacing w:after="0" w:line="276" w:lineRule="auto"/>
              <w:rPr>
                <w:rFonts w:ascii="Times New Roman" w:eastAsia="Times New Roman" w:hAnsi="Times New Roman" w:cs="Times New Roman"/>
                <w:sz w:val="20"/>
                <w:szCs w:val="20"/>
              </w:rPr>
            </w:pPr>
          </w:p>
        </w:tc>
      </w:tr>
      <w:tr w:rsidR="00BC1E6D" w:rsidRPr="00BC1E6D" w14:paraId="15681753" w14:textId="77777777" w:rsidTr="00823A00">
        <w:trPr>
          <w:gridAfter w:val="9"/>
          <w:wAfter w:w="8239" w:type="dxa"/>
          <w:trHeight w:val="300"/>
        </w:trPr>
        <w:tc>
          <w:tcPr>
            <w:tcW w:w="864" w:type="dxa"/>
            <w:tcBorders>
              <w:top w:val="single" w:sz="4" w:space="0" w:color="auto"/>
              <w:left w:val="nil"/>
              <w:bottom w:val="single" w:sz="4" w:space="0" w:color="auto"/>
              <w:right w:val="nil"/>
            </w:tcBorders>
            <w:shd w:val="clear" w:color="auto" w:fill="auto"/>
            <w:noWrap/>
            <w:vAlign w:val="bottom"/>
            <w:hideMark/>
          </w:tcPr>
          <w:p w14:paraId="15E47332" w14:textId="4B92C78F" w:rsidR="00F9601F" w:rsidRPr="00BC1E6D" w:rsidRDefault="00F9601F" w:rsidP="00BD3816">
            <w:pPr>
              <w:spacing w:after="0" w:line="276" w:lineRule="auto"/>
              <w:jc w:val="center"/>
              <w:rPr>
                <w:rFonts w:ascii="Times New Roman" w:eastAsia="Times New Roman" w:hAnsi="Times New Roman" w:cs="Times New Roman"/>
                <w:sz w:val="20"/>
                <w:szCs w:val="20"/>
              </w:rPr>
            </w:pPr>
          </w:p>
        </w:tc>
        <w:tc>
          <w:tcPr>
            <w:tcW w:w="864" w:type="dxa"/>
            <w:tcBorders>
              <w:top w:val="single" w:sz="4" w:space="0" w:color="auto"/>
              <w:left w:val="nil"/>
              <w:bottom w:val="single" w:sz="4" w:space="0" w:color="auto"/>
              <w:right w:val="nil"/>
            </w:tcBorders>
            <w:shd w:val="clear" w:color="000000" w:fill="FFFFFF"/>
            <w:noWrap/>
            <w:vAlign w:val="center"/>
            <w:hideMark/>
          </w:tcPr>
          <w:p w14:paraId="7824060D"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IT</w:t>
            </w:r>
          </w:p>
        </w:tc>
        <w:tc>
          <w:tcPr>
            <w:tcW w:w="864" w:type="dxa"/>
            <w:tcBorders>
              <w:top w:val="single" w:sz="4" w:space="0" w:color="auto"/>
              <w:left w:val="nil"/>
              <w:bottom w:val="single" w:sz="4" w:space="0" w:color="auto"/>
              <w:right w:val="nil"/>
            </w:tcBorders>
            <w:shd w:val="clear" w:color="000000" w:fill="FFFFFF"/>
            <w:noWrap/>
            <w:vAlign w:val="center"/>
            <w:hideMark/>
          </w:tcPr>
          <w:p w14:paraId="1909061A"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CD</w:t>
            </w:r>
          </w:p>
        </w:tc>
        <w:tc>
          <w:tcPr>
            <w:tcW w:w="864" w:type="dxa"/>
            <w:tcBorders>
              <w:top w:val="single" w:sz="4" w:space="0" w:color="auto"/>
              <w:left w:val="nil"/>
              <w:bottom w:val="single" w:sz="4" w:space="0" w:color="auto"/>
              <w:right w:val="nil"/>
            </w:tcBorders>
            <w:shd w:val="clear" w:color="000000" w:fill="FFFFFF"/>
            <w:noWrap/>
            <w:vAlign w:val="center"/>
            <w:hideMark/>
          </w:tcPr>
          <w:p w14:paraId="0A3BE426"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Com</w:t>
            </w:r>
          </w:p>
        </w:tc>
        <w:tc>
          <w:tcPr>
            <w:tcW w:w="864" w:type="dxa"/>
            <w:tcBorders>
              <w:top w:val="single" w:sz="4" w:space="0" w:color="auto"/>
              <w:left w:val="nil"/>
              <w:bottom w:val="single" w:sz="4" w:space="0" w:color="auto"/>
              <w:right w:val="nil"/>
            </w:tcBorders>
            <w:shd w:val="clear" w:color="000000" w:fill="FFFFFF"/>
            <w:noWrap/>
            <w:vAlign w:val="center"/>
            <w:hideMark/>
          </w:tcPr>
          <w:p w14:paraId="36AC2AF8"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Fin</w:t>
            </w:r>
          </w:p>
        </w:tc>
        <w:tc>
          <w:tcPr>
            <w:tcW w:w="864" w:type="dxa"/>
            <w:tcBorders>
              <w:top w:val="single" w:sz="4" w:space="0" w:color="auto"/>
              <w:left w:val="nil"/>
              <w:bottom w:val="single" w:sz="4" w:space="0" w:color="auto"/>
              <w:right w:val="nil"/>
            </w:tcBorders>
            <w:shd w:val="clear" w:color="000000" w:fill="FFFFFF"/>
            <w:noWrap/>
            <w:vAlign w:val="center"/>
            <w:hideMark/>
          </w:tcPr>
          <w:p w14:paraId="05F94988"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HC</w:t>
            </w:r>
          </w:p>
        </w:tc>
        <w:tc>
          <w:tcPr>
            <w:tcW w:w="864" w:type="dxa"/>
            <w:tcBorders>
              <w:top w:val="single" w:sz="4" w:space="0" w:color="auto"/>
              <w:left w:val="nil"/>
              <w:bottom w:val="single" w:sz="4" w:space="0" w:color="auto"/>
              <w:right w:val="nil"/>
            </w:tcBorders>
            <w:shd w:val="clear" w:color="000000" w:fill="FFFFFF"/>
            <w:noWrap/>
            <w:vAlign w:val="center"/>
            <w:hideMark/>
          </w:tcPr>
          <w:p w14:paraId="4786AD4A"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E</w:t>
            </w:r>
          </w:p>
        </w:tc>
        <w:tc>
          <w:tcPr>
            <w:tcW w:w="864" w:type="dxa"/>
            <w:gridSpan w:val="2"/>
            <w:tcBorders>
              <w:top w:val="single" w:sz="4" w:space="0" w:color="auto"/>
              <w:left w:val="nil"/>
              <w:bottom w:val="single" w:sz="4" w:space="0" w:color="auto"/>
              <w:right w:val="nil"/>
            </w:tcBorders>
            <w:shd w:val="clear" w:color="000000" w:fill="FFFFFF"/>
            <w:noWrap/>
            <w:vAlign w:val="center"/>
            <w:hideMark/>
          </w:tcPr>
          <w:p w14:paraId="14B2C348"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CS</w:t>
            </w:r>
          </w:p>
        </w:tc>
        <w:tc>
          <w:tcPr>
            <w:tcW w:w="864" w:type="dxa"/>
            <w:tcBorders>
              <w:top w:val="single" w:sz="4" w:space="0" w:color="auto"/>
              <w:left w:val="nil"/>
              <w:bottom w:val="single" w:sz="4" w:space="0" w:color="auto"/>
              <w:right w:val="nil"/>
            </w:tcBorders>
            <w:shd w:val="clear" w:color="000000" w:fill="FFFFFF"/>
            <w:noWrap/>
            <w:vAlign w:val="center"/>
            <w:hideMark/>
          </w:tcPr>
          <w:p w14:paraId="28FA5B01"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U</w:t>
            </w:r>
          </w:p>
        </w:tc>
        <w:tc>
          <w:tcPr>
            <w:tcW w:w="864" w:type="dxa"/>
            <w:gridSpan w:val="2"/>
            <w:tcBorders>
              <w:top w:val="single" w:sz="4" w:space="0" w:color="auto"/>
              <w:left w:val="nil"/>
              <w:bottom w:val="single" w:sz="4" w:space="0" w:color="auto"/>
              <w:right w:val="nil"/>
            </w:tcBorders>
            <w:shd w:val="clear" w:color="000000" w:fill="FFFFFF"/>
            <w:noWrap/>
            <w:vAlign w:val="center"/>
            <w:hideMark/>
          </w:tcPr>
          <w:p w14:paraId="2781F188"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Ind</w:t>
            </w:r>
          </w:p>
        </w:tc>
        <w:tc>
          <w:tcPr>
            <w:tcW w:w="864" w:type="dxa"/>
            <w:tcBorders>
              <w:top w:val="single" w:sz="4" w:space="0" w:color="auto"/>
              <w:left w:val="nil"/>
              <w:bottom w:val="single" w:sz="4" w:space="0" w:color="auto"/>
              <w:right w:val="nil"/>
            </w:tcBorders>
            <w:shd w:val="clear" w:color="000000" w:fill="FFFFFF"/>
            <w:noWrap/>
            <w:vAlign w:val="center"/>
            <w:hideMark/>
          </w:tcPr>
          <w:p w14:paraId="3F1BC2C7"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Mat</w:t>
            </w:r>
          </w:p>
        </w:tc>
        <w:tc>
          <w:tcPr>
            <w:tcW w:w="864" w:type="dxa"/>
            <w:gridSpan w:val="2"/>
            <w:tcBorders>
              <w:top w:val="single" w:sz="4" w:space="0" w:color="auto"/>
              <w:left w:val="nil"/>
              <w:bottom w:val="single" w:sz="4" w:space="0" w:color="auto"/>
              <w:right w:val="nil"/>
            </w:tcBorders>
            <w:shd w:val="clear" w:color="000000" w:fill="FFFFFF"/>
            <w:noWrap/>
            <w:vAlign w:val="center"/>
            <w:hideMark/>
          </w:tcPr>
          <w:p w14:paraId="270C1400"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RE</w:t>
            </w:r>
          </w:p>
        </w:tc>
      </w:tr>
      <w:tr w:rsidR="00BC1E6D" w:rsidRPr="00BC1E6D" w14:paraId="35C6C152" w14:textId="77777777" w:rsidTr="00823A00">
        <w:trPr>
          <w:gridAfter w:val="9"/>
          <w:wAfter w:w="8239" w:type="dxa"/>
          <w:trHeight w:val="300"/>
        </w:trPr>
        <w:tc>
          <w:tcPr>
            <w:tcW w:w="864" w:type="dxa"/>
            <w:tcBorders>
              <w:top w:val="nil"/>
              <w:left w:val="nil"/>
              <w:bottom w:val="single" w:sz="4" w:space="0" w:color="auto"/>
              <w:right w:val="nil"/>
            </w:tcBorders>
            <w:shd w:val="clear" w:color="auto" w:fill="auto"/>
            <w:noWrap/>
            <w:hideMark/>
          </w:tcPr>
          <w:p w14:paraId="55537E07" w14:textId="77777777" w:rsidR="00F9601F" w:rsidRPr="00BC1E6D" w:rsidRDefault="00F9601F"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count</w:t>
            </w:r>
          </w:p>
        </w:tc>
        <w:tc>
          <w:tcPr>
            <w:tcW w:w="864" w:type="dxa"/>
            <w:tcBorders>
              <w:top w:val="nil"/>
              <w:left w:val="nil"/>
              <w:bottom w:val="single" w:sz="4" w:space="0" w:color="auto"/>
              <w:right w:val="nil"/>
            </w:tcBorders>
            <w:shd w:val="clear" w:color="auto" w:fill="auto"/>
            <w:noWrap/>
            <w:vAlign w:val="bottom"/>
            <w:hideMark/>
          </w:tcPr>
          <w:p w14:paraId="7F16B931"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76</w:t>
            </w:r>
          </w:p>
        </w:tc>
        <w:tc>
          <w:tcPr>
            <w:tcW w:w="864" w:type="dxa"/>
            <w:tcBorders>
              <w:top w:val="nil"/>
              <w:left w:val="nil"/>
              <w:bottom w:val="single" w:sz="4" w:space="0" w:color="auto"/>
              <w:right w:val="nil"/>
            </w:tcBorders>
            <w:shd w:val="clear" w:color="auto" w:fill="auto"/>
            <w:noWrap/>
            <w:vAlign w:val="bottom"/>
            <w:hideMark/>
          </w:tcPr>
          <w:p w14:paraId="25CB8729"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58</w:t>
            </w:r>
          </w:p>
        </w:tc>
        <w:tc>
          <w:tcPr>
            <w:tcW w:w="864" w:type="dxa"/>
            <w:tcBorders>
              <w:top w:val="nil"/>
              <w:left w:val="nil"/>
              <w:bottom w:val="single" w:sz="4" w:space="0" w:color="auto"/>
              <w:right w:val="nil"/>
            </w:tcBorders>
            <w:shd w:val="clear" w:color="auto" w:fill="auto"/>
            <w:noWrap/>
            <w:vAlign w:val="bottom"/>
            <w:hideMark/>
          </w:tcPr>
          <w:p w14:paraId="0C0CFB33"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26</w:t>
            </w:r>
          </w:p>
        </w:tc>
        <w:tc>
          <w:tcPr>
            <w:tcW w:w="864" w:type="dxa"/>
            <w:tcBorders>
              <w:top w:val="nil"/>
              <w:left w:val="nil"/>
              <w:bottom w:val="single" w:sz="4" w:space="0" w:color="auto"/>
              <w:right w:val="nil"/>
            </w:tcBorders>
            <w:shd w:val="clear" w:color="auto" w:fill="auto"/>
            <w:noWrap/>
            <w:vAlign w:val="bottom"/>
            <w:hideMark/>
          </w:tcPr>
          <w:p w14:paraId="690D9C0E"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66</w:t>
            </w:r>
          </w:p>
        </w:tc>
        <w:tc>
          <w:tcPr>
            <w:tcW w:w="864" w:type="dxa"/>
            <w:tcBorders>
              <w:top w:val="nil"/>
              <w:left w:val="nil"/>
              <w:bottom w:val="single" w:sz="4" w:space="0" w:color="auto"/>
              <w:right w:val="nil"/>
            </w:tcBorders>
            <w:shd w:val="clear" w:color="auto" w:fill="auto"/>
            <w:noWrap/>
            <w:vAlign w:val="bottom"/>
            <w:hideMark/>
          </w:tcPr>
          <w:p w14:paraId="4A28BEB2"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65</w:t>
            </w:r>
          </w:p>
        </w:tc>
        <w:tc>
          <w:tcPr>
            <w:tcW w:w="864" w:type="dxa"/>
            <w:tcBorders>
              <w:top w:val="nil"/>
              <w:left w:val="nil"/>
              <w:bottom w:val="single" w:sz="4" w:space="0" w:color="auto"/>
              <w:right w:val="nil"/>
            </w:tcBorders>
            <w:shd w:val="clear" w:color="auto" w:fill="auto"/>
            <w:noWrap/>
            <w:vAlign w:val="bottom"/>
            <w:hideMark/>
          </w:tcPr>
          <w:p w14:paraId="182884F0"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21</w:t>
            </w:r>
          </w:p>
        </w:tc>
        <w:tc>
          <w:tcPr>
            <w:tcW w:w="864" w:type="dxa"/>
            <w:gridSpan w:val="2"/>
            <w:tcBorders>
              <w:top w:val="nil"/>
              <w:left w:val="nil"/>
              <w:bottom w:val="single" w:sz="4" w:space="0" w:color="auto"/>
              <w:right w:val="nil"/>
            </w:tcBorders>
            <w:shd w:val="clear" w:color="auto" w:fill="auto"/>
            <w:noWrap/>
            <w:vAlign w:val="bottom"/>
            <w:hideMark/>
          </w:tcPr>
          <w:p w14:paraId="6580AF98"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33</w:t>
            </w:r>
          </w:p>
        </w:tc>
        <w:tc>
          <w:tcPr>
            <w:tcW w:w="864" w:type="dxa"/>
            <w:tcBorders>
              <w:top w:val="nil"/>
              <w:left w:val="nil"/>
              <w:bottom w:val="single" w:sz="4" w:space="0" w:color="auto"/>
              <w:right w:val="nil"/>
            </w:tcBorders>
            <w:shd w:val="clear" w:color="auto" w:fill="auto"/>
            <w:noWrap/>
            <w:vAlign w:val="bottom"/>
            <w:hideMark/>
          </w:tcPr>
          <w:p w14:paraId="14DD5434"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29</w:t>
            </w:r>
          </w:p>
        </w:tc>
        <w:tc>
          <w:tcPr>
            <w:tcW w:w="864" w:type="dxa"/>
            <w:gridSpan w:val="2"/>
            <w:tcBorders>
              <w:top w:val="nil"/>
              <w:left w:val="nil"/>
              <w:bottom w:val="single" w:sz="4" w:space="0" w:color="auto"/>
              <w:right w:val="nil"/>
            </w:tcBorders>
            <w:shd w:val="clear" w:color="auto" w:fill="auto"/>
            <w:noWrap/>
            <w:vAlign w:val="bottom"/>
            <w:hideMark/>
          </w:tcPr>
          <w:p w14:paraId="09F41DA5"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71</w:t>
            </w:r>
          </w:p>
        </w:tc>
        <w:tc>
          <w:tcPr>
            <w:tcW w:w="864" w:type="dxa"/>
            <w:tcBorders>
              <w:top w:val="nil"/>
              <w:left w:val="nil"/>
              <w:bottom w:val="single" w:sz="4" w:space="0" w:color="auto"/>
              <w:right w:val="nil"/>
            </w:tcBorders>
            <w:shd w:val="clear" w:color="auto" w:fill="auto"/>
            <w:noWrap/>
            <w:vAlign w:val="bottom"/>
            <w:hideMark/>
          </w:tcPr>
          <w:p w14:paraId="7521F2BE"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28</w:t>
            </w:r>
          </w:p>
        </w:tc>
        <w:tc>
          <w:tcPr>
            <w:tcW w:w="864" w:type="dxa"/>
            <w:gridSpan w:val="2"/>
            <w:tcBorders>
              <w:top w:val="nil"/>
              <w:left w:val="nil"/>
              <w:bottom w:val="single" w:sz="4" w:space="0" w:color="auto"/>
              <w:right w:val="nil"/>
            </w:tcBorders>
            <w:shd w:val="clear" w:color="auto" w:fill="auto"/>
            <w:noWrap/>
            <w:vAlign w:val="bottom"/>
            <w:hideMark/>
          </w:tcPr>
          <w:p w14:paraId="326A5EE2" w14:textId="77777777" w:rsidR="00F9601F" w:rsidRPr="00BC1E6D" w:rsidRDefault="00F9601F" w:rsidP="00BD3816">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31</w:t>
            </w:r>
          </w:p>
        </w:tc>
      </w:tr>
    </w:tbl>
    <w:p w14:paraId="55E45D0C" w14:textId="77777777" w:rsidR="00F9601F" w:rsidRPr="00BC1E6D" w:rsidRDefault="00F9601F" w:rsidP="00BD3816">
      <w:pPr>
        <w:spacing w:line="276" w:lineRule="auto"/>
        <w:rPr>
          <w:rFonts w:ascii="Times New Roman" w:eastAsiaTheme="minorEastAsia" w:hAnsi="Times New Roman" w:cs="Times New Roman"/>
          <w:sz w:val="24"/>
          <w:szCs w:val="24"/>
        </w:rPr>
      </w:pPr>
    </w:p>
    <w:p w14:paraId="572BBB58" w14:textId="5B7287A8" w:rsidR="00033ACC" w:rsidRPr="00BC1E6D" w:rsidRDefault="00D85097"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Table </w:t>
      </w:r>
      <w:r w:rsidR="00565C5F" w:rsidRPr="00BC1E6D">
        <w:rPr>
          <w:rFonts w:ascii="Times New Roman" w:eastAsiaTheme="minorEastAsia" w:hAnsi="Times New Roman" w:cs="Times New Roman"/>
          <w:sz w:val="24"/>
          <w:szCs w:val="24"/>
        </w:rPr>
        <w:t>5</w:t>
      </w:r>
      <w:r w:rsidRPr="00BC1E6D">
        <w:rPr>
          <w:rFonts w:ascii="Times New Roman" w:eastAsiaTheme="minorEastAsia" w:hAnsi="Times New Roman" w:cs="Times New Roman"/>
          <w:sz w:val="24"/>
          <w:szCs w:val="24"/>
        </w:rPr>
        <w:t xml:space="preserve"> is</w:t>
      </w:r>
      <w:r w:rsidR="00C33734" w:rsidRPr="00BC1E6D">
        <w:rPr>
          <w:rFonts w:ascii="Times New Roman" w:eastAsiaTheme="minorEastAsia" w:hAnsi="Times New Roman" w:cs="Times New Roman"/>
          <w:sz w:val="24"/>
          <w:szCs w:val="24"/>
        </w:rPr>
        <w:t xml:space="preserve"> the summaries of the </w:t>
      </w:r>
      <w:r w:rsidR="00AD3B96" w:rsidRPr="00BC1E6D">
        <w:rPr>
          <w:rFonts w:ascii="Times New Roman" w:eastAsiaTheme="minorEastAsia" w:hAnsi="Times New Roman" w:cs="Times New Roman"/>
          <w:sz w:val="24"/>
          <w:szCs w:val="24"/>
        </w:rPr>
        <w:t xml:space="preserve">log-relative </w:t>
      </w:r>
      <w:r w:rsidR="00113A1B" w:rsidRPr="00BC1E6D">
        <w:rPr>
          <w:rFonts w:ascii="Times New Roman" w:eastAsiaTheme="minorEastAsia" w:hAnsi="Times New Roman" w:cs="Times New Roman"/>
          <w:sz w:val="24"/>
          <w:szCs w:val="24"/>
        </w:rPr>
        <w:t>quarterly</w:t>
      </w:r>
      <w:r w:rsidR="0058332D" w:rsidRPr="00BC1E6D">
        <w:rPr>
          <w:rFonts w:ascii="Times New Roman" w:eastAsiaTheme="minorEastAsia" w:hAnsi="Times New Roman" w:cs="Times New Roman"/>
          <w:sz w:val="24"/>
          <w:szCs w:val="24"/>
        </w:rPr>
        <w:t xml:space="preserve"> changes </w:t>
      </w:r>
      <w:r w:rsidR="00C857A9" w:rsidRPr="00BC1E6D">
        <w:rPr>
          <w:rFonts w:ascii="Times New Roman" w:eastAsiaTheme="minorEastAsia" w:hAnsi="Times New Roman" w:cs="Times New Roman"/>
          <w:sz w:val="24"/>
          <w:szCs w:val="24"/>
        </w:rPr>
        <w:t xml:space="preserve">for each investment sector of the S&amp;P500 from 1986 to </w:t>
      </w:r>
      <w:r w:rsidR="002F04C2" w:rsidRPr="00BC1E6D">
        <w:rPr>
          <w:rFonts w:ascii="Times New Roman" w:eastAsiaTheme="minorEastAsia" w:hAnsi="Times New Roman" w:cs="Times New Roman"/>
          <w:sz w:val="24"/>
          <w:szCs w:val="24"/>
        </w:rPr>
        <w:t>2022</w:t>
      </w:r>
      <w:r w:rsidR="007A3AD3" w:rsidRPr="00BC1E6D">
        <w:rPr>
          <w:rFonts w:ascii="Times New Roman" w:eastAsiaTheme="minorEastAsia" w:hAnsi="Times New Roman" w:cs="Times New Roman"/>
          <w:sz w:val="24"/>
          <w:szCs w:val="24"/>
        </w:rPr>
        <w:t xml:space="preserve">. </w:t>
      </w:r>
      <w:r w:rsidR="001E0921" w:rsidRPr="00BC1E6D">
        <w:rPr>
          <w:rFonts w:ascii="Times New Roman" w:eastAsiaTheme="minorEastAsia" w:hAnsi="Times New Roman" w:cs="Times New Roman"/>
          <w:i/>
          <w:iCs/>
          <w:sz w:val="24"/>
          <w:szCs w:val="24"/>
        </w:rPr>
        <w:t>Count</w:t>
      </w:r>
      <w:r w:rsidR="00471756" w:rsidRPr="00BC1E6D">
        <w:rPr>
          <w:rFonts w:ascii="Times New Roman" w:eastAsiaTheme="minorEastAsia" w:hAnsi="Times New Roman" w:cs="Times New Roman"/>
          <w:sz w:val="24"/>
          <w:szCs w:val="24"/>
        </w:rPr>
        <w:t xml:space="preserve">, in this case, </w:t>
      </w:r>
      <w:r w:rsidR="001E0921" w:rsidRPr="00BC1E6D">
        <w:rPr>
          <w:rFonts w:ascii="Times New Roman" w:eastAsiaTheme="minorEastAsia" w:hAnsi="Times New Roman" w:cs="Times New Roman"/>
          <w:i/>
          <w:iCs/>
          <w:sz w:val="24"/>
          <w:szCs w:val="24"/>
        </w:rPr>
        <w:t xml:space="preserve"> </w:t>
      </w:r>
      <w:r w:rsidR="001E0921" w:rsidRPr="00BC1E6D">
        <w:rPr>
          <w:rFonts w:ascii="Times New Roman" w:eastAsiaTheme="minorEastAsia" w:hAnsi="Times New Roman" w:cs="Times New Roman"/>
          <w:sz w:val="24"/>
          <w:szCs w:val="24"/>
        </w:rPr>
        <w:t>is the number of months that had data that could be averaged,</w:t>
      </w:r>
      <w:r w:rsidR="00492893" w:rsidRPr="00BC1E6D">
        <w:rPr>
          <w:rFonts w:ascii="Times New Roman" w:eastAsiaTheme="minorEastAsia" w:hAnsi="Times New Roman" w:cs="Times New Roman"/>
          <w:sz w:val="24"/>
          <w:szCs w:val="24"/>
        </w:rPr>
        <w:t xml:space="preserve"> the</w:t>
      </w:r>
      <w:r w:rsidR="001E0921" w:rsidRPr="00BC1E6D">
        <w:rPr>
          <w:rFonts w:ascii="Times New Roman" w:eastAsiaTheme="minorEastAsia" w:hAnsi="Times New Roman" w:cs="Times New Roman"/>
          <w:sz w:val="24"/>
          <w:szCs w:val="24"/>
        </w:rPr>
        <w:t xml:space="preserve"> same as the macro-variables</w:t>
      </w:r>
      <w:r w:rsidR="002F04C2" w:rsidRPr="00BC1E6D">
        <w:rPr>
          <w:rFonts w:ascii="Times New Roman" w:eastAsiaTheme="minorEastAsia" w:hAnsi="Times New Roman" w:cs="Times New Roman"/>
          <w:sz w:val="24"/>
          <w:szCs w:val="24"/>
        </w:rPr>
        <w:t xml:space="preserve">. </w:t>
      </w:r>
      <w:r w:rsidR="00974F34" w:rsidRPr="00BC1E6D">
        <w:rPr>
          <w:rFonts w:ascii="Times New Roman" w:eastAsiaTheme="minorEastAsia" w:hAnsi="Times New Roman" w:cs="Times New Roman"/>
          <w:sz w:val="24"/>
          <w:szCs w:val="24"/>
        </w:rPr>
        <w:t xml:space="preserve">The data are quarterly to index-match the exogenous variables, many of which are delivered quarterly. </w:t>
      </w:r>
    </w:p>
    <w:tbl>
      <w:tblPr>
        <w:tblW w:w="19546" w:type="dxa"/>
        <w:tblLayout w:type="fixed"/>
        <w:tblLook w:val="04A0" w:firstRow="1" w:lastRow="0" w:firstColumn="1" w:lastColumn="0" w:noHBand="0" w:noVBand="1"/>
      </w:tblPr>
      <w:tblGrid>
        <w:gridCol w:w="864"/>
        <w:gridCol w:w="864"/>
        <w:gridCol w:w="864"/>
        <w:gridCol w:w="864"/>
        <w:gridCol w:w="864"/>
        <w:gridCol w:w="864"/>
        <w:gridCol w:w="864"/>
        <w:gridCol w:w="864"/>
        <w:gridCol w:w="864"/>
        <w:gridCol w:w="309"/>
        <w:gridCol w:w="555"/>
        <w:gridCol w:w="864"/>
        <w:gridCol w:w="864"/>
        <w:gridCol w:w="400"/>
        <w:gridCol w:w="1093"/>
        <w:gridCol w:w="960"/>
        <w:gridCol w:w="960"/>
        <w:gridCol w:w="960"/>
        <w:gridCol w:w="960"/>
        <w:gridCol w:w="960"/>
        <w:gridCol w:w="960"/>
        <w:gridCol w:w="960"/>
        <w:gridCol w:w="965"/>
      </w:tblGrid>
      <w:tr w:rsidR="00BC1E6D" w:rsidRPr="00C93C63" w14:paraId="74987132" w14:textId="77777777" w:rsidTr="006E4C1E">
        <w:trPr>
          <w:trHeight w:val="300"/>
        </w:trPr>
        <w:tc>
          <w:tcPr>
            <w:tcW w:w="8085" w:type="dxa"/>
            <w:gridSpan w:val="10"/>
            <w:tcBorders>
              <w:top w:val="nil"/>
              <w:left w:val="nil"/>
              <w:bottom w:val="nil"/>
              <w:right w:val="nil"/>
            </w:tcBorders>
            <w:shd w:val="clear" w:color="auto" w:fill="auto"/>
            <w:noWrap/>
            <w:vAlign w:val="bottom"/>
            <w:hideMark/>
          </w:tcPr>
          <w:p w14:paraId="4A3D3985" w14:textId="7C950F48" w:rsidR="00F76928" w:rsidRPr="00C93C63" w:rsidRDefault="00F76928" w:rsidP="00BD3816">
            <w:pPr>
              <w:spacing w:after="0" w:line="276" w:lineRule="auto"/>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 xml:space="preserve">Table </w:t>
            </w:r>
            <w:r w:rsidR="00565C5F" w:rsidRPr="00C93C63">
              <w:rPr>
                <w:rFonts w:ascii="Times New Roman" w:eastAsia="Times New Roman" w:hAnsi="Times New Roman" w:cs="Times New Roman"/>
                <w:b/>
                <w:bCs/>
                <w:sz w:val="20"/>
                <w:szCs w:val="20"/>
              </w:rPr>
              <w:t>5</w:t>
            </w:r>
          </w:p>
        </w:tc>
        <w:tc>
          <w:tcPr>
            <w:tcW w:w="2683" w:type="dxa"/>
            <w:gridSpan w:val="4"/>
            <w:tcBorders>
              <w:top w:val="nil"/>
              <w:left w:val="nil"/>
              <w:bottom w:val="nil"/>
              <w:right w:val="nil"/>
            </w:tcBorders>
            <w:shd w:val="clear" w:color="auto" w:fill="auto"/>
            <w:noWrap/>
            <w:vAlign w:val="bottom"/>
            <w:hideMark/>
          </w:tcPr>
          <w:p w14:paraId="29D47930" w14:textId="77777777" w:rsidR="00F76928" w:rsidRPr="00C93C63" w:rsidRDefault="00F76928" w:rsidP="00BD3816">
            <w:pPr>
              <w:spacing w:after="0" w:line="276" w:lineRule="auto"/>
              <w:rPr>
                <w:rFonts w:ascii="Times New Roman" w:eastAsia="Times New Roman" w:hAnsi="Times New Roman" w:cs="Times New Roman"/>
                <w:b/>
                <w:bCs/>
                <w:sz w:val="20"/>
                <w:szCs w:val="20"/>
              </w:rPr>
            </w:pPr>
          </w:p>
        </w:tc>
        <w:tc>
          <w:tcPr>
            <w:tcW w:w="1093" w:type="dxa"/>
            <w:tcBorders>
              <w:top w:val="nil"/>
              <w:left w:val="nil"/>
              <w:bottom w:val="nil"/>
              <w:right w:val="nil"/>
            </w:tcBorders>
            <w:shd w:val="clear" w:color="auto" w:fill="auto"/>
            <w:noWrap/>
            <w:vAlign w:val="bottom"/>
            <w:hideMark/>
          </w:tcPr>
          <w:p w14:paraId="5739E00E"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556D13"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4652A4"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DCFDCC"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0158FF"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C00FF8"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31750F"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64A3BB"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73EA0A42" w14:textId="77777777" w:rsidR="00F76928" w:rsidRPr="00C93C63" w:rsidRDefault="00F76928" w:rsidP="00BD3816">
            <w:pPr>
              <w:spacing w:after="0" w:line="276" w:lineRule="auto"/>
              <w:rPr>
                <w:rFonts w:ascii="Times New Roman" w:eastAsia="Times New Roman" w:hAnsi="Times New Roman" w:cs="Times New Roman"/>
                <w:sz w:val="20"/>
                <w:szCs w:val="20"/>
              </w:rPr>
            </w:pPr>
          </w:p>
        </w:tc>
      </w:tr>
      <w:tr w:rsidR="00BC1E6D" w:rsidRPr="00C93C63" w14:paraId="1B3141C6" w14:textId="77777777" w:rsidTr="006E4C1E">
        <w:trPr>
          <w:trHeight w:val="300"/>
        </w:trPr>
        <w:tc>
          <w:tcPr>
            <w:tcW w:w="14741" w:type="dxa"/>
            <w:gridSpan w:val="18"/>
            <w:tcBorders>
              <w:top w:val="nil"/>
              <w:left w:val="nil"/>
              <w:bottom w:val="nil"/>
              <w:right w:val="nil"/>
            </w:tcBorders>
            <w:shd w:val="clear" w:color="auto" w:fill="auto"/>
            <w:noWrap/>
            <w:vAlign w:val="bottom"/>
            <w:hideMark/>
          </w:tcPr>
          <w:p w14:paraId="173B88AC" w14:textId="77777777" w:rsidR="00F76928" w:rsidRPr="00C93C63" w:rsidRDefault="00F76928" w:rsidP="00BD3816">
            <w:pPr>
              <w:spacing w:after="0" w:line="276" w:lineRule="auto"/>
              <w:rPr>
                <w:rFonts w:ascii="Times New Roman" w:eastAsia="Times New Roman" w:hAnsi="Times New Roman" w:cs="Times New Roman"/>
                <w:i/>
                <w:iCs/>
                <w:sz w:val="20"/>
                <w:szCs w:val="20"/>
              </w:rPr>
            </w:pPr>
            <w:r w:rsidRPr="00C93C63">
              <w:rPr>
                <w:rFonts w:ascii="Times New Roman" w:eastAsia="Times New Roman" w:hAnsi="Times New Roman" w:cs="Times New Roman"/>
                <w:i/>
                <w:iCs/>
                <w:sz w:val="20"/>
                <w:szCs w:val="20"/>
              </w:rPr>
              <w:t>Summaries of S&amp;P500 Quarterly Changes by Sector, 1986-2022</w:t>
            </w:r>
          </w:p>
        </w:tc>
        <w:tc>
          <w:tcPr>
            <w:tcW w:w="960" w:type="dxa"/>
            <w:tcBorders>
              <w:top w:val="nil"/>
              <w:left w:val="nil"/>
              <w:bottom w:val="nil"/>
              <w:right w:val="nil"/>
            </w:tcBorders>
            <w:shd w:val="clear" w:color="auto" w:fill="auto"/>
            <w:noWrap/>
            <w:vAlign w:val="bottom"/>
            <w:hideMark/>
          </w:tcPr>
          <w:p w14:paraId="61F6EB8D" w14:textId="77777777" w:rsidR="00F76928" w:rsidRPr="00C93C63" w:rsidRDefault="00F76928" w:rsidP="00BD3816">
            <w:pPr>
              <w:spacing w:after="0" w:line="276"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58B75B7C"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3D8708"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71EF5D" w14:textId="77777777" w:rsidR="00F76928" w:rsidRPr="00C93C63" w:rsidRDefault="00F76928" w:rsidP="00BD3816">
            <w:pPr>
              <w:spacing w:after="0" w:line="276"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09F871C5" w14:textId="77777777" w:rsidR="00F76928" w:rsidRPr="00C93C63" w:rsidRDefault="00F76928" w:rsidP="00BD3816">
            <w:pPr>
              <w:spacing w:after="0" w:line="276" w:lineRule="auto"/>
              <w:rPr>
                <w:rFonts w:ascii="Times New Roman" w:eastAsia="Times New Roman" w:hAnsi="Times New Roman" w:cs="Times New Roman"/>
                <w:sz w:val="20"/>
                <w:szCs w:val="20"/>
              </w:rPr>
            </w:pPr>
          </w:p>
        </w:tc>
      </w:tr>
      <w:tr w:rsidR="00BC1E6D" w:rsidRPr="00C93C63" w14:paraId="0AD2F512" w14:textId="77777777" w:rsidTr="006E4C1E">
        <w:trPr>
          <w:gridAfter w:val="10"/>
          <w:wAfter w:w="9178" w:type="dxa"/>
          <w:trHeight w:val="20"/>
        </w:trPr>
        <w:tc>
          <w:tcPr>
            <w:tcW w:w="864" w:type="dxa"/>
            <w:tcBorders>
              <w:top w:val="single" w:sz="4" w:space="0" w:color="auto"/>
              <w:left w:val="nil"/>
              <w:bottom w:val="single" w:sz="4" w:space="0" w:color="auto"/>
              <w:right w:val="nil"/>
            </w:tcBorders>
            <w:shd w:val="clear" w:color="auto" w:fill="auto"/>
            <w:noWrap/>
            <w:vAlign w:val="bottom"/>
            <w:hideMark/>
          </w:tcPr>
          <w:p w14:paraId="4BB50D0A" w14:textId="52FD09D4" w:rsidR="00F76928" w:rsidRPr="00C93C63" w:rsidRDefault="00F76928" w:rsidP="00BD3816">
            <w:pPr>
              <w:spacing w:after="0" w:line="276" w:lineRule="auto"/>
              <w:jc w:val="center"/>
              <w:rPr>
                <w:rFonts w:ascii="Times New Roman" w:eastAsia="Times New Roman" w:hAnsi="Times New Roman" w:cs="Times New Roman"/>
                <w:sz w:val="20"/>
                <w:szCs w:val="20"/>
              </w:rPr>
            </w:pPr>
          </w:p>
        </w:tc>
        <w:tc>
          <w:tcPr>
            <w:tcW w:w="864" w:type="dxa"/>
            <w:tcBorders>
              <w:top w:val="single" w:sz="4" w:space="0" w:color="auto"/>
              <w:left w:val="nil"/>
              <w:bottom w:val="single" w:sz="4" w:space="0" w:color="auto"/>
              <w:right w:val="nil"/>
            </w:tcBorders>
            <w:shd w:val="clear" w:color="000000" w:fill="FFFFFF"/>
            <w:noWrap/>
            <w:vAlign w:val="center"/>
            <w:hideMark/>
          </w:tcPr>
          <w:p w14:paraId="7BC216BD"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IT</w:t>
            </w:r>
          </w:p>
        </w:tc>
        <w:tc>
          <w:tcPr>
            <w:tcW w:w="864" w:type="dxa"/>
            <w:tcBorders>
              <w:top w:val="single" w:sz="4" w:space="0" w:color="auto"/>
              <w:left w:val="nil"/>
              <w:bottom w:val="single" w:sz="4" w:space="0" w:color="auto"/>
              <w:right w:val="nil"/>
            </w:tcBorders>
            <w:shd w:val="clear" w:color="000000" w:fill="FFFFFF"/>
            <w:noWrap/>
            <w:vAlign w:val="center"/>
            <w:hideMark/>
          </w:tcPr>
          <w:p w14:paraId="5FEF5641"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CD</w:t>
            </w:r>
          </w:p>
        </w:tc>
        <w:tc>
          <w:tcPr>
            <w:tcW w:w="864" w:type="dxa"/>
            <w:tcBorders>
              <w:top w:val="single" w:sz="4" w:space="0" w:color="auto"/>
              <w:left w:val="nil"/>
              <w:bottom w:val="single" w:sz="4" w:space="0" w:color="auto"/>
              <w:right w:val="nil"/>
            </w:tcBorders>
            <w:shd w:val="clear" w:color="000000" w:fill="FFFFFF"/>
            <w:noWrap/>
            <w:vAlign w:val="center"/>
            <w:hideMark/>
          </w:tcPr>
          <w:p w14:paraId="7BCCF6B8"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Com</w:t>
            </w:r>
          </w:p>
        </w:tc>
        <w:tc>
          <w:tcPr>
            <w:tcW w:w="864" w:type="dxa"/>
            <w:tcBorders>
              <w:top w:val="single" w:sz="4" w:space="0" w:color="auto"/>
              <w:left w:val="nil"/>
              <w:bottom w:val="single" w:sz="4" w:space="0" w:color="auto"/>
              <w:right w:val="nil"/>
            </w:tcBorders>
            <w:shd w:val="clear" w:color="000000" w:fill="FFFFFF"/>
            <w:noWrap/>
            <w:vAlign w:val="center"/>
            <w:hideMark/>
          </w:tcPr>
          <w:p w14:paraId="0121DB65"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Fin</w:t>
            </w:r>
          </w:p>
        </w:tc>
        <w:tc>
          <w:tcPr>
            <w:tcW w:w="864" w:type="dxa"/>
            <w:tcBorders>
              <w:top w:val="single" w:sz="4" w:space="0" w:color="auto"/>
              <w:left w:val="nil"/>
              <w:bottom w:val="single" w:sz="4" w:space="0" w:color="auto"/>
              <w:right w:val="nil"/>
            </w:tcBorders>
            <w:shd w:val="clear" w:color="000000" w:fill="FFFFFF"/>
            <w:noWrap/>
            <w:vAlign w:val="center"/>
            <w:hideMark/>
          </w:tcPr>
          <w:p w14:paraId="0AEA708F"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HC</w:t>
            </w:r>
          </w:p>
        </w:tc>
        <w:tc>
          <w:tcPr>
            <w:tcW w:w="864" w:type="dxa"/>
            <w:tcBorders>
              <w:top w:val="single" w:sz="4" w:space="0" w:color="auto"/>
              <w:left w:val="nil"/>
              <w:bottom w:val="single" w:sz="4" w:space="0" w:color="auto"/>
              <w:right w:val="nil"/>
            </w:tcBorders>
            <w:shd w:val="clear" w:color="000000" w:fill="FFFFFF"/>
            <w:noWrap/>
            <w:vAlign w:val="center"/>
            <w:hideMark/>
          </w:tcPr>
          <w:p w14:paraId="5EECE0A3"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E</w:t>
            </w:r>
          </w:p>
        </w:tc>
        <w:tc>
          <w:tcPr>
            <w:tcW w:w="864" w:type="dxa"/>
            <w:tcBorders>
              <w:top w:val="single" w:sz="4" w:space="0" w:color="auto"/>
              <w:left w:val="nil"/>
              <w:bottom w:val="single" w:sz="4" w:space="0" w:color="auto"/>
              <w:right w:val="nil"/>
            </w:tcBorders>
            <w:shd w:val="clear" w:color="000000" w:fill="FFFFFF"/>
            <w:noWrap/>
            <w:vAlign w:val="center"/>
            <w:hideMark/>
          </w:tcPr>
          <w:p w14:paraId="4072A585"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CS</w:t>
            </w:r>
          </w:p>
        </w:tc>
        <w:tc>
          <w:tcPr>
            <w:tcW w:w="864" w:type="dxa"/>
            <w:tcBorders>
              <w:top w:val="single" w:sz="4" w:space="0" w:color="auto"/>
              <w:left w:val="nil"/>
              <w:bottom w:val="single" w:sz="4" w:space="0" w:color="auto"/>
              <w:right w:val="nil"/>
            </w:tcBorders>
            <w:shd w:val="clear" w:color="000000" w:fill="FFFFFF"/>
            <w:noWrap/>
            <w:vAlign w:val="center"/>
            <w:hideMark/>
          </w:tcPr>
          <w:p w14:paraId="0944A873"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U</w:t>
            </w:r>
          </w:p>
        </w:tc>
        <w:tc>
          <w:tcPr>
            <w:tcW w:w="864" w:type="dxa"/>
            <w:gridSpan w:val="2"/>
            <w:tcBorders>
              <w:top w:val="single" w:sz="4" w:space="0" w:color="auto"/>
              <w:left w:val="nil"/>
              <w:bottom w:val="single" w:sz="4" w:space="0" w:color="auto"/>
              <w:right w:val="nil"/>
            </w:tcBorders>
            <w:shd w:val="clear" w:color="000000" w:fill="FFFFFF"/>
            <w:noWrap/>
            <w:vAlign w:val="center"/>
            <w:hideMark/>
          </w:tcPr>
          <w:p w14:paraId="29FF020B"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Ind</w:t>
            </w:r>
          </w:p>
        </w:tc>
        <w:tc>
          <w:tcPr>
            <w:tcW w:w="864" w:type="dxa"/>
            <w:tcBorders>
              <w:top w:val="single" w:sz="4" w:space="0" w:color="auto"/>
              <w:left w:val="nil"/>
              <w:bottom w:val="single" w:sz="4" w:space="0" w:color="auto"/>
              <w:right w:val="nil"/>
            </w:tcBorders>
            <w:shd w:val="clear" w:color="000000" w:fill="FFFFFF"/>
            <w:noWrap/>
            <w:vAlign w:val="center"/>
            <w:hideMark/>
          </w:tcPr>
          <w:p w14:paraId="36FE37AA"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Mat</w:t>
            </w:r>
          </w:p>
        </w:tc>
        <w:tc>
          <w:tcPr>
            <w:tcW w:w="864" w:type="dxa"/>
            <w:tcBorders>
              <w:top w:val="single" w:sz="4" w:space="0" w:color="auto"/>
              <w:left w:val="nil"/>
              <w:bottom w:val="single" w:sz="4" w:space="0" w:color="auto"/>
              <w:right w:val="nil"/>
            </w:tcBorders>
            <w:shd w:val="clear" w:color="000000" w:fill="FFFFFF"/>
            <w:noWrap/>
            <w:vAlign w:val="center"/>
            <w:hideMark/>
          </w:tcPr>
          <w:p w14:paraId="51AA3C2A" w14:textId="77777777" w:rsidR="00F76928" w:rsidRPr="00C93C63" w:rsidRDefault="00F76928" w:rsidP="00BD3816">
            <w:pPr>
              <w:spacing w:after="0" w:line="276" w:lineRule="auto"/>
              <w:jc w:val="center"/>
              <w:rPr>
                <w:rFonts w:ascii="Times New Roman" w:eastAsia="Times New Roman" w:hAnsi="Times New Roman" w:cs="Times New Roman"/>
                <w:b/>
                <w:bCs/>
                <w:i/>
                <w:iCs/>
                <w:sz w:val="20"/>
                <w:szCs w:val="20"/>
              </w:rPr>
            </w:pPr>
            <w:r w:rsidRPr="00C93C63">
              <w:rPr>
                <w:rFonts w:ascii="Times New Roman" w:eastAsia="Times New Roman" w:hAnsi="Times New Roman" w:cs="Times New Roman"/>
                <w:b/>
                <w:bCs/>
                <w:i/>
                <w:iCs/>
                <w:sz w:val="20"/>
                <w:szCs w:val="20"/>
              </w:rPr>
              <w:t>RE</w:t>
            </w:r>
          </w:p>
        </w:tc>
      </w:tr>
      <w:tr w:rsidR="00BC1E6D" w:rsidRPr="00C93C63" w14:paraId="3BDF66E9"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5A1076E6"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count</w:t>
            </w:r>
          </w:p>
        </w:tc>
        <w:tc>
          <w:tcPr>
            <w:tcW w:w="864" w:type="dxa"/>
            <w:tcBorders>
              <w:top w:val="nil"/>
              <w:left w:val="nil"/>
              <w:bottom w:val="nil"/>
              <w:right w:val="nil"/>
            </w:tcBorders>
            <w:shd w:val="clear" w:color="auto" w:fill="auto"/>
            <w:noWrap/>
            <w:vAlign w:val="bottom"/>
            <w:hideMark/>
          </w:tcPr>
          <w:p w14:paraId="44AE3AB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6B0F13D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3C78C9AA"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00DD5F32"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4799ABE0"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6D63786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1C0E1BE6"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6451075E"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gridSpan w:val="2"/>
            <w:tcBorders>
              <w:top w:val="nil"/>
              <w:left w:val="nil"/>
              <w:bottom w:val="nil"/>
              <w:right w:val="nil"/>
            </w:tcBorders>
            <w:shd w:val="clear" w:color="auto" w:fill="auto"/>
            <w:noWrap/>
            <w:vAlign w:val="bottom"/>
            <w:hideMark/>
          </w:tcPr>
          <w:p w14:paraId="13947F90"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42EE65B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c>
          <w:tcPr>
            <w:tcW w:w="864" w:type="dxa"/>
            <w:tcBorders>
              <w:top w:val="nil"/>
              <w:left w:val="nil"/>
              <w:bottom w:val="nil"/>
              <w:right w:val="nil"/>
            </w:tcBorders>
            <w:shd w:val="clear" w:color="auto" w:fill="auto"/>
            <w:noWrap/>
            <w:vAlign w:val="bottom"/>
            <w:hideMark/>
          </w:tcPr>
          <w:p w14:paraId="4EC021D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148</w:t>
            </w:r>
          </w:p>
        </w:tc>
      </w:tr>
      <w:tr w:rsidR="00BC1E6D" w:rsidRPr="00C93C63" w14:paraId="256ABCD4"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047BD3C3"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mean</w:t>
            </w:r>
          </w:p>
        </w:tc>
        <w:tc>
          <w:tcPr>
            <w:tcW w:w="864" w:type="dxa"/>
            <w:tcBorders>
              <w:top w:val="nil"/>
              <w:left w:val="nil"/>
              <w:bottom w:val="nil"/>
              <w:right w:val="nil"/>
            </w:tcBorders>
            <w:shd w:val="clear" w:color="auto" w:fill="auto"/>
            <w:noWrap/>
            <w:vAlign w:val="bottom"/>
            <w:hideMark/>
          </w:tcPr>
          <w:p w14:paraId="1D778E86"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0.037</w:t>
            </w:r>
          </w:p>
        </w:tc>
        <w:tc>
          <w:tcPr>
            <w:tcW w:w="864" w:type="dxa"/>
            <w:tcBorders>
              <w:top w:val="nil"/>
              <w:left w:val="nil"/>
              <w:bottom w:val="nil"/>
              <w:right w:val="nil"/>
            </w:tcBorders>
            <w:shd w:val="clear" w:color="auto" w:fill="auto"/>
            <w:noWrap/>
            <w:vAlign w:val="bottom"/>
            <w:hideMark/>
          </w:tcPr>
          <w:p w14:paraId="0EA3646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0.033</w:t>
            </w:r>
          </w:p>
        </w:tc>
        <w:tc>
          <w:tcPr>
            <w:tcW w:w="864" w:type="dxa"/>
            <w:tcBorders>
              <w:top w:val="nil"/>
              <w:left w:val="nil"/>
              <w:bottom w:val="nil"/>
              <w:right w:val="nil"/>
            </w:tcBorders>
            <w:shd w:val="clear" w:color="auto" w:fill="auto"/>
            <w:noWrap/>
            <w:vAlign w:val="bottom"/>
            <w:hideMark/>
          </w:tcPr>
          <w:p w14:paraId="2D4E8B7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0.036</w:t>
            </w:r>
          </w:p>
        </w:tc>
        <w:tc>
          <w:tcPr>
            <w:tcW w:w="864" w:type="dxa"/>
            <w:tcBorders>
              <w:top w:val="nil"/>
              <w:left w:val="nil"/>
              <w:bottom w:val="nil"/>
              <w:right w:val="nil"/>
            </w:tcBorders>
            <w:shd w:val="clear" w:color="auto" w:fill="auto"/>
            <w:noWrap/>
            <w:vAlign w:val="bottom"/>
            <w:hideMark/>
          </w:tcPr>
          <w:p w14:paraId="3949573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0.028</w:t>
            </w:r>
          </w:p>
        </w:tc>
        <w:tc>
          <w:tcPr>
            <w:tcW w:w="864" w:type="dxa"/>
            <w:tcBorders>
              <w:top w:val="nil"/>
              <w:left w:val="nil"/>
              <w:bottom w:val="nil"/>
              <w:right w:val="nil"/>
            </w:tcBorders>
            <w:shd w:val="clear" w:color="auto" w:fill="auto"/>
            <w:noWrap/>
            <w:vAlign w:val="bottom"/>
            <w:hideMark/>
          </w:tcPr>
          <w:p w14:paraId="4DA35336"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0.033</w:t>
            </w:r>
          </w:p>
        </w:tc>
        <w:tc>
          <w:tcPr>
            <w:tcW w:w="864" w:type="dxa"/>
            <w:tcBorders>
              <w:top w:val="nil"/>
              <w:left w:val="nil"/>
              <w:bottom w:val="nil"/>
              <w:right w:val="nil"/>
            </w:tcBorders>
            <w:shd w:val="clear" w:color="auto" w:fill="auto"/>
            <w:noWrap/>
            <w:vAlign w:val="bottom"/>
            <w:hideMark/>
          </w:tcPr>
          <w:p w14:paraId="0DBC18F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0.024</w:t>
            </w:r>
          </w:p>
        </w:tc>
        <w:tc>
          <w:tcPr>
            <w:tcW w:w="864" w:type="dxa"/>
            <w:tcBorders>
              <w:top w:val="nil"/>
              <w:left w:val="nil"/>
              <w:bottom w:val="nil"/>
              <w:right w:val="nil"/>
            </w:tcBorders>
            <w:shd w:val="clear" w:color="auto" w:fill="auto"/>
            <w:noWrap/>
            <w:vAlign w:val="bottom"/>
            <w:hideMark/>
          </w:tcPr>
          <w:p w14:paraId="04173146"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0.029</w:t>
            </w:r>
          </w:p>
        </w:tc>
        <w:tc>
          <w:tcPr>
            <w:tcW w:w="864" w:type="dxa"/>
            <w:tcBorders>
              <w:top w:val="nil"/>
              <w:left w:val="nil"/>
              <w:bottom w:val="nil"/>
              <w:right w:val="nil"/>
            </w:tcBorders>
            <w:shd w:val="clear" w:color="auto" w:fill="auto"/>
            <w:noWrap/>
            <w:vAlign w:val="bottom"/>
            <w:hideMark/>
          </w:tcPr>
          <w:p w14:paraId="08CA06FA"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0.023</w:t>
            </w:r>
          </w:p>
        </w:tc>
        <w:tc>
          <w:tcPr>
            <w:tcW w:w="864" w:type="dxa"/>
            <w:gridSpan w:val="2"/>
            <w:tcBorders>
              <w:top w:val="nil"/>
              <w:left w:val="nil"/>
              <w:bottom w:val="nil"/>
              <w:right w:val="nil"/>
            </w:tcBorders>
            <w:shd w:val="clear" w:color="auto" w:fill="auto"/>
            <w:noWrap/>
            <w:vAlign w:val="bottom"/>
            <w:hideMark/>
          </w:tcPr>
          <w:p w14:paraId="497A4F4E"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0.029</w:t>
            </w:r>
          </w:p>
        </w:tc>
        <w:tc>
          <w:tcPr>
            <w:tcW w:w="864" w:type="dxa"/>
            <w:tcBorders>
              <w:top w:val="nil"/>
              <w:left w:val="nil"/>
              <w:bottom w:val="nil"/>
              <w:right w:val="nil"/>
            </w:tcBorders>
            <w:shd w:val="clear" w:color="auto" w:fill="auto"/>
            <w:noWrap/>
            <w:vAlign w:val="bottom"/>
            <w:hideMark/>
          </w:tcPr>
          <w:p w14:paraId="74413CC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0.026</w:t>
            </w:r>
          </w:p>
        </w:tc>
        <w:tc>
          <w:tcPr>
            <w:tcW w:w="864" w:type="dxa"/>
            <w:tcBorders>
              <w:top w:val="nil"/>
              <w:left w:val="nil"/>
              <w:bottom w:val="nil"/>
              <w:right w:val="nil"/>
            </w:tcBorders>
            <w:shd w:val="clear" w:color="auto" w:fill="auto"/>
            <w:noWrap/>
            <w:vAlign w:val="bottom"/>
            <w:hideMark/>
          </w:tcPr>
          <w:p w14:paraId="05C659A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0.029</w:t>
            </w:r>
          </w:p>
        </w:tc>
      </w:tr>
      <w:tr w:rsidR="00BC1E6D" w:rsidRPr="00C93C63" w14:paraId="1A5CD916"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0ADAE457"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std</w:t>
            </w:r>
          </w:p>
        </w:tc>
        <w:tc>
          <w:tcPr>
            <w:tcW w:w="864" w:type="dxa"/>
            <w:tcBorders>
              <w:top w:val="nil"/>
              <w:left w:val="nil"/>
              <w:bottom w:val="nil"/>
              <w:right w:val="nil"/>
            </w:tcBorders>
            <w:shd w:val="clear" w:color="auto" w:fill="auto"/>
            <w:noWrap/>
            <w:vAlign w:val="bottom"/>
            <w:hideMark/>
          </w:tcPr>
          <w:p w14:paraId="0A76907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0.137</w:t>
            </w:r>
          </w:p>
        </w:tc>
        <w:tc>
          <w:tcPr>
            <w:tcW w:w="864" w:type="dxa"/>
            <w:tcBorders>
              <w:top w:val="nil"/>
              <w:left w:val="nil"/>
              <w:bottom w:val="nil"/>
              <w:right w:val="nil"/>
            </w:tcBorders>
            <w:shd w:val="clear" w:color="auto" w:fill="auto"/>
            <w:noWrap/>
            <w:vAlign w:val="bottom"/>
            <w:hideMark/>
          </w:tcPr>
          <w:p w14:paraId="0191A557"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0.119</w:t>
            </w:r>
          </w:p>
        </w:tc>
        <w:tc>
          <w:tcPr>
            <w:tcW w:w="864" w:type="dxa"/>
            <w:tcBorders>
              <w:top w:val="nil"/>
              <w:left w:val="nil"/>
              <w:bottom w:val="nil"/>
              <w:right w:val="nil"/>
            </w:tcBorders>
            <w:shd w:val="clear" w:color="auto" w:fill="auto"/>
            <w:noWrap/>
            <w:vAlign w:val="bottom"/>
            <w:hideMark/>
          </w:tcPr>
          <w:p w14:paraId="4B80A83D"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0.108</w:t>
            </w:r>
          </w:p>
        </w:tc>
        <w:tc>
          <w:tcPr>
            <w:tcW w:w="864" w:type="dxa"/>
            <w:tcBorders>
              <w:top w:val="nil"/>
              <w:left w:val="nil"/>
              <w:bottom w:val="nil"/>
              <w:right w:val="nil"/>
            </w:tcBorders>
            <w:shd w:val="clear" w:color="auto" w:fill="auto"/>
            <w:noWrap/>
            <w:vAlign w:val="bottom"/>
            <w:hideMark/>
          </w:tcPr>
          <w:p w14:paraId="21C2F76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0.106</w:t>
            </w:r>
          </w:p>
        </w:tc>
        <w:tc>
          <w:tcPr>
            <w:tcW w:w="864" w:type="dxa"/>
            <w:tcBorders>
              <w:top w:val="nil"/>
              <w:left w:val="nil"/>
              <w:bottom w:val="nil"/>
              <w:right w:val="nil"/>
            </w:tcBorders>
            <w:shd w:val="clear" w:color="auto" w:fill="auto"/>
            <w:noWrap/>
            <w:vAlign w:val="bottom"/>
            <w:hideMark/>
          </w:tcPr>
          <w:p w14:paraId="4F99845B"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0.088</w:t>
            </w:r>
          </w:p>
        </w:tc>
        <w:tc>
          <w:tcPr>
            <w:tcW w:w="864" w:type="dxa"/>
            <w:tcBorders>
              <w:top w:val="nil"/>
              <w:left w:val="nil"/>
              <w:bottom w:val="nil"/>
              <w:right w:val="nil"/>
            </w:tcBorders>
            <w:shd w:val="clear" w:color="auto" w:fill="auto"/>
            <w:noWrap/>
            <w:vAlign w:val="bottom"/>
            <w:hideMark/>
          </w:tcPr>
          <w:p w14:paraId="4F77666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0.154</w:t>
            </w:r>
          </w:p>
        </w:tc>
        <w:tc>
          <w:tcPr>
            <w:tcW w:w="864" w:type="dxa"/>
            <w:tcBorders>
              <w:top w:val="nil"/>
              <w:left w:val="nil"/>
              <w:bottom w:val="nil"/>
              <w:right w:val="nil"/>
            </w:tcBorders>
            <w:shd w:val="clear" w:color="auto" w:fill="auto"/>
            <w:noWrap/>
            <w:vAlign w:val="bottom"/>
            <w:hideMark/>
          </w:tcPr>
          <w:p w14:paraId="32A08B5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0.066</w:t>
            </w:r>
          </w:p>
        </w:tc>
        <w:tc>
          <w:tcPr>
            <w:tcW w:w="864" w:type="dxa"/>
            <w:tcBorders>
              <w:top w:val="nil"/>
              <w:left w:val="nil"/>
              <w:bottom w:val="nil"/>
              <w:right w:val="nil"/>
            </w:tcBorders>
            <w:shd w:val="clear" w:color="auto" w:fill="auto"/>
            <w:noWrap/>
            <w:vAlign w:val="bottom"/>
            <w:hideMark/>
          </w:tcPr>
          <w:p w14:paraId="540E16C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0.074</w:t>
            </w:r>
          </w:p>
        </w:tc>
        <w:tc>
          <w:tcPr>
            <w:tcW w:w="864" w:type="dxa"/>
            <w:gridSpan w:val="2"/>
            <w:tcBorders>
              <w:top w:val="nil"/>
              <w:left w:val="nil"/>
              <w:bottom w:val="nil"/>
              <w:right w:val="nil"/>
            </w:tcBorders>
            <w:shd w:val="clear" w:color="auto" w:fill="auto"/>
            <w:noWrap/>
            <w:vAlign w:val="bottom"/>
            <w:hideMark/>
          </w:tcPr>
          <w:p w14:paraId="3B8C43B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0.096</w:t>
            </w:r>
          </w:p>
        </w:tc>
        <w:tc>
          <w:tcPr>
            <w:tcW w:w="864" w:type="dxa"/>
            <w:tcBorders>
              <w:top w:val="nil"/>
              <w:left w:val="nil"/>
              <w:bottom w:val="nil"/>
              <w:right w:val="nil"/>
            </w:tcBorders>
            <w:shd w:val="clear" w:color="auto" w:fill="auto"/>
            <w:noWrap/>
            <w:vAlign w:val="bottom"/>
            <w:hideMark/>
          </w:tcPr>
          <w:p w14:paraId="0F0E3CD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0.098</w:t>
            </w:r>
          </w:p>
        </w:tc>
        <w:tc>
          <w:tcPr>
            <w:tcW w:w="864" w:type="dxa"/>
            <w:tcBorders>
              <w:top w:val="nil"/>
              <w:left w:val="nil"/>
              <w:bottom w:val="nil"/>
              <w:right w:val="nil"/>
            </w:tcBorders>
            <w:shd w:val="clear" w:color="auto" w:fill="auto"/>
            <w:noWrap/>
            <w:vAlign w:val="bottom"/>
            <w:hideMark/>
          </w:tcPr>
          <w:p w14:paraId="303FCB0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0.101</w:t>
            </w:r>
          </w:p>
        </w:tc>
      </w:tr>
      <w:tr w:rsidR="00BC1E6D" w:rsidRPr="00C93C63" w14:paraId="70E8EBA2"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7700D909"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min</w:t>
            </w:r>
          </w:p>
        </w:tc>
        <w:tc>
          <w:tcPr>
            <w:tcW w:w="864" w:type="dxa"/>
            <w:tcBorders>
              <w:top w:val="nil"/>
              <w:left w:val="nil"/>
              <w:bottom w:val="nil"/>
              <w:right w:val="nil"/>
            </w:tcBorders>
            <w:shd w:val="clear" w:color="auto" w:fill="auto"/>
            <w:noWrap/>
            <w:vAlign w:val="bottom"/>
            <w:hideMark/>
          </w:tcPr>
          <w:p w14:paraId="76932960"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-0.446</w:t>
            </w:r>
          </w:p>
        </w:tc>
        <w:tc>
          <w:tcPr>
            <w:tcW w:w="864" w:type="dxa"/>
            <w:tcBorders>
              <w:top w:val="nil"/>
              <w:left w:val="nil"/>
              <w:bottom w:val="nil"/>
              <w:right w:val="nil"/>
            </w:tcBorders>
            <w:shd w:val="clear" w:color="auto" w:fill="auto"/>
            <w:noWrap/>
            <w:vAlign w:val="bottom"/>
            <w:hideMark/>
          </w:tcPr>
          <w:p w14:paraId="06A73280"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-0.476</w:t>
            </w:r>
          </w:p>
        </w:tc>
        <w:tc>
          <w:tcPr>
            <w:tcW w:w="864" w:type="dxa"/>
            <w:tcBorders>
              <w:top w:val="nil"/>
              <w:left w:val="nil"/>
              <w:bottom w:val="nil"/>
              <w:right w:val="nil"/>
            </w:tcBorders>
            <w:shd w:val="clear" w:color="auto" w:fill="auto"/>
            <w:noWrap/>
            <w:vAlign w:val="bottom"/>
            <w:hideMark/>
          </w:tcPr>
          <w:p w14:paraId="57491E42"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-0.49</w:t>
            </w:r>
          </w:p>
        </w:tc>
        <w:tc>
          <w:tcPr>
            <w:tcW w:w="864" w:type="dxa"/>
            <w:tcBorders>
              <w:top w:val="nil"/>
              <w:left w:val="nil"/>
              <w:bottom w:val="nil"/>
              <w:right w:val="nil"/>
            </w:tcBorders>
            <w:shd w:val="clear" w:color="auto" w:fill="auto"/>
            <w:noWrap/>
            <w:vAlign w:val="bottom"/>
            <w:hideMark/>
          </w:tcPr>
          <w:p w14:paraId="2B1AA7F0"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-0.634</w:t>
            </w:r>
          </w:p>
        </w:tc>
        <w:tc>
          <w:tcPr>
            <w:tcW w:w="864" w:type="dxa"/>
            <w:tcBorders>
              <w:top w:val="nil"/>
              <w:left w:val="nil"/>
              <w:bottom w:val="nil"/>
              <w:right w:val="nil"/>
            </w:tcBorders>
            <w:shd w:val="clear" w:color="auto" w:fill="auto"/>
            <w:noWrap/>
            <w:vAlign w:val="bottom"/>
            <w:hideMark/>
          </w:tcPr>
          <w:p w14:paraId="38A9737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-0.353</w:t>
            </w:r>
          </w:p>
        </w:tc>
        <w:tc>
          <w:tcPr>
            <w:tcW w:w="864" w:type="dxa"/>
            <w:tcBorders>
              <w:top w:val="nil"/>
              <w:left w:val="nil"/>
              <w:bottom w:val="nil"/>
              <w:right w:val="nil"/>
            </w:tcBorders>
            <w:shd w:val="clear" w:color="auto" w:fill="auto"/>
            <w:noWrap/>
            <w:vAlign w:val="bottom"/>
            <w:hideMark/>
          </w:tcPr>
          <w:p w14:paraId="57C038F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-0.859</w:t>
            </w:r>
          </w:p>
        </w:tc>
        <w:tc>
          <w:tcPr>
            <w:tcW w:w="864" w:type="dxa"/>
            <w:tcBorders>
              <w:top w:val="nil"/>
              <w:left w:val="nil"/>
              <w:bottom w:val="nil"/>
              <w:right w:val="nil"/>
            </w:tcBorders>
            <w:shd w:val="clear" w:color="auto" w:fill="auto"/>
            <w:noWrap/>
            <w:vAlign w:val="bottom"/>
            <w:hideMark/>
          </w:tcPr>
          <w:p w14:paraId="0455F1D7"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-0.234</w:t>
            </w:r>
          </w:p>
        </w:tc>
        <w:tc>
          <w:tcPr>
            <w:tcW w:w="864" w:type="dxa"/>
            <w:tcBorders>
              <w:top w:val="nil"/>
              <w:left w:val="nil"/>
              <w:bottom w:val="nil"/>
              <w:right w:val="nil"/>
            </w:tcBorders>
            <w:shd w:val="clear" w:color="auto" w:fill="auto"/>
            <w:noWrap/>
            <w:vAlign w:val="bottom"/>
            <w:hideMark/>
          </w:tcPr>
          <w:p w14:paraId="702B689E"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-0.368</w:t>
            </w:r>
          </w:p>
        </w:tc>
        <w:tc>
          <w:tcPr>
            <w:tcW w:w="864" w:type="dxa"/>
            <w:gridSpan w:val="2"/>
            <w:tcBorders>
              <w:top w:val="nil"/>
              <w:left w:val="nil"/>
              <w:bottom w:val="nil"/>
              <w:right w:val="nil"/>
            </w:tcBorders>
            <w:shd w:val="clear" w:color="auto" w:fill="auto"/>
            <w:noWrap/>
            <w:vAlign w:val="bottom"/>
            <w:hideMark/>
          </w:tcPr>
          <w:p w14:paraId="4C59795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-0.483</w:t>
            </w:r>
          </w:p>
        </w:tc>
        <w:tc>
          <w:tcPr>
            <w:tcW w:w="864" w:type="dxa"/>
            <w:tcBorders>
              <w:top w:val="nil"/>
              <w:left w:val="nil"/>
              <w:bottom w:val="nil"/>
              <w:right w:val="nil"/>
            </w:tcBorders>
            <w:shd w:val="clear" w:color="auto" w:fill="auto"/>
            <w:noWrap/>
            <w:vAlign w:val="bottom"/>
            <w:hideMark/>
          </w:tcPr>
          <w:p w14:paraId="1F91203A"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-0.535</w:t>
            </w:r>
          </w:p>
        </w:tc>
        <w:tc>
          <w:tcPr>
            <w:tcW w:w="864" w:type="dxa"/>
            <w:tcBorders>
              <w:top w:val="nil"/>
              <w:left w:val="nil"/>
              <w:bottom w:val="nil"/>
              <w:right w:val="nil"/>
            </w:tcBorders>
            <w:shd w:val="clear" w:color="auto" w:fill="auto"/>
            <w:noWrap/>
            <w:vAlign w:val="bottom"/>
            <w:hideMark/>
          </w:tcPr>
          <w:p w14:paraId="1D8E2332"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-0.703</w:t>
            </w:r>
          </w:p>
        </w:tc>
      </w:tr>
      <w:tr w:rsidR="00BC1E6D" w:rsidRPr="00C93C63" w14:paraId="75249E82"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32A4A814"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25%</w:t>
            </w:r>
          </w:p>
        </w:tc>
        <w:tc>
          <w:tcPr>
            <w:tcW w:w="864" w:type="dxa"/>
            <w:tcBorders>
              <w:top w:val="nil"/>
              <w:left w:val="nil"/>
              <w:bottom w:val="nil"/>
              <w:right w:val="nil"/>
            </w:tcBorders>
            <w:shd w:val="clear" w:color="auto" w:fill="auto"/>
            <w:noWrap/>
            <w:vAlign w:val="bottom"/>
            <w:hideMark/>
          </w:tcPr>
          <w:p w14:paraId="71D0D56A"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-0.016</w:t>
            </w:r>
          </w:p>
        </w:tc>
        <w:tc>
          <w:tcPr>
            <w:tcW w:w="864" w:type="dxa"/>
            <w:tcBorders>
              <w:top w:val="nil"/>
              <w:left w:val="nil"/>
              <w:bottom w:val="nil"/>
              <w:right w:val="nil"/>
            </w:tcBorders>
            <w:shd w:val="clear" w:color="auto" w:fill="auto"/>
            <w:noWrap/>
            <w:vAlign w:val="bottom"/>
            <w:hideMark/>
          </w:tcPr>
          <w:p w14:paraId="73982EA7"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w:t>
            </w:r>
          </w:p>
        </w:tc>
        <w:tc>
          <w:tcPr>
            <w:tcW w:w="864" w:type="dxa"/>
            <w:tcBorders>
              <w:top w:val="nil"/>
              <w:left w:val="nil"/>
              <w:bottom w:val="nil"/>
              <w:right w:val="nil"/>
            </w:tcBorders>
            <w:shd w:val="clear" w:color="auto" w:fill="auto"/>
            <w:noWrap/>
            <w:vAlign w:val="bottom"/>
            <w:hideMark/>
          </w:tcPr>
          <w:p w14:paraId="3042B34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-0.007</w:t>
            </w:r>
          </w:p>
        </w:tc>
        <w:tc>
          <w:tcPr>
            <w:tcW w:w="864" w:type="dxa"/>
            <w:tcBorders>
              <w:top w:val="nil"/>
              <w:left w:val="nil"/>
              <w:bottom w:val="nil"/>
              <w:right w:val="nil"/>
            </w:tcBorders>
            <w:shd w:val="clear" w:color="auto" w:fill="auto"/>
            <w:noWrap/>
            <w:vAlign w:val="bottom"/>
            <w:hideMark/>
          </w:tcPr>
          <w:p w14:paraId="09E4995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-0.008</w:t>
            </w:r>
          </w:p>
        </w:tc>
        <w:tc>
          <w:tcPr>
            <w:tcW w:w="864" w:type="dxa"/>
            <w:tcBorders>
              <w:top w:val="nil"/>
              <w:left w:val="nil"/>
              <w:bottom w:val="nil"/>
              <w:right w:val="nil"/>
            </w:tcBorders>
            <w:shd w:val="clear" w:color="auto" w:fill="auto"/>
            <w:noWrap/>
            <w:vAlign w:val="bottom"/>
            <w:hideMark/>
          </w:tcPr>
          <w:p w14:paraId="21DA68D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-0.015</w:t>
            </w:r>
          </w:p>
        </w:tc>
        <w:tc>
          <w:tcPr>
            <w:tcW w:w="864" w:type="dxa"/>
            <w:tcBorders>
              <w:top w:val="nil"/>
              <w:left w:val="nil"/>
              <w:bottom w:val="nil"/>
              <w:right w:val="nil"/>
            </w:tcBorders>
            <w:shd w:val="clear" w:color="auto" w:fill="auto"/>
            <w:noWrap/>
            <w:vAlign w:val="bottom"/>
            <w:hideMark/>
          </w:tcPr>
          <w:p w14:paraId="52F473E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-0.024</w:t>
            </w:r>
          </w:p>
        </w:tc>
        <w:tc>
          <w:tcPr>
            <w:tcW w:w="864" w:type="dxa"/>
            <w:tcBorders>
              <w:top w:val="nil"/>
              <w:left w:val="nil"/>
              <w:bottom w:val="nil"/>
              <w:right w:val="nil"/>
            </w:tcBorders>
            <w:shd w:val="clear" w:color="auto" w:fill="auto"/>
            <w:noWrap/>
            <w:vAlign w:val="bottom"/>
            <w:hideMark/>
          </w:tcPr>
          <w:p w14:paraId="070EDABB"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-0.003</w:t>
            </w:r>
          </w:p>
        </w:tc>
        <w:tc>
          <w:tcPr>
            <w:tcW w:w="864" w:type="dxa"/>
            <w:tcBorders>
              <w:top w:val="nil"/>
              <w:left w:val="nil"/>
              <w:bottom w:val="nil"/>
              <w:right w:val="nil"/>
            </w:tcBorders>
            <w:shd w:val="clear" w:color="auto" w:fill="auto"/>
            <w:noWrap/>
            <w:vAlign w:val="bottom"/>
            <w:hideMark/>
          </w:tcPr>
          <w:p w14:paraId="5FE9F6C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-0.011</w:t>
            </w:r>
          </w:p>
        </w:tc>
        <w:tc>
          <w:tcPr>
            <w:tcW w:w="864" w:type="dxa"/>
            <w:gridSpan w:val="2"/>
            <w:tcBorders>
              <w:top w:val="nil"/>
              <w:left w:val="nil"/>
              <w:bottom w:val="nil"/>
              <w:right w:val="nil"/>
            </w:tcBorders>
            <w:shd w:val="clear" w:color="auto" w:fill="auto"/>
            <w:noWrap/>
            <w:vAlign w:val="bottom"/>
            <w:hideMark/>
          </w:tcPr>
          <w:p w14:paraId="2DADD92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-0.009</w:t>
            </w:r>
          </w:p>
        </w:tc>
        <w:tc>
          <w:tcPr>
            <w:tcW w:w="864" w:type="dxa"/>
            <w:tcBorders>
              <w:top w:val="nil"/>
              <w:left w:val="nil"/>
              <w:bottom w:val="nil"/>
              <w:right w:val="nil"/>
            </w:tcBorders>
            <w:shd w:val="clear" w:color="auto" w:fill="auto"/>
            <w:noWrap/>
            <w:vAlign w:val="bottom"/>
            <w:hideMark/>
          </w:tcPr>
          <w:p w14:paraId="0170C6B3"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-0.014</w:t>
            </w:r>
          </w:p>
        </w:tc>
        <w:tc>
          <w:tcPr>
            <w:tcW w:w="864" w:type="dxa"/>
            <w:tcBorders>
              <w:top w:val="nil"/>
              <w:left w:val="nil"/>
              <w:bottom w:val="nil"/>
              <w:right w:val="nil"/>
            </w:tcBorders>
            <w:shd w:val="clear" w:color="auto" w:fill="auto"/>
            <w:noWrap/>
            <w:vAlign w:val="bottom"/>
            <w:hideMark/>
          </w:tcPr>
          <w:p w14:paraId="5E837B7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-0.007</w:t>
            </w:r>
          </w:p>
        </w:tc>
      </w:tr>
      <w:tr w:rsidR="00BC1E6D" w:rsidRPr="00C93C63" w14:paraId="2397A26E"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18E1C675"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50%</w:t>
            </w:r>
          </w:p>
        </w:tc>
        <w:tc>
          <w:tcPr>
            <w:tcW w:w="864" w:type="dxa"/>
            <w:tcBorders>
              <w:top w:val="nil"/>
              <w:left w:val="nil"/>
              <w:bottom w:val="nil"/>
              <w:right w:val="nil"/>
            </w:tcBorders>
            <w:shd w:val="clear" w:color="auto" w:fill="auto"/>
            <w:noWrap/>
            <w:vAlign w:val="bottom"/>
            <w:hideMark/>
          </w:tcPr>
          <w:p w14:paraId="2887394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0.036</w:t>
            </w:r>
          </w:p>
        </w:tc>
        <w:tc>
          <w:tcPr>
            <w:tcW w:w="864" w:type="dxa"/>
            <w:tcBorders>
              <w:top w:val="nil"/>
              <w:left w:val="nil"/>
              <w:bottom w:val="nil"/>
              <w:right w:val="nil"/>
            </w:tcBorders>
            <w:shd w:val="clear" w:color="auto" w:fill="auto"/>
            <w:noWrap/>
            <w:vAlign w:val="bottom"/>
            <w:hideMark/>
          </w:tcPr>
          <w:p w14:paraId="66ACB97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0.035</w:t>
            </w:r>
          </w:p>
        </w:tc>
        <w:tc>
          <w:tcPr>
            <w:tcW w:w="864" w:type="dxa"/>
            <w:tcBorders>
              <w:top w:val="nil"/>
              <w:left w:val="nil"/>
              <w:bottom w:val="nil"/>
              <w:right w:val="nil"/>
            </w:tcBorders>
            <w:shd w:val="clear" w:color="auto" w:fill="auto"/>
            <w:noWrap/>
            <w:vAlign w:val="bottom"/>
            <w:hideMark/>
          </w:tcPr>
          <w:p w14:paraId="0B5433A6"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0.041</w:t>
            </w:r>
          </w:p>
        </w:tc>
        <w:tc>
          <w:tcPr>
            <w:tcW w:w="864" w:type="dxa"/>
            <w:tcBorders>
              <w:top w:val="nil"/>
              <w:left w:val="nil"/>
              <w:bottom w:val="nil"/>
              <w:right w:val="nil"/>
            </w:tcBorders>
            <w:shd w:val="clear" w:color="auto" w:fill="auto"/>
            <w:noWrap/>
            <w:vAlign w:val="bottom"/>
            <w:hideMark/>
          </w:tcPr>
          <w:p w14:paraId="384E0EDE"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0.026</w:t>
            </w:r>
          </w:p>
        </w:tc>
        <w:tc>
          <w:tcPr>
            <w:tcW w:w="864" w:type="dxa"/>
            <w:tcBorders>
              <w:top w:val="nil"/>
              <w:left w:val="nil"/>
              <w:bottom w:val="nil"/>
              <w:right w:val="nil"/>
            </w:tcBorders>
            <w:shd w:val="clear" w:color="auto" w:fill="auto"/>
            <w:noWrap/>
            <w:vAlign w:val="bottom"/>
            <w:hideMark/>
          </w:tcPr>
          <w:p w14:paraId="259D30E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0.033</w:t>
            </w:r>
          </w:p>
        </w:tc>
        <w:tc>
          <w:tcPr>
            <w:tcW w:w="864" w:type="dxa"/>
            <w:tcBorders>
              <w:top w:val="nil"/>
              <w:left w:val="nil"/>
              <w:bottom w:val="nil"/>
              <w:right w:val="nil"/>
            </w:tcBorders>
            <w:shd w:val="clear" w:color="auto" w:fill="auto"/>
            <w:noWrap/>
            <w:vAlign w:val="bottom"/>
            <w:hideMark/>
          </w:tcPr>
          <w:p w14:paraId="1A69774B"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0.041</w:t>
            </w:r>
          </w:p>
        </w:tc>
        <w:tc>
          <w:tcPr>
            <w:tcW w:w="864" w:type="dxa"/>
            <w:tcBorders>
              <w:top w:val="nil"/>
              <w:left w:val="nil"/>
              <w:bottom w:val="nil"/>
              <w:right w:val="nil"/>
            </w:tcBorders>
            <w:shd w:val="clear" w:color="auto" w:fill="auto"/>
            <w:noWrap/>
            <w:vAlign w:val="bottom"/>
            <w:hideMark/>
          </w:tcPr>
          <w:p w14:paraId="5B12314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0.028</w:t>
            </w:r>
          </w:p>
        </w:tc>
        <w:tc>
          <w:tcPr>
            <w:tcW w:w="864" w:type="dxa"/>
            <w:tcBorders>
              <w:top w:val="nil"/>
              <w:left w:val="nil"/>
              <w:bottom w:val="nil"/>
              <w:right w:val="nil"/>
            </w:tcBorders>
            <w:shd w:val="clear" w:color="auto" w:fill="auto"/>
            <w:noWrap/>
            <w:vAlign w:val="bottom"/>
            <w:hideMark/>
          </w:tcPr>
          <w:p w14:paraId="63F8E04F"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0.029</w:t>
            </w:r>
          </w:p>
        </w:tc>
        <w:tc>
          <w:tcPr>
            <w:tcW w:w="864" w:type="dxa"/>
            <w:gridSpan w:val="2"/>
            <w:tcBorders>
              <w:top w:val="nil"/>
              <w:left w:val="nil"/>
              <w:bottom w:val="nil"/>
              <w:right w:val="nil"/>
            </w:tcBorders>
            <w:shd w:val="clear" w:color="auto" w:fill="auto"/>
            <w:noWrap/>
            <w:vAlign w:val="bottom"/>
            <w:hideMark/>
          </w:tcPr>
          <w:p w14:paraId="5DC2120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w:t>
            </w:r>
          </w:p>
        </w:tc>
        <w:tc>
          <w:tcPr>
            <w:tcW w:w="864" w:type="dxa"/>
            <w:tcBorders>
              <w:top w:val="nil"/>
              <w:left w:val="nil"/>
              <w:bottom w:val="nil"/>
              <w:right w:val="nil"/>
            </w:tcBorders>
            <w:shd w:val="clear" w:color="auto" w:fill="auto"/>
            <w:noWrap/>
            <w:vAlign w:val="bottom"/>
            <w:hideMark/>
          </w:tcPr>
          <w:p w14:paraId="793ACD37"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0.029</w:t>
            </w:r>
          </w:p>
        </w:tc>
        <w:tc>
          <w:tcPr>
            <w:tcW w:w="864" w:type="dxa"/>
            <w:tcBorders>
              <w:top w:val="nil"/>
              <w:left w:val="nil"/>
              <w:bottom w:val="nil"/>
              <w:right w:val="nil"/>
            </w:tcBorders>
            <w:shd w:val="clear" w:color="auto" w:fill="auto"/>
            <w:noWrap/>
            <w:vAlign w:val="bottom"/>
            <w:hideMark/>
          </w:tcPr>
          <w:p w14:paraId="5FDFB10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0.036</w:t>
            </w:r>
          </w:p>
        </w:tc>
      </w:tr>
      <w:tr w:rsidR="00BC1E6D" w:rsidRPr="00C93C63" w14:paraId="1F51F739" w14:textId="77777777" w:rsidTr="006E4C1E">
        <w:trPr>
          <w:gridAfter w:val="10"/>
          <w:wAfter w:w="9178" w:type="dxa"/>
          <w:trHeight w:val="20"/>
        </w:trPr>
        <w:tc>
          <w:tcPr>
            <w:tcW w:w="864" w:type="dxa"/>
            <w:tcBorders>
              <w:top w:val="nil"/>
              <w:left w:val="nil"/>
              <w:bottom w:val="nil"/>
              <w:right w:val="nil"/>
            </w:tcBorders>
            <w:shd w:val="clear" w:color="auto" w:fill="auto"/>
            <w:noWrap/>
            <w:hideMark/>
          </w:tcPr>
          <w:p w14:paraId="0B3F089E"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75%</w:t>
            </w:r>
          </w:p>
        </w:tc>
        <w:tc>
          <w:tcPr>
            <w:tcW w:w="864" w:type="dxa"/>
            <w:tcBorders>
              <w:top w:val="nil"/>
              <w:left w:val="nil"/>
              <w:bottom w:val="nil"/>
              <w:right w:val="nil"/>
            </w:tcBorders>
            <w:shd w:val="clear" w:color="auto" w:fill="auto"/>
            <w:noWrap/>
            <w:vAlign w:val="bottom"/>
            <w:hideMark/>
          </w:tcPr>
          <w:p w14:paraId="0C3A40C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0.101</w:t>
            </w:r>
          </w:p>
        </w:tc>
        <w:tc>
          <w:tcPr>
            <w:tcW w:w="864" w:type="dxa"/>
            <w:tcBorders>
              <w:top w:val="nil"/>
              <w:left w:val="nil"/>
              <w:bottom w:val="nil"/>
              <w:right w:val="nil"/>
            </w:tcBorders>
            <w:shd w:val="clear" w:color="auto" w:fill="auto"/>
            <w:noWrap/>
            <w:vAlign w:val="bottom"/>
            <w:hideMark/>
          </w:tcPr>
          <w:p w14:paraId="31D4190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0.093</w:t>
            </w:r>
          </w:p>
        </w:tc>
        <w:tc>
          <w:tcPr>
            <w:tcW w:w="864" w:type="dxa"/>
            <w:tcBorders>
              <w:top w:val="nil"/>
              <w:left w:val="nil"/>
              <w:bottom w:val="nil"/>
              <w:right w:val="nil"/>
            </w:tcBorders>
            <w:shd w:val="clear" w:color="auto" w:fill="auto"/>
            <w:noWrap/>
            <w:vAlign w:val="bottom"/>
            <w:hideMark/>
          </w:tcPr>
          <w:p w14:paraId="30D0788F"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0.087</w:t>
            </w:r>
          </w:p>
        </w:tc>
        <w:tc>
          <w:tcPr>
            <w:tcW w:w="864" w:type="dxa"/>
            <w:tcBorders>
              <w:top w:val="nil"/>
              <w:left w:val="nil"/>
              <w:bottom w:val="nil"/>
              <w:right w:val="nil"/>
            </w:tcBorders>
            <w:shd w:val="clear" w:color="auto" w:fill="auto"/>
            <w:noWrap/>
            <w:vAlign w:val="bottom"/>
            <w:hideMark/>
          </w:tcPr>
          <w:p w14:paraId="48ADD213"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0.088</w:t>
            </w:r>
          </w:p>
        </w:tc>
        <w:tc>
          <w:tcPr>
            <w:tcW w:w="864" w:type="dxa"/>
            <w:tcBorders>
              <w:top w:val="nil"/>
              <w:left w:val="nil"/>
              <w:bottom w:val="nil"/>
              <w:right w:val="nil"/>
            </w:tcBorders>
            <w:shd w:val="clear" w:color="auto" w:fill="auto"/>
            <w:noWrap/>
            <w:vAlign w:val="bottom"/>
            <w:hideMark/>
          </w:tcPr>
          <w:p w14:paraId="4F6111B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0.087</w:t>
            </w:r>
          </w:p>
        </w:tc>
        <w:tc>
          <w:tcPr>
            <w:tcW w:w="864" w:type="dxa"/>
            <w:tcBorders>
              <w:top w:val="nil"/>
              <w:left w:val="nil"/>
              <w:bottom w:val="nil"/>
              <w:right w:val="nil"/>
            </w:tcBorders>
            <w:shd w:val="clear" w:color="auto" w:fill="auto"/>
            <w:noWrap/>
            <w:vAlign w:val="bottom"/>
            <w:hideMark/>
          </w:tcPr>
          <w:p w14:paraId="59F1B27C"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0.101</w:t>
            </w:r>
          </w:p>
        </w:tc>
        <w:tc>
          <w:tcPr>
            <w:tcW w:w="864" w:type="dxa"/>
            <w:tcBorders>
              <w:top w:val="nil"/>
              <w:left w:val="nil"/>
              <w:bottom w:val="nil"/>
              <w:right w:val="nil"/>
            </w:tcBorders>
            <w:shd w:val="clear" w:color="auto" w:fill="auto"/>
            <w:noWrap/>
            <w:vAlign w:val="bottom"/>
            <w:hideMark/>
          </w:tcPr>
          <w:p w14:paraId="2859157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0.06</w:t>
            </w:r>
          </w:p>
        </w:tc>
        <w:tc>
          <w:tcPr>
            <w:tcW w:w="864" w:type="dxa"/>
            <w:tcBorders>
              <w:top w:val="nil"/>
              <w:left w:val="nil"/>
              <w:bottom w:val="nil"/>
              <w:right w:val="nil"/>
            </w:tcBorders>
            <w:shd w:val="clear" w:color="auto" w:fill="auto"/>
            <w:noWrap/>
            <w:vAlign w:val="bottom"/>
            <w:hideMark/>
          </w:tcPr>
          <w:p w14:paraId="7C98541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0.063</w:t>
            </w:r>
          </w:p>
        </w:tc>
        <w:tc>
          <w:tcPr>
            <w:tcW w:w="864" w:type="dxa"/>
            <w:gridSpan w:val="2"/>
            <w:tcBorders>
              <w:top w:val="nil"/>
              <w:left w:val="nil"/>
              <w:bottom w:val="nil"/>
              <w:right w:val="nil"/>
            </w:tcBorders>
            <w:shd w:val="clear" w:color="auto" w:fill="auto"/>
            <w:noWrap/>
            <w:vAlign w:val="bottom"/>
            <w:hideMark/>
          </w:tcPr>
          <w:p w14:paraId="7ADEA721"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0.086</w:t>
            </w:r>
          </w:p>
        </w:tc>
        <w:tc>
          <w:tcPr>
            <w:tcW w:w="864" w:type="dxa"/>
            <w:tcBorders>
              <w:top w:val="nil"/>
              <w:left w:val="nil"/>
              <w:bottom w:val="nil"/>
              <w:right w:val="nil"/>
            </w:tcBorders>
            <w:shd w:val="clear" w:color="auto" w:fill="auto"/>
            <w:noWrap/>
            <w:vAlign w:val="bottom"/>
            <w:hideMark/>
          </w:tcPr>
          <w:p w14:paraId="4ABEA6C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0.081</w:t>
            </w:r>
          </w:p>
        </w:tc>
        <w:tc>
          <w:tcPr>
            <w:tcW w:w="864" w:type="dxa"/>
            <w:tcBorders>
              <w:top w:val="nil"/>
              <w:left w:val="nil"/>
              <w:bottom w:val="nil"/>
              <w:right w:val="nil"/>
            </w:tcBorders>
            <w:shd w:val="clear" w:color="auto" w:fill="auto"/>
            <w:noWrap/>
            <w:vAlign w:val="bottom"/>
            <w:hideMark/>
          </w:tcPr>
          <w:p w14:paraId="0F1121FF"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0.078</w:t>
            </w:r>
          </w:p>
        </w:tc>
      </w:tr>
      <w:tr w:rsidR="00BC1E6D" w:rsidRPr="00C93C63" w14:paraId="3B41F112" w14:textId="77777777" w:rsidTr="006E4C1E">
        <w:trPr>
          <w:gridAfter w:val="10"/>
          <w:wAfter w:w="9178" w:type="dxa"/>
          <w:trHeight w:val="20"/>
        </w:trPr>
        <w:tc>
          <w:tcPr>
            <w:tcW w:w="864" w:type="dxa"/>
            <w:tcBorders>
              <w:top w:val="nil"/>
              <w:left w:val="nil"/>
              <w:bottom w:val="single" w:sz="4" w:space="0" w:color="auto"/>
              <w:right w:val="nil"/>
            </w:tcBorders>
            <w:shd w:val="clear" w:color="auto" w:fill="auto"/>
            <w:noWrap/>
            <w:hideMark/>
          </w:tcPr>
          <w:p w14:paraId="26861967" w14:textId="77777777" w:rsidR="00F76928" w:rsidRPr="00C93C63" w:rsidRDefault="00F76928" w:rsidP="00BD3816">
            <w:pPr>
              <w:spacing w:after="0" w:line="276" w:lineRule="auto"/>
              <w:jc w:val="center"/>
              <w:rPr>
                <w:rFonts w:ascii="Times New Roman" w:eastAsia="Times New Roman" w:hAnsi="Times New Roman" w:cs="Times New Roman"/>
                <w:b/>
                <w:bCs/>
                <w:sz w:val="20"/>
                <w:szCs w:val="20"/>
              </w:rPr>
            </w:pPr>
            <w:r w:rsidRPr="00C93C63">
              <w:rPr>
                <w:rFonts w:ascii="Times New Roman" w:eastAsia="Times New Roman" w:hAnsi="Times New Roman" w:cs="Times New Roman"/>
                <w:b/>
                <w:bCs/>
                <w:sz w:val="20"/>
                <w:szCs w:val="20"/>
              </w:rPr>
              <w:t>max</w:t>
            </w:r>
          </w:p>
        </w:tc>
        <w:tc>
          <w:tcPr>
            <w:tcW w:w="864" w:type="dxa"/>
            <w:tcBorders>
              <w:top w:val="nil"/>
              <w:left w:val="nil"/>
              <w:bottom w:val="single" w:sz="4" w:space="0" w:color="auto"/>
              <w:right w:val="nil"/>
            </w:tcBorders>
            <w:shd w:val="clear" w:color="auto" w:fill="auto"/>
            <w:noWrap/>
            <w:vAlign w:val="bottom"/>
            <w:hideMark/>
          </w:tcPr>
          <w:p w14:paraId="01895A2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0.515</w:t>
            </w:r>
          </w:p>
        </w:tc>
        <w:tc>
          <w:tcPr>
            <w:tcW w:w="864" w:type="dxa"/>
            <w:tcBorders>
              <w:top w:val="nil"/>
              <w:left w:val="nil"/>
              <w:bottom w:val="single" w:sz="4" w:space="0" w:color="auto"/>
              <w:right w:val="nil"/>
            </w:tcBorders>
            <w:shd w:val="clear" w:color="auto" w:fill="auto"/>
            <w:noWrap/>
            <w:vAlign w:val="bottom"/>
            <w:hideMark/>
          </w:tcPr>
          <w:p w14:paraId="0D53C2C4"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0.392</w:t>
            </w:r>
          </w:p>
        </w:tc>
        <w:tc>
          <w:tcPr>
            <w:tcW w:w="864" w:type="dxa"/>
            <w:tcBorders>
              <w:top w:val="nil"/>
              <w:left w:val="nil"/>
              <w:bottom w:val="single" w:sz="4" w:space="0" w:color="auto"/>
              <w:right w:val="nil"/>
            </w:tcBorders>
            <w:shd w:val="clear" w:color="auto" w:fill="auto"/>
            <w:noWrap/>
            <w:vAlign w:val="bottom"/>
            <w:hideMark/>
          </w:tcPr>
          <w:p w14:paraId="616388B5"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0.406</w:t>
            </w:r>
          </w:p>
        </w:tc>
        <w:tc>
          <w:tcPr>
            <w:tcW w:w="864" w:type="dxa"/>
            <w:tcBorders>
              <w:top w:val="nil"/>
              <w:left w:val="nil"/>
              <w:bottom w:val="single" w:sz="4" w:space="0" w:color="auto"/>
              <w:right w:val="nil"/>
            </w:tcBorders>
            <w:shd w:val="clear" w:color="auto" w:fill="auto"/>
            <w:noWrap/>
            <w:vAlign w:val="bottom"/>
            <w:hideMark/>
          </w:tcPr>
          <w:p w14:paraId="4280733D"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0.335</w:t>
            </w:r>
          </w:p>
        </w:tc>
        <w:tc>
          <w:tcPr>
            <w:tcW w:w="864" w:type="dxa"/>
            <w:tcBorders>
              <w:top w:val="nil"/>
              <w:left w:val="nil"/>
              <w:bottom w:val="single" w:sz="4" w:space="0" w:color="auto"/>
              <w:right w:val="nil"/>
            </w:tcBorders>
            <w:shd w:val="clear" w:color="auto" w:fill="auto"/>
            <w:noWrap/>
            <w:vAlign w:val="bottom"/>
            <w:hideMark/>
          </w:tcPr>
          <w:p w14:paraId="54D1C779"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0.263</w:t>
            </w:r>
          </w:p>
        </w:tc>
        <w:tc>
          <w:tcPr>
            <w:tcW w:w="864" w:type="dxa"/>
            <w:tcBorders>
              <w:top w:val="nil"/>
              <w:left w:val="nil"/>
              <w:bottom w:val="single" w:sz="4" w:space="0" w:color="auto"/>
              <w:right w:val="nil"/>
            </w:tcBorders>
            <w:shd w:val="clear" w:color="auto" w:fill="auto"/>
            <w:noWrap/>
            <w:vAlign w:val="bottom"/>
            <w:hideMark/>
          </w:tcPr>
          <w:p w14:paraId="0EDE3E68"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0.353</w:t>
            </w:r>
          </w:p>
        </w:tc>
        <w:tc>
          <w:tcPr>
            <w:tcW w:w="864" w:type="dxa"/>
            <w:tcBorders>
              <w:top w:val="nil"/>
              <w:left w:val="nil"/>
              <w:bottom w:val="single" w:sz="4" w:space="0" w:color="auto"/>
              <w:right w:val="nil"/>
            </w:tcBorders>
            <w:shd w:val="clear" w:color="auto" w:fill="auto"/>
            <w:noWrap/>
            <w:vAlign w:val="bottom"/>
            <w:hideMark/>
          </w:tcPr>
          <w:p w14:paraId="7F0CE043"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0.25</w:t>
            </w:r>
          </w:p>
        </w:tc>
        <w:tc>
          <w:tcPr>
            <w:tcW w:w="864" w:type="dxa"/>
            <w:tcBorders>
              <w:top w:val="nil"/>
              <w:left w:val="nil"/>
              <w:bottom w:val="single" w:sz="4" w:space="0" w:color="auto"/>
              <w:right w:val="nil"/>
            </w:tcBorders>
            <w:shd w:val="clear" w:color="auto" w:fill="auto"/>
            <w:noWrap/>
            <w:vAlign w:val="bottom"/>
            <w:hideMark/>
          </w:tcPr>
          <w:p w14:paraId="2C046B4B"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0.292</w:t>
            </w:r>
          </w:p>
        </w:tc>
        <w:tc>
          <w:tcPr>
            <w:tcW w:w="864" w:type="dxa"/>
            <w:gridSpan w:val="2"/>
            <w:tcBorders>
              <w:top w:val="nil"/>
              <w:left w:val="nil"/>
              <w:bottom w:val="single" w:sz="4" w:space="0" w:color="auto"/>
              <w:right w:val="nil"/>
            </w:tcBorders>
            <w:shd w:val="clear" w:color="auto" w:fill="auto"/>
            <w:noWrap/>
            <w:vAlign w:val="bottom"/>
            <w:hideMark/>
          </w:tcPr>
          <w:p w14:paraId="4094E6F3"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0.233</w:t>
            </w:r>
          </w:p>
        </w:tc>
        <w:tc>
          <w:tcPr>
            <w:tcW w:w="864" w:type="dxa"/>
            <w:tcBorders>
              <w:top w:val="nil"/>
              <w:left w:val="nil"/>
              <w:bottom w:val="single" w:sz="4" w:space="0" w:color="auto"/>
              <w:right w:val="nil"/>
            </w:tcBorders>
            <w:shd w:val="clear" w:color="auto" w:fill="auto"/>
            <w:noWrap/>
            <w:vAlign w:val="bottom"/>
            <w:hideMark/>
          </w:tcPr>
          <w:p w14:paraId="2B6CD5CA"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0.281</w:t>
            </w:r>
          </w:p>
        </w:tc>
        <w:tc>
          <w:tcPr>
            <w:tcW w:w="864" w:type="dxa"/>
            <w:tcBorders>
              <w:top w:val="nil"/>
              <w:left w:val="nil"/>
              <w:bottom w:val="single" w:sz="4" w:space="0" w:color="auto"/>
              <w:right w:val="nil"/>
            </w:tcBorders>
            <w:shd w:val="clear" w:color="auto" w:fill="auto"/>
            <w:noWrap/>
            <w:vAlign w:val="bottom"/>
            <w:hideMark/>
          </w:tcPr>
          <w:p w14:paraId="0952743D" w14:textId="77777777" w:rsidR="00F76928" w:rsidRPr="00C93C63" w:rsidRDefault="00F76928" w:rsidP="00BD3816">
            <w:pPr>
              <w:spacing w:after="0" w:line="276" w:lineRule="auto"/>
              <w:jc w:val="center"/>
              <w:rPr>
                <w:rFonts w:ascii="Times New Roman" w:eastAsia="Times New Roman" w:hAnsi="Times New Roman" w:cs="Times New Roman"/>
                <w:sz w:val="20"/>
                <w:szCs w:val="20"/>
              </w:rPr>
            </w:pPr>
            <w:r w:rsidRPr="00C93C63">
              <w:rPr>
                <w:rFonts w:ascii="Times New Roman" w:eastAsia="Times New Roman" w:hAnsi="Times New Roman" w:cs="Times New Roman"/>
                <w:sz w:val="20"/>
                <w:szCs w:val="20"/>
              </w:rPr>
              <w:t>0.316</w:t>
            </w:r>
          </w:p>
        </w:tc>
      </w:tr>
    </w:tbl>
    <w:p w14:paraId="41FFF7FB" w14:textId="77777777" w:rsidR="009671FF" w:rsidRPr="00BC1E6D" w:rsidRDefault="009671FF" w:rsidP="00BD3816">
      <w:pPr>
        <w:spacing w:line="276" w:lineRule="auto"/>
        <w:rPr>
          <w:rFonts w:ascii="Times New Roman" w:eastAsiaTheme="minorEastAsia" w:hAnsi="Times New Roman" w:cs="Times New Roman"/>
          <w:sz w:val="24"/>
          <w:szCs w:val="24"/>
        </w:rPr>
      </w:pPr>
    </w:p>
    <w:p w14:paraId="3847FE24" w14:textId="3777AC97" w:rsidR="00035D23" w:rsidRPr="00BC1E6D" w:rsidRDefault="00791829"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The mean here is interesting as</w:t>
      </w:r>
      <w:r w:rsidR="00B54CC2" w:rsidRPr="00BC1E6D">
        <w:rPr>
          <w:rFonts w:ascii="Times New Roman" w:eastAsiaTheme="minorEastAsia" w:hAnsi="Times New Roman" w:cs="Times New Roman"/>
          <w:sz w:val="24"/>
          <w:szCs w:val="24"/>
        </w:rPr>
        <w:t>, for instance,</w:t>
      </w:r>
      <w:r w:rsidRPr="00BC1E6D">
        <w:rPr>
          <w:rFonts w:ascii="Times New Roman" w:eastAsiaTheme="minorEastAsia" w:hAnsi="Times New Roman" w:cs="Times New Roman"/>
          <w:sz w:val="24"/>
          <w:szCs w:val="24"/>
        </w:rPr>
        <w:t xml:space="preserve"> we can see that IT has done the best in terms of returns since 1986. </w:t>
      </w:r>
      <w:r w:rsidR="004D79AD" w:rsidRPr="00BC1E6D">
        <w:rPr>
          <w:rFonts w:ascii="Times New Roman" w:eastAsiaTheme="minorEastAsia" w:hAnsi="Times New Roman" w:cs="Times New Roman"/>
          <w:sz w:val="24"/>
          <w:szCs w:val="24"/>
        </w:rPr>
        <w:t xml:space="preserve">The IT sector has averaged </w:t>
      </w:r>
      <w:r w:rsidR="00911F80" w:rsidRPr="00BC1E6D">
        <w:rPr>
          <w:rFonts w:ascii="Times New Roman" w:eastAsiaTheme="minorEastAsia" w:hAnsi="Times New Roman" w:cs="Times New Roman"/>
          <w:sz w:val="24"/>
          <w:szCs w:val="24"/>
        </w:rPr>
        <w:t>approximately a</w:t>
      </w:r>
      <w:r w:rsidR="00035D23" w:rsidRPr="00BC1E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100*</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0.037</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 3.77%</m:t>
        </m:r>
      </m:oMath>
      <w:r w:rsidR="00B478AF" w:rsidRPr="00BC1E6D">
        <w:rPr>
          <w:rFonts w:ascii="Times New Roman" w:eastAsiaTheme="minorEastAsia" w:hAnsi="Times New Roman" w:cs="Times New Roman"/>
          <w:sz w:val="24"/>
          <w:szCs w:val="24"/>
        </w:rPr>
        <w:t xml:space="preserve"> </w:t>
      </w:r>
      <w:r w:rsidR="00F85F5C" w:rsidRPr="00BC1E6D">
        <w:rPr>
          <w:rFonts w:ascii="Times New Roman" w:eastAsiaTheme="minorEastAsia" w:hAnsi="Times New Roman" w:cs="Times New Roman"/>
          <w:sz w:val="24"/>
          <w:szCs w:val="24"/>
        </w:rPr>
        <w:t xml:space="preserve">average </w:t>
      </w:r>
      <w:r w:rsidR="009A3C5F" w:rsidRPr="00BC1E6D">
        <w:rPr>
          <w:rFonts w:ascii="Times New Roman" w:eastAsiaTheme="minorEastAsia" w:hAnsi="Times New Roman" w:cs="Times New Roman"/>
          <w:sz w:val="24"/>
          <w:szCs w:val="24"/>
        </w:rPr>
        <w:t>quarterly</w:t>
      </w:r>
      <w:r w:rsidR="00F85F5C" w:rsidRPr="00BC1E6D">
        <w:rPr>
          <w:rFonts w:ascii="Times New Roman" w:eastAsiaTheme="minorEastAsia" w:hAnsi="Times New Roman" w:cs="Times New Roman"/>
          <w:sz w:val="24"/>
          <w:szCs w:val="24"/>
        </w:rPr>
        <w:t xml:space="preserve"> increase in </w:t>
      </w:r>
      <w:r w:rsidR="000075B0" w:rsidRPr="00BC1E6D">
        <w:rPr>
          <w:rFonts w:ascii="Times New Roman" w:eastAsiaTheme="minorEastAsia" w:hAnsi="Times New Roman" w:cs="Times New Roman"/>
          <w:sz w:val="24"/>
          <w:szCs w:val="24"/>
        </w:rPr>
        <w:t>stock prices.</w:t>
      </w:r>
      <w:r w:rsidR="00B478AF" w:rsidRPr="00BC1E6D">
        <w:rPr>
          <w:rFonts w:ascii="Times New Roman" w:eastAsiaTheme="minorEastAsia" w:hAnsi="Times New Roman" w:cs="Times New Roman"/>
          <w:sz w:val="24"/>
          <w:szCs w:val="24"/>
        </w:rPr>
        <w:t xml:space="preserve"> </w:t>
      </w:r>
      <w:r w:rsidR="000075B0" w:rsidRPr="00BC1E6D">
        <w:rPr>
          <w:rFonts w:ascii="Times New Roman" w:eastAsiaTheme="minorEastAsia" w:hAnsi="Times New Roman" w:cs="Times New Roman"/>
          <w:sz w:val="24"/>
          <w:szCs w:val="24"/>
        </w:rPr>
        <w:t xml:space="preserve">This, compounded out to an entire year is roughly a </w:t>
      </w:r>
      <m:oMath>
        <m:r>
          <w:rPr>
            <w:rFonts w:ascii="Cambria Math" w:eastAsiaTheme="minorEastAsia" w:hAnsi="Cambria Math" w:cs="Times New Roman"/>
            <w:sz w:val="24"/>
            <w:szCs w:val="24"/>
          </w:rPr>
          <m:t xml:space="preserve">100*[1 -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1+0.0377</m:t>
                </m:r>
              </m:e>
            </m:d>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 </m:t>
        </m:r>
      </m:oMath>
      <w:r w:rsidR="008F2098" w:rsidRPr="00BC1E6D">
        <w:rPr>
          <w:rFonts w:ascii="Times New Roman" w:eastAsiaTheme="minorEastAsia" w:hAnsi="Times New Roman" w:cs="Times New Roman"/>
          <w:sz w:val="24"/>
          <w:szCs w:val="24"/>
        </w:rPr>
        <w:t xml:space="preserve">15.95% increase. </w:t>
      </w:r>
    </w:p>
    <w:p w14:paraId="272709F2" w14:textId="378EC7A6" w:rsidR="00446C80" w:rsidRPr="00BC1E6D" w:rsidRDefault="007262C4"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histograms of each </w:t>
      </w:r>
      <w:r w:rsidR="00D85097" w:rsidRPr="00BC1E6D">
        <w:rPr>
          <w:rFonts w:ascii="Times New Roman" w:eastAsiaTheme="minorEastAsia" w:hAnsi="Times New Roman" w:cs="Times New Roman"/>
          <w:sz w:val="24"/>
          <w:szCs w:val="24"/>
        </w:rPr>
        <w:t>sector display obvious normality</w:t>
      </w:r>
      <w:r w:rsidR="000F3A24" w:rsidRPr="00BC1E6D">
        <w:rPr>
          <w:rFonts w:ascii="Times New Roman" w:eastAsiaTheme="minorEastAsia" w:hAnsi="Times New Roman" w:cs="Times New Roman"/>
          <w:sz w:val="24"/>
          <w:szCs w:val="24"/>
        </w:rPr>
        <w:t xml:space="preserve"> with their slight positive mean</w:t>
      </w:r>
      <w:r w:rsidR="00D85097" w:rsidRPr="00BC1E6D">
        <w:rPr>
          <w:rFonts w:ascii="Times New Roman" w:eastAsiaTheme="minorEastAsia" w:hAnsi="Times New Roman" w:cs="Times New Roman"/>
          <w:sz w:val="24"/>
          <w:szCs w:val="24"/>
        </w:rPr>
        <w:t xml:space="preserve">, shown in figure 3 below. </w:t>
      </w:r>
      <w:r w:rsidR="008665AA" w:rsidRPr="00BC1E6D">
        <w:rPr>
          <w:rFonts w:ascii="Times New Roman" w:eastAsiaTheme="minorEastAsia" w:hAnsi="Times New Roman" w:cs="Times New Roman"/>
          <w:sz w:val="24"/>
          <w:szCs w:val="24"/>
        </w:rPr>
        <w:t xml:space="preserve">This </w:t>
      </w:r>
      <w:r w:rsidR="009912CD" w:rsidRPr="00BC1E6D">
        <w:rPr>
          <w:rFonts w:ascii="Times New Roman" w:eastAsiaTheme="minorEastAsia" w:hAnsi="Times New Roman" w:cs="Times New Roman"/>
          <w:sz w:val="24"/>
          <w:szCs w:val="24"/>
        </w:rPr>
        <w:t xml:space="preserve">is a better representation of the data than a line graph, which shows sporadic movements of little value. </w:t>
      </w:r>
    </w:p>
    <w:p w14:paraId="3A2FC095" w14:textId="736A4839" w:rsidR="0061456F" w:rsidRPr="00BC1E6D" w:rsidRDefault="00DB2076" w:rsidP="00BD3816">
      <w:pPr>
        <w:keepNext/>
        <w:spacing w:line="276" w:lineRule="auto"/>
        <w:jc w:val="center"/>
        <w:rPr>
          <w:rFonts w:ascii="Times New Roman" w:hAnsi="Times New Roman" w:cs="Times New Roman"/>
          <w:sz w:val="24"/>
          <w:szCs w:val="24"/>
        </w:rPr>
      </w:pPr>
      <w:r>
        <w:rPr>
          <w:noProof/>
        </w:rPr>
        <w:lastRenderedPageBreak/>
        <w:drawing>
          <wp:inline distT="0" distB="0" distL="0" distR="0" wp14:anchorId="01C508D9" wp14:editId="4A197358">
            <wp:extent cx="5943600" cy="311404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12E43A37" w14:textId="559C6F89" w:rsidR="0061456F" w:rsidRPr="00BC1E6D" w:rsidRDefault="0061456F" w:rsidP="00BD3816">
      <w:pPr>
        <w:pStyle w:val="Caption"/>
        <w:spacing w:line="276" w:lineRule="auto"/>
        <w:jc w:val="center"/>
        <w:rPr>
          <w:rFonts w:ascii="Times New Roman" w:hAnsi="Times New Roman" w:cs="Times New Roman"/>
          <w:color w:val="auto"/>
          <w:sz w:val="24"/>
          <w:szCs w:val="24"/>
        </w:rPr>
      </w:pPr>
      <w:r w:rsidRPr="00BC1E6D">
        <w:rPr>
          <w:rFonts w:ascii="Times New Roman" w:hAnsi="Times New Roman" w:cs="Times New Roman"/>
          <w:color w:val="auto"/>
          <w:sz w:val="24"/>
          <w:szCs w:val="24"/>
        </w:rPr>
        <w:t xml:space="preserve">Figure </w:t>
      </w:r>
      <w:r w:rsidR="003205DA" w:rsidRPr="00BC1E6D">
        <w:rPr>
          <w:rFonts w:ascii="Times New Roman" w:hAnsi="Times New Roman" w:cs="Times New Roman"/>
          <w:color w:val="auto"/>
          <w:sz w:val="24"/>
          <w:szCs w:val="24"/>
        </w:rPr>
        <w:t>3</w:t>
      </w:r>
      <w:r w:rsidRPr="00BC1E6D">
        <w:rPr>
          <w:rFonts w:ascii="Times New Roman" w:hAnsi="Times New Roman" w:cs="Times New Roman"/>
          <w:color w:val="auto"/>
          <w:sz w:val="24"/>
          <w:szCs w:val="24"/>
        </w:rPr>
        <w:t xml:space="preserve">: Distributions of </w:t>
      </w:r>
      <w:r w:rsidR="00113A1B" w:rsidRPr="00BC1E6D">
        <w:rPr>
          <w:rFonts w:ascii="Times New Roman" w:hAnsi="Times New Roman" w:cs="Times New Roman"/>
          <w:color w:val="auto"/>
          <w:sz w:val="24"/>
          <w:szCs w:val="24"/>
        </w:rPr>
        <w:t>quarterly</w:t>
      </w:r>
      <w:r w:rsidRPr="00BC1E6D">
        <w:rPr>
          <w:rFonts w:ascii="Times New Roman" w:hAnsi="Times New Roman" w:cs="Times New Roman"/>
          <w:color w:val="auto"/>
          <w:sz w:val="24"/>
          <w:szCs w:val="24"/>
        </w:rPr>
        <w:t xml:space="preserve"> </w:t>
      </w:r>
      <w:r w:rsidR="00104016" w:rsidRPr="00BC1E6D">
        <w:rPr>
          <w:rFonts w:ascii="Times New Roman" w:hAnsi="Times New Roman" w:cs="Times New Roman"/>
          <w:color w:val="auto"/>
          <w:sz w:val="24"/>
          <w:szCs w:val="24"/>
        </w:rPr>
        <w:t>log-relative</w:t>
      </w:r>
      <w:r w:rsidRPr="00BC1E6D">
        <w:rPr>
          <w:rFonts w:ascii="Times New Roman" w:hAnsi="Times New Roman" w:cs="Times New Roman"/>
          <w:color w:val="auto"/>
          <w:sz w:val="24"/>
          <w:szCs w:val="24"/>
        </w:rPr>
        <w:t xml:space="preserve"> changes across sector for the S&amp;P500, 1986-2022</w:t>
      </w:r>
    </w:p>
    <w:p w14:paraId="578E973D" w14:textId="2F813EF9" w:rsidR="00220F89" w:rsidRPr="00BC1E6D" w:rsidRDefault="0034520F"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F</w:t>
      </w:r>
      <w:r w:rsidR="006D2FFA" w:rsidRPr="00BC1E6D">
        <w:rPr>
          <w:rFonts w:ascii="Times New Roman" w:hAnsi="Times New Roman" w:cs="Times New Roman"/>
          <w:sz w:val="24"/>
          <w:szCs w:val="24"/>
        </w:rPr>
        <w:t>igure 4 shows the</w:t>
      </w:r>
      <w:r w:rsidR="000B215F">
        <w:rPr>
          <w:rFonts w:ascii="Times New Roman" w:hAnsi="Times New Roman" w:cs="Times New Roman"/>
          <w:sz w:val="24"/>
          <w:szCs w:val="24"/>
        </w:rPr>
        <w:t xml:space="preserve"> non-differenced</w:t>
      </w:r>
      <w:r w:rsidR="006D2FFA" w:rsidRPr="00BC1E6D">
        <w:rPr>
          <w:rFonts w:ascii="Times New Roman" w:hAnsi="Times New Roman" w:cs="Times New Roman"/>
          <w:sz w:val="24"/>
          <w:szCs w:val="24"/>
        </w:rPr>
        <w:t xml:space="preserve"> average price of stock</w:t>
      </w:r>
      <w:r w:rsidR="000B215F">
        <w:rPr>
          <w:rFonts w:ascii="Times New Roman" w:hAnsi="Times New Roman" w:cs="Times New Roman"/>
          <w:sz w:val="24"/>
          <w:szCs w:val="24"/>
        </w:rPr>
        <w:t>s</w:t>
      </w:r>
      <w:r w:rsidR="006D2FFA" w:rsidRPr="00BC1E6D">
        <w:rPr>
          <w:rFonts w:ascii="Times New Roman" w:hAnsi="Times New Roman" w:cs="Times New Roman"/>
          <w:sz w:val="24"/>
          <w:szCs w:val="24"/>
        </w:rPr>
        <w:t xml:space="preserve"> across each sector </w:t>
      </w:r>
      <w:r w:rsidR="00471900" w:rsidRPr="00BC1E6D">
        <w:rPr>
          <w:rFonts w:ascii="Times New Roman" w:hAnsi="Times New Roman" w:cs="Times New Roman"/>
          <w:sz w:val="24"/>
          <w:szCs w:val="24"/>
        </w:rPr>
        <w:t>in a line graph. This is a crude measurement as stock price does not inform us of market cap</w:t>
      </w:r>
      <w:r w:rsidR="00C9357D" w:rsidRPr="00BC1E6D">
        <w:rPr>
          <w:rFonts w:ascii="Times New Roman" w:hAnsi="Times New Roman" w:cs="Times New Roman"/>
          <w:sz w:val="24"/>
          <w:szCs w:val="24"/>
        </w:rPr>
        <w:t xml:space="preserve">, </w:t>
      </w:r>
      <w:r w:rsidR="000B215F">
        <w:rPr>
          <w:rFonts w:ascii="Times New Roman" w:hAnsi="Times New Roman" w:cs="Times New Roman"/>
          <w:sz w:val="24"/>
          <w:szCs w:val="24"/>
        </w:rPr>
        <w:t>but this shows the</w:t>
      </w:r>
      <w:r w:rsidR="00C9357D" w:rsidRPr="00BC1E6D">
        <w:rPr>
          <w:rFonts w:ascii="Times New Roman" w:hAnsi="Times New Roman" w:cs="Times New Roman"/>
          <w:sz w:val="24"/>
          <w:szCs w:val="24"/>
        </w:rPr>
        <w:t xml:space="preserve"> obvious upward trend. </w:t>
      </w:r>
    </w:p>
    <w:p w14:paraId="480D699B" w14:textId="3DB5F70E" w:rsidR="00E65F45" w:rsidRPr="00BC1E6D" w:rsidRDefault="00876FB1" w:rsidP="00BD3816">
      <w:pPr>
        <w:keepNext/>
        <w:spacing w:line="276" w:lineRule="auto"/>
        <w:jc w:val="center"/>
        <w:rPr>
          <w:rFonts w:ascii="Times New Roman" w:hAnsi="Times New Roman" w:cs="Times New Roman"/>
          <w:sz w:val="24"/>
          <w:szCs w:val="24"/>
        </w:rPr>
      </w:pPr>
      <w:r>
        <w:rPr>
          <w:noProof/>
        </w:rPr>
        <w:drawing>
          <wp:inline distT="0" distB="0" distL="0" distR="0" wp14:anchorId="56B310B8" wp14:editId="04600390">
            <wp:extent cx="5943600" cy="3229610"/>
            <wp:effectExtent l="0" t="0" r="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5A231290" w14:textId="08EEF4B7" w:rsidR="00BA6E0B" w:rsidRPr="00BC1E6D" w:rsidRDefault="00E65F45" w:rsidP="00BD3816">
      <w:pPr>
        <w:pStyle w:val="Caption"/>
        <w:spacing w:line="276" w:lineRule="auto"/>
        <w:jc w:val="center"/>
        <w:rPr>
          <w:rFonts w:ascii="Times New Roman" w:hAnsi="Times New Roman" w:cs="Times New Roman"/>
          <w:color w:val="auto"/>
          <w:sz w:val="24"/>
          <w:szCs w:val="24"/>
        </w:rPr>
      </w:pPr>
      <w:r w:rsidRPr="00BC1E6D">
        <w:rPr>
          <w:rFonts w:ascii="Times New Roman" w:hAnsi="Times New Roman" w:cs="Times New Roman"/>
          <w:color w:val="auto"/>
          <w:sz w:val="24"/>
          <w:szCs w:val="24"/>
        </w:rPr>
        <w:t xml:space="preserve">Figure </w:t>
      </w:r>
      <w:r w:rsidR="003205DA" w:rsidRPr="00BC1E6D">
        <w:rPr>
          <w:rFonts w:ascii="Times New Roman" w:hAnsi="Times New Roman" w:cs="Times New Roman"/>
          <w:color w:val="auto"/>
          <w:sz w:val="24"/>
          <w:szCs w:val="24"/>
        </w:rPr>
        <w:t>4</w:t>
      </w:r>
      <w:r w:rsidRPr="00BC1E6D">
        <w:rPr>
          <w:rFonts w:ascii="Times New Roman" w:hAnsi="Times New Roman" w:cs="Times New Roman"/>
          <w:color w:val="auto"/>
          <w:sz w:val="24"/>
          <w:szCs w:val="24"/>
        </w:rPr>
        <w:t>: Trends in stock prices by sector</w:t>
      </w:r>
    </w:p>
    <w:p w14:paraId="0D7ABC88" w14:textId="07925C9C" w:rsidR="000C1715" w:rsidRPr="00A72BB8" w:rsidRDefault="001A28CC" w:rsidP="00565C5F">
      <w:pPr>
        <w:pStyle w:val="Heading2"/>
        <w:spacing w:line="276" w:lineRule="auto"/>
        <w:jc w:val="center"/>
        <w:rPr>
          <w:rFonts w:ascii="Times New Roman" w:eastAsiaTheme="minorEastAsia" w:hAnsi="Times New Roman" w:cs="Times New Roman"/>
          <w:b/>
          <w:bCs/>
          <w:color w:val="auto"/>
          <w:sz w:val="24"/>
          <w:szCs w:val="24"/>
        </w:rPr>
      </w:pPr>
      <w:r w:rsidRPr="00A72BB8">
        <w:rPr>
          <w:rFonts w:ascii="Times New Roman" w:eastAsiaTheme="minorEastAsia" w:hAnsi="Times New Roman" w:cs="Times New Roman"/>
          <w:b/>
          <w:bCs/>
          <w:color w:val="auto"/>
          <w:sz w:val="24"/>
          <w:szCs w:val="24"/>
        </w:rPr>
        <w:lastRenderedPageBreak/>
        <w:t>Results</w:t>
      </w:r>
    </w:p>
    <w:p w14:paraId="6CB01FA6" w14:textId="556BA0B3" w:rsidR="00CC7A3D" w:rsidRPr="00A72BB8" w:rsidRDefault="00F300EF" w:rsidP="00BD3816">
      <w:pPr>
        <w:pStyle w:val="Heading3"/>
        <w:spacing w:line="276" w:lineRule="auto"/>
        <w:rPr>
          <w:rFonts w:ascii="Times New Roman" w:eastAsiaTheme="minorEastAsia" w:hAnsi="Times New Roman" w:cs="Times New Roman"/>
          <w:b/>
          <w:bCs/>
          <w:color w:val="auto"/>
        </w:rPr>
      </w:pPr>
      <w:r w:rsidRPr="00A72BB8">
        <w:rPr>
          <w:rFonts w:ascii="Times New Roman" w:eastAsiaTheme="minorEastAsia" w:hAnsi="Times New Roman" w:cs="Times New Roman"/>
          <w:b/>
          <w:bCs/>
          <w:color w:val="auto"/>
        </w:rPr>
        <w:t>Individual Variable Significance</w:t>
      </w:r>
    </w:p>
    <w:p w14:paraId="2C8E9130" w14:textId="0AEB3B58" w:rsidR="00CC4C55" w:rsidRPr="00BC1E6D" w:rsidRDefault="009851F6"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Table </w:t>
      </w:r>
      <w:r w:rsidR="001C6828" w:rsidRPr="00BC1E6D">
        <w:rPr>
          <w:rFonts w:ascii="Times New Roman" w:eastAsiaTheme="minorEastAsia" w:hAnsi="Times New Roman" w:cs="Times New Roman"/>
          <w:sz w:val="24"/>
          <w:szCs w:val="24"/>
        </w:rPr>
        <w:t>6</w:t>
      </w:r>
      <w:r w:rsidRPr="00BC1E6D">
        <w:rPr>
          <w:rFonts w:ascii="Times New Roman" w:eastAsiaTheme="minorEastAsia" w:hAnsi="Times New Roman" w:cs="Times New Roman"/>
          <w:sz w:val="24"/>
          <w:szCs w:val="24"/>
        </w:rPr>
        <w:t xml:space="preserve"> displays the </w:t>
      </w:r>
      <w:r w:rsidR="00F702AF" w:rsidRPr="00BC1E6D">
        <w:rPr>
          <w:rFonts w:ascii="Times New Roman" w:eastAsiaTheme="minorEastAsia" w:hAnsi="Times New Roman" w:cs="Times New Roman"/>
          <w:sz w:val="24"/>
          <w:szCs w:val="24"/>
        </w:rPr>
        <w:t xml:space="preserve">parameter values obtained by regressing each </w:t>
      </w:r>
      <w:r w:rsidR="005C1584" w:rsidRPr="00BC1E6D">
        <w:rPr>
          <w:rFonts w:ascii="Times New Roman" w:eastAsiaTheme="minorEastAsia" w:hAnsi="Times New Roman" w:cs="Times New Roman"/>
          <w:sz w:val="24"/>
          <w:szCs w:val="24"/>
        </w:rPr>
        <w:t>sectors data on each exogenous variable</w:t>
      </w:r>
      <w:r w:rsidR="00810D2E" w:rsidRPr="00BC1E6D">
        <w:rPr>
          <w:rFonts w:ascii="Times New Roman" w:eastAsiaTheme="minorEastAsia" w:hAnsi="Times New Roman" w:cs="Times New Roman"/>
          <w:sz w:val="24"/>
          <w:szCs w:val="24"/>
        </w:rPr>
        <w:t xml:space="preserve">. </w:t>
      </w:r>
      <w:r w:rsidR="00C772F4" w:rsidRPr="00BC1E6D">
        <w:rPr>
          <w:rFonts w:ascii="Times New Roman" w:eastAsiaTheme="minorEastAsia" w:hAnsi="Times New Roman" w:cs="Times New Roman"/>
          <w:sz w:val="24"/>
          <w:szCs w:val="24"/>
        </w:rPr>
        <w:t xml:space="preserve">The </w:t>
      </w:r>
      <w:r w:rsidR="00F67EDA" w:rsidRPr="00BC1E6D">
        <w:rPr>
          <w:rFonts w:ascii="Times New Roman" w:eastAsiaTheme="minorEastAsia" w:hAnsi="Times New Roman" w:cs="Times New Roman"/>
          <w:sz w:val="24"/>
          <w:szCs w:val="24"/>
        </w:rPr>
        <w:t xml:space="preserve">dSP500 coefficient is </w:t>
      </w:r>
      <w:r w:rsidR="00172D69" w:rsidRPr="00BC1E6D">
        <w:rPr>
          <w:rFonts w:ascii="Times New Roman" w:eastAsiaTheme="minorEastAsia" w:hAnsi="Times New Roman" w:cs="Times New Roman"/>
          <w:sz w:val="24"/>
          <w:szCs w:val="24"/>
        </w:rPr>
        <w:t>the coefficient is the β parameter described earlier in the CAPM</w:t>
      </w:r>
      <w:r w:rsidR="00884DEC" w:rsidRPr="00BC1E6D">
        <w:rPr>
          <w:rFonts w:ascii="Times New Roman" w:eastAsiaTheme="minorEastAsia" w:hAnsi="Times New Roman" w:cs="Times New Roman"/>
          <w:sz w:val="24"/>
          <w:szCs w:val="24"/>
        </w:rPr>
        <w:t xml:space="preserve">. Hence, </w:t>
      </w:r>
      <w:r w:rsidR="00B50CAC" w:rsidRPr="00BC1E6D">
        <w:rPr>
          <w:rFonts w:ascii="Times New Roman" w:eastAsiaTheme="minorEastAsia" w:hAnsi="Times New Roman" w:cs="Times New Roman"/>
          <w:sz w:val="24"/>
          <w:szCs w:val="24"/>
        </w:rPr>
        <w:t xml:space="preserve">sectors with higher dSP500 coefficients </w:t>
      </w:r>
      <w:r w:rsidR="009E1510" w:rsidRPr="00BC1E6D">
        <w:rPr>
          <w:rFonts w:ascii="Times New Roman" w:eastAsiaTheme="minorEastAsia" w:hAnsi="Times New Roman" w:cs="Times New Roman"/>
          <w:sz w:val="24"/>
          <w:szCs w:val="24"/>
        </w:rPr>
        <w:t xml:space="preserve">are more reactive to the market environment. </w:t>
      </w:r>
      <w:r w:rsidR="00544EB0" w:rsidRPr="00BC1E6D">
        <w:rPr>
          <w:rFonts w:ascii="Times New Roman" w:eastAsiaTheme="minorEastAsia" w:hAnsi="Times New Roman" w:cs="Times New Roman"/>
          <w:sz w:val="24"/>
          <w:szCs w:val="24"/>
        </w:rPr>
        <w:t xml:space="preserve">Sectors that only have a significant </w:t>
      </w:r>
      <w:r w:rsidR="00F47CA4" w:rsidRPr="00BC1E6D">
        <w:rPr>
          <w:rFonts w:ascii="Times New Roman" w:eastAsiaTheme="minorEastAsia" w:hAnsi="Times New Roman" w:cs="Times New Roman"/>
          <w:sz w:val="24"/>
          <w:szCs w:val="24"/>
        </w:rPr>
        <w:t xml:space="preserve">dSP500 coefficient are better modeled by the CAPM, sectors with significant macroeconomic factor coefficients are modeled by the APT. </w:t>
      </w:r>
    </w:p>
    <w:tbl>
      <w:tblPr>
        <w:tblW w:w="25713" w:type="dxa"/>
        <w:tblLayout w:type="fixed"/>
        <w:tblCellMar>
          <w:top w:w="14" w:type="dxa"/>
        </w:tblCellMar>
        <w:tblLook w:val="04A0" w:firstRow="1" w:lastRow="0" w:firstColumn="1" w:lastColumn="0" w:noHBand="0" w:noVBand="1"/>
      </w:tblPr>
      <w:tblGrid>
        <w:gridCol w:w="32"/>
        <w:gridCol w:w="832"/>
        <w:gridCol w:w="32"/>
        <w:gridCol w:w="832"/>
        <w:gridCol w:w="32"/>
        <w:gridCol w:w="832"/>
        <w:gridCol w:w="32"/>
        <w:gridCol w:w="832"/>
        <w:gridCol w:w="32"/>
        <w:gridCol w:w="832"/>
        <w:gridCol w:w="32"/>
        <w:gridCol w:w="832"/>
        <w:gridCol w:w="32"/>
        <w:gridCol w:w="832"/>
        <w:gridCol w:w="32"/>
        <w:gridCol w:w="832"/>
        <w:gridCol w:w="32"/>
        <w:gridCol w:w="832"/>
        <w:gridCol w:w="32"/>
        <w:gridCol w:w="832"/>
        <w:gridCol w:w="32"/>
        <w:gridCol w:w="832"/>
        <w:gridCol w:w="32"/>
        <w:gridCol w:w="730"/>
        <w:gridCol w:w="102"/>
        <w:gridCol w:w="32"/>
        <w:gridCol w:w="3331"/>
        <w:gridCol w:w="3342"/>
        <w:gridCol w:w="960"/>
        <w:gridCol w:w="960"/>
        <w:gridCol w:w="960"/>
        <w:gridCol w:w="960"/>
        <w:gridCol w:w="960"/>
        <w:gridCol w:w="960"/>
        <w:gridCol w:w="960"/>
        <w:gridCol w:w="960"/>
        <w:gridCol w:w="960"/>
      </w:tblGrid>
      <w:tr w:rsidR="00BC1E6D" w:rsidRPr="00BC1E6D" w14:paraId="4D214713" w14:textId="77777777" w:rsidTr="000F434D">
        <w:trPr>
          <w:gridBefore w:val="1"/>
          <w:wBefore w:w="32" w:type="dxa"/>
          <w:trHeight w:val="300"/>
        </w:trPr>
        <w:tc>
          <w:tcPr>
            <w:tcW w:w="10234" w:type="dxa"/>
            <w:gridSpan w:val="23"/>
            <w:tcBorders>
              <w:top w:val="nil"/>
              <w:left w:val="nil"/>
              <w:bottom w:val="nil"/>
              <w:right w:val="nil"/>
            </w:tcBorders>
            <w:shd w:val="clear" w:color="auto" w:fill="auto"/>
            <w:noWrap/>
            <w:vAlign w:val="bottom"/>
            <w:hideMark/>
          </w:tcPr>
          <w:p w14:paraId="4E133D9D" w14:textId="415C71ED" w:rsidR="004830AB" w:rsidRPr="00BC1E6D" w:rsidRDefault="004830AB" w:rsidP="00BD3816">
            <w:pPr>
              <w:spacing w:after="0" w:line="276" w:lineRule="auto"/>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 xml:space="preserve">Table </w:t>
            </w:r>
            <w:r w:rsidR="001C6828" w:rsidRPr="00BC1E6D">
              <w:rPr>
                <w:rFonts w:ascii="Times New Roman" w:eastAsia="Times New Roman" w:hAnsi="Times New Roman" w:cs="Times New Roman"/>
                <w:b/>
                <w:bCs/>
                <w:sz w:val="18"/>
                <w:szCs w:val="18"/>
              </w:rPr>
              <w:t>6</w:t>
            </w:r>
          </w:p>
        </w:tc>
        <w:tc>
          <w:tcPr>
            <w:tcW w:w="3465" w:type="dxa"/>
            <w:gridSpan w:val="3"/>
            <w:tcBorders>
              <w:top w:val="nil"/>
              <w:left w:val="nil"/>
              <w:bottom w:val="nil"/>
              <w:right w:val="nil"/>
            </w:tcBorders>
            <w:shd w:val="clear" w:color="auto" w:fill="auto"/>
            <w:noWrap/>
            <w:vAlign w:val="bottom"/>
            <w:hideMark/>
          </w:tcPr>
          <w:p w14:paraId="532F8E38" w14:textId="77777777" w:rsidR="004830AB" w:rsidRPr="00BC1E6D" w:rsidRDefault="004830AB" w:rsidP="00BD3816">
            <w:pPr>
              <w:spacing w:after="0" w:line="276" w:lineRule="auto"/>
              <w:rPr>
                <w:rFonts w:ascii="Times New Roman" w:eastAsia="Times New Roman" w:hAnsi="Times New Roman" w:cs="Times New Roman"/>
                <w:b/>
                <w:bCs/>
                <w:sz w:val="18"/>
                <w:szCs w:val="18"/>
              </w:rPr>
            </w:pPr>
          </w:p>
        </w:tc>
        <w:tc>
          <w:tcPr>
            <w:tcW w:w="3342" w:type="dxa"/>
            <w:tcBorders>
              <w:top w:val="nil"/>
              <w:left w:val="nil"/>
              <w:bottom w:val="nil"/>
              <w:right w:val="nil"/>
            </w:tcBorders>
            <w:shd w:val="clear" w:color="auto" w:fill="auto"/>
            <w:noWrap/>
            <w:vAlign w:val="bottom"/>
            <w:hideMark/>
          </w:tcPr>
          <w:p w14:paraId="626FE08B"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9062B67"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CBC18BB"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70DCA20"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71001C5"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C20BBBB"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ECED49F"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FBF8983"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20B57CE"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3834655C" w14:textId="77777777" w:rsidR="004830AB" w:rsidRPr="00BC1E6D" w:rsidRDefault="004830AB" w:rsidP="00BD3816">
            <w:pPr>
              <w:spacing w:after="0" w:line="276" w:lineRule="auto"/>
              <w:rPr>
                <w:rFonts w:ascii="Times New Roman" w:eastAsia="Times New Roman" w:hAnsi="Times New Roman" w:cs="Times New Roman"/>
                <w:sz w:val="18"/>
                <w:szCs w:val="18"/>
              </w:rPr>
            </w:pPr>
          </w:p>
        </w:tc>
      </w:tr>
      <w:tr w:rsidR="00BC1E6D" w:rsidRPr="00BC1E6D" w14:paraId="3865E170" w14:textId="77777777" w:rsidTr="000F434D">
        <w:trPr>
          <w:gridBefore w:val="1"/>
          <w:wBefore w:w="32" w:type="dxa"/>
          <w:trHeight w:val="300"/>
        </w:trPr>
        <w:tc>
          <w:tcPr>
            <w:tcW w:w="20881" w:type="dxa"/>
            <w:gridSpan w:val="31"/>
            <w:tcBorders>
              <w:top w:val="nil"/>
              <w:left w:val="nil"/>
              <w:bottom w:val="nil"/>
              <w:right w:val="nil"/>
            </w:tcBorders>
            <w:shd w:val="clear" w:color="auto" w:fill="auto"/>
            <w:noWrap/>
            <w:vAlign w:val="bottom"/>
            <w:hideMark/>
          </w:tcPr>
          <w:p w14:paraId="10B076C7" w14:textId="05908737" w:rsidR="004830AB" w:rsidRPr="00BC1E6D" w:rsidRDefault="004830AB" w:rsidP="00BD3816">
            <w:pPr>
              <w:spacing w:after="0" w:line="276" w:lineRule="auto"/>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 xml:space="preserve">Regression Coefficients </w:t>
            </w:r>
            <w:r w:rsidR="00884DEC" w:rsidRPr="00BC1E6D">
              <w:rPr>
                <w:rFonts w:ascii="Times New Roman" w:eastAsia="Times New Roman" w:hAnsi="Times New Roman" w:cs="Times New Roman"/>
                <w:i/>
                <w:iCs/>
                <w:sz w:val="18"/>
                <w:szCs w:val="18"/>
              </w:rPr>
              <w:t>for</w:t>
            </w:r>
            <w:r w:rsidRPr="00BC1E6D">
              <w:rPr>
                <w:rFonts w:ascii="Times New Roman" w:eastAsia="Times New Roman" w:hAnsi="Times New Roman" w:cs="Times New Roman"/>
                <w:i/>
                <w:iCs/>
                <w:sz w:val="18"/>
                <w:szCs w:val="18"/>
              </w:rPr>
              <w:t xml:space="preserve"> Each Exogenous Variable, by Sector </w:t>
            </w:r>
          </w:p>
        </w:tc>
        <w:tc>
          <w:tcPr>
            <w:tcW w:w="960" w:type="dxa"/>
            <w:tcBorders>
              <w:top w:val="nil"/>
              <w:left w:val="nil"/>
              <w:bottom w:val="nil"/>
              <w:right w:val="nil"/>
            </w:tcBorders>
            <w:shd w:val="clear" w:color="auto" w:fill="auto"/>
            <w:noWrap/>
            <w:vAlign w:val="bottom"/>
            <w:hideMark/>
          </w:tcPr>
          <w:p w14:paraId="5CC95FB9" w14:textId="77777777" w:rsidR="004830AB" w:rsidRPr="00BC1E6D" w:rsidRDefault="004830AB" w:rsidP="00BD3816">
            <w:pPr>
              <w:spacing w:after="0" w:line="276" w:lineRule="auto"/>
              <w:rPr>
                <w:rFonts w:ascii="Times New Roman" w:eastAsia="Times New Roman" w:hAnsi="Times New Roman" w:cs="Times New Roman"/>
                <w:i/>
                <w:iCs/>
                <w:sz w:val="18"/>
                <w:szCs w:val="18"/>
              </w:rPr>
            </w:pPr>
          </w:p>
        </w:tc>
        <w:tc>
          <w:tcPr>
            <w:tcW w:w="960" w:type="dxa"/>
            <w:tcBorders>
              <w:top w:val="nil"/>
              <w:left w:val="nil"/>
              <w:bottom w:val="nil"/>
              <w:right w:val="nil"/>
            </w:tcBorders>
            <w:shd w:val="clear" w:color="auto" w:fill="auto"/>
            <w:noWrap/>
            <w:vAlign w:val="bottom"/>
            <w:hideMark/>
          </w:tcPr>
          <w:p w14:paraId="346A1539"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4BCFD74"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1542B80"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515979A" w14:textId="77777777" w:rsidR="004830AB" w:rsidRPr="00BC1E6D" w:rsidRDefault="004830AB" w:rsidP="00BD3816">
            <w:pPr>
              <w:spacing w:after="0" w:line="276" w:lineRule="auto"/>
              <w:rPr>
                <w:rFonts w:ascii="Times New Roman" w:eastAsia="Times New Roman" w:hAnsi="Times New Roman" w:cs="Times New Roman"/>
                <w:sz w:val="18"/>
                <w:szCs w:val="18"/>
              </w:rPr>
            </w:pPr>
          </w:p>
        </w:tc>
      </w:tr>
      <w:tr w:rsidR="00BC1E6D" w:rsidRPr="00BC1E6D" w14:paraId="411082A0" w14:textId="77777777" w:rsidTr="0059678D">
        <w:trPr>
          <w:gridBefore w:val="1"/>
          <w:gridAfter w:val="11"/>
          <w:wBefore w:w="32" w:type="dxa"/>
          <w:wAfter w:w="15313" w:type="dxa"/>
          <w:trHeight w:val="20"/>
        </w:trPr>
        <w:tc>
          <w:tcPr>
            <w:tcW w:w="864" w:type="dxa"/>
            <w:gridSpan w:val="2"/>
            <w:tcBorders>
              <w:top w:val="single" w:sz="4" w:space="0" w:color="auto"/>
              <w:left w:val="nil"/>
              <w:bottom w:val="nil"/>
              <w:right w:val="nil"/>
            </w:tcBorders>
            <w:shd w:val="clear" w:color="auto" w:fill="auto"/>
            <w:noWrap/>
            <w:vAlign w:val="bottom"/>
            <w:hideMark/>
          </w:tcPr>
          <w:p w14:paraId="37864E25" w14:textId="77777777" w:rsidR="004830AB" w:rsidRPr="00BC1E6D" w:rsidRDefault="004830AB" w:rsidP="00BD3816">
            <w:pPr>
              <w:spacing w:after="0" w:line="276" w:lineRule="auto"/>
              <w:jc w:val="center"/>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Variable</w:t>
            </w:r>
          </w:p>
        </w:tc>
        <w:tc>
          <w:tcPr>
            <w:tcW w:w="864" w:type="dxa"/>
            <w:gridSpan w:val="2"/>
            <w:tcBorders>
              <w:top w:val="single" w:sz="4" w:space="0" w:color="auto"/>
              <w:left w:val="nil"/>
              <w:bottom w:val="nil"/>
              <w:right w:val="nil"/>
            </w:tcBorders>
            <w:shd w:val="clear" w:color="000000" w:fill="FFFFFF"/>
            <w:noWrap/>
            <w:vAlign w:val="bottom"/>
            <w:hideMark/>
          </w:tcPr>
          <w:p w14:paraId="3670ADB8"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IT</w:t>
            </w:r>
          </w:p>
        </w:tc>
        <w:tc>
          <w:tcPr>
            <w:tcW w:w="864" w:type="dxa"/>
            <w:gridSpan w:val="2"/>
            <w:tcBorders>
              <w:top w:val="single" w:sz="4" w:space="0" w:color="auto"/>
              <w:left w:val="nil"/>
              <w:bottom w:val="nil"/>
              <w:right w:val="nil"/>
            </w:tcBorders>
            <w:shd w:val="clear" w:color="000000" w:fill="FFFFFF"/>
            <w:noWrap/>
            <w:vAlign w:val="bottom"/>
            <w:hideMark/>
          </w:tcPr>
          <w:p w14:paraId="1BC5423D"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CD</w:t>
            </w:r>
          </w:p>
        </w:tc>
        <w:tc>
          <w:tcPr>
            <w:tcW w:w="864" w:type="dxa"/>
            <w:gridSpan w:val="2"/>
            <w:tcBorders>
              <w:top w:val="single" w:sz="4" w:space="0" w:color="auto"/>
              <w:left w:val="nil"/>
              <w:bottom w:val="nil"/>
              <w:right w:val="nil"/>
            </w:tcBorders>
            <w:shd w:val="clear" w:color="000000" w:fill="FFFFFF"/>
            <w:noWrap/>
            <w:vAlign w:val="bottom"/>
            <w:hideMark/>
          </w:tcPr>
          <w:p w14:paraId="798AE231"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Com</w:t>
            </w:r>
          </w:p>
        </w:tc>
        <w:tc>
          <w:tcPr>
            <w:tcW w:w="864" w:type="dxa"/>
            <w:gridSpan w:val="2"/>
            <w:tcBorders>
              <w:top w:val="single" w:sz="4" w:space="0" w:color="auto"/>
              <w:left w:val="nil"/>
              <w:bottom w:val="nil"/>
              <w:right w:val="nil"/>
            </w:tcBorders>
            <w:shd w:val="clear" w:color="000000" w:fill="FFFFFF"/>
            <w:noWrap/>
            <w:vAlign w:val="bottom"/>
            <w:hideMark/>
          </w:tcPr>
          <w:p w14:paraId="60146F4E"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Fin</w:t>
            </w:r>
          </w:p>
        </w:tc>
        <w:tc>
          <w:tcPr>
            <w:tcW w:w="864" w:type="dxa"/>
            <w:gridSpan w:val="2"/>
            <w:tcBorders>
              <w:top w:val="single" w:sz="4" w:space="0" w:color="auto"/>
              <w:left w:val="nil"/>
              <w:bottom w:val="nil"/>
              <w:right w:val="nil"/>
            </w:tcBorders>
            <w:shd w:val="clear" w:color="000000" w:fill="FFFFFF"/>
            <w:noWrap/>
            <w:vAlign w:val="bottom"/>
            <w:hideMark/>
          </w:tcPr>
          <w:p w14:paraId="0AFEE6C5"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HC</w:t>
            </w:r>
          </w:p>
        </w:tc>
        <w:tc>
          <w:tcPr>
            <w:tcW w:w="864" w:type="dxa"/>
            <w:gridSpan w:val="2"/>
            <w:tcBorders>
              <w:top w:val="single" w:sz="4" w:space="0" w:color="auto"/>
              <w:left w:val="nil"/>
              <w:bottom w:val="nil"/>
              <w:right w:val="nil"/>
            </w:tcBorders>
            <w:shd w:val="clear" w:color="000000" w:fill="FFFFFF"/>
            <w:noWrap/>
            <w:vAlign w:val="bottom"/>
            <w:hideMark/>
          </w:tcPr>
          <w:p w14:paraId="6FE7C877"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E</w:t>
            </w:r>
          </w:p>
        </w:tc>
        <w:tc>
          <w:tcPr>
            <w:tcW w:w="864" w:type="dxa"/>
            <w:gridSpan w:val="2"/>
            <w:tcBorders>
              <w:top w:val="single" w:sz="4" w:space="0" w:color="auto"/>
              <w:left w:val="nil"/>
              <w:bottom w:val="nil"/>
              <w:right w:val="nil"/>
            </w:tcBorders>
            <w:shd w:val="clear" w:color="000000" w:fill="FFFFFF"/>
            <w:noWrap/>
            <w:vAlign w:val="bottom"/>
            <w:hideMark/>
          </w:tcPr>
          <w:p w14:paraId="2A026036"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CS</w:t>
            </w:r>
          </w:p>
        </w:tc>
        <w:tc>
          <w:tcPr>
            <w:tcW w:w="864" w:type="dxa"/>
            <w:gridSpan w:val="2"/>
            <w:tcBorders>
              <w:top w:val="single" w:sz="4" w:space="0" w:color="auto"/>
              <w:left w:val="nil"/>
              <w:bottom w:val="nil"/>
              <w:right w:val="nil"/>
            </w:tcBorders>
            <w:shd w:val="clear" w:color="000000" w:fill="FFFFFF"/>
            <w:noWrap/>
            <w:vAlign w:val="bottom"/>
            <w:hideMark/>
          </w:tcPr>
          <w:p w14:paraId="3831CF82"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U</w:t>
            </w:r>
          </w:p>
        </w:tc>
        <w:tc>
          <w:tcPr>
            <w:tcW w:w="864" w:type="dxa"/>
            <w:gridSpan w:val="2"/>
            <w:tcBorders>
              <w:top w:val="single" w:sz="4" w:space="0" w:color="auto"/>
              <w:left w:val="nil"/>
              <w:bottom w:val="nil"/>
              <w:right w:val="nil"/>
            </w:tcBorders>
            <w:shd w:val="clear" w:color="000000" w:fill="FFFFFF"/>
            <w:noWrap/>
            <w:vAlign w:val="bottom"/>
            <w:hideMark/>
          </w:tcPr>
          <w:p w14:paraId="69F28A89"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Ind</w:t>
            </w:r>
          </w:p>
        </w:tc>
        <w:tc>
          <w:tcPr>
            <w:tcW w:w="864" w:type="dxa"/>
            <w:gridSpan w:val="2"/>
            <w:tcBorders>
              <w:top w:val="single" w:sz="4" w:space="0" w:color="auto"/>
              <w:left w:val="nil"/>
              <w:bottom w:val="nil"/>
              <w:right w:val="nil"/>
            </w:tcBorders>
            <w:shd w:val="clear" w:color="000000" w:fill="FFFFFF"/>
            <w:noWrap/>
            <w:vAlign w:val="bottom"/>
            <w:hideMark/>
          </w:tcPr>
          <w:p w14:paraId="18B9A195"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Mat</w:t>
            </w:r>
          </w:p>
        </w:tc>
        <w:tc>
          <w:tcPr>
            <w:tcW w:w="864" w:type="dxa"/>
            <w:gridSpan w:val="3"/>
            <w:tcBorders>
              <w:top w:val="single" w:sz="4" w:space="0" w:color="auto"/>
              <w:left w:val="nil"/>
              <w:bottom w:val="nil"/>
              <w:right w:val="nil"/>
            </w:tcBorders>
            <w:shd w:val="clear" w:color="000000" w:fill="FFFFFF"/>
            <w:noWrap/>
            <w:vAlign w:val="bottom"/>
            <w:hideMark/>
          </w:tcPr>
          <w:p w14:paraId="2478959E" w14:textId="77777777" w:rsidR="004830AB" w:rsidRPr="00BC1E6D" w:rsidRDefault="004830AB"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RE</w:t>
            </w:r>
          </w:p>
        </w:tc>
      </w:tr>
      <w:tr w:rsidR="00BC1E6D" w:rsidRPr="00BC1E6D" w14:paraId="54E96D37" w14:textId="77777777" w:rsidTr="0059678D">
        <w:trPr>
          <w:gridAfter w:val="12"/>
          <w:wAfter w:w="15345" w:type="dxa"/>
          <w:trHeight w:val="20"/>
        </w:trPr>
        <w:tc>
          <w:tcPr>
            <w:tcW w:w="864" w:type="dxa"/>
            <w:gridSpan w:val="2"/>
            <w:tcBorders>
              <w:top w:val="single" w:sz="4" w:space="0" w:color="auto"/>
              <w:left w:val="nil"/>
              <w:bottom w:val="nil"/>
              <w:right w:val="nil"/>
            </w:tcBorders>
            <w:shd w:val="clear" w:color="auto" w:fill="auto"/>
            <w:noWrap/>
            <w:vAlign w:val="bottom"/>
            <w:hideMark/>
          </w:tcPr>
          <w:p w14:paraId="316FFEC1"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const</w:t>
            </w:r>
          </w:p>
        </w:tc>
        <w:tc>
          <w:tcPr>
            <w:tcW w:w="864" w:type="dxa"/>
            <w:gridSpan w:val="2"/>
            <w:tcBorders>
              <w:top w:val="single" w:sz="4" w:space="0" w:color="auto"/>
              <w:left w:val="nil"/>
              <w:bottom w:val="nil"/>
              <w:right w:val="nil"/>
            </w:tcBorders>
            <w:shd w:val="clear" w:color="auto" w:fill="auto"/>
            <w:noWrap/>
            <w:vAlign w:val="bottom"/>
            <w:hideMark/>
          </w:tcPr>
          <w:p w14:paraId="308D08A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0.011</w:t>
            </w:r>
          </w:p>
        </w:tc>
        <w:tc>
          <w:tcPr>
            <w:tcW w:w="864" w:type="dxa"/>
            <w:gridSpan w:val="2"/>
            <w:tcBorders>
              <w:top w:val="single" w:sz="4" w:space="0" w:color="auto"/>
              <w:left w:val="nil"/>
              <w:bottom w:val="nil"/>
              <w:right w:val="nil"/>
            </w:tcBorders>
            <w:shd w:val="clear" w:color="auto" w:fill="auto"/>
            <w:noWrap/>
            <w:vAlign w:val="bottom"/>
            <w:hideMark/>
          </w:tcPr>
          <w:p w14:paraId="2D91E70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0.009</w:t>
            </w:r>
          </w:p>
        </w:tc>
        <w:tc>
          <w:tcPr>
            <w:tcW w:w="864" w:type="dxa"/>
            <w:gridSpan w:val="2"/>
            <w:tcBorders>
              <w:top w:val="single" w:sz="4" w:space="0" w:color="auto"/>
              <w:left w:val="nil"/>
              <w:bottom w:val="nil"/>
              <w:right w:val="nil"/>
            </w:tcBorders>
            <w:shd w:val="clear" w:color="auto" w:fill="auto"/>
            <w:noWrap/>
            <w:vAlign w:val="bottom"/>
            <w:hideMark/>
          </w:tcPr>
          <w:p w14:paraId="5157E04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0.013</w:t>
            </w:r>
          </w:p>
        </w:tc>
        <w:tc>
          <w:tcPr>
            <w:tcW w:w="864" w:type="dxa"/>
            <w:gridSpan w:val="2"/>
            <w:tcBorders>
              <w:top w:val="single" w:sz="4" w:space="0" w:color="auto"/>
              <w:left w:val="nil"/>
              <w:bottom w:val="nil"/>
              <w:right w:val="nil"/>
            </w:tcBorders>
            <w:shd w:val="clear" w:color="auto" w:fill="auto"/>
            <w:noWrap/>
            <w:vAlign w:val="bottom"/>
            <w:hideMark/>
          </w:tcPr>
          <w:p w14:paraId="33434E7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c>
          <w:tcPr>
            <w:tcW w:w="864" w:type="dxa"/>
            <w:gridSpan w:val="2"/>
            <w:tcBorders>
              <w:top w:val="single" w:sz="4" w:space="0" w:color="auto"/>
              <w:left w:val="nil"/>
              <w:bottom w:val="nil"/>
              <w:right w:val="nil"/>
            </w:tcBorders>
            <w:shd w:val="clear" w:color="auto" w:fill="auto"/>
            <w:noWrap/>
            <w:vAlign w:val="bottom"/>
            <w:hideMark/>
          </w:tcPr>
          <w:p w14:paraId="382538A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0.016</w:t>
            </w:r>
          </w:p>
        </w:tc>
        <w:tc>
          <w:tcPr>
            <w:tcW w:w="864" w:type="dxa"/>
            <w:gridSpan w:val="2"/>
            <w:tcBorders>
              <w:top w:val="single" w:sz="4" w:space="0" w:color="auto"/>
              <w:left w:val="nil"/>
              <w:bottom w:val="nil"/>
              <w:right w:val="nil"/>
            </w:tcBorders>
            <w:shd w:val="clear" w:color="auto" w:fill="auto"/>
            <w:noWrap/>
            <w:vAlign w:val="bottom"/>
            <w:hideMark/>
          </w:tcPr>
          <w:p w14:paraId="06FBB60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0.001</w:t>
            </w:r>
          </w:p>
        </w:tc>
        <w:tc>
          <w:tcPr>
            <w:tcW w:w="864" w:type="dxa"/>
            <w:gridSpan w:val="2"/>
            <w:tcBorders>
              <w:top w:val="single" w:sz="4" w:space="0" w:color="auto"/>
              <w:left w:val="nil"/>
              <w:bottom w:val="nil"/>
              <w:right w:val="nil"/>
            </w:tcBorders>
            <w:shd w:val="clear" w:color="auto" w:fill="auto"/>
            <w:noWrap/>
            <w:vAlign w:val="bottom"/>
            <w:hideMark/>
          </w:tcPr>
          <w:p w14:paraId="01826C4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0.015</w:t>
            </w:r>
          </w:p>
        </w:tc>
        <w:tc>
          <w:tcPr>
            <w:tcW w:w="864" w:type="dxa"/>
            <w:gridSpan w:val="2"/>
            <w:tcBorders>
              <w:top w:val="single" w:sz="4" w:space="0" w:color="auto"/>
              <w:left w:val="nil"/>
              <w:bottom w:val="nil"/>
              <w:right w:val="nil"/>
            </w:tcBorders>
            <w:shd w:val="clear" w:color="auto" w:fill="auto"/>
            <w:noWrap/>
            <w:vAlign w:val="bottom"/>
            <w:hideMark/>
          </w:tcPr>
          <w:p w14:paraId="0380BBC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0.011</w:t>
            </w:r>
          </w:p>
        </w:tc>
        <w:tc>
          <w:tcPr>
            <w:tcW w:w="864" w:type="dxa"/>
            <w:gridSpan w:val="2"/>
            <w:tcBorders>
              <w:top w:val="single" w:sz="4" w:space="0" w:color="auto"/>
              <w:left w:val="nil"/>
              <w:bottom w:val="nil"/>
              <w:right w:val="nil"/>
            </w:tcBorders>
            <w:shd w:val="clear" w:color="auto" w:fill="auto"/>
            <w:noWrap/>
            <w:vAlign w:val="bottom"/>
            <w:hideMark/>
          </w:tcPr>
          <w:p w14:paraId="7CB1A9C5"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0.009</w:t>
            </w:r>
          </w:p>
        </w:tc>
        <w:tc>
          <w:tcPr>
            <w:tcW w:w="864" w:type="dxa"/>
            <w:gridSpan w:val="2"/>
            <w:tcBorders>
              <w:top w:val="single" w:sz="4" w:space="0" w:color="auto"/>
              <w:left w:val="nil"/>
              <w:bottom w:val="nil"/>
              <w:right w:val="nil"/>
            </w:tcBorders>
            <w:shd w:val="clear" w:color="auto" w:fill="auto"/>
            <w:noWrap/>
            <w:vAlign w:val="bottom"/>
            <w:hideMark/>
          </w:tcPr>
          <w:p w14:paraId="46CAF165"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0.009</w:t>
            </w:r>
          </w:p>
        </w:tc>
        <w:tc>
          <w:tcPr>
            <w:tcW w:w="864" w:type="dxa"/>
            <w:gridSpan w:val="3"/>
            <w:tcBorders>
              <w:top w:val="single" w:sz="4" w:space="0" w:color="auto"/>
              <w:left w:val="nil"/>
              <w:bottom w:val="nil"/>
              <w:right w:val="nil"/>
            </w:tcBorders>
            <w:shd w:val="clear" w:color="auto" w:fill="auto"/>
            <w:noWrap/>
            <w:vAlign w:val="bottom"/>
            <w:hideMark/>
          </w:tcPr>
          <w:p w14:paraId="729B8FD2" w14:textId="359554F5"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w:t>
            </w:r>
          </w:p>
        </w:tc>
      </w:tr>
      <w:tr w:rsidR="00BC1E6D" w:rsidRPr="00BC1E6D" w14:paraId="3184EEEC"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1A0FAFA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66D13C0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03F8CD8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7AF0BC7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c>
          <w:tcPr>
            <w:tcW w:w="864" w:type="dxa"/>
            <w:gridSpan w:val="2"/>
            <w:tcBorders>
              <w:top w:val="nil"/>
              <w:left w:val="nil"/>
              <w:bottom w:val="nil"/>
              <w:right w:val="nil"/>
            </w:tcBorders>
            <w:shd w:val="clear" w:color="auto" w:fill="auto"/>
            <w:noWrap/>
            <w:vAlign w:val="bottom"/>
            <w:hideMark/>
          </w:tcPr>
          <w:p w14:paraId="007AB23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c>
          <w:tcPr>
            <w:tcW w:w="864" w:type="dxa"/>
            <w:gridSpan w:val="2"/>
            <w:tcBorders>
              <w:top w:val="nil"/>
              <w:left w:val="nil"/>
              <w:bottom w:val="nil"/>
              <w:right w:val="nil"/>
            </w:tcBorders>
            <w:shd w:val="clear" w:color="auto" w:fill="auto"/>
            <w:noWrap/>
            <w:vAlign w:val="bottom"/>
            <w:hideMark/>
          </w:tcPr>
          <w:p w14:paraId="7E14B0F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(0.004)</w:t>
            </w:r>
          </w:p>
        </w:tc>
        <w:tc>
          <w:tcPr>
            <w:tcW w:w="864" w:type="dxa"/>
            <w:gridSpan w:val="2"/>
            <w:tcBorders>
              <w:top w:val="nil"/>
              <w:left w:val="nil"/>
              <w:bottom w:val="nil"/>
              <w:right w:val="nil"/>
            </w:tcBorders>
            <w:shd w:val="clear" w:color="auto" w:fill="auto"/>
            <w:noWrap/>
            <w:vAlign w:val="bottom"/>
            <w:hideMark/>
          </w:tcPr>
          <w:p w14:paraId="7AD6CA2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1D16234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(0.004)</w:t>
            </w:r>
          </w:p>
        </w:tc>
        <w:tc>
          <w:tcPr>
            <w:tcW w:w="864" w:type="dxa"/>
            <w:gridSpan w:val="2"/>
            <w:tcBorders>
              <w:top w:val="nil"/>
              <w:left w:val="nil"/>
              <w:bottom w:val="nil"/>
              <w:right w:val="nil"/>
            </w:tcBorders>
            <w:shd w:val="clear" w:color="auto" w:fill="auto"/>
            <w:noWrap/>
            <w:vAlign w:val="bottom"/>
            <w:hideMark/>
          </w:tcPr>
          <w:p w14:paraId="7554C81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c>
          <w:tcPr>
            <w:tcW w:w="864" w:type="dxa"/>
            <w:gridSpan w:val="2"/>
            <w:tcBorders>
              <w:top w:val="nil"/>
              <w:left w:val="nil"/>
              <w:bottom w:val="nil"/>
              <w:right w:val="nil"/>
            </w:tcBorders>
            <w:shd w:val="clear" w:color="auto" w:fill="auto"/>
            <w:noWrap/>
            <w:vAlign w:val="bottom"/>
            <w:hideMark/>
          </w:tcPr>
          <w:p w14:paraId="508CFE0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(0.004)</w:t>
            </w:r>
          </w:p>
        </w:tc>
        <w:tc>
          <w:tcPr>
            <w:tcW w:w="864" w:type="dxa"/>
            <w:gridSpan w:val="2"/>
            <w:tcBorders>
              <w:top w:val="nil"/>
              <w:left w:val="nil"/>
              <w:bottom w:val="nil"/>
              <w:right w:val="nil"/>
            </w:tcBorders>
            <w:shd w:val="clear" w:color="auto" w:fill="auto"/>
            <w:noWrap/>
            <w:vAlign w:val="bottom"/>
            <w:hideMark/>
          </w:tcPr>
          <w:p w14:paraId="4BF9830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c>
          <w:tcPr>
            <w:tcW w:w="864" w:type="dxa"/>
            <w:gridSpan w:val="3"/>
            <w:tcBorders>
              <w:top w:val="nil"/>
              <w:left w:val="nil"/>
              <w:bottom w:val="nil"/>
              <w:right w:val="nil"/>
            </w:tcBorders>
            <w:shd w:val="clear" w:color="auto" w:fill="auto"/>
            <w:noWrap/>
            <w:vAlign w:val="bottom"/>
            <w:hideMark/>
          </w:tcPr>
          <w:p w14:paraId="3E25218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r>
      <w:tr w:rsidR="00BC1E6D" w:rsidRPr="00BC1E6D" w14:paraId="5F190FFD"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53CE9F43"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dIP</w:t>
            </w:r>
          </w:p>
        </w:tc>
        <w:tc>
          <w:tcPr>
            <w:tcW w:w="864" w:type="dxa"/>
            <w:gridSpan w:val="2"/>
            <w:tcBorders>
              <w:top w:val="nil"/>
              <w:left w:val="nil"/>
              <w:bottom w:val="nil"/>
              <w:right w:val="nil"/>
            </w:tcBorders>
            <w:shd w:val="clear" w:color="auto" w:fill="auto"/>
            <w:noWrap/>
            <w:vAlign w:val="bottom"/>
            <w:hideMark/>
          </w:tcPr>
          <w:p w14:paraId="38C0AAC7" w14:textId="120C5E7B"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-0.905</w:t>
            </w:r>
            <w:r w:rsidR="00056139"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52645B2D" w14:textId="6FEAAE36"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1.333</w:t>
            </w:r>
          </w:p>
        </w:tc>
        <w:tc>
          <w:tcPr>
            <w:tcW w:w="864" w:type="dxa"/>
            <w:gridSpan w:val="2"/>
            <w:tcBorders>
              <w:top w:val="nil"/>
              <w:left w:val="nil"/>
              <w:bottom w:val="nil"/>
              <w:right w:val="nil"/>
            </w:tcBorders>
            <w:shd w:val="clear" w:color="auto" w:fill="auto"/>
            <w:noWrap/>
            <w:vAlign w:val="bottom"/>
            <w:hideMark/>
          </w:tcPr>
          <w:p w14:paraId="6F0AA0B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0.293</w:t>
            </w:r>
          </w:p>
        </w:tc>
        <w:tc>
          <w:tcPr>
            <w:tcW w:w="864" w:type="dxa"/>
            <w:gridSpan w:val="2"/>
            <w:tcBorders>
              <w:top w:val="nil"/>
              <w:left w:val="nil"/>
              <w:bottom w:val="nil"/>
              <w:right w:val="nil"/>
            </w:tcBorders>
            <w:shd w:val="clear" w:color="auto" w:fill="auto"/>
            <w:noWrap/>
            <w:vAlign w:val="bottom"/>
            <w:hideMark/>
          </w:tcPr>
          <w:p w14:paraId="05C5793C" w14:textId="03D00510"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0.907</w:t>
            </w:r>
            <w:r w:rsidR="000E6116"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03C8AEF8" w14:textId="7BA695C3"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-0.747</w:t>
            </w:r>
            <w:r w:rsidR="0083091F"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44ED0E1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0.663</w:t>
            </w:r>
          </w:p>
        </w:tc>
        <w:tc>
          <w:tcPr>
            <w:tcW w:w="864" w:type="dxa"/>
            <w:gridSpan w:val="2"/>
            <w:tcBorders>
              <w:top w:val="nil"/>
              <w:left w:val="nil"/>
              <w:bottom w:val="nil"/>
              <w:right w:val="nil"/>
            </w:tcBorders>
            <w:shd w:val="clear" w:color="auto" w:fill="auto"/>
            <w:noWrap/>
            <w:vAlign w:val="bottom"/>
            <w:hideMark/>
          </w:tcPr>
          <w:p w14:paraId="5542C32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0.219</w:t>
            </w:r>
          </w:p>
        </w:tc>
        <w:tc>
          <w:tcPr>
            <w:tcW w:w="864" w:type="dxa"/>
            <w:gridSpan w:val="2"/>
            <w:tcBorders>
              <w:top w:val="nil"/>
              <w:left w:val="nil"/>
              <w:bottom w:val="nil"/>
              <w:right w:val="nil"/>
            </w:tcBorders>
            <w:shd w:val="clear" w:color="auto" w:fill="auto"/>
            <w:noWrap/>
            <w:vAlign w:val="bottom"/>
            <w:hideMark/>
          </w:tcPr>
          <w:p w14:paraId="7D45827C" w14:textId="261F7441"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0.831</w:t>
            </w:r>
            <w:r w:rsidR="0083091F"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6EABCEA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0.275</w:t>
            </w:r>
          </w:p>
        </w:tc>
        <w:tc>
          <w:tcPr>
            <w:tcW w:w="864" w:type="dxa"/>
            <w:gridSpan w:val="2"/>
            <w:tcBorders>
              <w:top w:val="nil"/>
              <w:left w:val="nil"/>
              <w:bottom w:val="nil"/>
              <w:right w:val="nil"/>
            </w:tcBorders>
            <w:shd w:val="clear" w:color="auto" w:fill="auto"/>
            <w:noWrap/>
            <w:vAlign w:val="bottom"/>
            <w:hideMark/>
          </w:tcPr>
          <w:p w14:paraId="50239D0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-0.137</w:t>
            </w:r>
          </w:p>
        </w:tc>
        <w:tc>
          <w:tcPr>
            <w:tcW w:w="864" w:type="dxa"/>
            <w:gridSpan w:val="3"/>
            <w:tcBorders>
              <w:top w:val="nil"/>
              <w:left w:val="nil"/>
              <w:bottom w:val="nil"/>
              <w:right w:val="nil"/>
            </w:tcBorders>
            <w:shd w:val="clear" w:color="auto" w:fill="auto"/>
            <w:noWrap/>
            <w:vAlign w:val="bottom"/>
            <w:hideMark/>
          </w:tcPr>
          <w:p w14:paraId="014C16F3" w14:textId="17940F66"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1.315</w:t>
            </w:r>
            <w:r w:rsidR="0083091F" w:rsidRPr="00BC1E6D">
              <w:rPr>
                <w:rFonts w:ascii="Times New Roman" w:eastAsia="Times New Roman" w:hAnsi="Times New Roman" w:cs="Times New Roman"/>
                <w:sz w:val="18"/>
                <w:szCs w:val="18"/>
              </w:rPr>
              <w:t>**</w:t>
            </w:r>
          </w:p>
        </w:tc>
      </w:tr>
      <w:tr w:rsidR="00BC1E6D" w:rsidRPr="00BC1E6D" w14:paraId="36773BB2"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5F87411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62D8EF0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(0.378)</w:t>
            </w:r>
          </w:p>
        </w:tc>
        <w:tc>
          <w:tcPr>
            <w:tcW w:w="864" w:type="dxa"/>
            <w:gridSpan w:val="2"/>
            <w:tcBorders>
              <w:top w:val="nil"/>
              <w:left w:val="nil"/>
              <w:bottom w:val="nil"/>
              <w:right w:val="nil"/>
            </w:tcBorders>
            <w:shd w:val="clear" w:color="auto" w:fill="auto"/>
            <w:noWrap/>
            <w:vAlign w:val="bottom"/>
            <w:hideMark/>
          </w:tcPr>
          <w:p w14:paraId="37572AC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(0.793)</w:t>
            </w:r>
          </w:p>
        </w:tc>
        <w:tc>
          <w:tcPr>
            <w:tcW w:w="864" w:type="dxa"/>
            <w:gridSpan w:val="2"/>
            <w:tcBorders>
              <w:top w:val="nil"/>
              <w:left w:val="nil"/>
              <w:bottom w:val="nil"/>
              <w:right w:val="nil"/>
            </w:tcBorders>
            <w:shd w:val="clear" w:color="auto" w:fill="auto"/>
            <w:noWrap/>
            <w:vAlign w:val="bottom"/>
            <w:hideMark/>
          </w:tcPr>
          <w:p w14:paraId="260FD29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(0.364)</w:t>
            </w:r>
          </w:p>
        </w:tc>
        <w:tc>
          <w:tcPr>
            <w:tcW w:w="864" w:type="dxa"/>
            <w:gridSpan w:val="2"/>
            <w:tcBorders>
              <w:top w:val="nil"/>
              <w:left w:val="nil"/>
              <w:bottom w:val="nil"/>
              <w:right w:val="nil"/>
            </w:tcBorders>
            <w:shd w:val="clear" w:color="auto" w:fill="auto"/>
            <w:noWrap/>
            <w:vAlign w:val="bottom"/>
            <w:hideMark/>
          </w:tcPr>
          <w:p w14:paraId="480F496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(0.312)</w:t>
            </w:r>
          </w:p>
        </w:tc>
        <w:tc>
          <w:tcPr>
            <w:tcW w:w="864" w:type="dxa"/>
            <w:gridSpan w:val="2"/>
            <w:tcBorders>
              <w:top w:val="nil"/>
              <w:left w:val="nil"/>
              <w:bottom w:val="nil"/>
              <w:right w:val="nil"/>
            </w:tcBorders>
            <w:shd w:val="clear" w:color="auto" w:fill="auto"/>
            <w:noWrap/>
            <w:vAlign w:val="bottom"/>
            <w:hideMark/>
          </w:tcPr>
          <w:p w14:paraId="0D7F6D4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(0.231)</w:t>
            </w:r>
          </w:p>
        </w:tc>
        <w:tc>
          <w:tcPr>
            <w:tcW w:w="864" w:type="dxa"/>
            <w:gridSpan w:val="2"/>
            <w:tcBorders>
              <w:top w:val="nil"/>
              <w:left w:val="nil"/>
              <w:bottom w:val="nil"/>
              <w:right w:val="nil"/>
            </w:tcBorders>
            <w:shd w:val="clear" w:color="auto" w:fill="auto"/>
            <w:noWrap/>
            <w:vAlign w:val="bottom"/>
            <w:hideMark/>
          </w:tcPr>
          <w:p w14:paraId="6C90F2F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(0.744)</w:t>
            </w:r>
          </w:p>
        </w:tc>
        <w:tc>
          <w:tcPr>
            <w:tcW w:w="864" w:type="dxa"/>
            <w:gridSpan w:val="2"/>
            <w:tcBorders>
              <w:top w:val="nil"/>
              <w:left w:val="nil"/>
              <w:bottom w:val="nil"/>
              <w:right w:val="nil"/>
            </w:tcBorders>
            <w:shd w:val="clear" w:color="auto" w:fill="auto"/>
            <w:noWrap/>
            <w:vAlign w:val="bottom"/>
            <w:hideMark/>
          </w:tcPr>
          <w:p w14:paraId="0FC6FA2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(0.336)</w:t>
            </w:r>
          </w:p>
        </w:tc>
        <w:tc>
          <w:tcPr>
            <w:tcW w:w="864" w:type="dxa"/>
            <w:gridSpan w:val="2"/>
            <w:tcBorders>
              <w:top w:val="nil"/>
              <w:left w:val="nil"/>
              <w:bottom w:val="nil"/>
              <w:right w:val="nil"/>
            </w:tcBorders>
            <w:shd w:val="clear" w:color="auto" w:fill="auto"/>
            <w:noWrap/>
            <w:vAlign w:val="bottom"/>
            <w:hideMark/>
          </w:tcPr>
          <w:p w14:paraId="5F786C95"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(0.35)</w:t>
            </w:r>
          </w:p>
        </w:tc>
        <w:tc>
          <w:tcPr>
            <w:tcW w:w="864" w:type="dxa"/>
            <w:gridSpan w:val="2"/>
            <w:tcBorders>
              <w:top w:val="nil"/>
              <w:left w:val="nil"/>
              <w:bottom w:val="nil"/>
              <w:right w:val="nil"/>
            </w:tcBorders>
            <w:shd w:val="clear" w:color="auto" w:fill="auto"/>
            <w:noWrap/>
            <w:vAlign w:val="bottom"/>
            <w:hideMark/>
          </w:tcPr>
          <w:p w14:paraId="29EA80F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(0.262)</w:t>
            </w:r>
          </w:p>
        </w:tc>
        <w:tc>
          <w:tcPr>
            <w:tcW w:w="864" w:type="dxa"/>
            <w:gridSpan w:val="2"/>
            <w:tcBorders>
              <w:top w:val="nil"/>
              <w:left w:val="nil"/>
              <w:bottom w:val="nil"/>
              <w:right w:val="nil"/>
            </w:tcBorders>
            <w:shd w:val="clear" w:color="auto" w:fill="auto"/>
            <w:noWrap/>
            <w:vAlign w:val="bottom"/>
            <w:hideMark/>
          </w:tcPr>
          <w:p w14:paraId="2462991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(0.313)</w:t>
            </w:r>
          </w:p>
        </w:tc>
        <w:tc>
          <w:tcPr>
            <w:tcW w:w="864" w:type="dxa"/>
            <w:gridSpan w:val="3"/>
            <w:tcBorders>
              <w:top w:val="nil"/>
              <w:left w:val="nil"/>
              <w:bottom w:val="nil"/>
              <w:right w:val="nil"/>
            </w:tcBorders>
            <w:shd w:val="clear" w:color="auto" w:fill="auto"/>
            <w:noWrap/>
            <w:vAlign w:val="bottom"/>
            <w:hideMark/>
          </w:tcPr>
          <w:p w14:paraId="7596D50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(0.335)</w:t>
            </w:r>
          </w:p>
        </w:tc>
      </w:tr>
      <w:tr w:rsidR="00BC1E6D" w:rsidRPr="00BC1E6D" w14:paraId="5C150B0A"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1739E087"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dEI</w:t>
            </w:r>
          </w:p>
        </w:tc>
        <w:tc>
          <w:tcPr>
            <w:tcW w:w="864" w:type="dxa"/>
            <w:gridSpan w:val="2"/>
            <w:tcBorders>
              <w:top w:val="nil"/>
              <w:left w:val="nil"/>
              <w:bottom w:val="nil"/>
              <w:right w:val="nil"/>
            </w:tcBorders>
            <w:shd w:val="clear" w:color="auto" w:fill="auto"/>
            <w:noWrap/>
            <w:vAlign w:val="bottom"/>
            <w:hideMark/>
          </w:tcPr>
          <w:p w14:paraId="22674BC0" w14:textId="1A6CE410"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r w:rsidR="00E94EB6" w:rsidRPr="00BC1E6D">
              <w:rPr>
                <w:rFonts w:ascii="Times New Roman" w:eastAsia="Times New Roman" w:hAnsi="Times New Roman" w:cs="Times New Roman"/>
                <w:sz w:val="18"/>
                <w:szCs w:val="18"/>
              </w:rPr>
              <w:t>.00</w:t>
            </w:r>
          </w:p>
        </w:tc>
        <w:tc>
          <w:tcPr>
            <w:tcW w:w="864" w:type="dxa"/>
            <w:gridSpan w:val="2"/>
            <w:tcBorders>
              <w:top w:val="nil"/>
              <w:left w:val="nil"/>
              <w:bottom w:val="nil"/>
              <w:right w:val="nil"/>
            </w:tcBorders>
            <w:shd w:val="clear" w:color="auto" w:fill="auto"/>
            <w:noWrap/>
            <w:vAlign w:val="bottom"/>
            <w:hideMark/>
          </w:tcPr>
          <w:p w14:paraId="6FD1BAC5" w14:textId="7D32B7A8"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w:t>
            </w:r>
            <w:r w:rsidR="00555494" w:rsidRPr="00BC1E6D">
              <w:rPr>
                <w:rFonts w:ascii="Times New Roman" w:eastAsia="Times New Roman" w:hAnsi="Times New Roman" w:cs="Times New Roman"/>
                <w:sz w:val="18"/>
                <w:szCs w:val="18"/>
              </w:rPr>
              <w:t>1</w:t>
            </w:r>
            <w:r w:rsidR="00B24E63"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5BF71658" w14:textId="71061D26"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-0.033</w:t>
            </w:r>
            <w:r w:rsidR="006B4439"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312114B2" w14:textId="20913A3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-0.026</w:t>
            </w:r>
            <w:r w:rsidR="00FA6D1C"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5D23CBA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4147A698" w14:textId="7E732120"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-0.051</w:t>
            </w:r>
            <w:r w:rsidR="00FA6D1C"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74CEFD8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-0.003</w:t>
            </w:r>
          </w:p>
        </w:tc>
        <w:tc>
          <w:tcPr>
            <w:tcW w:w="864" w:type="dxa"/>
            <w:gridSpan w:val="2"/>
            <w:tcBorders>
              <w:top w:val="nil"/>
              <w:left w:val="nil"/>
              <w:bottom w:val="nil"/>
              <w:right w:val="nil"/>
            </w:tcBorders>
            <w:shd w:val="clear" w:color="auto" w:fill="auto"/>
            <w:noWrap/>
            <w:vAlign w:val="bottom"/>
            <w:hideMark/>
          </w:tcPr>
          <w:p w14:paraId="43E0AB2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-0.014</w:t>
            </w:r>
          </w:p>
        </w:tc>
        <w:tc>
          <w:tcPr>
            <w:tcW w:w="864" w:type="dxa"/>
            <w:gridSpan w:val="2"/>
            <w:tcBorders>
              <w:top w:val="nil"/>
              <w:left w:val="nil"/>
              <w:bottom w:val="nil"/>
              <w:right w:val="nil"/>
            </w:tcBorders>
            <w:shd w:val="clear" w:color="auto" w:fill="auto"/>
            <w:noWrap/>
            <w:vAlign w:val="bottom"/>
            <w:hideMark/>
          </w:tcPr>
          <w:p w14:paraId="1D1327A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-0.012</w:t>
            </w:r>
          </w:p>
        </w:tc>
        <w:tc>
          <w:tcPr>
            <w:tcW w:w="864" w:type="dxa"/>
            <w:gridSpan w:val="2"/>
            <w:tcBorders>
              <w:top w:val="nil"/>
              <w:left w:val="nil"/>
              <w:bottom w:val="nil"/>
              <w:right w:val="nil"/>
            </w:tcBorders>
            <w:shd w:val="clear" w:color="auto" w:fill="auto"/>
            <w:noWrap/>
            <w:vAlign w:val="bottom"/>
            <w:hideMark/>
          </w:tcPr>
          <w:p w14:paraId="02E3F5E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-0.025</w:t>
            </w:r>
          </w:p>
        </w:tc>
        <w:tc>
          <w:tcPr>
            <w:tcW w:w="864" w:type="dxa"/>
            <w:gridSpan w:val="3"/>
            <w:tcBorders>
              <w:top w:val="nil"/>
              <w:left w:val="nil"/>
              <w:bottom w:val="nil"/>
              <w:right w:val="nil"/>
            </w:tcBorders>
            <w:shd w:val="clear" w:color="auto" w:fill="auto"/>
            <w:noWrap/>
            <w:vAlign w:val="bottom"/>
            <w:hideMark/>
          </w:tcPr>
          <w:p w14:paraId="7E5D4B0C" w14:textId="1FD6A93E"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w:t>
            </w:r>
            <w:r w:rsidR="001A1B96" w:rsidRPr="00BC1E6D">
              <w:rPr>
                <w:rFonts w:ascii="Times New Roman" w:eastAsia="Times New Roman" w:hAnsi="Times New Roman" w:cs="Times New Roman"/>
                <w:sz w:val="18"/>
                <w:szCs w:val="18"/>
              </w:rPr>
              <w:t>**</w:t>
            </w:r>
          </w:p>
        </w:tc>
      </w:tr>
      <w:tr w:rsidR="00BC1E6D" w:rsidRPr="00BC1E6D" w14:paraId="38A5F5A0"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2E555CF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1BDC63D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(0.016)</w:t>
            </w:r>
          </w:p>
        </w:tc>
        <w:tc>
          <w:tcPr>
            <w:tcW w:w="864" w:type="dxa"/>
            <w:gridSpan w:val="2"/>
            <w:tcBorders>
              <w:top w:val="nil"/>
              <w:left w:val="nil"/>
              <w:bottom w:val="nil"/>
              <w:right w:val="nil"/>
            </w:tcBorders>
            <w:shd w:val="clear" w:color="auto" w:fill="auto"/>
            <w:noWrap/>
            <w:vAlign w:val="bottom"/>
            <w:hideMark/>
          </w:tcPr>
          <w:p w14:paraId="70F02A5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(0.014)</w:t>
            </w:r>
          </w:p>
        </w:tc>
        <w:tc>
          <w:tcPr>
            <w:tcW w:w="864" w:type="dxa"/>
            <w:gridSpan w:val="2"/>
            <w:tcBorders>
              <w:top w:val="nil"/>
              <w:left w:val="nil"/>
              <w:bottom w:val="nil"/>
              <w:right w:val="nil"/>
            </w:tcBorders>
            <w:shd w:val="clear" w:color="auto" w:fill="auto"/>
            <w:noWrap/>
            <w:vAlign w:val="bottom"/>
            <w:hideMark/>
          </w:tcPr>
          <w:p w14:paraId="48944A2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(0.013)</w:t>
            </w:r>
          </w:p>
        </w:tc>
        <w:tc>
          <w:tcPr>
            <w:tcW w:w="864" w:type="dxa"/>
            <w:gridSpan w:val="2"/>
            <w:tcBorders>
              <w:top w:val="nil"/>
              <w:left w:val="nil"/>
              <w:bottom w:val="nil"/>
              <w:right w:val="nil"/>
            </w:tcBorders>
            <w:shd w:val="clear" w:color="auto" w:fill="auto"/>
            <w:noWrap/>
            <w:vAlign w:val="bottom"/>
            <w:hideMark/>
          </w:tcPr>
          <w:p w14:paraId="7BECB29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(0.013)</w:t>
            </w:r>
          </w:p>
        </w:tc>
        <w:tc>
          <w:tcPr>
            <w:tcW w:w="864" w:type="dxa"/>
            <w:gridSpan w:val="2"/>
            <w:tcBorders>
              <w:top w:val="nil"/>
              <w:left w:val="nil"/>
              <w:bottom w:val="nil"/>
              <w:right w:val="nil"/>
            </w:tcBorders>
            <w:shd w:val="clear" w:color="auto" w:fill="auto"/>
            <w:noWrap/>
            <w:vAlign w:val="bottom"/>
            <w:hideMark/>
          </w:tcPr>
          <w:p w14:paraId="428D676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(0.012)</w:t>
            </w:r>
          </w:p>
        </w:tc>
        <w:tc>
          <w:tcPr>
            <w:tcW w:w="864" w:type="dxa"/>
            <w:gridSpan w:val="2"/>
            <w:tcBorders>
              <w:top w:val="nil"/>
              <w:left w:val="nil"/>
              <w:bottom w:val="nil"/>
              <w:right w:val="nil"/>
            </w:tcBorders>
            <w:shd w:val="clear" w:color="auto" w:fill="auto"/>
            <w:noWrap/>
            <w:vAlign w:val="bottom"/>
            <w:hideMark/>
          </w:tcPr>
          <w:p w14:paraId="45C5057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(0.024)</w:t>
            </w:r>
          </w:p>
        </w:tc>
        <w:tc>
          <w:tcPr>
            <w:tcW w:w="864" w:type="dxa"/>
            <w:gridSpan w:val="2"/>
            <w:tcBorders>
              <w:top w:val="nil"/>
              <w:left w:val="nil"/>
              <w:bottom w:val="nil"/>
              <w:right w:val="nil"/>
            </w:tcBorders>
            <w:shd w:val="clear" w:color="auto" w:fill="auto"/>
            <w:noWrap/>
            <w:vAlign w:val="bottom"/>
            <w:hideMark/>
          </w:tcPr>
          <w:p w14:paraId="32700D7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(0.011)</w:t>
            </w:r>
          </w:p>
        </w:tc>
        <w:tc>
          <w:tcPr>
            <w:tcW w:w="864" w:type="dxa"/>
            <w:gridSpan w:val="2"/>
            <w:tcBorders>
              <w:top w:val="nil"/>
              <w:left w:val="nil"/>
              <w:bottom w:val="nil"/>
              <w:right w:val="nil"/>
            </w:tcBorders>
            <w:shd w:val="clear" w:color="auto" w:fill="auto"/>
            <w:noWrap/>
            <w:vAlign w:val="bottom"/>
            <w:hideMark/>
          </w:tcPr>
          <w:p w14:paraId="0FC1302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(0.015)</w:t>
            </w:r>
          </w:p>
        </w:tc>
        <w:tc>
          <w:tcPr>
            <w:tcW w:w="864" w:type="dxa"/>
            <w:gridSpan w:val="2"/>
            <w:tcBorders>
              <w:top w:val="nil"/>
              <w:left w:val="nil"/>
              <w:bottom w:val="nil"/>
              <w:right w:val="nil"/>
            </w:tcBorders>
            <w:shd w:val="clear" w:color="auto" w:fill="auto"/>
            <w:noWrap/>
            <w:vAlign w:val="bottom"/>
            <w:hideMark/>
          </w:tcPr>
          <w:p w14:paraId="0161ECB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(0.012)</w:t>
            </w:r>
          </w:p>
        </w:tc>
        <w:tc>
          <w:tcPr>
            <w:tcW w:w="864" w:type="dxa"/>
            <w:gridSpan w:val="2"/>
            <w:tcBorders>
              <w:top w:val="nil"/>
              <w:left w:val="nil"/>
              <w:bottom w:val="nil"/>
              <w:right w:val="nil"/>
            </w:tcBorders>
            <w:shd w:val="clear" w:color="auto" w:fill="auto"/>
            <w:noWrap/>
            <w:vAlign w:val="bottom"/>
            <w:hideMark/>
          </w:tcPr>
          <w:p w14:paraId="24C1FA9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(0.013)</w:t>
            </w:r>
          </w:p>
        </w:tc>
        <w:tc>
          <w:tcPr>
            <w:tcW w:w="864" w:type="dxa"/>
            <w:gridSpan w:val="3"/>
            <w:tcBorders>
              <w:top w:val="nil"/>
              <w:left w:val="nil"/>
              <w:bottom w:val="nil"/>
              <w:right w:val="nil"/>
            </w:tcBorders>
            <w:shd w:val="clear" w:color="auto" w:fill="auto"/>
            <w:noWrap/>
            <w:vAlign w:val="bottom"/>
            <w:hideMark/>
          </w:tcPr>
          <w:p w14:paraId="40B69CB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(0.015)</w:t>
            </w:r>
          </w:p>
        </w:tc>
      </w:tr>
      <w:tr w:rsidR="00BC1E6D" w:rsidRPr="00BC1E6D" w14:paraId="450B3AE0"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51CCC9A6"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dUPR</w:t>
            </w:r>
          </w:p>
        </w:tc>
        <w:tc>
          <w:tcPr>
            <w:tcW w:w="864" w:type="dxa"/>
            <w:gridSpan w:val="2"/>
            <w:tcBorders>
              <w:top w:val="nil"/>
              <w:left w:val="nil"/>
              <w:bottom w:val="nil"/>
              <w:right w:val="nil"/>
            </w:tcBorders>
            <w:shd w:val="clear" w:color="auto" w:fill="auto"/>
            <w:noWrap/>
            <w:vAlign w:val="bottom"/>
            <w:hideMark/>
          </w:tcPr>
          <w:p w14:paraId="3860CCE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-0.035</w:t>
            </w:r>
          </w:p>
        </w:tc>
        <w:tc>
          <w:tcPr>
            <w:tcW w:w="864" w:type="dxa"/>
            <w:gridSpan w:val="2"/>
            <w:tcBorders>
              <w:top w:val="nil"/>
              <w:left w:val="nil"/>
              <w:bottom w:val="nil"/>
              <w:right w:val="nil"/>
            </w:tcBorders>
            <w:shd w:val="clear" w:color="auto" w:fill="auto"/>
            <w:noWrap/>
            <w:vAlign w:val="bottom"/>
            <w:hideMark/>
          </w:tcPr>
          <w:p w14:paraId="74A2A85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-0.036</w:t>
            </w:r>
          </w:p>
        </w:tc>
        <w:tc>
          <w:tcPr>
            <w:tcW w:w="864" w:type="dxa"/>
            <w:gridSpan w:val="2"/>
            <w:tcBorders>
              <w:top w:val="nil"/>
              <w:left w:val="nil"/>
              <w:bottom w:val="nil"/>
              <w:right w:val="nil"/>
            </w:tcBorders>
            <w:shd w:val="clear" w:color="auto" w:fill="auto"/>
            <w:noWrap/>
            <w:vAlign w:val="bottom"/>
            <w:hideMark/>
          </w:tcPr>
          <w:p w14:paraId="1F200DC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-0.017</w:t>
            </w:r>
          </w:p>
        </w:tc>
        <w:tc>
          <w:tcPr>
            <w:tcW w:w="864" w:type="dxa"/>
            <w:gridSpan w:val="2"/>
            <w:tcBorders>
              <w:top w:val="nil"/>
              <w:left w:val="nil"/>
              <w:bottom w:val="nil"/>
              <w:right w:val="nil"/>
            </w:tcBorders>
            <w:shd w:val="clear" w:color="auto" w:fill="auto"/>
            <w:noWrap/>
            <w:vAlign w:val="bottom"/>
            <w:hideMark/>
          </w:tcPr>
          <w:p w14:paraId="2BBE84B5"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-0.031</w:t>
            </w:r>
          </w:p>
        </w:tc>
        <w:tc>
          <w:tcPr>
            <w:tcW w:w="864" w:type="dxa"/>
            <w:gridSpan w:val="2"/>
            <w:tcBorders>
              <w:top w:val="nil"/>
              <w:left w:val="nil"/>
              <w:bottom w:val="nil"/>
              <w:right w:val="nil"/>
            </w:tcBorders>
            <w:shd w:val="clear" w:color="auto" w:fill="auto"/>
            <w:noWrap/>
            <w:vAlign w:val="bottom"/>
            <w:hideMark/>
          </w:tcPr>
          <w:p w14:paraId="46F5EAA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0.008</w:t>
            </w:r>
          </w:p>
        </w:tc>
        <w:tc>
          <w:tcPr>
            <w:tcW w:w="864" w:type="dxa"/>
            <w:gridSpan w:val="2"/>
            <w:tcBorders>
              <w:top w:val="nil"/>
              <w:left w:val="nil"/>
              <w:bottom w:val="nil"/>
              <w:right w:val="nil"/>
            </w:tcBorders>
            <w:shd w:val="clear" w:color="auto" w:fill="auto"/>
            <w:noWrap/>
            <w:vAlign w:val="bottom"/>
            <w:hideMark/>
          </w:tcPr>
          <w:p w14:paraId="633896E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-0.063</w:t>
            </w:r>
          </w:p>
        </w:tc>
        <w:tc>
          <w:tcPr>
            <w:tcW w:w="864" w:type="dxa"/>
            <w:gridSpan w:val="2"/>
            <w:tcBorders>
              <w:top w:val="nil"/>
              <w:left w:val="nil"/>
              <w:bottom w:val="nil"/>
              <w:right w:val="nil"/>
            </w:tcBorders>
            <w:shd w:val="clear" w:color="auto" w:fill="auto"/>
            <w:noWrap/>
            <w:vAlign w:val="bottom"/>
            <w:hideMark/>
          </w:tcPr>
          <w:p w14:paraId="0D032F7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0.019</w:t>
            </w:r>
          </w:p>
        </w:tc>
        <w:tc>
          <w:tcPr>
            <w:tcW w:w="864" w:type="dxa"/>
            <w:gridSpan w:val="2"/>
            <w:tcBorders>
              <w:top w:val="nil"/>
              <w:left w:val="nil"/>
              <w:bottom w:val="nil"/>
              <w:right w:val="nil"/>
            </w:tcBorders>
            <w:shd w:val="clear" w:color="auto" w:fill="auto"/>
            <w:noWrap/>
            <w:vAlign w:val="bottom"/>
            <w:hideMark/>
          </w:tcPr>
          <w:p w14:paraId="4E4167A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-0.015</w:t>
            </w:r>
          </w:p>
        </w:tc>
        <w:tc>
          <w:tcPr>
            <w:tcW w:w="864" w:type="dxa"/>
            <w:gridSpan w:val="2"/>
            <w:tcBorders>
              <w:top w:val="nil"/>
              <w:left w:val="nil"/>
              <w:bottom w:val="nil"/>
              <w:right w:val="nil"/>
            </w:tcBorders>
            <w:shd w:val="clear" w:color="auto" w:fill="auto"/>
            <w:noWrap/>
            <w:vAlign w:val="bottom"/>
            <w:hideMark/>
          </w:tcPr>
          <w:p w14:paraId="3E32A06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-0.035</w:t>
            </w:r>
          </w:p>
        </w:tc>
        <w:tc>
          <w:tcPr>
            <w:tcW w:w="864" w:type="dxa"/>
            <w:gridSpan w:val="2"/>
            <w:tcBorders>
              <w:top w:val="nil"/>
              <w:left w:val="nil"/>
              <w:bottom w:val="nil"/>
              <w:right w:val="nil"/>
            </w:tcBorders>
            <w:shd w:val="clear" w:color="auto" w:fill="auto"/>
            <w:noWrap/>
            <w:vAlign w:val="bottom"/>
            <w:hideMark/>
          </w:tcPr>
          <w:p w14:paraId="37405960" w14:textId="282BCEDC"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-0.054</w:t>
            </w:r>
            <w:r w:rsidR="00A658F1" w:rsidRPr="00BC1E6D">
              <w:rPr>
                <w:rFonts w:ascii="Times New Roman" w:eastAsia="Times New Roman" w:hAnsi="Times New Roman" w:cs="Times New Roman"/>
                <w:sz w:val="18"/>
                <w:szCs w:val="18"/>
              </w:rPr>
              <w:t>**</w:t>
            </w:r>
          </w:p>
        </w:tc>
        <w:tc>
          <w:tcPr>
            <w:tcW w:w="864" w:type="dxa"/>
            <w:gridSpan w:val="3"/>
            <w:tcBorders>
              <w:top w:val="nil"/>
              <w:left w:val="nil"/>
              <w:bottom w:val="nil"/>
              <w:right w:val="nil"/>
            </w:tcBorders>
            <w:shd w:val="clear" w:color="auto" w:fill="auto"/>
            <w:noWrap/>
            <w:vAlign w:val="bottom"/>
            <w:hideMark/>
          </w:tcPr>
          <w:p w14:paraId="3AB17611" w14:textId="33AB860B"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-0.06</w:t>
            </w:r>
            <w:r w:rsidR="00A658F1" w:rsidRPr="00BC1E6D">
              <w:rPr>
                <w:rFonts w:ascii="Times New Roman" w:eastAsia="Times New Roman" w:hAnsi="Times New Roman" w:cs="Times New Roman"/>
                <w:sz w:val="18"/>
                <w:szCs w:val="18"/>
              </w:rPr>
              <w:t>*</w:t>
            </w:r>
          </w:p>
        </w:tc>
      </w:tr>
      <w:tr w:rsidR="00BC1E6D" w:rsidRPr="00BC1E6D" w14:paraId="00C4BB70"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5ADE6EE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2251715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(0.032)</w:t>
            </w:r>
          </w:p>
        </w:tc>
        <w:tc>
          <w:tcPr>
            <w:tcW w:w="864" w:type="dxa"/>
            <w:gridSpan w:val="2"/>
            <w:tcBorders>
              <w:top w:val="nil"/>
              <w:left w:val="nil"/>
              <w:bottom w:val="nil"/>
              <w:right w:val="nil"/>
            </w:tcBorders>
            <w:shd w:val="clear" w:color="auto" w:fill="auto"/>
            <w:noWrap/>
            <w:vAlign w:val="bottom"/>
            <w:hideMark/>
          </w:tcPr>
          <w:p w14:paraId="297676F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(0.027)</w:t>
            </w:r>
          </w:p>
        </w:tc>
        <w:tc>
          <w:tcPr>
            <w:tcW w:w="864" w:type="dxa"/>
            <w:gridSpan w:val="2"/>
            <w:tcBorders>
              <w:top w:val="nil"/>
              <w:left w:val="nil"/>
              <w:bottom w:val="nil"/>
              <w:right w:val="nil"/>
            </w:tcBorders>
            <w:shd w:val="clear" w:color="auto" w:fill="auto"/>
            <w:noWrap/>
            <w:vAlign w:val="bottom"/>
            <w:hideMark/>
          </w:tcPr>
          <w:p w14:paraId="40BDCEF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(0.022)</w:t>
            </w:r>
          </w:p>
        </w:tc>
        <w:tc>
          <w:tcPr>
            <w:tcW w:w="864" w:type="dxa"/>
            <w:gridSpan w:val="2"/>
            <w:tcBorders>
              <w:top w:val="nil"/>
              <w:left w:val="nil"/>
              <w:bottom w:val="nil"/>
              <w:right w:val="nil"/>
            </w:tcBorders>
            <w:shd w:val="clear" w:color="auto" w:fill="auto"/>
            <w:noWrap/>
            <w:vAlign w:val="bottom"/>
            <w:hideMark/>
          </w:tcPr>
          <w:p w14:paraId="4CB8FA1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(0.017)</w:t>
            </w:r>
          </w:p>
        </w:tc>
        <w:tc>
          <w:tcPr>
            <w:tcW w:w="864" w:type="dxa"/>
            <w:gridSpan w:val="2"/>
            <w:tcBorders>
              <w:top w:val="nil"/>
              <w:left w:val="nil"/>
              <w:bottom w:val="nil"/>
              <w:right w:val="nil"/>
            </w:tcBorders>
            <w:shd w:val="clear" w:color="auto" w:fill="auto"/>
            <w:noWrap/>
            <w:vAlign w:val="bottom"/>
            <w:hideMark/>
          </w:tcPr>
          <w:p w14:paraId="6F6059C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(0.014)</w:t>
            </w:r>
          </w:p>
        </w:tc>
        <w:tc>
          <w:tcPr>
            <w:tcW w:w="864" w:type="dxa"/>
            <w:gridSpan w:val="2"/>
            <w:tcBorders>
              <w:top w:val="nil"/>
              <w:left w:val="nil"/>
              <w:bottom w:val="nil"/>
              <w:right w:val="nil"/>
            </w:tcBorders>
            <w:shd w:val="clear" w:color="auto" w:fill="auto"/>
            <w:noWrap/>
            <w:vAlign w:val="bottom"/>
            <w:hideMark/>
          </w:tcPr>
          <w:p w14:paraId="5E61951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(0.035)</w:t>
            </w:r>
          </w:p>
        </w:tc>
        <w:tc>
          <w:tcPr>
            <w:tcW w:w="864" w:type="dxa"/>
            <w:gridSpan w:val="2"/>
            <w:tcBorders>
              <w:top w:val="nil"/>
              <w:left w:val="nil"/>
              <w:bottom w:val="nil"/>
              <w:right w:val="nil"/>
            </w:tcBorders>
            <w:shd w:val="clear" w:color="auto" w:fill="auto"/>
            <w:noWrap/>
            <w:vAlign w:val="bottom"/>
            <w:hideMark/>
          </w:tcPr>
          <w:p w14:paraId="60A267C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(0.016)</w:t>
            </w:r>
          </w:p>
        </w:tc>
        <w:tc>
          <w:tcPr>
            <w:tcW w:w="864" w:type="dxa"/>
            <w:gridSpan w:val="2"/>
            <w:tcBorders>
              <w:top w:val="nil"/>
              <w:left w:val="nil"/>
              <w:bottom w:val="nil"/>
              <w:right w:val="nil"/>
            </w:tcBorders>
            <w:shd w:val="clear" w:color="auto" w:fill="auto"/>
            <w:noWrap/>
            <w:vAlign w:val="bottom"/>
            <w:hideMark/>
          </w:tcPr>
          <w:p w14:paraId="5173385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w:t>
            </w:r>
          </w:p>
        </w:tc>
        <w:tc>
          <w:tcPr>
            <w:tcW w:w="864" w:type="dxa"/>
            <w:gridSpan w:val="2"/>
            <w:tcBorders>
              <w:top w:val="nil"/>
              <w:left w:val="nil"/>
              <w:bottom w:val="nil"/>
              <w:right w:val="nil"/>
            </w:tcBorders>
            <w:shd w:val="clear" w:color="auto" w:fill="auto"/>
            <w:noWrap/>
            <w:vAlign w:val="bottom"/>
            <w:hideMark/>
          </w:tcPr>
          <w:p w14:paraId="4C46658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(0.018)</w:t>
            </w:r>
          </w:p>
        </w:tc>
        <w:tc>
          <w:tcPr>
            <w:tcW w:w="864" w:type="dxa"/>
            <w:gridSpan w:val="2"/>
            <w:tcBorders>
              <w:top w:val="nil"/>
              <w:left w:val="nil"/>
              <w:bottom w:val="nil"/>
              <w:right w:val="nil"/>
            </w:tcBorders>
            <w:shd w:val="clear" w:color="auto" w:fill="auto"/>
            <w:noWrap/>
            <w:vAlign w:val="bottom"/>
            <w:hideMark/>
          </w:tcPr>
          <w:p w14:paraId="43B113A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w:t>
            </w:r>
          </w:p>
        </w:tc>
        <w:tc>
          <w:tcPr>
            <w:tcW w:w="864" w:type="dxa"/>
            <w:gridSpan w:val="3"/>
            <w:tcBorders>
              <w:top w:val="nil"/>
              <w:left w:val="nil"/>
              <w:bottom w:val="nil"/>
              <w:right w:val="nil"/>
            </w:tcBorders>
            <w:shd w:val="clear" w:color="auto" w:fill="auto"/>
            <w:noWrap/>
            <w:vAlign w:val="bottom"/>
            <w:hideMark/>
          </w:tcPr>
          <w:p w14:paraId="7B4AD47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(0.023)</w:t>
            </w:r>
          </w:p>
        </w:tc>
      </w:tr>
      <w:tr w:rsidR="00BC1E6D" w:rsidRPr="00BC1E6D" w14:paraId="1403F85A"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165756C9"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dUI</w:t>
            </w:r>
          </w:p>
        </w:tc>
        <w:tc>
          <w:tcPr>
            <w:tcW w:w="864" w:type="dxa"/>
            <w:gridSpan w:val="2"/>
            <w:tcBorders>
              <w:top w:val="nil"/>
              <w:left w:val="nil"/>
              <w:bottom w:val="nil"/>
              <w:right w:val="nil"/>
            </w:tcBorders>
            <w:shd w:val="clear" w:color="auto" w:fill="auto"/>
            <w:noWrap/>
            <w:vAlign w:val="bottom"/>
            <w:hideMark/>
          </w:tcPr>
          <w:p w14:paraId="2FA91F1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-0.014</w:t>
            </w:r>
          </w:p>
        </w:tc>
        <w:tc>
          <w:tcPr>
            <w:tcW w:w="864" w:type="dxa"/>
            <w:gridSpan w:val="2"/>
            <w:tcBorders>
              <w:top w:val="nil"/>
              <w:left w:val="nil"/>
              <w:bottom w:val="nil"/>
              <w:right w:val="nil"/>
            </w:tcBorders>
            <w:shd w:val="clear" w:color="auto" w:fill="auto"/>
            <w:noWrap/>
            <w:vAlign w:val="bottom"/>
            <w:hideMark/>
          </w:tcPr>
          <w:p w14:paraId="061B3C1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-0.036</w:t>
            </w:r>
          </w:p>
        </w:tc>
        <w:tc>
          <w:tcPr>
            <w:tcW w:w="864" w:type="dxa"/>
            <w:gridSpan w:val="2"/>
            <w:tcBorders>
              <w:top w:val="nil"/>
              <w:left w:val="nil"/>
              <w:bottom w:val="nil"/>
              <w:right w:val="nil"/>
            </w:tcBorders>
            <w:shd w:val="clear" w:color="auto" w:fill="auto"/>
            <w:noWrap/>
            <w:vAlign w:val="bottom"/>
            <w:hideMark/>
          </w:tcPr>
          <w:p w14:paraId="5DDD286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08645BD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0.028</w:t>
            </w:r>
          </w:p>
        </w:tc>
        <w:tc>
          <w:tcPr>
            <w:tcW w:w="864" w:type="dxa"/>
            <w:gridSpan w:val="2"/>
            <w:tcBorders>
              <w:top w:val="nil"/>
              <w:left w:val="nil"/>
              <w:bottom w:val="nil"/>
              <w:right w:val="nil"/>
            </w:tcBorders>
            <w:shd w:val="clear" w:color="auto" w:fill="auto"/>
            <w:noWrap/>
            <w:vAlign w:val="bottom"/>
            <w:hideMark/>
          </w:tcPr>
          <w:p w14:paraId="0D24038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39A7086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0.041</w:t>
            </w:r>
          </w:p>
        </w:tc>
        <w:tc>
          <w:tcPr>
            <w:tcW w:w="864" w:type="dxa"/>
            <w:gridSpan w:val="2"/>
            <w:tcBorders>
              <w:top w:val="nil"/>
              <w:left w:val="nil"/>
              <w:bottom w:val="nil"/>
              <w:right w:val="nil"/>
            </w:tcBorders>
            <w:shd w:val="clear" w:color="auto" w:fill="auto"/>
            <w:noWrap/>
            <w:vAlign w:val="bottom"/>
            <w:hideMark/>
          </w:tcPr>
          <w:p w14:paraId="57FA85D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0.026</w:t>
            </w:r>
          </w:p>
        </w:tc>
        <w:tc>
          <w:tcPr>
            <w:tcW w:w="864" w:type="dxa"/>
            <w:gridSpan w:val="2"/>
            <w:tcBorders>
              <w:top w:val="nil"/>
              <w:left w:val="nil"/>
              <w:bottom w:val="nil"/>
              <w:right w:val="nil"/>
            </w:tcBorders>
            <w:shd w:val="clear" w:color="auto" w:fill="auto"/>
            <w:noWrap/>
            <w:vAlign w:val="bottom"/>
            <w:hideMark/>
          </w:tcPr>
          <w:p w14:paraId="40EDD0A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w:t>
            </w:r>
          </w:p>
        </w:tc>
        <w:tc>
          <w:tcPr>
            <w:tcW w:w="864" w:type="dxa"/>
            <w:gridSpan w:val="2"/>
            <w:tcBorders>
              <w:top w:val="nil"/>
              <w:left w:val="nil"/>
              <w:bottom w:val="nil"/>
              <w:right w:val="nil"/>
            </w:tcBorders>
            <w:shd w:val="clear" w:color="auto" w:fill="auto"/>
            <w:noWrap/>
            <w:vAlign w:val="bottom"/>
            <w:hideMark/>
          </w:tcPr>
          <w:p w14:paraId="7E69F24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0.015</w:t>
            </w:r>
          </w:p>
        </w:tc>
        <w:tc>
          <w:tcPr>
            <w:tcW w:w="864" w:type="dxa"/>
            <w:gridSpan w:val="2"/>
            <w:tcBorders>
              <w:top w:val="nil"/>
              <w:left w:val="nil"/>
              <w:bottom w:val="nil"/>
              <w:right w:val="nil"/>
            </w:tcBorders>
            <w:shd w:val="clear" w:color="auto" w:fill="auto"/>
            <w:noWrap/>
            <w:vAlign w:val="bottom"/>
            <w:hideMark/>
          </w:tcPr>
          <w:p w14:paraId="417F76D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0.006</w:t>
            </w:r>
          </w:p>
        </w:tc>
        <w:tc>
          <w:tcPr>
            <w:tcW w:w="864" w:type="dxa"/>
            <w:gridSpan w:val="3"/>
            <w:tcBorders>
              <w:top w:val="nil"/>
              <w:left w:val="nil"/>
              <w:bottom w:val="nil"/>
              <w:right w:val="nil"/>
            </w:tcBorders>
            <w:shd w:val="clear" w:color="auto" w:fill="auto"/>
            <w:noWrap/>
            <w:vAlign w:val="bottom"/>
            <w:hideMark/>
          </w:tcPr>
          <w:p w14:paraId="51FDE34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0.033</w:t>
            </w:r>
          </w:p>
        </w:tc>
      </w:tr>
      <w:tr w:rsidR="00BC1E6D" w:rsidRPr="00BC1E6D" w14:paraId="586A42B6"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775B4FF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0517843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w:t>
            </w:r>
          </w:p>
        </w:tc>
        <w:tc>
          <w:tcPr>
            <w:tcW w:w="864" w:type="dxa"/>
            <w:gridSpan w:val="2"/>
            <w:tcBorders>
              <w:top w:val="nil"/>
              <w:left w:val="nil"/>
              <w:bottom w:val="nil"/>
              <w:right w:val="nil"/>
            </w:tcBorders>
            <w:shd w:val="clear" w:color="auto" w:fill="auto"/>
            <w:noWrap/>
            <w:vAlign w:val="bottom"/>
            <w:hideMark/>
          </w:tcPr>
          <w:p w14:paraId="7237B83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(0.029)</w:t>
            </w:r>
          </w:p>
        </w:tc>
        <w:tc>
          <w:tcPr>
            <w:tcW w:w="864" w:type="dxa"/>
            <w:gridSpan w:val="2"/>
            <w:tcBorders>
              <w:top w:val="nil"/>
              <w:left w:val="nil"/>
              <w:bottom w:val="nil"/>
              <w:right w:val="nil"/>
            </w:tcBorders>
            <w:shd w:val="clear" w:color="auto" w:fill="auto"/>
            <w:noWrap/>
            <w:vAlign w:val="bottom"/>
            <w:hideMark/>
          </w:tcPr>
          <w:p w14:paraId="5EA2594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(0.018)</w:t>
            </w:r>
          </w:p>
        </w:tc>
        <w:tc>
          <w:tcPr>
            <w:tcW w:w="864" w:type="dxa"/>
            <w:gridSpan w:val="2"/>
            <w:tcBorders>
              <w:top w:val="nil"/>
              <w:left w:val="nil"/>
              <w:bottom w:val="nil"/>
              <w:right w:val="nil"/>
            </w:tcBorders>
            <w:shd w:val="clear" w:color="auto" w:fill="auto"/>
            <w:noWrap/>
            <w:vAlign w:val="bottom"/>
            <w:hideMark/>
          </w:tcPr>
          <w:p w14:paraId="154840E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(0.023)</w:t>
            </w:r>
          </w:p>
        </w:tc>
        <w:tc>
          <w:tcPr>
            <w:tcW w:w="864" w:type="dxa"/>
            <w:gridSpan w:val="2"/>
            <w:tcBorders>
              <w:top w:val="nil"/>
              <w:left w:val="nil"/>
              <w:bottom w:val="nil"/>
              <w:right w:val="nil"/>
            </w:tcBorders>
            <w:shd w:val="clear" w:color="auto" w:fill="auto"/>
            <w:noWrap/>
            <w:vAlign w:val="bottom"/>
            <w:hideMark/>
          </w:tcPr>
          <w:p w14:paraId="0FEFA42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(0.018)</w:t>
            </w:r>
          </w:p>
        </w:tc>
        <w:tc>
          <w:tcPr>
            <w:tcW w:w="864" w:type="dxa"/>
            <w:gridSpan w:val="2"/>
            <w:tcBorders>
              <w:top w:val="nil"/>
              <w:left w:val="nil"/>
              <w:bottom w:val="nil"/>
              <w:right w:val="nil"/>
            </w:tcBorders>
            <w:shd w:val="clear" w:color="auto" w:fill="auto"/>
            <w:noWrap/>
            <w:vAlign w:val="bottom"/>
            <w:hideMark/>
          </w:tcPr>
          <w:p w14:paraId="7779671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(0.027)</w:t>
            </w:r>
          </w:p>
        </w:tc>
        <w:tc>
          <w:tcPr>
            <w:tcW w:w="864" w:type="dxa"/>
            <w:gridSpan w:val="2"/>
            <w:tcBorders>
              <w:top w:val="nil"/>
              <w:left w:val="nil"/>
              <w:bottom w:val="nil"/>
              <w:right w:val="nil"/>
            </w:tcBorders>
            <w:shd w:val="clear" w:color="auto" w:fill="auto"/>
            <w:noWrap/>
            <w:vAlign w:val="bottom"/>
            <w:hideMark/>
          </w:tcPr>
          <w:p w14:paraId="0776133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(0.018)</w:t>
            </w:r>
          </w:p>
        </w:tc>
        <w:tc>
          <w:tcPr>
            <w:tcW w:w="864" w:type="dxa"/>
            <w:gridSpan w:val="2"/>
            <w:tcBorders>
              <w:top w:val="nil"/>
              <w:left w:val="nil"/>
              <w:bottom w:val="nil"/>
              <w:right w:val="nil"/>
            </w:tcBorders>
            <w:shd w:val="clear" w:color="auto" w:fill="auto"/>
            <w:noWrap/>
            <w:vAlign w:val="bottom"/>
            <w:hideMark/>
          </w:tcPr>
          <w:p w14:paraId="57CCD21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(0.021)</w:t>
            </w:r>
          </w:p>
        </w:tc>
        <w:tc>
          <w:tcPr>
            <w:tcW w:w="864" w:type="dxa"/>
            <w:gridSpan w:val="2"/>
            <w:tcBorders>
              <w:top w:val="nil"/>
              <w:left w:val="nil"/>
              <w:bottom w:val="nil"/>
              <w:right w:val="nil"/>
            </w:tcBorders>
            <w:shd w:val="clear" w:color="auto" w:fill="auto"/>
            <w:noWrap/>
            <w:vAlign w:val="bottom"/>
            <w:hideMark/>
          </w:tcPr>
          <w:p w14:paraId="67A5A34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(0.017)</w:t>
            </w:r>
          </w:p>
        </w:tc>
        <w:tc>
          <w:tcPr>
            <w:tcW w:w="864" w:type="dxa"/>
            <w:gridSpan w:val="2"/>
            <w:tcBorders>
              <w:top w:val="nil"/>
              <w:left w:val="nil"/>
              <w:bottom w:val="nil"/>
              <w:right w:val="nil"/>
            </w:tcBorders>
            <w:shd w:val="clear" w:color="auto" w:fill="auto"/>
            <w:noWrap/>
            <w:vAlign w:val="bottom"/>
            <w:hideMark/>
          </w:tcPr>
          <w:p w14:paraId="58751D6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(0.022)</w:t>
            </w:r>
          </w:p>
        </w:tc>
        <w:tc>
          <w:tcPr>
            <w:tcW w:w="864" w:type="dxa"/>
            <w:gridSpan w:val="3"/>
            <w:tcBorders>
              <w:top w:val="nil"/>
              <w:left w:val="nil"/>
              <w:bottom w:val="nil"/>
              <w:right w:val="nil"/>
            </w:tcBorders>
            <w:shd w:val="clear" w:color="auto" w:fill="auto"/>
            <w:noWrap/>
            <w:vAlign w:val="bottom"/>
            <w:hideMark/>
          </w:tcPr>
          <w:p w14:paraId="1FF6C18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(0.022)</w:t>
            </w:r>
          </w:p>
        </w:tc>
      </w:tr>
      <w:tr w:rsidR="00BC1E6D" w:rsidRPr="00BC1E6D" w14:paraId="540ABF93"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7F8E1994"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dUTS</w:t>
            </w:r>
          </w:p>
        </w:tc>
        <w:tc>
          <w:tcPr>
            <w:tcW w:w="864" w:type="dxa"/>
            <w:gridSpan w:val="2"/>
            <w:tcBorders>
              <w:top w:val="nil"/>
              <w:left w:val="nil"/>
              <w:bottom w:val="nil"/>
              <w:right w:val="nil"/>
            </w:tcBorders>
            <w:shd w:val="clear" w:color="auto" w:fill="auto"/>
            <w:noWrap/>
            <w:vAlign w:val="bottom"/>
            <w:hideMark/>
          </w:tcPr>
          <w:p w14:paraId="09783E5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w:t>
            </w:r>
          </w:p>
        </w:tc>
        <w:tc>
          <w:tcPr>
            <w:tcW w:w="864" w:type="dxa"/>
            <w:gridSpan w:val="2"/>
            <w:tcBorders>
              <w:top w:val="nil"/>
              <w:left w:val="nil"/>
              <w:bottom w:val="nil"/>
              <w:right w:val="nil"/>
            </w:tcBorders>
            <w:shd w:val="clear" w:color="auto" w:fill="auto"/>
            <w:noWrap/>
            <w:vAlign w:val="bottom"/>
            <w:hideMark/>
          </w:tcPr>
          <w:p w14:paraId="64FBBDD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-0.018</w:t>
            </w:r>
          </w:p>
        </w:tc>
        <w:tc>
          <w:tcPr>
            <w:tcW w:w="864" w:type="dxa"/>
            <w:gridSpan w:val="2"/>
            <w:tcBorders>
              <w:top w:val="nil"/>
              <w:left w:val="nil"/>
              <w:bottom w:val="nil"/>
              <w:right w:val="nil"/>
            </w:tcBorders>
            <w:shd w:val="clear" w:color="auto" w:fill="auto"/>
            <w:noWrap/>
            <w:vAlign w:val="bottom"/>
            <w:hideMark/>
          </w:tcPr>
          <w:p w14:paraId="28AF743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-0.046</w:t>
            </w:r>
          </w:p>
        </w:tc>
        <w:tc>
          <w:tcPr>
            <w:tcW w:w="864" w:type="dxa"/>
            <w:gridSpan w:val="2"/>
            <w:tcBorders>
              <w:top w:val="nil"/>
              <w:left w:val="nil"/>
              <w:bottom w:val="nil"/>
              <w:right w:val="nil"/>
            </w:tcBorders>
            <w:shd w:val="clear" w:color="auto" w:fill="auto"/>
            <w:noWrap/>
            <w:vAlign w:val="bottom"/>
            <w:hideMark/>
          </w:tcPr>
          <w:p w14:paraId="6E0B47C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0.004</w:t>
            </w:r>
          </w:p>
        </w:tc>
        <w:tc>
          <w:tcPr>
            <w:tcW w:w="864" w:type="dxa"/>
            <w:gridSpan w:val="2"/>
            <w:tcBorders>
              <w:top w:val="nil"/>
              <w:left w:val="nil"/>
              <w:bottom w:val="nil"/>
              <w:right w:val="nil"/>
            </w:tcBorders>
            <w:shd w:val="clear" w:color="auto" w:fill="auto"/>
            <w:noWrap/>
            <w:vAlign w:val="bottom"/>
            <w:hideMark/>
          </w:tcPr>
          <w:p w14:paraId="41CCEA7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0.007</w:t>
            </w:r>
          </w:p>
        </w:tc>
        <w:tc>
          <w:tcPr>
            <w:tcW w:w="864" w:type="dxa"/>
            <w:gridSpan w:val="2"/>
            <w:tcBorders>
              <w:top w:val="nil"/>
              <w:left w:val="nil"/>
              <w:bottom w:val="nil"/>
              <w:right w:val="nil"/>
            </w:tcBorders>
            <w:shd w:val="clear" w:color="auto" w:fill="auto"/>
            <w:noWrap/>
            <w:vAlign w:val="bottom"/>
            <w:hideMark/>
          </w:tcPr>
          <w:p w14:paraId="6D4CB7EA"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-0.016</w:t>
            </w:r>
          </w:p>
        </w:tc>
        <w:tc>
          <w:tcPr>
            <w:tcW w:w="864" w:type="dxa"/>
            <w:gridSpan w:val="2"/>
            <w:tcBorders>
              <w:top w:val="nil"/>
              <w:left w:val="nil"/>
              <w:bottom w:val="nil"/>
              <w:right w:val="nil"/>
            </w:tcBorders>
            <w:shd w:val="clear" w:color="auto" w:fill="auto"/>
            <w:noWrap/>
            <w:vAlign w:val="bottom"/>
            <w:hideMark/>
          </w:tcPr>
          <w:p w14:paraId="33388B8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-0.011</w:t>
            </w:r>
          </w:p>
        </w:tc>
        <w:tc>
          <w:tcPr>
            <w:tcW w:w="864" w:type="dxa"/>
            <w:gridSpan w:val="2"/>
            <w:tcBorders>
              <w:top w:val="nil"/>
              <w:left w:val="nil"/>
              <w:bottom w:val="nil"/>
              <w:right w:val="nil"/>
            </w:tcBorders>
            <w:shd w:val="clear" w:color="auto" w:fill="auto"/>
            <w:noWrap/>
            <w:vAlign w:val="bottom"/>
            <w:hideMark/>
          </w:tcPr>
          <w:p w14:paraId="1B4DE69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-0.031</w:t>
            </w:r>
          </w:p>
        </w:tc>
        <w:tc>
          <w:tcPr>
            <w:tcW w:w="864" w:type="dxa"/>
            <w:gridSpan w:val="2"/>
            <w:tcBorders>
              <w:top w:val="nil"/>
              <w:left w:val="nil"/>
              <w:bottom w:val="nil"/>
              <w:right w:val="nil"/>
            </w:tcBorders>
            <w:shd w:val="clear" w:color="auto" w:fill="auto"/>
            <w:noWrap/>
            <w:vAlign w:val="bottom"/>
            <w:hideMark/>
          </w:tcPr>
          <w:p w14:paraId="1694880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-0.009</w:t>
            </w:r>
          </w:p>
        </w:tc>
        <w:tc>
          <w:tcPr>
            <w:tcW w:w="864" w:type="dxa"/>
            <w:gridSpan w:val="2"/>
            <w:tcBorders>
              <w:top w:val="nil"/>
              <w:left w:val="nil"/>
              <w:bottom w:val="nil"/>
              <w:right w:val="nil"/>
            </w:tcBorders>
            <w:shd w:val="clear" w:color="auto" w:fill="auto"/>
            <w:noWrap/>
            <w:vAlign w:val="bottom"/>
            <w:hideMark/>
          </w:tcPr>
          <w:p w14:paraId="5B322A9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-0.019</w:t>
            </w:r>
          </w:p>
        </w:tc>
        <w:tc>
          <w:tcPr>
            <w:tcW w:w="864" w:type="dxa"/>
            <w:gridSpan w:val="3"/>
            <w:tcBorders>
              <w:top w:val="nil"/>
              <w:left w:val="nil"/>
              <w:bottom w:val="nil"/>
              <w:right w:val="nil"/>
            </w:tcBorders>
            <w:shd w:val="clear" w:color="auto" w:fill="auto"/>
            <w:noWrap/>
            <w:vAlign w:val="bottom"/>
            <w:hideMark/>
          </w:tcPr>
          <w:p w14:paraId="2E998ED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-0.005</w:t>
            </w:r>
          </w:p>
        </w:tc>
      </w:tr>
      <w:tr w:rsidR="00BC1E6D" w:rsidRPr="00BC1E6D" w14:paraId="1FF3EA67"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3B645DF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1474C3D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(0.032)</w:t>
            </w:r>
          </w:p>
        </w:tc>
        <w:tc>
          <w:tcPr>
            <w:tcW w:w="864" w:type="dxa"/>
            <w:gridSpan w:val="2"/>
            <w:tcBorders>
              <w:top w:val="nil"/>
              <w:left w:val="nil"/>
              <w:bottom w:val="nil"/>
              <w:right w:val="nil"/>
            </w:tcBorders>
            <w:shd w:val="clear" w:color="auto" w:fill="auto"/>
            <w:noWrap/>
            <w:vAlign w:val="bottom"/>
            <w:hideMark/>
          </w:tcPr>
          <w:p w14:paraId="5E89C80D"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(0.033)</w:t>
            </w:r>
          </w:p>
        </w:tc>
        <w:tc>
          <w:tcPr>
            <w:tcW w:w="864" w:type="dxa"/>
            <w:gridSpan w:val="2"/>
            <w:tcBorders>
              <w:top w:val="nil"/>
              <w:left w:val="nil"/>
              <w:bottom w:val="nil"/>
              <w:right w:val="nil"/>
            </w:tcBorders>
            <w:shd w:val="clear" w:color="auto" w:fill="auto"/>
            <w:noWrap/>
            <w:vAlign w:val="bottom"/>
            <w:hideMark/>
          </w:tcPr>
          <w:p w14:paraId="66CC765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(0.024)</w:t>
            </w:r>
          </w:p>
        </w:tc>
        <w:tc>
          <w:tcPr>
            <w:tcW w:w="864" w:type="dxa"/>
            <w:gridSpan w:val="2"/>
            <w:tcBorders>
              <w:top w:val="nil"/>
              <w:left w:val="nil"/>
              <w:bottom w:val="nil"/>
              <w:right w:val="nil"/>
            </w:tcBorders>
            <w:shd w:val="clear" w:color="auto" w:fill="auto"/>
            <w:noWrap/>
            <w:vAlign w:val="bottom"/>
            <w:hideMark/>
          </w:tcPr>
          <w:p w14:paraId="4CE586E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(0.021)</w:t>
            </w:r>
          </w:p>
        </w:tc>
        <w:tc>
          <w:tcPr>
            <w:tcW w:w="864" w:type="dxa"/>
            <w:gridSpan w:val="2"/>
            <w:tcBorders>
              <w:top w:val="nil"/>
              <w:left w:val="nil"/>
              <w:bottom w:val="nil"/>
              <w:right w:val="nil"/>
            </w:tcBorders>
            <w:shd w:val="clear" w:color="auto" w:fill="auto"/>
            <w:noWrap/>
            <w:vAlign w:val="bottom"/>
            <w:hideMark/>
          </w:tcPr>
          <w:p w14:paraId="1C744F5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(0.019)</w:t>
            </w:r>
          </w:p>
        </w:tc>
        <w:tc>
          <w:tcPr>
            <w:tcW w:w="864" w:type="dxa"/>
            <w:gridSpan w:val="2"/>
            <w:tcBorders>
              <w:top w:val="nil"/>
              <w:left w:val="nil"/>
              <w:bottom w:val="nil"/>
              <w:right w:val="nil"/>
            </w:tcBorders>
            <w:shd w:val="clear" w:color="auto" w:fill="auto"/>
            <w:noWrap/>
            <w:vAlign w:val="bottom"/>
            <w:hideMark/>
          </w:tcPr>
          <w:p w14:paraId="3513874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(0.034)</w:t>
            </w:r>
          </w:p>
        </w:tc>
        <w:tc>
          <w:tcPr>
            <w:tcW w:w="864" w:type="dxa"/>
            <w:gridSpan w:val="2"/>
            <w:tcBorders>
              <w:top w:val="nil"/>
              <w:left w:val="nil"/>
              <w:bottom w:val="nil"/>
              <w:right w:val="nil"/>
            </w:tcBorders>
            <w:shd w:val="clear" w:color="auto" w:fill="auto"/>
            <w:noWrap/>
            <w:vAlign w:val="bottom"/>
            <w:hideMark/>
          </w:tcPr>
          <w:p w14:paraId="4939991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(0.017)</w:t>
            </w:r>
          </w:p>
        </w:tc>
        <w:tc>
          <w:tcPr>
            <w:tcW w:w="864" w:type="dxa"/>
            <w:gridSpan w:val="2"/>
            <w:tcBorders>
              <w:top w:val="nil"/>
              <w:left w:val="nil"/>
              <w:bottom w:val="nil"/>
              <w:right w:val="nil"/>
            </w:tcBorders>
            <w:shd w:val="clear" w:color="auto" w:fill="auto"/>
            <w:noWrap/>
            <w:vAlign w:val="bottom"/>
            <w:hideMark/>
          </w:tcPr>
          <w:p w14:paraId="41B3E41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(0.023)</w:t>
            </w:r>
          </w:p>
        </w:tc>
        <w:tc>
          <w:tcPr>
            <w:tcW w:w="864" w:type="dxa"/>
            <w:gridSpan w:val="2"/>
            <w:tcBorders>
              <w:top w:val="nil"/>
              <w:left w:val="nil"/>
              <w:bottom w:val="nil"/>
              <w:right w:val="nil"/>
            </w:tcBorders>
            <w:shd w:val="clear" w:color="auto" w:fill="auto"/>
            <w:noWrap/>
            <w:vAlign w:val="bottom"/>
            <w:hideMark/>
          </w:tcPr>
          <w:p w14:paraId="2D416E0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w:t>
            </w:r>
          </w:p>
        </w:tc>
        <w:tc>
          <w:tcPr>
            <w:tcW w:w="864" w:type="dxa"/>
            <w:gridSpan w:val="2"/>
            <w:tcBorders>
              <w:top w:val="nil"/>
              <w:left w:val="nil"/>
              <w:bottom w:val="nil"/>
              <w:right w:val="nil"/>
            </w:tcBorders>
            <w:shd w:val="clear" w:color="auto" w:fill="auto"/>
            <w:noWrap/>
            <w:vAlign w:val="bottom"/>
            <w:hideMark/>
          </w:tcPr>
          <w:p w14:paraId="4226635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(0.023)</w:t>
            </w:r>
          </w:p>
        </w:tc>
        <w:tc>
          <w:tcPr>
            <w:tcW w:w="864" w:type="dxa"/>
            <w:gridSpan w:val="3"/>
            <w:tcBorders>
              <w:top w:val="nil"/>
              <w:left w:val="nil"/>
              <w:bottom w:val="nil"/>
              <w:right w:val="nil"/>
            </w:tcBorders>
            <w:shd w:val="clear" w:color="auto" w:fill="auto"/>
            <w:noWrap/>
            <w:vAlign w:val="bottom"/>
            <w:hideMark/>
          </w:tcPr>
          <w:p w14:paraId="55BF1E22"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(0.024)</w:t>
            </w:r>
          </w:p>
        </w:tc>
      </w:tr>
      <w:tr w:rsidR="00BC1E6D" w:rsidRPr="00BC1E6D" w14:paraId="704AB018"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6B74220B"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dOP</w:t>
            </w:r>
          </w:p>
        </w:tc>
        <w:tc>
          <w:tcPr>
            <w:tcW w:w="864" w:type="dxa"/>
            <w:gridSpan w:val="2"/>
            <w:tcBorders>
              <w:top w:val="nil"/>
              <w:left w:val="nil"/>
              <w:bottom w:val="nil"/>
              <w:right w:val="nil"/>
            </w:tcBorders>
            <w:shd w:val="clear" w:color="auto" w:fill="auto"/>
            <w:noWrap/>
            <w:vAlign w:val="bottom"/>
            <w:hideMark/>
          </w:tcPr>
          <w:p w14:paraId="614AFBC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-0.044</w:t>
            </w:r>
          </w:p>
        </w:tc>
        <w:tc>
          <w:tcPr>
            <w:tcW w:w="864" w:type="dxa"/>
            <w:gridSpan w:val="2"/>
            <w:tcBorders>
              <w:top w:val="nil"/>
              <w:left w:val="nil"/>
              <w:bottom w:val="nil"/>
              <w:right w:val="nil"/>
            </w:tcBorders>
            <w:shd w:val="clear" w:color="auto" w:fill="auto"/>
            <w:noWrap/>
            <w:vAlign w:val="bottom"/>
            <w:hideMark/>
          </w:tcPr>
          <w:p w14:paraId="14A9DDD5" w14:textId="5BF32F2F"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-.151</w:t>
            </w:r>
            <w:r w:rsidR="000F434D"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53AFF45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0.006</w:t>
            </w:r>
          </w:p>
        </w:tc>
        <w:tc>
          <w:tcPr>
            <w:tcW w:w="864" w:type="dxa"/>
            <w:gridSpan w:val="2"/>
            <w:tcBorders>
              <w:top w:val="nil"/>
              <w:left w:val="nil"/>
              <w:bottom w:val="nil"/>
              <w:right w:val="nil"/>
            </w:tcBorders>
            <w:shd w:val="clear" w:color="auto" w:fill="auto"/>
            <w:noWrap/>
            <w:vAlign w:val="bottom"/>
            <w:hideMark/>
          </w:tcPr>
          <w:p w14:paraId="203E98A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-0.047</w:t>
            </w:r>
          </w:p>
        </w:tc>
        <w:tc>
          <w:tcPr>
            <w:tcW w:w="864" w:type="dxa"/>
            <w:gridSpan w:val="2"/>
            <w:tcBorders>
              <w:top w:val="nil"/>
              <w:left w:val="nil"/>
              <w:bottom w:val="nil"/>
              <w:right w:val="nil"/>
            </w:tcBorders>
            <w:shd w:val="clear" w:color="auto" w:fill="auto"/>
            <w:noWrap/>
            <w:vAlign w:val="bottom"/>
            <w:hideMark/>
          </w:tcPr>
          <w:p w14:paraId="1C725A9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-0.014</w:t>
            </w:r>
          </w:p>
        </w:tc>
        <w:tc>
          <w:tcPr>
            <w:tcW w:w="864" w:type="dxa"/>
            <w:gridSpan w:val="2"/>
            <w:tcBorders>
              <w:top w:val="nil"/>
              <w:left w:val="nil"/>
              <w:bottom w:val="nil"/>
              <w:right w:val="nil"/>
            </w:tcBorders>
            <w:shd w:val="clear" w:color="auto" w:fill="auto"/>
            <w:noWrap/>
            <w:vAlign w:val="bottom"/>
            <w:hideMark/>
          </w:tcPr>
          <w:p w14:paraId="6A092CBD" w14:textId="1761D954"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0.371</w:t>
            </w:r>
            <w:r w:rsidR="005848D3"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7D06341C" w14:textId="66EBF44C"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-0.063</w:t>
            </w:r>
            <w:r w:rsidR="00A46020"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720A1420"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-0.024</w:t>
            </w:r>
          </w:p>
        </w:tc>
        <w:tc>
          <w:tcPr>
            <w:tcW w:w="864" w:type="dxa"/>
            <w:gridSpan w:val="2"/>
            <w:tcBorders>
              <w:top w:val="nil"/>
              <w:left w:val="nil"/>
              <w:bottom w:val="nil"/>
              <w:right w:val="nil"/>
            </w:tcBorders>
            <w:shd w:val="clear" w:color="auto" w:fill="auto"/>
            <w:noWrap/>
            <w:vAlign w:val="bottom"/>
            <w:hideMark/>
          </w:tcPr>
          <w:p w14:paraId="07B2F68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-0.031</w:t>
            </w:r>
          </w:p>
        </w:tc>
        <w:tc>
          <w:tcPr>
            <w:tcW w:w="864" w:type="dxa"/>
            <w:gridSpan w:val="2"/>
            <w:tcBorders>
              <w:top w:val="nil"/>
              <w:left w:val="nil"/>
              <w:bottom w:val="nil"/>
              <w:right w:val="nil"/>
            </w:tcBorders>
            <w:shd w:val="clear" w:color="auto" w:fill="auto"/>
            <w:noWrap/>
            <w:vAlign w:val="bottom"/>
            <w:hideMark/>
          </w:tcPr>
          <w:p w14:paraId="77A77579" w14:textId="0507F9BB"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0.087</w:t>
            </w:r>
            <w:r w:rsidR="00A46020" w:rsidRPr="00BC1E6D">
              <w:rPr>
                <w:rFonts w:ascii="Times New Roman" w:eastAsia="Times New Roman" w:hAnsi="Times New Roman" w:cs="Times New Roman"/>
                <w:sz w:val="18"/>
                <w:szCs w:val="18"/>
              </w:rPr>
              <w:t>*</w:t>
            </w:r>
          </w:p>
        </w:tc>
        <w:tc>
          <w:tcPr>
            <w:tcW w:w="864" w:type="dxa"/>
            <w:gridSpan w:val="3"/>
            <w:tcBorders>
              <w:top w:val="nil"/>
              <w:left w:val="nil"/>
              <w:bottom w:val="nil"/>
              <w:right w:val="nil"/>
            </w:tcBorders>
            <w:shd w:val="clear" w:color="auto" w:fill="auto"/>
            <w:noWrap/>
            <w:vAlign w:val="bottom"/>
            <w:hideMark/>
          </w:tcPr>
          <w:p w14:paraId="6E528F2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-0.034</w:t>
            </w:r>
          </w:p>
        </w:tc>
      </w:tr>
      <w:tr w:rsidR="00BC1E6D" w:rsidRPr="00BC1E6D" w14:paraId="1930FE5E"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7C527C5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p>
        </w:tc>
        <w:tc>
          <w:tcPr>
            <w:tcW w:w="864" w:type="dxa"/>
            <w:gridSpan w:val="2"/>
            <w:tcBorders>
              <w:top w:val="nil"/>
              <w:left w:val="nil"/>
              <w:bottom w:val="nil"/>
              <w:right w:val="nil"/>
            </w:tcBorders>
            <w:shd w:val="clear" w:color="auto" w:fill="auto"/>
            <w:noWrap/>
            <w:vAlign w:val="bottom"/>
            <w:hideMark/>
          </w:tcPr>
          <w:p w14:paraId="0378AD3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(0.042)</w:t>
            </w:r>
          </w:p>
        </w:tc>
        <w:tc>
          <w:tcPr>
            <w:tcW w:w="864" w:type="dxa"/>
            <w:gridSpan w:val="2"/>
            <w:tcBorders>
              <w:top w:val="nil"/>
              <w:left w:val="nil"/>
              <w:bottom w:val="nil"/>
              <w:right w:val="nil"/>
            </w:tcBorders>
            <w:shd w:val="clear" w:color="auto" w:fill="auto"/>
            <w:noWrap/>
            <w:vAlign w:val="bottom"/>
            <w:hideMark/>
          </w:tcPr>
          <w:p w14:paraId="4799AC7C"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(0.047)</w:t>
            </w:r>
          </w:p>
        </w:tc>
        <w:tc>
          <w:tcPr>
            <w:tcW w:w="864" w:type="dxa"/>
            <w:gridSpan w:val="2"/>
            <w:tcBorders>
              <w:top w:val="nil"/>
              <w:left w:val="nil"/>
              <w:bottom w:val="nil"/>
              <w:right w:val="nil"/>
            </w:tcBorders>
            <w:shd w:val="clear" w:color="auto" w:fill="auto"/>
            <w:noWrap/>
            <w:vAlign w:val="bottom"/>
            <w:hideMark/>
          </w:tcPr>
          <w:p w14:paraId="6D7AEFE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(0.032)</w:t>
            </w:r>
          </w:p>
        </w:tc>
        <w:tc>
          <w:tcPr>
            <w:tcW w:w="864" w:type="dxa"/>
            <w:gridSpan w:val="2"/>
            <w:tcBorders>
              <w:top w:val="nil"/>
              <w:left w:val="nil"/>
              <w:bottom w:val="nil"/>
              <w:right w:val="nil"/>
            </w:tcBorders>
            <w:shd w:val="clear" w:color="auto" w:fill="auto"/>
            <w:noWrap/>
            <w:vAlign w:val="bottom"/>
            <w:hideMark/>
          </w:tcPr>
          <w:p w14:paraId="20526F79"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(0.033)</w:t>
            </w:r>
          </w:p>
        </w:tc>
        <w:tc>
          <w:tcPr>
            <w:tcW w:w="864" w:type="dxa"/>
            <w:gridSpan w:val="2"/>
            <w:tcBorders>
              <w:top w:val="nil"/>
              <w:left w:val="nil"/>
              <w:bottom w:val="nil"/>
              <w:right w:val="nil"/>
            </w:tcBorders>
            <w:shd w:val="clear" w:color="auto" w:fill="auto"/>
            <w:noWrap/>
            <w:vAlign w:val="bottom"/>
            <w:hideMark/>
          </w:tcPr>
          <w:p w14:paraId="158B46D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(0.039)</w:t>
            </w:r>
          </w:p>
        </w:tc>
        <w:tc>
          <w:tcPr>
            <w:tcW w:w="864" w:type="dxa"/>
            <w:gridSpan w:val="2"/>
            <w:tcBorders>
              <w:top w:val="nil"/>
              <w:left w:val="nil"/>
              <w:bottom w:val="nil"/>
              <w:right w:val="nil"/>
            </w:tcBorders>
            <w:shd w:val="clear" w:color="auto" w:fill="auto"/>
            <w:noWrap/>
            <w:vAlign w:val="bottom"/>
            <w:hideMark/>
          </w:tcPr>
          <w:p w14:paraId="1B2A077E"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(0.051)</w:t>
            </w:r>
          </w:p>
        </w:tc>
        <w:tc>
          <w:tcPr>
            <w:tcW w:w="864" w:type="dxa"/>
            <w:gridSpan w:val="2"/>
            <w:tcBorders>
              <w:top w:val="nil"/>
              <w:left w:val="nil"/>
              <w:bottom w:val="nil"/>
              <w:right w:val="nil"/>
            </w:tcBorders>
            <w:shd w:val="clear" w:color="auto" w:fill="auto"/>
            <w:noWrap/>
            <w:vAlign w:val="bottom"/>
            <w:hideMark/>
          </w:tcPr>
          <w:p w14:paraId="366E2EA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(0.027)</w:t>
            </w:r>
          </w:p>
        </w:tc>
        <w:tc>
          <w:tcPr>
            <w:tcW w:w="864" w:type="dxa"/>
            <w:gridSpan w:val="2"/>
            <w:tcBorders>
              <w:top w:val="nil"/>
              <w:left w:val="nil"/>
              <w:bottom w:val="nil"/>
              <w:right w:val="nil"/>
            </w:tcBorders>
            <w:shd w:val="clear" w:color="auto" w:fill="auto"/>
            <w:noWrap/>
            <w:vAlign w:val="bottom"/>
            <w:hideMark/>
          </w:tcPr>
          <w:p w14:paraId="3BFFF018"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(0.033)</w:t>
            </w:r>
          </w:p>
        </w:tc>
        <w:tc>
          <w:tcPr>
            <w:tcW w:w="864" w:type="dxa"/>
            <w:gridSpan w:val="2"/>
            <w:tcBorders>
              <w:top w:val="nil"/>
              <w:left w:val="nil"/>
              <w:bottom w:val="nil"/>
              <w:right w:val="nil"/>
            </w:tcBorders>
            <w:shd w:val="clear" w:color="auto" w:fill="auto"/>
            <w:noWrap/>
            <w:vAlign w:val="bottom"/>
            <w:hideMark/>
          </w:tcPr>
          <w:p w14:paraId="64AA8A21"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(0.026)</w:t>
            </w:r>
          </w:p>
        </w:tc>
        <w:tc>
          <w:tcPr>
            <w:tcW w:w="864" w:type="dxa"/>
            <w:gridSpan w:val="2"/>
            <w:tcBorders>
              <w:top w:val="nil"/>
              <w:left w:val="nil"/>
              <w:bottom w:val="nil"/>
              <w:right w:val="nil"/>
            </w:tcBorders>
            <w:shd w:val="clear" w:color="auto" w:fill="auto"/>
            <w:noWrap/>
            <w:vAlign w:val="bottom"/>
            <w:hideMark/>
          </w:tcPr>
          <w:p w14:paraId="7D8203C7"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(0.034)</w:t>
            </w:r>
          </w:p>
        </w:tc>
        <w:tc>
          <w:tcPr>
            <w:tcW w:w="864" w:type="dxa"/>
            <w:gridSpan w:val="3"/>
            <w:tcBorders>
              <w:top w:val="nil"/>
              <w:left w:val="nil"/>
              <w:bottom w:val="nil"/>
              <w:right w:val="nil"/>
            </w:tcBorders>
            <w:shd w:val="clear" w:color="auto" w:fill="auto"/>
            <w:noWrap/>
            <w:vAlign w:val="bottom"/>
            <w:hideMark/>
          </w:tcPr>
          <w:p w14:paraId="7FD7E9C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(0.043)</w:t>
            </w:r>
          </w:p>
        </w:tc>
      </w:tr>
      <w:tr w:rsidR="00BC1E6D" w:rsidRPr="00BC1E6D" w14:paraId="748C5097" w14:textId="77777777" w:rsidTr="0059678D">
        <w:trPr>
          <w:gridAfter w:val="12"/>
          <w:wAfter w:w="15345" w:type="dxa"/>
          <w:trHeight w:val="20"/>
        </w:trPr>
        <w:tc>
          <w:tcPr>
            <w:tcW w:w="864" w:type="dxa"/>
            <w:gridSpan w:val="2"/>
            <w:tcBorders>
              <w:top w:val="nil"/>
              <w:left w:val="nil"/>
              <w:bottom w:val="nil"/>
              <w:right w:val="nil"/>
            </w:tcBorders>
            <w:shd w:val="clear" w:color="auto" w:fill="auto"/>
            <w:noWrap/>
            <w:vAlign w:val="bottom"/>
            <w:hideMark/>
          </w:tcPr>
          <w:p w14:paraId="079B2C1A" w14:textId="77777777" w:rsidR="004830AB" w:rsidRPr="00BC1E6D" w:rsidRDefault="004830AB" w:rsidP="00BD3816">
            <w:pPr>
              <w:spacing w:after="0" w:line="276" w:lineRule="auto"/>
              <w:jc w:val="center"/>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dSP500</w:t>
            </w:r>
          </w:p>
        </w:tc>
        <w:tc>
          <w:tcPr>
            <w:tcW w:w="864" w:type="dxa"/>
            <w:gridSpan w:val="2"/>
            <w:tcBorders>
              <w:top w:val="nil"/>
              <w:left w:val="nil"/>
              <w:bottom w:val="nil"/>
              <w:right w:val="nil"/>
            </w:tcBorders>
            <w:shd w:val="clear" w:color="auto" w:fill="auto"/>
            <w:noWrap/>
            <w:vAlign w:val="bottom"/>
            <w:hideMark/>
          </w:tcPr>
          <w:p w14:paraId="66F78DA7" w14:textId="2EAD6E4B"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1.498</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42021FF3" w14:textId="4609AB48"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1.01</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669096C6" w14:textId="2CD6EB08"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1.087</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53F5208A" w14:textId="384F66D2"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0.992</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7DEE3C93" w14:textId="7C616AA4"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1.072</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3796C991" w14:textId="342AF95F"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0.765</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2EBF8463" w14:textId="6E777C7F"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04469319" w14:textId="2ABF7C95"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0.441</w:t>
            </w:r>
            <w:r w:rsidR="00457367"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2285E459" w14:textId="0C7604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0.956</w:t>
            </w:r>
            <w:r w:rsidR="00A47120" w:rsidRPr="00BC1E6D">
              <w:rPr>
                <w:rFonts w:ascii="Times New Roman" w:eastAsia="Times New Roman" w:hAnsi="Times New Roman" w:cs="Times New Roman"/>
                <w:sz w:val="18"/>
                <w:szCs w:val="18"/>
              </w:rPr>
              <w:t>**</w:t>
            </w:r>
          </w:p>
        </w:tc>
        <w:tc>
          <w:tcPr>
            <w:tcW w:w="864" w:type="dxa"/>
            <w:gridSpan w:val="2"/>
            <w:tcBorders>
              <w:top w:val="nil"/>
              <w:left w:val="nil"/>
              <w:bottom w:val="nil"/>
              <w:right w:val="nil"/>
            </w:tcBorders>
            <w:shd w:val="clear" w:color="auto" w:fill="auto"/>
            <w:noWrap/>
            <w:vAlign w:val="bottom"/>
            <w:hideMark/>
          </w:tcPr>
          <w:p w14:paraId="05960201" w14:textId="64E10858"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0.835</w:t>
            </w:r>
            <w:r w:rsidR="00A47120" w:rsidRPr="00BC1E6D">
              <w:rPr>
                <w:rFonts w:ascii="Times New Roman" w:eastAsia="Times New Roman" w:hAnsi="Times New Roman" w:cs="Times New Roman"/>
                <w:sz w:val="18"/>
                <w:szCs w:val="18"/>
              </w:rPr>
              <w:t>**</w:t>
            </w:r>
          </w:p>
        </w:tc>
        <w:tc>
          <w:tcPr>
            <w:tcW w:w="864" w:type="dxa"/>
            <w:gridSpan w:val="3"/>
            <w:tcBorders>
              <w:top w:val="nil"/>
              <w:left w:val="nil"/>
              <w:bottom w:val="nil"/>
              <w:right w:val="nil"/>
            </w:tcBorders>
            <w:shd w:val="clear" w:color="auto" w:fill="auto"/>
            <w:noWrap/>
            <w:vAlign w:val="bottom"/>
            <w:hideMark/>
          </w:tcPr>
          <w:p w14:paraId="66D78168" w14:textId="234EA430"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0.664</w:t>
            </w:r>
            <w:r w:rsidR="00A47120" w:rsidRPr="00BC1E6D">
              <w:rPr>
                <w:rFonts w:ascii="Times New Roman" w:eastAsia="Times New Roman" w:hAnsi="Times New Roman" w:cs="Times New Roman"/>
                <w:sz w:val="18"/>
                <w:szCs w:val="18"/>
              </w:rPr>
              <w:t>**</w:t>
            </w:r>
          </w:p>
        </w:tc>
      </w:tr>
      <w:tr w:rsidR="00BC1E6D" w:rsidRPr="00BC1E6D" w14:paraId="39B65F5F" w14:textId="77777777" w:rsidTr="0059678D">
        <w:trPr>
          <w:gridAfter w:val="12"/>
          <w:wAfter w:w="15345" w:type="dxa"/>
          <w:trHeight w:val="20"/>
        </w:trPr>
        <w:tc>
          <w:tcPr>
            <w:tcW w:w="864" w:type="dxa"/>
            <w:gridSpan w:val="2"/>
            <w:tcBorders>
              <w:top w:val="nil"/>
              <w:left w:val="nil"/>
              <w:bottom w:val="single" w:sz="4" w:space="0" w:color="auto"/>
              <w:right w:val="nil"/>
            </w:tcBorders>
            <w:shd w:val="clear" w:color="auto" w:fill="auto"/>
            <w:noWrap/>
            <w:vAlign w:val="bottom"/>
            <w:hideMark/>
          </w:tcPr>
          <w:p w14:paraId="45FC9A94" w14:textId="6BE93027" w:rsidR="004830AB" w:rsidRPr="00BC1E6D" w:rsidRDefault="004830AB" w:rsidP="00BD3816">
            <w:pPr>
              <w:spacing w:after="0" w:line="276" w:lineRule="auto"/>
              <w:jc w:val="center"/>
              <w:rPr>
                <w:rFonts w:ascii="Times New Roman" w:eastAsia="Times New Roman" w:hAnsi="Times New Roman" w:cs="Times New Roman"/>
                <w:b/>
                <w:bCs/>
                <w:sz w:val="18"/>
                <w:szCs w:val="18"/>
              </w:rPr>
            </w:pPr>
          </w:p>
        </w:tc>
        <w:tc>
          <w:tcPr>
            <w:tcW w:w="864" w:type="dxa"/>
            <w:gridSpan w:val="2"/>
            <w:tcBorders>
              <w:top w:val="nil"/>
              <w:left w:val="nil"/>
              <w:bottom w:val="single" w:sz="4" w:space="0" w:color="auto"/>
              <w:right w:val="nil"/>
            </w:tcBorders>
            <w:shd w:val="clear" w:color="auto" w:fill="auto"/>
            <w:noWrap/>
            <w:vAlign w:val="bottom"/>
            <w:hideMark/>
          </w:tcPr>
          <w:p w14:paraId="06C304F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(0.142)</w:t>
            </w:r>
          </w:p>
        </w:tc>
        <w:tc>
          <w:tcPr>
            <w:tcW w:w="864" w:type="dxa"/>
            <w:gridSpan w:val="2"/>
            <w:tcBorders>
              <w:top w:val="nil"/>
              <w:left w:val="nil"/>
              <w:bottom w:val="single" w:sz="4" w:space="0" w:color="auto"/>
              <w:right w:val="nil"/>
            </w:tcBorders>
            <w:shd w:val="clear" w:color="auto" w:fill="auto"/>
            <w:noWrap/>
            <w:vAlign w:val="bottom"/>
            <w:hideMark/>
          </w:tcPr>
          <w:p w14:paraId="02A36D5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(0.151)</w:t>
            </w:r>
          </w:p>
        </w:tc>
        <w:tc>
          <w:tcPr>
            <w:tcW w:w="864" w:type="dxa"/>
            <w:gridSpan w:val="2"/>
            <w:tcBorders>
              <w:top w:val="nil"/>
              <w:left w:val="nil"/>
              <w:bottom w:val="single" w:sz="4" w:space="0" w:color="auto"/>
              <w:right w:val="nil"/>
            </w:tcBorders>
            <w:shd w:val="clear" w:color="auto" w:fill="auto"/>
            <w:noWrap/>
            <w:vAlign w:val="bottom"/>
            <w:hideMark/>
          </w:tcPr>
          <w:p w14:paraId="52A5D5F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(0.107)</w:t>
            </w:r>
          </w:p>
        </w:tc>
        <w:tc>
          <w:tcPr>
            <w:tcW w:w="864" w:type="dxa"/>
            <w:gridSpan w:val="2"/>
            <w:tcBorders>
              <w:top w:val="nil"/>
              <w:left w:val="nil"/>
              <w:bottom w:val="single" w:sz="4" w:space="0" w:color="auto"/>
              <w:right w:val="nil"/>
            </w:tcBorders>
            <w:shd w:val="clear" w:color="auto" w:fill="auto"/>
            <w:noWrap/>
            <w:vAlign w:val="bottom"/>
            <w:hideMark/>
          </w:tcPr>
          <w:p w14:paraId="3F0DD27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(0.081)</w:t>
            </w:r>
          </w:p>
        </w:tc>
        <w:tc>
          <w:tcPr>
            <w:tcW w:w="864" w:type="dxa"/>
            <w:gridSpan w:val="2"/>
            <w:tcBorders>
              <w:top w:val="nil"/>
              <w:left w:val="nil"/>
              <w:bottom w:val="single" w:sz="4" w:space="0" w:color="auto"/>
              <w:right w:val="nil"/>
            </w:tcBorders>
            <w:shd w:val="clear" w:color="auto" w:fill="auto"/>
            <w:noWrap/>
            <w:vAlign w:val="bottom"/>
            <w:hideMark/>
          </w:tcPr>
          <w:p w14:paraId="104F6A5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(0.063)</w:t>
            </w:r>
          </w:p>
        </w:tc>
        <w:tc>
          <w:tcPr>
            <w:tcW w:w="864" w:type="dxa"/>
            <w:gridSpan w:val="2"/>
            <w:tcBorders>
              <w:top w:val="nil"/>
              <w:left w:val="nil"/>
              <w:bottom w:val="single" w:sz="4" w:space="0" w:color="auto"/>
              <w:right w:val="nil"/>
            </w:tcBorders>
            <w:shd w:val="clear" w:color="auto" w:fill="auto"/>
            <w:noWrap/>
            <w:vAlign w:val="bottom"/>
            <w:hideMark/>
          </w:tcPr>
          <w:p w14:paraId="51AF0F93"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(0.167)</w:t>
            </w:r>
          </w:p>
        </w:tc>
        <w:tc>
          <w:tcPr>
            <w:tcW w:w="864" w:type="dxa"/>
            <w:gridSpan w:val="2"/>
            <w:tcBorders>
              <w:top w:val="nil"/>
              <w:left w:val="nil"/>
              <w:bottom w:val="single" w:sz="4" w:space="0" w:color="auto"/>
              <w:right w:val="nil"/>
            </w:tcBorders>
            <w:shd w:val="clear" w:color="auto" w:fill="auto"/>
            <w:noWrap/>
            <w:vAlign w:val="bottom"/>
            <w:hideMark/>
          </w:tcPr>
          <w:p w14:paraId="43F56C4B"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(0.093)</w:t>
            </w:r>
          </w:p>
        </w:tc>
        <w:tc>
          <w:tcPr>
            <w:tcW w:w="864" w:type="dxa"/>
            <w:gridSpan w:val="2"/>
            <w:tcBorders>
              <w:top w:val="nil"/>
              <w:left w:val="nil"/>
              <w:bottom w:val="single" w:sz="4" w:space="0" w:color="auto"/>
              <w:right w:val="nil"/>
            </w:tcBorders>
            <w:shd w:val="clear" w:color="auto" w:fill="auto"/>
            <w:noWrap/>
            <w:vAlign w:val="bottom"/>
            <w:hideMark/>
          </w:tcPr>
          <w:p w14:paraId="394856AF"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(0.126)</w:t>
            </w:r>
          </w:p>
        </w:tc>
        <w:tc>
          <w:tcPr>
            <w:tcW w:w="864" w:type="dxa"/>
            <w:gridSpan w:val="2"/>
            <w:tcBorders>
              <w:top w:val="nil"/>
              <w:left w:val="nil"/>
              <w:bottom w:val="single" w:sz="4" w:space="0" w:color="auto"/>
              <w:right w:val="nil"/>
            </w:tcBorders>
            <w:shd w:val="clear" w:color="auto" w:fill="auto"/>
            <w:noWrap/>
            <w:vAlign w:val="bottom"/>
            <w:hideMark/>
          </w:tcPr>
          <w:p w14:paraId="27323E75"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(0.072)</w:t>
            </w:r>
          </w:p>
        </w:tc>
        <w:tc>
          <w:tcPr>
            <w:tcW w:w="864" w:type="dxa"/>
            <w:gridSpan w:val="2"/>
            <w:tcBorders>
              <w:top w:val="nil"/>
              <w:left w:val="nil"/>
              <w:bottom w:val="single" w:sz="4" w:space="0" w:color="auto"/>
              <w:right w:val="nil"/>
            </w:tcBorders>
            <w:shd w:val="clear" w:color="auto" w:fill="auto"/>
            <w:noWrap/>
            <w:vAlign w:val="bottom"/>
            <w:hideMark/>
          </w:tcPr>
          <w:p w14:paraId="4D92E1E6"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(0.095)</w:t>
            </w:r>
          </w:p>
        </w:tc>
        <w:tc>
          <w:tcPr>
            <w:tcW w:w="864" w:type="dxa"/>
            <w:gridSpan w:val="3"/>
            <w:tcBorders>
              <w:top w:val="nil"/>
              <w:left w:val="nil"/>
              <w:bottom w:val="single" w:sz="4" w:space="0" w:color="auto"/>
              <w:right w:val="nil"/>
            </w:tcBorders>
            <w:shd w:val="clear" w:color="auto" w:fill="auto"/>
            <w:noWrap/>
            <w:vAlign w:val="bottom"/>
            <w:hideMark/>
          </w:tcPr>
          <w:p w14:paraId="16F114C4" w14:textId="77777777" w:rsidR="004830AB" w:rsidRPr="00BC1E6D" w:rsidRDefault="004830AB" w:rsidP="00BD3816">
            <w:pPr>
              <w:spacing w:after="0" w:line="276" w:lineRule="auto"/>
              <w:jc w:val="center"/>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(0.104)</w:t>
            </w:r>
          </w:p>
        </w:tc>
      </w:tr>
      <w:tr w:rsidR="00BC1E6D" w:rsidRPr="00BC1E6D" w14:paraId="0FE134EA" w14:textId="77777777" w:rsidTr="000F434D">
        <w:trPr>
          <w:gridBefore w:val="1"/>
          <w:wBefore w:w="32" w:type="dxa"/>
          <w:trHeight w:val="300"/>
        </w:trPr>
        <w:tc>
          <w:tcPr>
            <w:tcW w:w="19921" w:type="dxa"/>
            <w:gridSpan w:val="30"/>
            <w:tcBorders>
              <w:top w:val="nil"/>
              <w:left w:val="nil"/>
              <w:bottom w:val="nil"/>
              <w:right w:val="nil"/>
            </w:tcBorders>
            <w:shd w:val="clear" w:color="auto" w:fill="auto"/>
            <w:noWrap/>
            <w:hideMark/>
          </w:tcPr>
          <w:p w14:paraId="247593E2" w14:textId="08E8A7B3" w:rsidR="004830AB" w:rsidRPr="00BC1E6D" w:rsidRDefault="004830AB" w:rsidP="00BD3816">
            <w:pPr>
              <w:spacing w:after="0" w:line="276" w:lineRule="auto"/>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Note: each</w:t>
            </w:r>
            <w:r w:rsidR="00E11546" w:rsidRPr="00BC1E6D">
              <w:rPr>
                <w:rFonts w:ascii="Times New Roman" w:eastAsia="Times New Roman" w:hAnsi="Times New Roman" w:cs="Times New Roman"/>
                <w:i/>
                <w:iCs/>
                <w:sz w:val="18"/>
                <w:szCs w:val="18"/>
              </w:rPr>
              <w:t xml:space="preserve"> column</w:t>
            </w:r>
            <w:r w:rsidR="000436CD" w:rsidRPr="00BC1E6D">
              <w:rPr>
                <w:rFonts w:ascii="Times New Roman" w:eastAsia="Times New Roman" w:hAnsi="Times New Roman" w:cs="Times New Roman"/>
                <w:i/>
                <w:iCs/>
                <w:sz w:val="18"/>
                <w:szCs w:val="18"/>
              </w:rPr>
              <w:t xml:space="preserve"> represents one independent</w:t>
            </w:r>
            <w:r w:rsidRPr="00BC1E6D">
              <w:rPr>
                <w:rFonts w:ascii="Times New Roman" w:eastAsia="Times New Roman" w:hAnsi="Times New Roman" w:cs="Times New Roman"/>
                <w:i/>
                <w:iCs/>
                <w:sz w:val="18"/>
                <w:szCs w:val="18"/>
              </w:rPr>
              <w:t xml:space="preserve"> model</w:t>
            </w:r>
            <w:r w:rsidR="000436CD" w:rsidRPr="00BC1E6D">
              <w:rPr>
                <w:rFonts w:ascii="Times New Roman" w:eastAsia="Times New Roman" w:hAnsi="Times New Roman" w:cs="Times New Roman"/>
                <w:i/>
                <w:iCs/>
                <w:sz w:val="18"/>
                <w:szCs w:val="18"/>
              </w:rPr>
              <w:t xml:space="preserve">, which </w:t>
            </w:r>
            <w:r w:rsidRPr="00BC1E6D">
              <w:rPr>
                <w:rFonts w:ascii="Times New Roman" w:eastAsia="Times New Roman" w:hAnsi="Times New Roman" w:cs="Times New Roman"/>
                <w:i/>
                <w:iCs/>
                <w:sz w:val="18"/>
                <w:szCs w:val="18"/>
              </w:rPr>
              <w:t xml:space="preserve">includes all </w:t>
            </w:r>
            <w:r w:rsidR="007E158F" w:rsidRPr="00BC1E6D">
              <w:rPr>
                <w:rFonts w:ascii="Times New Roman" w:eastAsia="Times New Roman" w:hAnsi="Times New Roman" w:cs="Times New Roman"/>
                <w:i/>
                <w:iCs/>
                <w:sz w:val="18"/>
                <w:szCs w:val="18"/>
              </w:rPr>
              <w:t>sector</w:t>
            </w:r>
            <w:r w:rsidRPr="00BC1E6D">
              <w:rPr>
                <w:rFonts w:ascii="Times New Roman" w:eastAsia="Times New Roman" w:hAnsi="Times New Roman" w:cs="Times New Roman"/>
                <w:i/>
                <w:iCs/>
                <w:sz w:val="18"/>
                <w:szCs w:val="18"/>
              </w:rPr>
              <w:t xml:space="preserve"> variables listed</w:t>
            </w:r>
            <w:r w:rsidR="000436CD" w:rsidRPr="00BC1E6D">
              <w:rPr>
                <w:rFonts w:ascii="Times New Roman" w:eastAsia="Times New Roman" w:hAnsi="Times New Roman" w:cs="Times New Roman"/>
                <w:i/>
                <w:iCs/>
                <w:sz w:val="18"/>
                <w:szCs w:val="18"/>
              </w:rPr>
              <w:t xml:space="preserve"> regressed on the sector</w:t>
            </w:r>
          </w:p>
        </w:tc>
        <w:tc>
          <w:tcPr>
            <w:tcW w:w="960" w:type="dxa"/>
            <w:tcBorders>
              <w:top w:val="nil"/>
              <w:left w:val="nil"/>
              <w:bottom w:val="nil"/>
              <w:right w:val="nil"/>
            </w:tcBorders>
            <w:shd w:val="clear" w:color="auto" w:fill="auto"/>
            <w:noWrap/>
            <w:vAlign w:val="bottom"/>
            <w:hideMark/>
          </w:tcPr>
          <w:p w14:paraId="4DB70CCF" w14:textId="77777777" w:rsidR="004830AB" w:rsidRPr="00BC1E6D" w:rsidRDefault="004830AB" w:rsidP="00BD3816">
            <w:pPr>
              <w:spacing w:after="0" w:line="276" w:lineRule="auto"/>
              <w:rPr>
                <w:rFonts w:ascii="Times New Roman" w:eastAsia="Times New Roman" w:hAnsi="Times New Roman" w:cs="Times New Roman"/>
                <w:i/>
                <w:iCs/>
                <w:sz w:val="18"/>
                <w:szCs w:val="18"/>
              </w:rPr>
            </w:pPr>
          </w:p>
        </w:tc>
        <w:tc>
          <w:tcPr>
            <w:tcW w:w="960" w:type="dxa"/>
            <w:tcBorders>
              <w:top w:val="nil"/>
              <w:left w:val="nil"/>
              <w:bottom w:val="nil"/>
              <w:right w:val="nil"/>
            </w:tcBorders>
            <w:shd w:val="clear" w:color="auto" w:fill="auto"/>
            <w:noWrap/>
            <w:vAlign w:val="bottom"/>
            <w:hideMark/>
          </w:tcPr>
          <w:p w14:paraId="02733486"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8B2AB8F"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96C4D3E"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ADC0828"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631CF0F" w14:textId="77777777" w:rsidR="004830AB" w:rsidRPr="00BC1E6D" w:rsidRDefault="004830AB" w:rsidP="00BD3816">
            <w:pPr>
              <w:spacing w:after="0" w:line="276" w:lineRule="auto"/>
              <w:rPr>
                <w:rFonts w:ascii="Times New Roman" w:eastAsia="Times New Roman" w:hAnsi="Times New Roman" w:cs="Times New Roman"/>
                <w:sz w:val="18"/>
                <w:szCs w:val="18"/>
              </w:rPr>
            </w:pPr>
          </w:p>
        </w:tc>
      </w:tr>
      <w:tr w:rsidR="00BC1E6D" w:rsidRPr="00BC1E6D" w14:paraId="1A710717" w14:textId="77777777" w:rsidTr="000F434D">
        <w:trPr>
          <w:gridBefore w:val="1"/>
          <w:wBefore w:w="32" w:type="dxa"/>
          <w:trHeight w:val="300"/>
        </w:trPr>
        <w:tc>
          <w:tcPr>
            <w:tcW w:w="25681" w:type="dxa"/>
            <w:gridSpan w:val="36"/>
            <w:tcBorders>
              <w:top w:val="nil"/>
              <w:left w:val="nil"/>
              <w:bottom w:val="nil"/>
              <w:right w:val="nil"/>
            </w:tcBorders>
            <w:shd w:val="clear" w:color="auto" w:fill="auto"/>
            <w:noWrap/>
            <w:vAlign w:val="bottom"/>
            <w:hideMark/>
          </w:tcPr>
          <w:p w14:paraId="4DB7ACE7" w14:textId="2D036F1E" w:rsidR="004830AB" w:rsidRPr="00BC1E6D" w:rsidRDefault="004830AB" w:rsidP="00BD3816">
            <w:pPr>
              <w:spacing w:after="0" w:line="276" w:lineRule="auto"/>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Note: ** denotes p&lt; 0.05, * denotes p&lt;0.01</w:t>
            </w:r>
            <w:r w:rsidR="0051051C" w:rsidRPr="00BC1E6D">
              <w:rPr>
                <w:rFonts w:ascii="Times New Roman" w:eastAsia="Times New Roman" w:hAnsi="Times New Roman" w:cs="Times New Roman"/>
                <w:i/>
                <w:iCs/>
                <w:sz w:val="18"/>
                <w:szCs w:val="18"/>
              </w:rPr>
              <w:t>, Robust Standard Errors are reported in parentheses</w:t>
            </w:r>
          </w:p>
        </w:tc>
      </w:tr>
      <w:tr w:rsidR="00BC1E6D" w:rsidRPr="00BC1E6D" w14:paraId="75D03C95" w14:textId="77777777" w:rsidTr="000F434D">
        <w:trPr>
          <w:gridBefore w:val="1"/>
          <w:wBefore w:w="32" w:type="dxa"/>
          <w:trHeight w:val="300"/>
        </w:trPr>
        <w:tc>
          <w:tcPr>
            <w:tcW w:w="19921" w:type="dxa"/>
            <w:gridSpan w:val="30"/>
            <w:tcBorders>
              <w:top w:val="nil"/>
              <w:left w:val="nil"/>
              <w:bottom w:val="nil"/>
              <w:right w:val="nil"/>
            </w:tcBorders>
            <w:shd w:val="clear" w:color="auto" w:fill="auto"/>
            <w:noWrap/>
            <w:vAlign w:val="bottom"/>
            <w:hideMark/>
          </w:tcPr>
          <w:p w14:paraId="0B35116E" w14:textId="77777777" w:rsidR="00E562AC" w:rsidRPr="00BC1E6D" w:rsidRDefault="00E562AC" w:rsidP="00BD3816">
            <w:pPr>
              <w:spacing w:after="0" w:line="276" w:lineRule="auto"/>
              <w:rPr>
                <w:rFonts w:ascii="Times New Roman" w:eastAsia="Times New Roman" w:hAnsi="Times New Roman" w:cs="Times New Roman"/>
                <w:i/>
                <w:iCs/>
                <w:sz w:val="18"/>
                <w:szCs w:val="18"/>
              </w:rPr>
            </w:pPr>
          </w:p>
          <w:p w14:paraId="7D29C9C7" w14:textId="5CFE8B2C" w:rsidR="004830AB" w:rsidRPr="00BC1E6D" w:rsidRDefault="004830AB" w:rsidP="00BD3816">
            <w:pPr>
              <w:spacing w:after="0" w:line="276" w:lineRule="auto"/>
              <w:rPr>
                <w:rFonts w:ascii="Times New Roman" w:eastAsia="Times New Roman" w:hAnsi="Times New Roman" w:cs="Times New Roman"/>
                <w:i/>
                <w:iCs/>
                <w:sz w:val="18"/>
                <w:szCs w:val="18"/>
              </w:rPr>
            </w:pPr>
          </w:p>
        </w:tc>
        <w:tc>
          <w:tcPr>
            <w:tcW w:w="960" w:type="dxa"/>
            <w:tcBorders>
              <w:top w:val="nil"/>
              <w:left w:val="nil"/>
              <w:bottom w:val="nil"/>
              <w:right w:val="nil"/>
            </w:tcBorders>
            <w:shd w:val="clear" w:color="auto" w:fill="auto"/>
            <w:noWrap/>
            <w:vAlign w:val="bottom"/>
            <w:hideMark/>
          </w:tcPr>
          <w:p w14:paraId="472EE1FC" w14:textId="77777777" w:rsidR="004830AB" w:rsidRPr="00BC1E6D" w:rsidRDefault="004830AB" w:rsidP="00BD3816">
            <w:pPr>
              <w:spacing w:after="0" w:line="276" w:lineRule="auto"/>
              <w:rPr>
                <w:rFonts w:ascii="Times New Roman" w:eastAsia="Times New Roman" w:hAnsi="Times New Roman" w:cs="Times New Roman"/>
                <w:i/>
                <w:iCs/>
                <w:sz w:val="18"/>
                <w:szCs w:val="18"/>
              </w:rPr>
            </w:pPr>
          </w:p>
        </w:tc>
        <w:tc>
          <w:tcPr>
            <w:tcW w:w="960" w:type="dxa"/>
            <w:tcBorders>
              <w:top w:val="nil"/>
              <w:left w:val="nil"/>
              <w:bottom w:val="nil"/>
              <w:right w:val="nil"/>
            </w:tcBorders>
            <w:shd w:val="clear" w:color="auto" w:fill="auto"/>
            <w:noWrap/>
            <w:vAlign w:val="bottom"/>
            <w:hideMark/>
          </w:tcPr>
          <w:p w14:paraId="6CA062C7"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FFA4B27"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021EF83"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0EE2DFC" w14:textId="77777777" w:rsidR="004830AB" w:rsidRPr="00BC1E6D" w:rsidRDefault="004830AB" w:rsidP="00BD3816">
            <w:pPr>
              <w:spacing w:after="0" w:line="276"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C66FBA1" w14:textId="77777777" w:rsidR="004830AB" w:rsidRPr="00BC1E6D" w:rsidRDefault="004830AB" w:rsidP="00BD3816">
            <w:pPr>
              <w:spacing w:after="0" w:line="276" w:lineRule="auto"/>
              <w:rPr>
                <w:rFonts w:ascii="Times New Roman" w:eastAsia="Times New Roman" w:hAnsi="Times New Roman" w:cs="Times New Roman"/>
                <w:sz w:val="18"/>
                <w:szCs w:val="18"/>
              </w:rPr>
            </w:pPr>
          </w:p>
        </w:tc>
      </w:tr>
    </w:tbl>
    <w:p w14:paraId="10EAB493" w14:textId="0E076A9F" w:rsidR="00486395" w:rsidRPr="00BC1E6D" w:rsidRDefault="00D86D73"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w:t>
      </w:r>
      <w:r w:rsidR="00AA1638" w:rsidRPr="00BC1E6D">
        <w:rPr>
          <w:rFonts w:ascii="Times New Roman" w:eastAsiaTheme="minorEastAsia" w:hAnsi="Times New Roman" w:cs="Times New Roman"/>
          <w:sz w:val="24"/>
          <w:szCs w:val="24"/>
        </w:rPr>
        <w:t>coefficients</w:t>
      </w:r>
      <w:r w:rsidRPr="00BC1E6D">
        <w:rPr>
          <w:rFonts w:ascii="Times New Roman" w:eastAsiaTheme="minorEastAsia" w:hAnsi="Times New Roman" w:cs="Times New Roman"/>
          <w:sz w:val="24"/>
          <w:szCs w:val="24"/>
        </w:rPr>
        <w:t xml:space="preserve"> can be interpreted</w:t>
      </w:r>
      <w:r w:rsidR="00AA1638" w:rsidRPr="00BC1E6D">
        <w:rPr>
          <w:rFonts w:ascii="Times New Roman" w:eastAsiaTheme="minorEastAsia" w:hAnsi="Times New Roman" w:cs="Times New Roman"/>
          <w:sz w:val="24"/>
          <w:szCs w:val="24"/>
        </w:rPr>
        <w:t xml:space="preserve"> as relative changes</w:t>
      </w:r>
      <w:r w:rsidR="00525254" w:rsidRPr="00BC1E6D">
        <w:rPr>
          <w:rFonts w:ascii="Times New Roman" w:eastAsiaTheme="minorEastAsia" w:hAnsi="Times New Roman" w:cs="Times New Roman"/>
          <w:sz w:val="24"/>
          <w:szCs w:val="24"/>
        </w:rPr>
        <w:t>. For instance,</w:t>
      </w:r>
      <w:r w:rsidR="00004E1C" w:rsidRPr="00BC1E6D">
        <w:rPr>
          <w:rFonts w:ascii="Times New Roman" w:eastAsiaTheme="minorEastAsia" w:hAnsi="Times New Roman" w:cs="Times New Roman"/>
          <w:sz w:val="24"/>
          <w:szCs w:val="24"/>
        </w:rPr>
        <w:t xml:space="preserve"> the real estate </w:t>
      </w:r>
      <w:r w:rsidR="00525254" w:rsidRPr="00BC1E6D">
        <w:rPr>
          <w:rFonts w:ascii="Times New Roman" w:eastAsiaTheme="minorEastAsia" w:hAnsi="Times New Roman" w:cs="Times New Roman"/>
          <w:sz w:val="24"/>
          <w:szCs w:val="24"/>
        </w:rPr>
        <w:t xml:space="preserve">coefficients </w:t>
      </w:r>
      <w:r w:rsidR="00004E1C" w:rsidRPr="00BC1E6D">
        <w:rPr>
          <w:rFonts w:ascii="Times New Roman" w:eastAsiaTheme="minorEastAsia" w:hAnsi="Times New Roman" w:cs="Times New Roman"/>
          <w:sz w:val="24"/>
          <w:szCs w:val="24"/>
        </w:rPr>
        <w:t xml:space="preserve"> would</w:t>
      </w:r>
      <w:r w:rsidR="006E09AD" w:rsidRPr="00BC1E6D">
        <w:rPr>
          <w:rFonts w:ascii="Times New Roman" w:eastAsiaTheme="minorEastAsia" w:hAnsi="Times New Roman" w:cs="Times New Roman"/>
          <w:sz w:val="24"/>
          <w:szCs w:val="24"/>
        </w:rPr>
        <w:t xml:space="preserve"> suggest that </w:t>
      </w:r>
      <w:r w:rsidR="00D23A48" w:rsidRPr="00BC1E6D">
        <w:rPr>
          <w:rFonts w:ascii="Times New Roman" w:eastAsiaTheme="minorEastAsia" w:hAnsi="Times New Roman" w:cs="Times New Roman"/>
          <w:sz w:val="24"/>
          <w:szCs w:val="24"/>
        </w:rPr>
        <w:t>a 1 percent change in expected inflation would result in a 1.315 percent change in the returns of real estate stocks</w:t>
      </w:r>
      <w:r w:rsidR="0047675E" w:rsidRPr="00BC1E6D">
        <w:rPr>
          <w:rFonts w:ascii="Times New Roman" w:eastAsiaTheme="minorEastAsia" w:hAnsi="Times New Roman" w:cs="Times New Roman"/>
          <w:sz w:val="24"/>
          <w:szCs w:val="24"/>
        </w:rPr>
        <w:t xml:space="preserve">, and a 1 percent </w:t>
      </w:r>
      <w:r w:rsidR="00CF5B4A" w:rsidRPr="00BC1E6D">
        <w:rPr>
          <w:rFonts w:ascii="Times New Roman" w:eastAsiaTheme="minorEastAsia" w:hAnsi="Times New Roman" w:cs="Times New Roman"/>
          <w:sz w:val="24"/>
          <w:szCs w:val="24"/>
        </w:rPr>
        <w:t>increase</w:t>
      </w:r>
      <w:r w:rsidR="0047675E" w:rsidRPr="00BC1E6D">
        <w:rPr>
          <w:rFonts w:ascii="Times New Roman" w:eastAsiaTheme="minorEastAsia" w:hAnsi="Times New Roman" w:cs="Times New Roman"/>
          <w:sz w:val="24"/>
          <w:szCs w:val="24"/>
        </w:rPr>
        <w:t xml:space="preserve"> in unexpected inflation would result in a 0.</w:t>
      </w:r>
      <w:r w:rsidR="00500026" w:rsidRPr="00BC1E6D">
        <w:rPr>
          <w:rFonts w:ascii="Times New Roman" w:eastAsiaTheme="minorEastAsia" w:hAnsi="Times New Roman" w:cs="Times New Roman"/>
          <w:sz w:val="24"/>
          <w:szCs w:val="24"/>
        </w:rPr>
        <w:t>6% decrease in the returns of real estate stocks</w:t>
      </w:r>
      <w:r w:rsidR="00525254" w:rsidRPr="00BC1E6D">
        <w:rPr>
          <w:rFonts w:ascii="Times New Roman" w:eastAsiaTheme="minorEastAsia" w:hAnsi="Times New Roman" w:cs="Times New Roman"/>
          <w:sz w:val="24"/>
          <w:szCs w:val="24"/>
        </w:rPr>
        <w:t xml:space="preserve">, and none of the other factors are significant. </w:t>
      </w:r>
      <w:r w:rsidR="00771FC2" w:rsidRPr="00BC1E6D">
        <w:rPr>
          <w:rFonts w:ascii="Times New Roman" w:eastAsiaTheme="minorEastAsia" w:hAnsi="Times New Roman" w:cs="Times New Roman"/>
          <w:sz w:val="24"/>
          <w:szCs w:val="24"/>
        </w:rPr>
        <w:t>Summary data for each</w:t>
      </w:r>
      <w:r w:rsidR="00864754" w:rsidRPr="00BC1E6D">
        <w:rPr>
          <w:rFonts w:ascii="Times New Roman" w:eastAsiaTheme="minorEastAsia" w:hAnsi="Times New Roman" w:cs="Times New Roman"/>
          <w:sz w:val="24"/>
          <w:szCs w:val="24"/>
        </w:rPr>
        <w:t xml:space="preserve"> sector’s model</w:t>
      </w:r>
      <w:r w:rsidR="0061696A" w:rsidRPr="00BC1E6D">
        <w:rPr>
          <w:rFonts w:ascii="Times New Roman" w:eastAsiaTheme="minorEastAsia" w:hAnsi="Times New Roman" w:cs="Times New Roman"/>
          <w:sz w:val="24"/>
          <w:szCs w:val="24"/>
        </w:rPr>
        <w:t xml:space="preserve"> are</w:t>
      </w:r>
      <w:r w:rsidR="00072617" w:rsidRPr="00BC1E6D">
        <w:rPr>
          <w:rFonts w:ascii="Times New Roman" w:eastAsiaTheme="minorEastAsia" w:hAnsi="Times New Roman" w:cs="Times New Roman"/>
          <w:sz w:val="24"/>
          <w:szCs w:val="24"/>
        </w:rPr>
        <w:t xml:space="preserve"> shown in table </w:t>
      </w:r>
      <w:r w:rsidR="001C6828" w:rsidRPr="00BC1E6D">
        <w:rPr>
          <w:rFonts w:ascii="Times New Roman" w:eastAsiaTheme="minorEastAsia" w:hAnsi="Times New Roman" w:cs="Times New Roman"/>
          <w:sz w:val="24"/>
          <w:szCs w:val="24"/>
        </w:rPr>
        <w:t>7</w:t>
      </w:r>
      <w:r w:rsidR="00072617" w:rsidRPr="00BC1E6D">
        <w:rPr>
          <w:rFonts w:ascii="Times New Roman" w:eastAsiaTheme="minorEastAsia" w:hAnsi="Times New Roman" w:cs="Times New Roman"/>
          <w:sz w:val="24"/>
          <w:szCs w:val="24"/>
        </w:rPr>
        <w:t xml:space="preserve">. </w:t>
      </w:r>
    </w:p>
    <w:tbl>
      <w:tblPr>
        <w:tblW w:w="22292" w:type="dxa"/>
        <w:tblLayout w:type="fixed"/>
        <w:tblLook w:val="04A0" w:firstRow="1" w:lastRow="0" w:firstColumn="1" w:lastColumn="0" w:noHBand="0" w:noVBand="1"/>
      </w:tblPr>
      <w:tblGrid>
        <w:gridCol w:w="864"/>
        <w:gridCol w:w="864"/>
        <w:gridCol w:w="864"/>
        <w:gridCol w:w="864"/>
        <w:gridCol w:w="864"/>
        <w:gridCol w:w="864"/>
        <w:gridCol w:w="864"/>
        <w:gridCol w:w="864"/>
        <w:gridCol w:w="864"/>
        <w:gridCol w:w="773"/>
        <w:gridCol w:w="91"/>
        <w:gridCol w:w="864"/>
        <w:gridCol w:w="864"/>
        <w:gridCol w:w="827"/>
        <w:gridCol w:w="1246"/>
        <w:gridCol w:w="876"/>
        <w:gridCol w:w="876"/>
        <w:gridCol w:w="756"/>
        <w:gridCol w:w="876"/>
        <w:gridCol w:w="876"/>
        <w:gridCol w:w="876"/>
        <w:gridCol w:w="876"/>
        <w:gridCol w:w="876"/>
        <w:gridCol w:w="1046"/>
        <w:gridCol w:w="236"/>
        <w:gridCol w:w="236"/>
        <w:gridCol w:w="720"/>
        <w:gridCol w:w="725"/>
      </w:tblGrid>
      <w:tr w:rsidR="00BC1E6D" w:rsidRPr="00BC1E6D" w14:paraId="4FB156C2" w14:textId="77777777" w:rsidTr="00B718AD">
        <w:trPr>
          <w:gridAfter w:val="4"/>
          <w:wAfter w:w="1917" w:type="dxa"/>
          <w:trHeight w:val="144"/>
        </w:trPr>
        <w:tc>
          <w:tcPr>
            <w:tcW w:w="8549" w:type="dxa"/>
            <w:gridSpan w:val="10"/>
            <w:tcBorders>
              <w:top w:val="nil"/>
              <w:left w:val="nil"/>
              <w:bottom w:val="nil"/>
              <w:right w:val="nil"/>
            </w:tcBorders>
            <w:shd w:val="clear" w:color="auto" w:fill="auto"/>
            <w:noWrap/>
            <w:vAlign w:val="bottom"/>
            <w:hideMark/>
          </w:tcPr>
          <w:p w14:paraId="6B027763" w14:textId="77777777" w:rsidR="00EA5C68" w:rsidRPr="00BC1E6D" w:rsidRDefault="00EA5C68" w:rsidP="00BD3816">
            <w:pPr>
              <w:spacing w:after="0" w:line="276" w:lineRule="auto"/>
              <w:rPr>
                <w:rFonts w:ascii="Times New Roman" w:eastAsia="Times New Roman" w:hAnsi="Times New Roman" w:cs="Times New Roman"/>
                <w:b/>
                <w:bCs/>
                <w:sz w:val="18"/>
                <w:szCs w:val="18"/>
              </w:rPr>
            </w:pPr>
          </w:p>
          <w:p w14:paraId="3A486740" w14:textId="7A0591F6" w:rsidR="00486395" w:rsidRPr="00BC1E6D" w:rsidRDefault="00486395" w:rsidP="00BD3816">
            <w:pPr>
              <w:spacing w:after="0" w:line="276" w:lineRule="auto"/>
              <w:rPr>
                <w:rFonts w:ascii="Times New Roman" w:eastAsia="Times New Roman" w:hAnsi="Times New Roman" w:cs="Times New Roman"/>
                <w:b/>
                <w:bCs/>
                <w:sz w:val="18"/>
                <w:szCs w:val="18"/>
              </w:rPr>
            </w:pPr>
            <w:r w:rsidRPr="00BC1E6D">
              <w:rPr>
                <w:rFonts w:ascii="Times New Roman" w:eastAsia="Times New Roman" w:hAnsi="Times New Roman" w:cs="Times New Roman"/>
                <w:b/>
                <w:bCs/>
                <w:sz w:val="18"/>
                <w:szCs w:val="18"/>
              </w:rPr>
              <w:t xml:space="preserve">Table </w:t>
            </w:r>
            <w:r w:rsidR="001C6828" w:rsidRPr="00BC1E6D">
              <w:rPr>
                <w:rFonts w:ascii="Times New Roman" w:eastAsia="Times New Roman" w:hAnsi="Times New Roman" w:cs="Times New Roman"/>
                <w:b/>
                <w:bCs/>
                <w:sz w:val="18"/>
                <w:szCs w:val="18"/>
              </w:rPr>
              <w:t>7</w:t>
            </w:r>
          </w:p>
        </w:tc>
        <w:tc>
          <w:tcPr>
            <w:tcW w:w="2646" w:type="dxa"/>
            <w:gridSpan w:val="4"/>
            <w:tcBorders>
              <w:top w:val="nil"/>
              <w:left w:val="nil"/>
              <w:bottom w:val="nil"/>
              <w:right w:val="nil"/>
            </w:tcBorders>
            <w:shd w:val="clear" w:color="auto" w:fill="auto"/>
            <w:noWrap/>
            <w:vAlign w:val="bottom"/>
            <w:hideMark/>
          </w:tcPr>
          <w:p w14:paraId="06ADC8E9" w14:textId="77777777" w:rsidR="00486395" w:rsidRPr="00BC1E6D" w:rsidRDefault="00486395" w:rsidP="00BD3816">
            <w:pPr>
              <w:spacing w:after="0" w:line="276" w:lineRule="auto"/>
              <w:rPr>
                <w:rFonts w:ascii="Times New Roman" w:eastAsia="Times New Roman" w:hAnsi="Times New Roman" w:cs="Times New Roman"/>
                <w:b/>
                <w:bCs/>
                <w:sz w:val="18"/>
                <w:szCs w:val="18"/>
              </w:rPr>
            </w:pPr>
          </w:p>
        </w:tc>
        <w:tc>
          <w:tcPr>
            <w:tcW w:w="1246" w:type="dxa"/>
            <w:tcBorders>
              <w:top w:val="nil"/>
              <w:left w:val="nil"/>
              <w:bottom w:val="nil"/>
              <w:right w:val="nil"/>
            </w:tcBorders>
            <w:shd w:val="clear" w:color="auto" w:fill="auto"/>
            <w:noWrap/>
            <w:vAlign w:val="bottom"/>
            <w:hideMark/>
          </w:tcPr>
          <w:p w14:paraId="54015122"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519271EC"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7A294C23"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756" w:type="dxa"/>
            <w:tcBorders>
              <w:top w:val="nil"/>
              <w:left w:val="nil"/>
              <w:bottom w:val="nil"/>
              <w:right w:val="nil"/>
            </w:tcBorders>
            <w:shd w:val="clear" w:color="auto" w:fill="auto"/>
            <w:noWrap/>
            <w:vAlign w:val="bottom"/>
            <w:hideMark/>
          </w:tcPr>
          <w:p w14:paraId="1D5AE004"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4250B253"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2CD5EED3"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2637D1DF"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467B1AD9"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876" w:type="dxa"/>
            <w:tcBorders>
              <w:top w:val="nil"/>
              <w:left w:val="nil"/>
              <w:bottom w:val="nil"/>
              <w:right w:val="nil"/>
            </w:tcBorders>
            <w:shd w:val="clear" w:color="auto" w:fill="auto"/>
            <w:noWrap/>
            <w:vAlign w:val="bottom"/>
            <w:hideMark/>
          </w:tcPr>
          <w:p w14:paraId="7BC1D191"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1046" w:type="dxa"/>
            <w:tcBorders>
              <w:top w:val="nil"/>
              <w:left w:val="nil"/>
              <w:bottom w:val="nil"/>
              <w:right w:val="nil"/>
            </w:tcBorders>
            <w:shd w:val="clear" w:color="auto" w:fill="auto"/>
            <w:noWrap/>
            <w:vAlign w:val="bottom"/>
            <w:hideMark/>
          </w:tcPr>
          <w:p w14:paraId="5591A69A" w14:textId="77777777" w:rsidR="00486395" w:rsidRPr="00BC1E6D" w:rsidRDefault="00486395" w:rsidP="00BD3816">
            <w:pPr>
              <w:spacing w:after="0" w:line="276" w:lineRule="auto"/>
              <w:rPr>
                <w:rFonts w:ascii="Times New Roman" w:eastAsia="Times New Roman" w:hAnsi="Times New Roman" w:cs="Times New Roman"/>
                <w:sz w:val="18"/>
                <w:szCs w:val="18"/>
              </w:rPr>
            </w:pPr>
          </w:p>
        </w:tc>
      </w:tr>
      <w:tr w:rsidR="00BC1E6D" w:rsidRPr="00BC1E6D" w14:paraId="4550667B" w14:textId="77777777" w:rsidTr="00B718AD">
        <w:trPr>
          <w:trHeight w:val="144"/>
        </w:trPr>
        <w:tc>
          <w:tcPr>
            <w:tcW w:w="20375" w:type="dxa"/>
            <w:gridSpan w:val="24"/>
            <w:tcBorders>
              <w:top w:val="nil"/>
              <w:left w:val="nil"/>
              <w:bottom w:val="nil"/>
              <w:right w:val="nil"/>
            </w:tcBorders>
            <w:shd w:val="clear" w:color="auto" w:fill="auto"/>
            <w:noWrap/>
            <w:vAlign w:val="bottom"/>
            <w:hideMark/>
          </w:tcPr>
          <w:p w14:paraId="615A3122" w14:textId="204AEEC8" w:rsidR="00486395" w:rsidRPr="00BC1E6D" w:rsidRDefault="00486395" w:rsidP="00BD3816">
            <w:pPr>
              <w:spacing w:after="0" w:line="276" w:lineRule="auto"/>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 xml:space="preserve">Selected Statistics from Regressions of </w:t>
            </w:r>
            <w:r w:rsidR="004F1361">
              <w:rPr>
                <w:rFonts w:ascii="Times New Roman" w:eastAsia="Times New Roman" w:hAnsi="Times New Roman" w:cs="Times New Roman"/>
                <w:i/>
                <w:iCs/>
                <w:sz w:val="18"/>
                <w:szCs w:val="18"/>
              </w:rPr>
              <w:t>Macroeconomic</w:t>
            </w:r>
            <w:r w:rsidRPr="00BC1E6D">
              <w:rPr>
                <w:rFonts w:ascii="Times New Roman" w:eastAsia="Times New Roman" w:hAnsi="Times New Roman" w:cs="Times New Roman"/>
                <w:i/>
                <w:iCs/>
                <w:sz w:val="18"/>
                <w:szCs w:val="18"/>
              </w:rPr>
              <w:t xml:space="preserve"> Variables on Each Investment Sector </w:t>
            </w:r>
          </w:p>
        </w:tc>
        <w:tc>
          <w:tcPr>
            <w:tcW w:w="236" w:type="dxa"/>
            <w:tcBorders>
              <w:top w:val="nil"/>
              <w:left w:val="nil"/>
              <w:bottom w:val="nil"/>
              <w:right w:val="nil"/>
            </w:tcBorders>
            <w:shd w:val="clear" w:color="auto" w:fill="auto"/>
            <w:noWrap/>
            <w:vAlign w:val="bottom"/>
            <w:hideMark/>
          </w:tcPr>
          <w:p w14:paraId="5C1BCB54" w14:textId="77777777" w:rsidR="00486395" w:rsidRPr="00BC1E6D" w:rsidRDefault="00486395" w:rsidP="00BD3816">
            <w:pPr>
              <w:spacing w:after="0" w:line="276" w:lineRule="auto"/>
              <w:rPr>
                <w:rFonts w:ascii="Times New Roman" w:eastAsia="Times New Roman" w:hAnsi="Times New Roman" w:cs="Times New Roman"/>
                <w:i/>
                <w:iCs/>
                <w:sz w:val="18"/>
                <w:szCs w:val="18"/>
              </w:rPr>
            </w:pPr>
          </w:p>
        </w:tc>
        <w:tc>
          <w:tcPr>
            <w:tcW w:w="236" w:type="dxa"/>
            <w:tcBorders>
              <w:top w:val="nil"/>
              <w:left w:val="nil"/>
              <w:bottom w:val="nil"/>
              <w:right w:val="nil"/>
            </w:tcBorders>
            <w:shd w:val="clear" w:color="auto" w:fill="auto"/>
            <w:noWrap/>
            <w:vAlign w:val="bottom"/>
            <w:hideMark/>
          </w:tcPr>
          <w:p w14:paraId="31543786"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720" w:type="dxa"/>
            <w:tcBorders>
              <w:top w:val="nil"/>
              <w:left w:val="nil"/>
              <w:bottom w:val="nil"/>
              <w:right w:val="nil"/>
            </w:tcBorders>
            <w:shd w:val="clear" w:color="auto" w:fill="auto"/>
            <w:noWrap/>
            <w:vAlign w:val="bottom"/>
            <w:hideMark/>
          </w:tcPr>
          <w:p w14:paraId="06E2D9A3" w14:textId="77777777" w:rsidR="00486395" w:rsidRPr="00BC1E6D" w:rsidRDefault="00486395" w:rsidP="00BD3816">
            <w:pPr>
              <w:spacing w:after="0" w:line="276" w:lineRule="auto"/>
              <w:rPr>
                <w:rFonts w:ascii="Times New Roman" w:eastAsia="Times New Roman" w:hAnsi="Times New Roman" w:cs="Times New Roman"/>
                <w:sz w:val="18"/>
                <w:szCs w:val="18"/>
              </w:rPr>
            </w:pPr>
          </w:p>
        </w:tc>
        <w:tc>
          <w:tcPr>
            <w:tcW w:w="725" w:type="dxa"/>
            <w:tcBorders>
              <w:top w:val="nil"/>
              <w:left w:val="nil"/>
              <w:bottom w:val="nil"/>
              <w:right w:val="nil"/>
            </w:tcBorders>
            <w:shd w:val="clear" w:color="auto" w:fill="auto"/>
            <w:noWrap/>
            <w:vAlign w:val="bottom"/>
            <w:hideMark/>
          </w:tcPr>
          <w:p w14:paraId="47C40068" w14:textId="77777777" w:rsidR="00486395" w:rsidRPr="00BC1E6D" w:rsidRDefault="00486395" w:rsidP="00BD3816">
            <w:pPr>
              <w:spacing w:after="0" w:line="276" w:lineRule="auto"/>
              <w:rPr>
                <w:rFonts w:ascii="Times New Roman" w:eastAsia="Times New Roman" w:hAnsi="Times New Roman" w:cs="Times New Roman"/>
                <w:sz w:val="18"/>
                <w:szCs w:val="18"/>
              </w:rPr>
            </w:pPr>
          </w:p>
        </w:tc>
      </w:tr>
      <w:tr w:rsidR="00BC1E6D" w:rsidRPr="00BC1E6D" w14:paraId="759AB870" w14:textId="77777777" w:rsidTr="00B718AD">
        <w:trPr>
          <w:gridAfter w:val="15"/>
          <w:wAfter w:w="11924" w:type="dxa"/>
          <w:trHeight w:val="144"/>
        </w:trPr>
        <w:tc>
          <w:tcPr>
            <w:tcW w:w="864" w:type="dxa"/>
            <w:tcBorders>
              <w:top w:val="single" w:sz="4" w:space="0" w:color="auto"/>
              <w:left w:val="nil"/>
              <w:bottom w:val="single" w:sz="4" w:space="0" w:color="auto"/>
              <w:right w:val="nil"/>
            </w:tcBorders>
            <w:shd w:val="clear" w:color="auto" w:fill="auto"/>
            <w:noWrap/>
            <w:vAlign w:val="bottom"/>
            <w:hideMark/>
          </w:tcPr>
          <w:p w14:paraId="38784836" w14:textId="77777777" w:rsidR="00486395" w:rsidRPr="00BC1E6D" w:rsidRDefault="00486395" w:rsidP="00BD3816">
            <w:pPr>
              <w:spacing w:after="0" w:line="276" w:lineRule="auto"/>
              <w:jc w:val="center"/>
              <w:rPr>
                <w:rFonts w:ascii="Times New Roman" w:eastAsia="Times New Roman" w:hAnsi="Times New Roman" w:cs="Times New Roman"/>
                <w:i/>
                <w:iCs/>
                <w:sz w:val="18"/>
                <w:szCs w:val="18"/>
              </w:rPr>
            </w:pPr>
            <w:r w:rsidRPr="00BC1E6D">
              <w:rPr>
                <w:rFonts w:ascii="Times New Roman" w:eastAsia="Times New Roman" w:hAnsi="Times New Roman" w:cs="Times New Roman"/>
                <w:i/>
                <w:iCs/>
                <w:sz w:val="18"/>
                <w:szCs w:val="18"/>
              </w:rPr>
              <w:t>Statistic</w:t>
            </w:r>
          </w:p>
        </w:tc>
        <w:tc>
          <w:tcPr>
            <w:tcW w:w="864" w:type="dxa"/>
            <w:tcBorders>
              <w:top w:val="single" w:sz="4" w:space="0" w:color="auto"/>
              <w:left w:val="single" w:sz="4" w:space="0" w:color="auto"/>
              <w:bottom w:val="single" w:sz="4" w:space="0" w:color="auto"/>
              <w:right w:val="nil"/>
            </w:tcBorders>
            <w:shd w:val="clear" w:color="000000" w:fill="FFFFFF"/>
            <w:noWrap/>
            <w:vAlign w:val="center"/>
            <w:hideMark/>
          </w:tcPr>
          <w:p w14:paraId="79771D0D"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IT</w:t>
            </w:r>
          </w:p>
        </w:tc>
        <w:tc>
          <w:tcPr>
            <w:tcW w:w="864" w:type="dxa"/>
            <w:tcBorders>
              <w:top w:val="single" w:sz="4" w:space="0" w:color="auto"/>
              <w:left w:val="nil"/>
              <w:bottom w:val="single" w:sz="4" w:space="0" w:color="auto"/>
              <w:right w:val="nil"/>
            </w:tcBorders>
            <w:shd w:val="clear" w:color="000000" w:fill="FFFFFF"/>
            <w:noWrap/>
            <w:vAlign w:val="center"/>
            <w:hideMark/>
          </w:tcPr>
          <w:p w14:paraId="69A268F7"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CD</w:t>
            </w:r>
          </w:p>
        </w:tc>
        <w:tc>
          <w:tcPr>
            <w:tcW w:w="864" w:type="dxa"/>
            <w:tcBorders>
              <w:top w:val="single" w:sz="4" w:space="0" w:color="auto"/>
              <w:left w:val="nil"/>
              <w:bottom w:val="single" w:sz="4" w:space="0" w:color="auto"/>
              <w:right w:val="nil"/>
            </w:tcBorders>
            <w:shd w:val="clear" w:color="000000" w:fill="FFFFFF"/>
            <w:noWrap/>
            <w:vAlign w:val="center"/>
            <w:hideMark/>
          </w:tcPr>
          <w:p w14:paraId="16A1C5A4"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Com</w:t>
            </w:r>
          </w:p>
        </w:tc>
        <w:tc>
          <w:tcPr>
            <w:tcW w:w="864" w:type="dxa"/>
            <w:tcBorders>
              <w:top w:val="single" w:sz="4" w:space="0" w:color="auto"/>
              <w:left w:val="nil"/>
              <w:bottom w:val="single" w:sz="4" w:space="0" w:color="auto"/>
              <w:right w:val="nil"/>
            </w:tcBorders>
            <w:shd w:val="clear" w:color="000000" w:fill="FFFFFF"/>
            <w:noWrap/>
            <w:vAlign w:val="center"/>
            <w:hideMark/>
          </w:tcPr>
          <w:p w14:paraId="5727EC5C"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Fin</w:t>
            </w:r>
          </w:p>
        </w:tc>
        <w:tc>
          <w:tcPr>
            <w:tcW w:w="864" w:type="dxa"/>
            <w:tcBorders>
              <w:top w:val="single" w:sz="4" w:space="0" w:color="auto"/>
              <w:left w:val="nil"/>
              <w:bottom w:val="single" w:sz="4" w:space="0" w:color="auto"/>
              <w:right w:val="nil"/>
            </w:tcBorders>
            <w:shd w:val="clear" w:color="000000" w:fill="FFFFFF"/>
            <w:noWrap/>
            <w:vAlign w:val="center"/>
            <w:hideMark/>
          </w:tcPr>
          <w:p w14:paraId="31A35FB6"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HC</w:t>
            </w:r>
          </w:p>
        </w:tc>
        <w:tc>
          <w:tcPr>
            <w:tcW w:w="864" w:type="dxa"/>
            <w:tcBorders>
              <w:top w:val="single" w:sz="4" w:space="0" w:color="auto"/>
              <w:left w:val="nil"/>
              <w:bottom w:val="single" w:sz="4" w:space="0" w:color="auto"/>
              <w:right w:val="nil"/>
            </w:tcBorders>
            <w:shd w:val="clear" w:color="000000" w:fill="FFFFFF"/>
            <w:noWrap/>
            <w:vAlign w:val="center"/>
            <w:hideMark/>
          </w:tcPr>
          <w:p w14:paraId="639B9E3C"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E</w:t>
            </w:r>
          </w:p>
        </w:tc>
        <w:tc>
          <w:tcPr>
            <w:tcW w:w="864" w:type="dxa"/>
            <w:tcBorders>
              <w:top w:val="single" w:sz="4" w:space="0" w:color="auto"/>
              <w:left w:val="nil"/>
              <w:bottom w:val="single" w:sz="4" w:space="0" w:color="auto"/>
              <w:right w:val="nil"/>
            </w:tcBorders>
            <w:shd w:val="clear" w:color="000000" w:fill="FFFFFF"/>
            <w:noWrap/>
            <w:vAlign w:val="center"/>
            <w:hideMark/>
          </w:tcPr>
          <w:p w14:paraId="64124AD2"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CS</w:t>
            </w:r>
          </w:p>
        </w:tc>
        <w:tc>
          <w:tcPr>
            <w:tcW w:w="864" w:type="dxa"/>
            <w:tcBorders>
              <w:top w:val="single" w:sz="4" w:space="0" w:color="auto"/>
              <w:left w:val="nil"/>
              <w:bottom w:val="single" w:sz="4" w:space="0" w:color="auto"/>
              <w:right w:val="nil"/>
            </w:tcBorders>
            <w:shd w:val="clear" w:color="000000" w:fill="FFFFFF"/>
            <w:noWrap/>
            <w:vAlign w:val="center"/>
            <w:hideMark/>
          </w:tcPr>
          <w:p w14:paraId="2CCD5120"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U</w:t>
            </w:r>
          </w:p>
        </w:tc>
        <w:tc>
          <w:tcPr>
            <w:tcW w:w="864" w:type="dxa"/>
            <w:gridSpan w:val="2"/>
            <w:tcBorders>
              <w:top w:val="single" w:sz="4" w:space="0" w:color="auto"/>
              <w:left w:val="nil"/>
              <w:bottom w:val="single" w:sz="4" w:space="0" w:color="auto"/>
              <w:right w:val="nil"/>
            </w:tcBorders>
            <w:shd w:val="clear" w:color="000000" w:fill="FFFFFF"/>
            <w:noWrap/>
            <w:vAlign w:val="center"/>
            <w:hideMark/>
          </w:tcPr>
          <w:p w14:paraId="5BAE159C"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Ind</w:t>
            </w:r>
          </w:p>
        </w:tc>
        <w:tc>
          <w:tcPr>
            <w:tcW w:w="864" w:type="dxa"/>
            <w:tcBorders>
              <w:top w:val="single" w:sz="4" w:space="0" w:color="auto"/>
              <w:left w:val="nil"/>
              <w:bottom w:val="single" w:sz="4" w:space="0" w:color="auto"/>
              <w:right w:val="nil"/>
            </w:tcBorders>
            <w:shd w:val="clear" w:color="000000" w:fill="FFFFFF"/>
            <w:noWrap/>
            <w:vAlign w:val="center"/>
            <w:hideMark/>
          </w:tcPr>
          <w:p w14:paraId="407FEB79"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Mat</w:t>
            </w:r>
          </w:p>
        </w:tc>
        <w:tc>
          <w:tcPr>
            <w:tcW w:w="864" w:type="dxa"/>
            <w:tcBorders>
              <w:top w:val="single" w:sz="4" w:space="0" w:color="auto"/>
              <w:left w:val="nil"/>
              <w:bottom w:val="single" w:sz="4" w:space="0" w:color="auto"/>
              <w:right w:val="nil"/>
            </w:tcBorders>
            <w:shd w:val="clear" w:color="000000" w:fill="FFFFFF"/>
            <w:noWrap/>
            <w:vAlign w:val="center"/>
            <w:hideMark/>
          </w:tcPr>
          <w:p w14:paraId="067946B8"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RE</w:t>
            </w:r>
          </w:p>
        </w:tc>
      </w:tr>
      <w:tr w:rsidR="00BC1E6D" w:rsidRPr="00BC1E6D" w14:paraId="795C1467" w14:textId="77777777" w:rsidTr="00B718AD">
        <w:trPr>
          <w:gridAfter w:val="15"/>
          <w:wAfter w:w="11924" w:type="dxa"/>
          <w:trHeight w:val="144"/>
        </w:trPr>
        <w:tc>
          <w:tcPr>
            <w:tcW w:w="864" w:type="dxa"/>
            <w:tcBorders>
              <w:top w:val="nil"/>
              <w:left w:val="nil"/>
              <w:bottom w:val="nil"/>
              <w:right w:val="nil"/>
            </w:tcBorders>
            <w:shd w:val="clear" w:color="auto" w:fill="auto"/>
            <w:noWrap/>
            <w:hideMark/>
          </w:tcPr>
          <w:p w14:paraId="4BA29859" w14:textId="54449EE9"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R</w:t>
            </w:r>
            <w:r w:rsidR="008B3339" w:rsidRPr="00BC1E6D">
              <w:rPr>
                <w:rFonts w:ascii="Times New Roman" w:eastAsia="Times New Roman" w:hAnsi="Times New Roman" w:cs="Times New Roman"/>
                <w:b/>
                <w:bCs/>
                <w:i/>
                <w:iCs/>
                <w:sz w:val="18"/>
                <w:szCs w:val="18"/>
              </w:rPr>
              <w:t>^2</w:t>
            </w:r>
          </w:p>
        </w:tc>
        <w:tc>
          <w:tcPr>
            <w:tcW w:w="864" w:type="dxa"/>
            <w:tcBorders>
              <w:top w:val="nil"/>
              <w:left w:val="nil"/>
              <w:bottom w:val="nil"/>
              <w:right w:val="nil"/>
            </w:tcBorders>
            <w:shd w:val="clear" w:color="auto" w:fill="auto"/>
            <w:noWrap/>
            <w:vAlign w:val="bottom"/>
            <w:hideMark/>
          </w:tcPr>
          <w:p w14:paraId="37BB6B52"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0.702</w:t>
            </w:r>
          </w:p>
        </w:tc>
        <w:tc>
          <w:tcPr>
            <w:tcW w:w="864" w:type="dxa"/>
            <w:tcBorders>
              <w:top w:val="nil"/>
              <w:left w:val="nil"/>
              <w:bottom w:val="nil"/>
              <w:right w:val="nil"/>
            </w:tcBorders>
            <w:shd w:val="clear" w:color="auto" w:fill="auto"/>
            <w:noWrap/>
            <w:vAlign w:val="bottom"/>
            <w:hideMark/>
          </w:tcPr>
          <w:p w14:paraId="2C10EC3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0.679</w:t>
            </w:r>
          </w:p>
        </w:tc>
        <w:tc>
          <w:tcPr>
            <w:tcW w:w="864" w:type="dxa"/>
            <w:tcBorders>
              <w:top w:val="nil"/>
              <w:left w:val="nil"/>
              <w:bottom w:val="nil"/>
              <w:right w:val="nil"/>
            </w:tcBorders>
            <w:shd w:val="clear" w:color="auto" w:fill="auto"/>
            <w:noWrap/>
            <w:vAlign w:val="bottom"/>
            <w:hideMark/>
          </w:tcPr>
          <w:p w14:paraId="204332D5"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0.734</w:t>
            </w:r>
          </w:p>
        </w:tc>
        <w:tc>
          <w:tcPr>
            <w:tcW w:w="864" w:type="dxa"/>
            <w:tcBorders>
              <w:top w:val="nil"/>
              <w:left w:val="nil"/>
              <w:bottom w:val="nil"/>
              <w:right w:val="nil"/>
            </w:tcBorders>
            <w:shd w:val="clear" w:color="auto" w:fill="auto"/>
            <w:noWrap/>
            <w:vAlign w:val="bottom"/>
            <w:hideMark/>
          </w:tcPr>
          <w:p w14:paraId="4D01CCF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0.77</w:t>
            </w:r>
          </w:p>
        </w:tc>
        <w:tc>
          <w:tcPr>
            <w:tcW w:w="864" w:type="dxa"/>
            <w:tcBorders>
              <w:top w:val="nil"/>
              <w:left w:val="nil"/>
              <w:bottom w:val="nil"/>
              <w:right w:val="nil"/>
            </w:tcBorders>
            <w:shd w:val="clear" w:color="auto" w:fill="auto"/>
            <w:noWrap/>
            <w:vAlign w:val="bottom"/>
            <w:hideMark/>
          </w:tcPr>
          <w:p w14:paraId="5921641E"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0.708</w:t>
            </w:r>
          </w:p>
        </w:tc>
        <w:tc>
          <w:tcPr>
            <w:tcW w:w="864" w:type="dxa"/>
            <w:tcBorders>
              <w:top w:val="nil"/>
              <w:left w:val="nil"/>
              <w:bottom w:val="nil"/>
              <w:right w:val="nil"/>
            </w:tcBorders>
            <w:shd w:val="clear" w:color="auto" w:fill="auto"/>
            <w:noWrap/>
            <w:vAlign w:val="bottom"/>
            <w:hideMark/>
          </w:tcPr>
          <w:p w14:paraId="710AAFCF"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0.733</w:t>
            </w:r>
          </w:p>
        </w:tc>
        <w:tc>
          <w:tcPr>
            <w:tcW w:w="864" w:type="dxa"/>
            <w:tcBorders>
              <w:top w:val="nil"/>
              <w:left w:val="nil"/>
              <w:bottom w:val="nil"/>
              <w:right w:val="nil"/>
            </w:tcBorders>
            <w:shd w:val="clear" w:color="auto" w:fill="auto"/>
            <w:noWrap/>
            <w:vAlign w:val="bottom"/>
            <w:hideMark/>
          </w:tcPr>
          <w:p w14:paraId="42077B08"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0.594</w:t>
            </w:r>
          </w:p>
        </w:tc>
        <w:tc>
          <w:tcPr>
            <w:tcW w:w="864" w:type="dxa"/>
            <w:tcBorders>
              <w:top w:val="nil"/>
              <w:left w:val="nil"/>
              <w:bottom w:val="nil"/>
              <w:right w:val="nil"/>
            </w:tcBorders>
            <w:shd w:val="clear" w:color="auto" w:fill="auto"/>
            <w:noWrap/>
            <w:vAlign w:val="bottom"/>
            <w:hideMark/>
          </w:tcPr>
          <w:p w14:paraId="3407ABD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0.44</w:t>
            </w:r>
          </w:p>
        </w:tc>
        <w:tc>
          <w:tcPr>
            <w:tcW w:w="864" w:type="dxa"/>
            <w:gridSpan w:val="2"/>
            <w:tcBorders>
              <w:top w:val="nil"/>
              <w:left w:val="nil"/>
              <w:bottom w:val="nil"/>
              <w:right w:val="nil"/>
            </w:tcBorders>
            <w:shd w:val="clear" w:color="auto" w:fill="auto"/>
            <w:noWrap/>
            <w:vAlign w:val="bottom"/>
            <w:hideMark/>
          </w:tcPr>
          <w:p w14:paraId="2558FB7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0.79</w:t>
            </w:r>
          </w:p>
        </w:tc>
        <w:tc>
          <w:tcPr>
            <w:tcW w:w="864" w:type="dxa"/>
            <w:tcBorders>
              <w:top w:val="nil"/>
              <w:left w:val="nil"/>
              <w:bottom w:val="nil"/>
              <w:right w:val="nil"/>
            </w:tcBorders>
            <w:shd w:val="clear" w:color="auto" w:fill="auto"/>
            <w:noWrap/>
            <w:vAlign w:val="bottom"/>
            <w:hideMark/>
          </w:tcPr>
          <w:p w14:paraId="61B4480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0.735</w:t>
            </w:r>
          </w:p>
        </w:tc>
        <w:tc>
          <w:tcPr>
            <w:tcW w:w="864" w:type="dxa"/>
            <w:tcBorders>
              <w:top w:val="nil"/>
              <w:left w:val="nil"/>
              <w:bottom w:val="nil"/>
              <w:right w:val="nil"/>
            </w:tcBorders>
            <w:shd w:val="clear" w:color="auto" w:fill="auto"/>
            <w:noWrap/>
            <w:vAlign w:val="bottom"/>
            <w:hideMark/>
          </w:tcPr>
          <w:p w14:paraId="5C3BB358"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0.678</w:t>
            </w:r>
          </w:p>
        </w:tc>
      </w:tr>
      <w:tr w:rsidR="00BC1E6D" w:rsidRPr="00BC1E6D" w14:paraId="67CBA4E3" w14:textId="77777777" w:rsidTr="00B718AD">
        <w:trPr>
          <w:gridAfter w:val="15"/>
          <w:wAfter w:w="11924" w:type="dxa"/>
          <w:trHeight w:val="144"/>
        </w:trPr>
        <w:tc>
          <w:tcPr>
            <w:tcW w:w="864" w:type="dxa"/>
            <w:tcBorders>
              <w:top w:val="nil"/>
              <w:left w:val="nil"/>
              <w:bottom w:val="nil"/>
              <w:right w:val="nil"/>
            </w:tcBorders>
            <w:shd w:val="clear" w:color="auto" w:fill="auto"/>
            <w:noWrap/>
            <w:hideMark/>
          </w:tcPr>
          <w:p w14:paraId="5C87A0A9" w14:textId="1AACECBF"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A</w:t>
            </w:r>
            <w:r w:rsidR="008B3339" w:rsidRPr="00BC1E6D">
              <w:rPr>
                <w:rFonts w:ascii="Times New Roman" w:eastAsia="Times New Roman" w:hAnsi="Times New Roman" w:cs="Times New Roman"/>
                <w:b/>
                <w:bCs/>
                <w:i/>
                <w:iCs/>
                <w:sz w:val="18"/>
                <w:szCs w:val="18"/>
              </w:rPr>
              <w:t>d</w:t>
            </w:r>
            <w:r w:rsidRPr="00BC1E6D">
              <w:rPr>
                <w:rFonts w:ascii="Times New Roman" w:eastAsia="Times New Roman" w:hAnsi="Times New Roman" w:cs="Times New Roman"/>
                <w:b/>
                <w:bCs/>
                <w:i/>
                <w:iCs/>
                <w:sz w:val="18"/>
                <w:szCs w:val="18"/>
              </w:rPr>
              <w:t xml:space="preserve"> R</w:t>
            </w:r>
            <w:r w:rsidR="008B3339" w:rsidRPr="00BC1E6D">
              <w:rPr>
                <w:rFonts w:ascii="Times New Roman" w:eastAsia="Times New Roman" w:hAnsi="Times New Roman" w:cs="Times New Roman"/>
                <w:b/>
                <w:bCs/>
                <w:i/>
                <w:iCs/>
                <w:sz w:val="18"/>
                <w:szCs w:val="18"/>
              </w:rPr>
              <w:t>^2</w:t>
            </w:r>
          </w:p>
        </w:tc>
        <w:tc>
          <w:tcPr>
            <w:tcW w:w="864" w:type="dxa"/>
            <w:tcBorders>
              <w:top w:val="nil"/>
              <w:left w:val="nil"/>
              <w:bottom w:val="nil"/>
              <w:right w:val="nil"/>
            </w:tcBorders>
            <w:shd w:val="clear" w:color="auto" w:fill="auto"/>
            <w:noWrap/>
            <w:vAlign w:val="bottom"/>
            <w:hideMark/>
          </w:tcPr>
          <w:p w14:paraId="5A2B6D4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0.687</w:t>
            </w:r>
          </w:p>
        </w:tc>
        <w:tc>
          <w:tcPr>
            <w:tcW w:w="864" w:type="dxa"/>
            <w:tcBorders>
              <w:top w:val="nil"/>
              <w:left w:val="nil"/>
              <w:bottom w:val="nil"/>
              <w:right w:val="nil"/>
            </w:tcBorders>
            <w:shd w:val="clear" w:color="auto" w:fill="auto"/>
            <w:noWrap/>
            <w:vAlign w:val="bottom"/>
            <w:hideMark/>
          </w:tcPr>
          <w:p w14:paraId="4F0D111E"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0.663</w:t>
            </w:r>
          </w:p>
        </w:tc>
        <w:tc>
          <w:tcPr>
            <w:tcW w:w="864" w:type="dxa"/>
            <w:tcBorders>
              <w:top w:val="nil"/>
              <w:left w:val="nil"/>
              <w:bottom w:val="nil"/>
              <w:right w:val="nil"/>
            </w:tcBorders>
            <w:shd w:val="clear" w:color="auto" w:fill="auto"/>
            <w:noWrap/>
            <w:vAlign w:val="bottom"/>
            <w:hideMark/>
          </w:tcPr>
          <w:p w14:paraId="43568630"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0.721</w:t>
            </w:r>
          </w:p>
        </w:tc>
        <w:tc>
          <w:tcPr>
            <w:tcW w:w="864" w:type="dxa"/>
            <w:tcBorders>
              <w:top w:val="nil"/>
              <w:left w:val="nil"/>
              <w:bottom w:val="nil"/>
              <w:right w:val="nil"/>
            </w:tcBorders>
            <w:shd w:val="clear" w:color="auto" w:fill="auto"/>
            <w:noWrap/>
            <w:vAlign w:val="bottom"/>
            <w:hideMark/>
          </w:tcPr>
          <w:p w14:paraId="6966B48E"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0.759</w:t>
            </w:r>
          </w:p>
        </w:tc>
        <w:tc>
          <w:tcPr>
            <w:tcW w:w="864" w:type="dxa"/>
            <w:tcBorders>
              <w:top w:val="nil"/>
              <w:left w:val="nil"/>
              <w:bottom w:val="nil"/>
              <w:right w:val="nil"/>
            </w:tcBorders>
            <w:shd w:val="clear" w:color="auto" w:fill="auto"/>
            <w:noWrap/>
            <w:vAlign w:val="bottom"/>
            <w:hideMark/>
          </w:tcPr>
          <w:p w14:paraId="2429929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0.693</w:t>
            </w:r>
          </w:p>
        </w:tc>
        <w:tc>
          <w:tcPr>
            <w:tcW w:w="864" w:type="dxa"/>
            <w:tcBorders>
              <w:top w:val="nil"/>
              <w:left w:val="nil"/>
              <w:bottom w:val="nil"/>
              <w:right w:val="nil"/>
            </w:tcBorders>
            <w:shd w:val="clear" w:color="auto" w:fill="auto"/>
            <w:noWrap/>
            <w:vAlign w:val="bottom"/>
            <w:hideMark/>
          </w:tcPr>
          <w:p w14:paraId="69EA6182"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0.719</w:t>
            </w:r>
          </w:p>
        </w:tc>
        <w:tc>
          <w:tcPr>
            <w:tcW w:w="864" w:type="dxa"/>
            <w:tcBorders>
              <w:top w:val="nil"/>
              <w:left w:val="nil"/>
              <w:bottom w:val="nil"/>
              <w:right w:val="nil"/>
            </w:tcBorders>
            <w:shd w:val="clear" w:color="auto" w:fill="auto"/>
            <w:noWrap/>
            <w:vAlign w:val="bottom"/>
            <w:hideMark/>
          </w:tcPr>
          <w:p w14:paraId="5FAB9536"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0.573</w:t>
            </w:r>
          </w:p>
        </w:tc>
        <w:tc>
          <w:tcPr>
            <w:tcW w:w="864" w:type="dxa"/>
            <w:tcBorders>
              <w:top w:val="nil"/>
              <w:left w:val="nil"/>
              <w:bottom w:val="nil"/>
              <w:right w:val="nil"/>
            </w:tcBorders>
            <w:shd w:val="clear" w:color="auto" w:fill="auto"/>
            <w:noWrap/>
            <w:vAlign w:val="bottom"/>
            <w:hideMark/>
          </w:tcPr>
          <w:p w14:paraId="5488226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0.412</w:t>
            </w:r>
          </w:p>
        </w:tc>
        <w:tc>
          <w:tcPr>
            <w:tcW w:w="864" w:type="dxa"/>
            <w:gridSpan w:val="2"/>
            <w:tcBorders>
              <w:top w:val="nil"/>
              <w:left w:val="nil"/>
              <w:bottom w:val="nil"/>
              <w:right w:val="nil"/>
            </w:tcBorders>
            <w:shd w:val="clear" w:color="auto" w:fill="auto"/>
            <w:noWrap/>
            <w:vAlign w:val="bottom"/>
            <w:hideMark/>
          </w:tcPr>
          <w:p w14:paraId="059D28A2"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0.78</w:t>
            </w:r>
          </w:p>
        </w:tc>
        <w:tc>
          <w:tcPr>
            <w:tcW w:w="864" w:type="dxa"/>
            <w:tcBorders>
              <w:top w:val="nil"/>
              <w:left w:val="nil"/>
              <w:bottom w:val="nil"/>
              <w:right w:val="nil"/>
            </w:tcBorders>
            <w:shd w:val="clear" w:color="auto" w:fill="auto"/>
            <w:noWrap/>
            <w:vAlign w:val="bottom"/>
            <w:hideMark/>
          </w:tcPr>
          <w:p w14:paraId="792C8672"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0.721</w:t>
            </w:r>
          </w:p>
        </w:tc>
        <w:tc>
          <w:tcPr>
            <w:tcW w:w="864" w:type="dxa"/>
            <w:tcBorders>
              <w:top w:val="nil"/>
              <w:left w:val="nil"/>
              <w:bottom w:val="nil"/>
              <w:right w:val="nil"/>
            </w:tcBorders>
            <w:shd w:val="clear" w:color="auto" w:fill="auto"/>
            <w:noWrap/>
            <w:vAlign w:val="bottom"/>
            <w:hideMark/>
          </w:tcPr>
          <w:p w14:paraId="3C2EBB13"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0.662</w:t>
            </w:r>
          </w:p>
        </w:tc>
      </w:tr>
      <w:tr w:rsidR="00BC1E6D" w:rsidRPr="00BC1E6D" w14:paraId="090F526B" w14:textId="77777777" w:rsidTr="00B718AD">
        <w:trPr>
          <w:gridAfter w:val="15"/>
          <w:wAfter w:w="11924" w:type="dxa"/>
          <w:trHeight w:val="144"/>
        </w:trPr>
        <w:tc>
          <w:tcPr>
            <w:tcW w:w="864" w:type="dxa"/>
            <w:tcBorders>
              <w:top w:val="nil"/>
              <w:left w:val="nil"/>
              <w:bottom w:val="nil"/>
              <w:right w:val="nil"/>
            </w:tcBorders>
            <w:shd w:val="clear" w:color="auto" w:fill="auto"/>
            <w:noWrap/>
            <w:hideMark/>
          </w:tcPr>
          <w:p w14:paraId="0A818244"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F-Value</w:t>
            </w:r>
          </w:p>
        </w:tc>
        <w:tc>
          <w:tcPr>
            <w:tcW w:w="864" w:type="dxa"/>
            <w:tcBorders>
              <w:top w:val="nil"/>
              <w:left w:val="nil"/>
              <w:bottom w:val="nil"/>
              <w:right w:val="nil"/>
            </w:tcBorders>
            <w:shd w:val="clear" w:color="auto" w:fill="auto"/>
            <w:noWrap/>
            <w:vAlign w:val="bottom"/>
            <w:hideMark/>
          </w:tcPr>
          <w:p w14:paraId="256F307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32.319</w:t>
            </w:r>
          </w:p>
        </w:tc>
        <w:tc>
          <w:tcPr>
            <w:tcW w:w="864" w:type="dxa"/>
            <w:tcBorders>
              <w:top w:val="nil"/>
              <w:left w:val="nil"/>
              <w:bottom w:val="nil"/>
              <w:right w:val="nil"/>
            </w:tcBorders>
            <w:shd w:val="clear" w:color="auto" w:fill="auto"/>
            <w:noWrap/>
            <w:vAlign w:val="bottom"/>
            <w:hideMark/>
          </w:tcPr>
          <w:p w14:paraId="35A2FCD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20.885</w:t>
            </w:r>
          </w:p>
        </w:tc>
        <w:tc>
          <w:tcPr>
            <w:tcW w:w="864" w:type="dxa"/>
            <w:tcBorders>
              <w:top w:val="nil"/>
              <w:left w:val="nil"/>
              <w:bottom w:val="nil"/>
              <w:right w:val="nil"/>
            </w:tcBorders>
            <w:shd w:val="clear" w:color="auto" w:fill="auto"/>
            <w:noWrap/>
            <w:vAlign w:val="bottom"/>
            <w:hideMark/>
          </w:tcPr>
          <w:p w14:paraId="48CA2250"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62.121</w:t>
            </w:r>
          </w:p>
        </w:tc>
        <w:tc>
          <w:tcPr>
            <w:tcW w:w="864" w:type="dxa"/>
            <w:tcBorders>
              <w:top w:val="nil"/>
              <w:left w:val="nil"/>
              <w:bottom w:val="nil"/>
              <w:right w:val="nil"/>
            </w:tcBorders>
            <w:shd w:val="clear" w:color="auto" w:fill="auto"/>
            <w:noWrap/>
            <w:vAlign w:val="bottom"/>
            <w:hideMark/>
          </w:tcPr>
          <w:p w14:paraId="0D9333F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58.088</w:t>
            </w:r>
          </w:p>
        </w:tc>
        <w:tc>
          <w:tcPr>
            <w:tcW w:w="864" w:type="dxa"/>
            <w:tcBorders>
              <w:top w:val="nil"/>
              <w:left w:val="nil"/>
              <w:bottom w:val="nil"/>
              <w:right w:val="nil"/>
            </w:tcBorders>
            <w:shd w:val="clear" w:color="auto" w:fill="auto"/>
            <w:noWrap/>
            <w:vAlign w:val="bottom"/>
            <w:hideMark/>
          </w:tcPr>
          <w:p w14:paraId="633DBA49"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66.57</w:t>
            </w:r>
          </w:p>
        </w:tc>
        <w:tc>
          <w:tcPr>
            <w:tcW w:w="864" w:type="dxa"/>
            <w:tcBorders>
              <w:top w:val="nil"/>
              <w:left w:val="nil"/>
              <w:bottom w:val="nil"/>
              <w:right w:val="nil"/>
            </w:tcBorders>
            <w:shd w:val="clear" w:color="auto" w:fill="auto"/>
            <w:noWrap/>
            <w:vAlign w:val="bottom"/>
            <w:hideMark/>
          </w:tcPr>
          <w:p w14:paraId="522072C3"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30.471</w:t>
            </w:r>
          </w:p>
        </w:tc>
        <w:tc>
          <w:tcPr>
            <w:tcW w:w="864" w:type="dxa"/>
            <w:tcBorders>
              <w:top w:val="nil"/>
              <w:left w:val="nil"/>
              <w:bottom w:val="nil"/>
              <w:right w:val="nil"/>
            </w:tcBorders>
            <w:shd w:val="clear" w:color="auto" w:fill="auto"/>
            <w:noWrap/>
            <w:vAlign w:val="bottom"/>
            <w:hideMark/>
          </w:tcPr>
          <w:p w14:paraId="41DF806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18.869</w:t>
            </w:r>
          </w:p>
        </w:tc>
        <w:tc>
          <w:tcPr>
            <w:tcW w:w="864" w:type="dxa"/>
            <w:tcBorders>
              <w:top w:val="nil"/>
              <w:left w:val="nil"/>
              <w:bottom w:val="nil"/>
              <w:right w:val="nil"/>
            </w:tcBorders>
            <w:shd w:val="clear" w:color="auto" w:fill="auto"/>
            <w:noWrap/>
            <w:vAlign w:val="bottom"/>
            <w:hideMark/>
          </w:tcPr>
          <w:p w14:paraId="364EAA6B"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14.159</w:t>
            </w:r>
          </w:p>
        </w:tc>
        <w:tc>
          <w:tcPr>
            <w:tcW w:w="864" w:type="dxa"/>
            <w:gridSpan w:val="2"/>
            <w:tcBorders>
              <w:top w:val="nil"/>
              <w:left w:val="nil"/>
              <w:bottom w:val="nil"/>
              <w:right w:val="nil"/>
            </w:tcBorders>
            <w:shd w:val="clear" w:color="auto" w:fill="auto"/>
            <w:noWrap/>
            <w:vAlign w:val="bottom"/>
            <w:hideMark/>
          </w:tcPr>
          <w:p w14:paraId="02EC960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74.552</w:t>
            </w:r>
          </w:p>
        </w:tc>
        <w:tc>
          <w:tcPr>
            <w:tcW w:w="864" w:type="dxa"/>
            <w:tcBorders>
              <w:top w:val="nil"/>
              <w:left w:val="nil"/>
              <w:bottom w:val="nil"/>
              <w:right w:val="nil"/>
            </w:tcBorders>
            <w:shd w:val="clear" w:color="auto" w:fill="auto"/>
            <w:noWrap/>
            <w:vAlign w:val="bottom"/>
            <w:hideMark/>
          </w:tcPr>
          <w:p w14:paraId="49444523"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50.025</w:t>
            </w:r>
          </w:p>
        </w:tc>
        <w:tc>
          <w:tcPr>
            <w:tcW w:w="864" w:type="dxa"/>
            <w:tcBorders>
              <w:top w:val="nil"/>
              <w:left w:val="nil"/>
              <w:bottom w:val="nil"/>
              <w:right w:val="nil"/>
            </w:tcBorders>
            <w:shd w:val="clear" w:color="auto" w:fill="auto"/>
            <w:noWrap/>
            <w:vAlign w:val="bottom"/>
            <w:hideMark/>
          </w:tcPr>
          <w:p w14:paraId="5B1D2B3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15.965</w:t>
            </w:r>
          </w:p>
        </w:tc>
      </w:tr>
      <w:tr w:rsidR="00BC1E6D" w:rsidRPr="00BC1E6D" w14:paraId="5D807788" w14:textId="77777777" w:rsidTr="00B718AD">
        <w:trPr>
          <w:gridAfter w:val="15"/>
          <w:wAfter w:w="11924" w:type="dxa"/>
          <w:trHeight w:val="144"/>
        </w:trPr>
        <w:tc>
          <w:tcPr>
            <w:tcW w:w="864" w:type="dxa"/>
            <w:tcBorders>
              <w:top w:val="nil"/>
              <w:left w:val="nil"/>
              <w:bottom w:val="nil"/>
              <w:right w:val="nil"/>
            </w:tcBorders>
            <w:shd w:val="clear" w:color="auto" w:fill="auto"/>
            <w:noWrap/>
            <w:hideMark/>
          </w:tcPr>
          <w:p w14:paraId="2BD99542" w14:textId="262907C9" w:rsidR="00486395" w:rsidRPr="00BC1E6D" w:rsidRDefault="00746E4C"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P(F)</w:t>
            </w:r>
          </w:p>
        </w:tc>
        <w:tc>
          <w:tcPr>
            <w:tcW w:w="864" w:type="dxa"/>
            <w:tcBorders>
              <w:top w:val="nil"/>
              <w:left w:val="nil"/>
              <w:bottom w:val="nil"/>
              <w:right w:val="nil"/>
            </w:tcBorders>
            <w:shd w:val="clear" w:color="auto" w:fill="auto"/>
            <w:noWrap/>
            <w:vAlign w:val="bottom"/>
            <w:hideMark/>
          </w:tcPr>
          <w:p w14:paraId="553FDC4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0DF20E00"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1A0FBBB1"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68A036C9"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6562B3C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1697D5A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59ED156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775AFC29"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gridSpan w:val="2"/>
            <w:tcBorders>
              <w:top w:val="nil"/>
              <w:left w:val="nil"/>
              <w:bottom w:val="nil"/>
              <w:right w:val="nil"/>
            </w:tcBorders>
            <w:shd w:val="clear" w:color="auto" w:fill="auto"/>
            <w:noWrap/>
            <w:vAlign w:val="bottom"/>
            <w:hideMark/>
          </w:tcPr>
          <w:p w14:paraId="7888B8B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302410A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c>
          <w:tcPr>
            <w:tcW w:w="864" w:type="dxa"/>
            <w:tcBorders>
              <w:top w:val="nil"/>
              <w:left w:val="nil"/>
              <w:bottom w:val="nil"/>
              <w:right w:val="nil"/>
            </w:tcBorders>
            <w:shd w:val="clear" w:color="auto" w:fill="auto"/>
            <w:noWrap/>
            <w:vAlign w:val="bottom"/>
            <w:hideMark/>
          </w:tcPr>
          <w:p w14:paraId="729F1F4B"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0</w:t>
            </w:r>
          </w:p>
        </w:tc>
      </w:tr>
      <w:tr w:rsidR="00BC1E6D" w:rsidRPr="00BC1E6D" w14:paraId="21C28742" w14:textId="77777777" w:rsidTr="00B718AD">
        <w:trPr>
          <w:gridAfter w:val="15"/>
          <w:wAfter w:w="11924" w:type="dxa"/>
          <w:trHeight w:val="144"/>
        </w:trPr>
        <w:tc>
          <w:tcPr>
            <w:tcW w:w="864" w:type="dxa"/>
            <w:tcBorders>
              <w:top w:val="nil"/>
              <w:left w:val="nil"/>
              <w:bottom w:val="nil"/>
              <w:right w:val="nil"/>
            </w:tcBorders>
            <w:shd w:val="clear" w:color="auto" w:fill="auto"/>
            <w:noWrap/>
            <w:hideMark/>
          </w:tcPr>
          <w:p w14:paraId="24767CD7"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Durbin-Watson</w:t>
            </w:r>
          </w:p>
        </w:tc>
        <w:tc>
          <w:tcPr>
            <w:tcW w:w="864" w:type="dxa"/>
            <w:tcBorders>
              <w:top w:val="nil"/>
              <w:left w:val="nil"/>
              <w:bottom w:val="nil"/>
              <w:right w:val="nil"/>
            </w:tcBorders>
            <w:shd w:val="clear" w:color="auto" w:fill="auto"/>
            <w:noWrap/>
            <w:vAlign w:val="bottom"/>
            <w:hideMark/>
          </w:tcPr>
          <w:p w14:paraId="70A0152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1.903</w:t>
            </w:r>
          </w:p>
        </w:tc>
        <w:tc>
          <w:tcPr>
            <w:tcW w:w="864" w:type="dxa"/>
            <w:tcBorders>
              <w:top w:val="nil"/>
              <w:left w:val="nil"/>
              <w:bottom w:val="nil"/>
              <w:right w:val="nil"/>
            </w:tcBorders>
            <w:shd w:val="clear" w:color="auto" w:fill="auto"/>
            <w:noWrap/>
            <w:vAlign w:val="bottom"/>
            <w:hideMark/>
          </w:tcPr>
          <w:p w14:paraId="48594DB8"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1.784</w:t>
            </w:r>
          </w:p>
        </w:tc>
        <w:tc>
          <w:tcPr>
            <w:tcW w:w="864" w:type="dxa"/>
            <w:tcBorders>
              <w:top w:val="nil"/>
              <w:left w:val="nil"/>
              <w:bottom w:val="nil"/>
              <w:right w:val="nil"/>
            </w:tcBorders>
            <w:shd w:val="clear" w:color="auto" w:fill="auto"/>
            <w:noWrap/>
            <w:vAlign w:val="bottom"/>
            <w:hideMark/>
          </w:tcPr>
          <w:p w14:paraId="250754C0"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2.061</w:t>
            </w:r>
          </w:p>
        </w:tc>
        <w:tc>
          <w:tcPr>
            <w:tcW w:w="864" w:type="dxa"/>
            <w:tcBorders>
              <w:top w:val="nil"/>
              <w:left w:val="nil"/>
              <w:bottom w:val="nil"/>
              <w:right w:val="nil"/>
            </w:tcBorders>
            <w:shd w:val="clear" w:color="auto" w:fill="auto"/>
            <w:noWrap/>
            <w:vAlign w:val="bottom"/>
            <w:hideMark/>
          </w:tcPr>
          <w:p w14:paraId="254B197A"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1.695</w:t>
            </w:r>
          </w:p>
        </w:tc>
        <w:tc>
          <w:tcPr>
            <w:tcW w:w="864" w:type="dxa"/>
            <w:tcBorders>
              <w:top w:val="nil"/>
              <w:left w:val="nil"/>
              <w:bottom w:val="nil"/>
              <w:right w:val="nil"/>
            </w:tcBorders>
            <w:shd w:val="clear" w:color="auto" w:fill="auto"/>
            <w:noWrap/>
            <w:vAlign w:val="bottom"/>
            <w:hideMark/>
          </w:tcPr>
          <w:p w14:paraId="4D1D1AFC"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1.898</w:t>
            </w:r>
          </w:p>
        </w:tc>
        <w:tc>
          <w:tcPr>
            <w:tcW w:w="864" w:type="dxa"/>
            <w:tcBorders>
              <w:top w:val="nil"/>
              <w:left w:val="nil"/>
              <w:bottom w:val="nil"/>
              <w:right w:val="nil"/>
            </w:tcBorders>
            <w:shd w:val="clear" w:color="auto" w:fill="auto"/>
            <w:noWrap/>
            <w:vAlign w:val="bottom"/>
            <w:hideMark/>
          </w:tcPr>
          <w:p w14:paraId="70A12231"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2.059</w:t>
            </w:r>
          </w:p>
        </w:tc>
        <w:tc>
          <w:tcPr>
            <w:tcW w:w="864" w:type="dxa"/>
            <w:tcBorders>
              <w:top w:val="nil"/>
              <w:left w:val="nil"/>
              <w:bottom w:val="nil"/>
              <w:right w:val="nil"/>
            </w:tcBorders>
            <w:shd w:val="clear" w:color="auto" w:fill="auto"/>
            <w:noWrap/>
            <w:vAlign w:val="bottom"/>
            <w:hideMark/>
          </w:tcPr>
          <w:p w14:paraId="70A99A2C"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1.78</w:t>
            </w:r>
          </w:p>
        </w:tc>
        <w:tc>
          <w:tcPr>
            <w:tcW w:w="864" w:type="dxa"/>
            <w:tcBorders>
              <w:top w:val="nil"/>
              <w:left w:val="nil"/>
              <w:bottom w:val="nil"/>
              <w:right w:val="nil"/>
            </w:tcBorders>
            <w:shd w:val="clear" w:color="auto" w:fill="auto"/>
            <w:noWrap/>
            <w:vAlign w:val="bottom"/>
            <w:hideMark/>
          </w:tcPr>
          <w:p w14:paraId="358C8B3D"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2.121</w:t>
            </w:r>
          </w:p>
        </w:tc>
        <w:tc>
          <w:tcPr>
            <w:tcW w:w="864" w:type="dxa"/>
            <w:gridSpan w:val="2"/>
            <w:tcBorders>
              <w:top w:val="nil"/>
              <w:left w:val="nil"/>
              <w:bottom w:val="nil"/>
              <w:right w:val="nil"/>
            </w:tcBorders>
            <w:shd w:val="clear" w:color="auto" w:fill="auto"/>
            <w:noWrap/>
            <w:vAlign w:val="bottom"/>
            <w:hideMark/>
          </w:tcPr>
          <w:p w14:paraId="6BC6635F"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1.812</w:t>
            </w:r>
          </w:p>
        </w:tc>
        <w:tc>
          <w:tcPr>
            <w:tcW w:w="864" w:type="dxa"/>
            <w:tcBorders>
              <w:top w:val="nil"/>
              <w:left w:val="nil"/>
              <w:bottom w:val="nil"/>
              <w:right w:val="nil"/>
            </w:tcBorders>
            <w:shd w:val="clear" w:color="auto" w:fill="auto"/>
            <w:noWrap/>
            <w:vAlign w:val="bottom"/>
            <w:hideMark/>
          </w:tcPr>
          <w:p w14:paraId="34DF26E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1.768</w:t>
            </w:r>
          </w:p>
        </w:tc>
        <w:tc>
          <w:tcPr>
            <w:tcW w:w="864" w:type="dxa"/>
            <w:tcBorders>
              <w:top w:val="nil"/>
              <w:left w:val="nil"/>
              <w:bottom w:val="nil"/>
              <w:right w:val="nil"/>
            </w:tcBorders>
            <w:shd w:val="clear" w:color="auto" w:fill="auto"/>
            <w:noWrap/>
            <w:vAlign w:val="bottom"/>
            <w:hideMark/>
          </w:tcPr>
          <w:p w14:paraId="6FE43B4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1.819</w:t>
            </w:r>
          </w:p>
        </w:tc>
      </w:tr>
      <w:tr w:rsidR="00BC1E6D" w:rsidRPr="00BC1E6D" w14:paraId="5386E33C" w14:textId="77777777" w:rsidTr="00B718AD">
        <w:trPr>
          <w:gridAfter w:val="15"/>
          <w:wAfter w:w="11924" w:type="dxa"/>
          <w:trHeight w:val="144"/>
        </w:trPr>
        <w:tc>
          <w:tcPr>
            <w:tcW w:w="864" w:type="dxa"/>
            <w:tcBorders>
              <w:top w:val="nil"/>
              <w:left w:val="nil"/>
              <w:bottom w:val="single" w:sz="4" w:space="0" w:color="auto"/>
              <w:right w:val="nil"/>
            </w:tcBorders>
            <w:shd w:val="clear" w:color="auto" w:fill="auto"/>
            <w:noWrap/>
            <w:hideMark/>
          </w:tcPr>
          <w:p w14:paraId="3ECBA3A7" w14:textId="77777777" w:rsidR="00486395" w:rsidRPr="00BC1E6D" w:rsidRDefault="00486395" w:rsidP="00BD3816">
            <w:pPr>
              <w:spacing w:after="0" w:line="276" w:lineRule="auto"/>
              <w:jc w:val="center"/>
              <w:rPr>
                <w:rFonts w:ascii="Times New Roman" w:eastAsia="Times New Roman" w:hAnsi="Times New Roman" w:cs="Times New Roman"/>
                <w:b/>
                <w:bCs/>
                <w:i/>
                <w:iCs/>
                <w:sz w:val="18"/>
                <w:szCs w:val="18"/>
              </w:rPr>
            </w:pPr>
            <w:r w:rsidRPr="00BC1E6D">
              <w:rPr>
                <w:rFonts w:ascii="Times New Roman" w:eastAsia="Times New Roman" w:hAnsi="Times New Roman" w:cs="Times New Roman"/>
                <w:b/>
                <w:bCs/>
                <w:i/>
                <w:iCs/>
                <w:sz w:val="18"/>
                <w:szCs w:val="18"/>
              </w:rPr>
              <w:t>Sample Size</w:t>
            </w:r>
          </w:p>
        </w:tc>
        <w:tc>
          <w:tcPr>
            <w:tcW w:w="864" w:type="dxa"/>
            <w:tcBorders>
              <w:top w:val="nil"/>
              <w:left w:val="nil"/>
              <w:bottom w:val="single" w:sz="4" w:space="0" w:color="auto"/>
              <w:right w:val="nil"/>
            </w:tcBorders>
            <w:shd w:val="clear" w:color="auto" w:fill="auto"/>
            <w:noWrap/>
            <w:vAlign w:val="bottom"/>
            <w:hideMark/>
          </w:tcPr>
          <w:p w14:paraId="25520BBF"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57995C3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31730B1C"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257E114F"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706AB8E5"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4944280B"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56C11BC4"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49530C03"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gridSpan w:val="2"/>
            <w:tcBorders>
              <w:top w:val="nil"/>
              <w:left w:val="nil"/>
              <w:bottom w:val="single" w:sz="4" w:space="0" w:color="auto"/>
              <w:right w:val="nil"/>
            </w:tcBorders>
            <w:shd w:val="clear" w:color="auto" w:fill="auto"/>
            <w:noWrap/>
            <w:vAlign w:val="bottom"/>
            <w:hideMark/>
          </w:tcPr>
          <w:p w14:paraId="1200B8D1"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40BEE8B7"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c>
          <w:tcPr>
            <w:tcW w:w="864" w:type="dxa"/>
            <w:tcBorders>
              <w:top w:val="nil"/>
              <w:left w:val="nil"/>
              <w:bottom w:val="single" w:sz="4" w:space="0" w:color="auto"/>
              <w:right w:val="nil"/>
            </w:tcBorders>
            <w:shd w:val="clear" w:color="auto" w:fill="auto"/>
            <w:noWrap/>
            <w:vAlign w:val="bottom"/>
            <w:hideMark/>
          </w:tcPr>
          <w:p w14:paraId="76F2968F" w14:textId="77777777" w:rsidR="00486395" w:rsidRPr="00BC1E6D" w:rsidRDefault="00486395" w:rsidP="00BD3816">
            <w:pPr>
              <w:spacing w:after="0" w:line="276" w:lineRule="auto"/>
              <w:jc w:val="right"/>
              <w:rPr>
                <w:rFonts w:ascii="Times New Roman" w:eastAsia="Times New Roman" w:hAnsi="Times New Roman" w:cs="Times New Roman"/>
                <w:sz w:val="18"/>
                <w:szCs w:val="18"/>
              </w:rPr>
            </w:pPr>
            <w:r w:rsidRPr="00BC1E6D">
              <w:rPr>
                <w:rFonts w:ascii="Times New Roman" w:eastAsia="Times New Roman" w:hAnsi="Times New Roman" w:cs="Times New Roman"/>
                <w:sz w:val="18"/>
                <w:szCs w:val="18"/>
              </w:rPr>
              <w:t>148</w:t>
            </w:r>
          </w:p>
        </w:tc>
      </w:tr>
    </w:tbl>
    <w:p w14:paraId="12B5D0AA" w14:textId="702ECBD5" w:rsidR="00C6786D" w:rsidRPr="00BC1E6D" w:rsidRDefault="00C6786D"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lastRenderedPageBreak/>
        <w:t xml:space="preserve">These statistics provide valuable information </w:t>
      </w:r>
      <w:r w:rsidR="001533F3" w:rsidRPr="00BC1E6D">
        <w:rPr>
          <w:rFonts w:ascii="Times New Roman" w:eastAsiaTheme="minorEastAsia" w:hAnsi="Times New Roman" w:cs="Times New Roman"/>
          <w:sz w:val="24"/>
          <w:szCs w:val="24"/>
        </w:rPr>
        <w:t xml:space="preserve">about each model. The R-squared value shows </w:t>
      </w:r>
      <w:r w:rsidR="00032DC3" w:rsidRPr="00BC1E6D">
        <w:rPr>
          <w:rFonts w:ascii="Times New Roman" w:eastAsiaTheme="minorEastAsia" w:hAnsi="Times New Roman" w:cs="Times New Roman"/>
          <w:sz w:val="24"/>
          <w:szCs w:val="24"/>
        </w:rPr>
        <w:t xml:space="preserve">how much of the variance in a sectors average quarterly returns were explained </w:t>
      </w:r>
      <w:r w:rsidR="003B304B" w:rsidRPr="00BC1E6D">
        <w:rPr>
          <w:rFonts w:ascii="Times New Roman" w:eastAsiaTheme="minorEastAsia" w:hAnsi="Times New Roman" w:cs="Times New Roman"/>
          <w:sz w:val="24"/>
          <w:szCs w:val="24"/>
        </w:rPr>
        <w:t xml:space="preserve">by the exogenous variables in the model. Most sectors have a value of around 0.7, which is quite good for financial data. </w:t>
      </w:r>
      <w:r w:rsidR="00905F97" w:rsidRPr="00BC1E6D">
        <w:rPr>
          <w:rFonts w:ascii="Times New Roman" w:eastAsiaTheme="minorEastAsia" w:hAnsi="Times New Roman" w:cs="Times New Roman"/>
          <w:sz w:val="24"/>
          <w:szCs w:val="24"/>
        </w:rPr>
        <w:t xml:space="preserve">The notably lower R-squared is from the Utilities sector. This may suggest that Utility stocks follow </w:t>
      </w:r>
      <w:r w:rsidR="00B03967" w:rsidRPr="00BC1E6D">
        <w:rPr>
          <w:rFonts w:ascii="Times New Roman" w:eastAsiaTheme="minorEastAsia" w:hAnsi="Times New Roman" w:cs="Times New Roman"/>
          <w:sz w:val="24"/>
          <w:szCs w:val="24"/>
        </w:rPr>
        <w:t>different pricing mechanisms than other sectors. The F-values are all very high, suggesting that the mo</w:t>
      </w:r>
      <w:r w:rsidR="008C6895" w:rsidRPr="00BC1E6D">
        <w:rPr>
          <w:rFonts w:ascii="Times New Roman" w:eastAsiaTheme="minorEastAsia" w:hAnsi="Times New Roman" w:cs="Times New Roman"/>
          <w:sz w:val="24"/>
          <w:szCs w:val="24"/>
        </w:rPr>
        <w:t xml:space="preserve">del’s exogenous variables are jointly significant at explaining changes in quarterly </w:t>
      </w:r>
      <w:r w:rsidR="00E9401B" w:rsidRPr="00BC1E6D">
        <w:rPr>
          <w:rFonts w:ascii="Times New Roman" w:eastAsiaTheme="minorEastAsia" w:hAnsi="Times New Roman" w:cs="Times New Roman"/>
          <w:sz w:val="24"/>
          <w:szCs w:val="24"/>
        </w:rPr>
        <w:t xml:space="preserve">sector average price changes. The Durbin-Watson test statistic is meant to </w:t>
      </w:r>
      <w:r w:rsidR="00E655EE" w:rsidRPr="00BC1E6D">
        <w:rPr>
          <w:rFonts w:ascii="Times New Roman" w:eastAsiaTheme="minorEastAsia" w:hAnsi="Times New Roman" w:cs="Times New Roman"/>
          <w:sz w:val="24"/>
          <w:szCs w:val="24"/>
        </w:rPr>
        <w:t>detect autocorrelation</w:t>
      </w:r>
      <w:r w:rsidR="00311779" w:rsidRPr="00BC1E6D">
        <w:rPr>
          <w:rFonts w:ascii="Times New Roman" w:eastAsiaTheme="minorEastAsia" w:hAnsi="Times New Roman" w:cs="Times New Roman"/>
          <w:sz w:val="24"/>
          <w:szCs w:val="24"/>
        </w:rPr>
        <w:t xml:space="preserve">, but its results can often be ambiguous and a better method of detecting autocorrelation is employed in the next section. </w:t>
      </w:r>
    </w:p>
    <w:p w14:paraId="5C1531E3" w14:textId="54464ED6" w:rsidR="00E94853" w:rsidRPr="00735EF7" w:rsidRDefault="008C2294" w:rsidP="00735EF7">
      <w:pPr>
        <w:pStyle w:val="Heading3"/>
        <w:spacing w:line="276" w:lineRule="auto"/>
        <w:jc w:val="center"/>
        <w:rPr>
          <w:rFonts w:ascii="Times New Roman" w:eastAsiaTheme="minorEastAsia" w:hAnsi="Times New Roman" w:cs="Times New Roman"/>
          <w:b/>
          <w:bCs/>
          <w:color w:val="auto"/>
        </w:rPr>
      </w:pPr>
      <w:r w:rsidRPr="00735EF7">
        <w:rPr>
          <w:rFonts w:ascii="Times New Roman" w:eastAsiaTheme="minorEastAsia" w:hAnsi="Times New Roman" w:cs="Times New Roman"/>
          <w:b/>
          <w:bCs/>
          <w:color w:val="auto"/>
        </w:rPr>
        <w:t>Assumptions, Limitations, and Tests</w:t>
      </w:r>
    </w:p>
    <w:p w14:paraId="1C9EFBEE" w14:textId="4D0E3E82" w:rsidR="00E66D2E" w:rsidRPr="00BC1E6D" w:rsidRDefault="00775E9B"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The time series OLS model requires </w:t>
      </w:r>
      <w:r w:rsidR="005521D2" w:rsidRPr="00BC1E6D">
        <w:rPr>
          <w:rFonts w:ascii="Times New Roman" w:hAnsi="Times New Roman" w:cs="Times New Roman"/>
          <w:sz w:val="24"/>
          <w:szCs w:val="24"/>
        </w:rPr>
        <w:t>a few</w:t>
      </w:r>
      <w:r w:rsidRPr="00BC1E6D">
        <w:rPr>
          <w:rFonts w:ascii="Times New Roman" w:hAnsi="Times New Roman" w:cs="Times New Roman"/>
          <w:sz w:val="24"/>
          <w:szCs w:val="24"/>
        </w:rPr>
        <w:t xml:space="preserve"> conditions to be a legitimate tool for </w:t>
      </w:r>
      <w:r w:rsidR="00E66D2E" w:rsidRPr="00BC1E6D">
        <w:rPr>
          <w:rFonts w:ascii="Times New Roman" w:hAnsi="Times New Roman" w:cs="Times New Roman"/>
          <w:sz w:val="24"/>
          <w:szCs w:val="24"/>
        </w:rPr>
        <w:t xml:space="preserve">inference and estimation. The assumptions, and their implications for the models described in this paper, are as follows: </w:t>
      </w:r>
    </w:p>
    <w:p w14:paraId="2D15C304" w14:textId="12F89075" w:rsidR="00E66D2E" w:rsidRPr="00BC1E6D" w:rsidRDefault="00877E69" w:rsidP="00BD3816">
      <w:pPr>
        <w:pStyle w:val="ListParagraph"/>
        <w:numPr>
          <w:ilvl w:val="0"/>
          <w:numId w:val="7"/>
        </w:numPr>
        <w:spacing w:line="276" w:lineRule="auto"/>
        <w:rPr>
          <w:rFonts w:ascii="Times New Roman" w:hAnsi="Times New Roman" w:cs="Times New Roman"/>
          <w:sz w:val="24"/>
          <w:szCs w:val="24"/>
        </w:rPr>
      </w:pPr>
      <w:r w:rsidRPr="00BC1E6D">
        <w:rPr>
          <w:rFonts w:ascii="Times New Roman" w:hAnsi="Times New Roman" w:cs="Times New Roman"/>
          <w:sz w:val="24"/>
          <w:szCs w:val="24"/>
        </w:rPr>
        <w:t>Linear in Parameters</w:t>
      </w:r>
      <w:r w:rsidR="00906426" w:rsidRPr="00BC1E6D">
        <w:rPr>
          <w:rFonts w:ascii="Times New Roman" w:hAnsi="Times New Roman" w:cs="Times New Roman"/>
          <w:sz w:val="24"/>
          <w:szCs w:val="24"/>
        </w:rPr>
        <w:t>, e</w:t>
      </w:r>
      <w:r w:rsidRPr="00BC1E6D">
        <w:rPr>
          <w:rFonts w:ascii="Times New Roman" w:hAnsi="Times New Roman" w:cs="Times New Roman"/>
          <w:sz w:val="24"/>
          <w:szCs w:val="24"/>
        </w:rPr>
        <w:t xml:space="preserve">xogenous </w:t>
      </w:r>
      <w:r w:rsidR="00362DB3" w:rsidRPr="00BC1E6D">
        <w:rPr>
          <w:rFonts w:ascii="Times New Roman" w:hAnsi="Times New Roman" w:cs="Times New Roman"/>
          <w:sz w:val="24"/>
          <w:szCs w:val="24"/>
        </w:rPr>
        <w:t xml:space="preserve">vars are </w:t>
      </w:r>
      <w:r w:rsidR="007F1CCD" w:rsidRPr="00BC1E6D">
        <w:rPr>
          <w:rFonts w:ascii="Times New Roman" w:hAnsi="Times New Roman" w:cs="Times New Roman"/>
          <w:sz w:val="24"/>
          <w:szCs w:val="24"/>
        </w:rPr>
        <w:t xml:space="preserve">stationary and </w:t>
      </w:r>
      <w:r w:rsidR="00362DB3" w:rsidRPr="00BC1E6D">
        <w:rPr>
          <w:rFonts w:ascii="Times New Roman" w:hAnsi="Times New Roman" w:cs="Times New Roman"/>
          <w:sz w:val="24"/>
          <w:szCs w:val="24"/>
        </w:rPr>
        <w:t xml:space="preserve">weakly dependent. </w:t>
      </w:r>
    </w:p>
    <w:p w14:paraId="7AF099D5" w14:textId="6A9FFAA6" w:rsidR="00094009" w:rsidRPr="00BC1E6D" w:rsidRDefault="001766B2" w:rsidP="00BD3816">
      <w:pPr>
        <w:pStyle w:val="ListParagraph"/>
        <w:spacing w:line="276" w:lineRule="auto"/>
        <w:ind w:left="1125"/>
        <w:rPr>
          <w:rFonts w:ascii="Times New Roman" w:hAnsi="Times New Roman" w:cs="Times New Roman"/>
          <w:sz w:val="24"/>
          <w:szCs w:val="24"/>
        </w:rPr>
      </w:pPr>
      <w:r w:rsidRPr="00BC1E6D">
        <w:rPr>
          <w:rFonts w:ascii="Times New Roman" w:hAnsi="Times New Roman" w:cs="Times New Roman"/>
          <w:sz w:val="24"/>
          <w:szCs w:val="24"/>
        </w:rPr>
        <w:t>The Dickey-fuller test was run on each model to test for stationarity and trend</w:t>
      </w:r>
      <w:r w:rsidR="00385BC9" w:rsidRPr="00BC1E6D">
        <w:rPr>
          <w:rFonts w:ascii="Times New Roman" w:hAnsi="Times New Roman" w:cs="Times New Roman"/>
          <w:sz w:val="24"/>
          <w:szCs w:val="24"/>
        </w:rPr>
        <w:t xml:space="preserve">. </w:t>
      </w:r>
      <w:r w:rsidR="00E10738" w:rsidRPr="00BC1E6D">
        <w:rPr>
          <w:rFonts w:ascii="Times New Roman" w:hAnsi="Times New Roman" w:cs="Times New Roman"/>
          <w:sz w:val="24"/>
          <w:szCs w:val="24"/>
        </w:rPr>
        <w:t>The null hypothesis of the test is that there is a unit root</w:t>
      </w:r>
      <w:r w:rsidR="00AE3449" w:rsidRPr="00BC1E6D">
        <w:rPr>
          <w:rFonts w:ascii="Times New Roman" w:hAnsi="Times New Roman" w:cs="Times New Roman"/>
          <w:sz w:val="24"/>
          <w:szCs w:val="24"/>
        </w:rPr>
        <w:t xml:space="preserve">, </w:t>
      </w:r>
      <w:r w:rsidR="00D52D3F" w:rsidRPr="00BC1E6D">
        <w:rPr>
          <w:rFonts w:ascii="Times New Roman" w:hAnsi="Times New Roman" w:cs="Times New Roman"/>
          <w:sz w:val="24"/>
          <w:szCs w:val="24"/>
        </w:rPr>
        <w:t>and the alternative is that there is not. An augmented Dickey-Fuller test was run on each of our exogenous variables, and the null hypothesis was rejected for each</w:t>
      </w:r>
      <w:r w:rsidR="003E414B" w:rsidRPr="00BC1E6D">
        <w:rPr>
          <w:rFonts w:ascii="Times New Roman" w:hAnsi="Times New Roman" w:cs="Times New Roman"/>
          <w:sz w:val="24"/>
          <w:szCs w:val="24"/>
        </w:rPr>
        <w:t>, implying that the exogenous variables in this analysis are stationary</w:t>
      </w:r>
      <w:r w:rsidR="0022408D" w:rsidRPr="00BC1E6D">
        <w:rPr>
          <w:rFonts w:ascii="Times New Roman" w:hAnsi="Times New Roman" w:cs="Times New Roman"/>
          <w:sz w:val="24"/>
          <w:szCs w:val="24"/>
        </w:rPr>
        <w:t>, satisfying the first requirement</w:t>
      </w:r>
      <w:r w:rsidR="00D52D3F" w:rsidRPr="00BC1E6D">
        <w:rPr>
          <w:rFonts w:ascii="Times New Roman" w:hAnsi="Times New Roman" w:cs="Times New Roman"/>
          <w:sz w:val="24"/>
          <w:szCs w:val="24"/>
        </w:rPr>
        <w:t xml:space="preserve">. Results are shown below in table 8. </w:t>
      </w:r>
    </w:p>
    <w:tbl>
      <w:tblPr>
        <w:tblW w:w="8136" w:type="dxa"/>
        <w:jc w:val="center"/>
        <w:tblLook w:val="04A0" w:firstRow="1" w:lastRow="0" w:firstColumn="1" w:lastColumn="0" w:noHBand="0" w:noVBand="1"/>
      </w:tblPr>
      <w:tblGrid>
        <w:gridCol w:w="1320"/>
        <w:gridCol w:w="1008"/>
        <w:gridCol w:w="960"/>
        <w:gridCol w:w="960"/>
        <w:gridCol w:w="912"/>
        <w:gridCol w:w="48"/>
        <w:gridCol w:w="960"/>
        <w:gridCol w:w="960"/>
        <w:gridCol w:w="48"/>
        <w:gridCol w:w="864"/>
        <w:gridCol w:w="48"/>
        <w:gridCol w:w="48"/>
      </w:tblGrid>
      <w:tr w:rsidR="00BC1E6D" w:rsidRPr="00BC1E6D" w14:paraId="65221891" w14:textId="77777777" w:rsidTr="00897EDE">
        <w:trPr>
          <w:trHeight w:val="300"/>
          <w:jc w:val="center"/>
        </w:trPr>
        <w:tc>
          <w:tcPr>
            <w:tcW w:w="1320" w:type="dxa"/>
            <w:tcBorders>
              <w:top w:val="nil"/>
              <w:left w:val="nil"/>
              <w:bottom w:val="nil"/>
              <w:right w:val="nil"/>
            </w:tcBorders>
            <w:shd w:val="clear" w:color="auto" w:fill="auto"/>
            <w:noWrap/>
            <w:vAlign w:val="bottom"/>
            <w:hideMark/>
          </w:tcPr>
          <w:p w14:paraId="2FC36C0C" w14:textId="77777777" w:rsidR="00A72E43" w:rsidRPr="00BC1E6D" w:rsidRDefault="00A72E43" w:rsidP="00BD3816">
            <w:pPr>
              <w:spacing w:after="0" w:line="276" w:lineRule="auto"/>
              <w:rPr>
                <w:rFonts w:ascii="Times New Roman" w:eastAsia="Times New Roman" w:hAnsi="Times New Roman" w:cs="Times New Roman"/>
                <w:b/>
                <w:bCs/>
                <w:sz w:val="20"/>
                <w:szCs w:val="20"/>
              </w:rPr>
            </w:pPr>
            <w:r w:rsidRPr="00BC1E6D">
              <w:rPr>
                <w:rFonts w:ascii="Times New Roman" w:eastAsia="Times New Roman" w:hAnsi="Times New Roman" w:cs="Times New Roman"/>
                <w:b/>
                <w:bCs/>
                <w:sz w:val="20"/>
                <w:szCs w:val="20"/>
              </w:rPr>
              <w:t>Table 8</w:t>
            </w:r>
          </w:p>
        </w:tc>
        <w:tc>
          <w:tcPr>
            <w:tcW w:w="1008" w:type="dxa"/>
            <w:tcBorders>
              <w:top w:val="nil"/>
              <w:left w:val="nil"/>
              <w:bottom w:val="nil"/>
              <w:right w:val="nil"/>
            </w:tcBorders>
            <w:shd w:val="clear" w:color="auto" w:fill="auto"/>
            <w:noWrap/>
            <w:vAlign w:val="bottom"/>
            <w:hideMark/>
          </w:tcPr>
          <w:p w14:paraId="7714D7DB" w14:textId="77777777" w:rsidR="00A72E43" w:rsidRPr="00BC1E6D" w:rsidRDefault="00A72E43" w:rsidP="00BD3816">
            <w:pPr>
              <w:spacing w:after="0" w:line="276" w:lineRule="auto"/>
              <w:rPr>
                <w:rFonts w:ascii="Times New Roman" w:eastAsia="Times New Roman" w:hAnsi="Times New Roman" w:cs="Times New Roman"/>
                <w:b/>
                <w:bCs/>
                <w:sz w:val="20"/>
                <w:szCs w:val="20"/>
              </w:rPr>
            </w:pPr>
          </w:p>
        </w:tc>
        <w:tc>
          <w:tcPr>
            <w:tcW w:w="960" w:type="dxa"/>
            <w:tcBorders>
              <w:top w:val="nil"/>
              <w:left w:val="nil"/>
              <w:bottom w:val="nil"/>
              <w:right w:val="nil"/>
            </w:tcBorders>
            <w:shd w:val="clear" w:color="auto" w:fill="auto"/>
            <w:noWrap/>
            <w:vAlign w:val="bottom"/>
            <w:hideMark/>
          </w:tcPr>
          <w:p w14:paraId="75A9E20B"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151B902"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73342B1"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924648"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1008" w:type="dxa"/>
            <w:gridSpan w:val="2"/>
            <w:tcBorders>
              <w:top w:val="nil"/>
              <w:left w:val="nil"/>
              <w:bottom w:val="nil"/>
              <w:right w:val="nil"/>
            </w:tcBorders>
            <w:shd w:val="clear" w:color="auto" w:fill="auto"/>
            <w:noWrap/>
            <w:vAlign w:val="bottom"/>
            <w:hideMark/>
          </w:tcPr>
          <w:p w14:paraId="0A9F2B06"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17424A1E" w14:textId="77777777" w:rsidR="00A72E43" w:rsidRPr="00BC1E6D" w:rsidRDefault="00A72E43" w:rsidP="00BD3816">
            <w:pPr>
              <w:spacing w:after="0" w:line="276" w:lineRule="auto"/>
              <w:rPr>
                <w:rFonts w:ascii="Times New Roman" w:eastAsia="Times New Roman" w:hAnsi="Times New Roman" w:cs="Times New Roman"/>
                <w:sz w:val="20"/>
                <w:szCs w:val="20"/>
              </w:rPr>
            </w:pPr>
          </w:p>
        </w:tc>
      </w:tr>
      <w:tr w:rsidR="00BC1E6D" w:rsidRPr="00BC1E6D" w14:paraId="147DF4B8" w14:textId="77777777" w:rsidTr="00897EDE">
        <w:trPr>
          <w:gridAfter w:val="1"/>
          <w:wAfter w:w="48" w:type="dxa"/>
          <w:trHeight w:val="300"/>
          <w:jc w:val="center"/>
        </w:trPr>
        <w:tc>
          <w:tcPr>
            <w:tcW w:w="5160" w:type="dxa"/>
            <w:gridSpan w:val="5"/>
            <w:tcBorders>
              <w:top w:val="nil"/>
              <w:left w:val="nil"/>
              <w:bottom w:val="nil"/>
              <w:right w:val="nil"/>
            </w:tcBorders>
            <w:shd w:val="clear" w:color="auto" w:fill="auto"/>
            <w:noWrap/>
            <w:vAlign w:val="bottom"/>
            <w:hideMark/>
          </w:tcPr>
          <w:p w14:paraId="6815714D" w14:textId="77777777" w:rsidR="00A72E43" w:rsidRPr="00BC1E6D" w:rsidRDefault="00A72E43" w:rsidP="00BD3816">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 xml:space="preserve">Augmented Dickey-Fuller Test for Unit Root Results </w:t>
            </w:r>
          </w:p>
        </w:tc>
        <w:tc>
          <w:tcPr>
            <w:tcW w:w="1008" w:type="dxa"/>
            <w:gridSpan w:val="2"/>
            <w:tcBorders>
              <w:top w:val="nil"/>
              <w:left w:val="nil"/>
              <w:bottom w:val="nil"/>
              <w:right w:val="nil"/>
            </w:tcBorders>
            <w:shd w:val="clear" w:color="auto" w:fill="auto"/>
            <w:noWrap/>
            <w:vAlign w:val="bottom"/>
            <w:hideMark/>
          </w:tcPr>
          <w:p w14:paraId="19A89621" w14:textId="77777777" w:rsidR="00A72E43" w:rsidRPr="00BC1E6D" w:rsidRDefault="00A72E43" w:rsidP="00BD3816">
            <w:pPr>
              <w:spacing w:after="0" w:line="276"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73942CD4" w14:textId="77777777" w:rsidR="00A72E43" w:rsidRPr="00BC1E6D" w:rsidRDefault="00A72E43" w:rsidP="00BD3816">
            <w:pPr>
              <w:spacing w:after="0" w:line="276"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1688ADBD" w14:textId="77777777" w:rsidR="00A72E43" w:rsidRPr="00BC1E6D" w:rsidRDefault="00A72E43" w:rsidP="00BD3816">
            <w:pPr>
              <w:spacing w:after="0" w:line="276" w:lineRule="auto"/>
              <w:rPr>
                <w:rFonts w:ascii="Times New Roman" w:eastAsia="Times New Roman" w:hAnsi="Times New Roman" w:cs="Times New Roman"/>
                <w:sz w:val="20"/>
                <w:szCs w:val="20"/>
              </w:rPr>
            </w:pPr>
          </w:p>
        </w:tc>
      </w:tr>
      <w:tr w:rsidR="00BC1E6D" w:rsidRPr="00BC1E6D" w14:paraId="7F1819C1" w14:textId="77777777" w:rsidTr="00897EDE">
        <w:trPr>
          <w:trHeight w:val="288"/>
          <w:jc w:val="center"/>
        </w:trPr>
        <w:tc>
          <w:tcPr>
            <w:tcW w:w="1320" w:type="dxa"/>
            <w:tcBorders>
              <w:top w:val="single" w:sz="4" w:space="0" w:color="auto"/>
              <w:left w:val="nil"/>
              <w:bottom w:val="single" w:sz="4" w:space="0" w:color="auto"/>
              <w:right w:val="nil"/>
            </w:tcBorders>
            <w:shd w:val="clear" w:color="auto" w:fill="auto"/>
            <w:noWrap/>
            <w:vAlign w:val="bottom"/>
            <w:hideMark/>
          </w:tcPr>
          <w:p w14:paraId="3F21EE24" w14:textId="77777777" w:rsidR="00A72E43" w:rsidRPr="00BC1E6D" w:rsidRDefault="00A72E43" w:rsidP="00BD3816">
            <w:pPr>
              <w:spacing w:after="0" w:line="276" w:lineRule="auto"/>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 </w:t>
            </w:r>
          </w:p>
        </w:tc>
        <w:tc>
          <w:tcPr>
            <w:tcW w:w="1008" w:type="dxa"/>
            <w:tcBorders>
              <w:top w:val="single" w:sz="4" w:space="0" w:color="auto"/>
              <w:left w:val="nil"/>
              <w:bottom w:val="single" w:sz="4" w:space="0" w:color="auto"/>
              <w:right w:val="nil"/>
            </w:tcBorders>
            <w:shd w:val="clear" w:color="auto" w:fill="auto"/>
            <w:noWrap/>
            <w:hideMark/>
          </w:tcPr>
          <w:p w14:paraId="13B9B6DE"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dIP</w:t>
            </w:r>
          </w:p>
        </w:tc>
        <w:tc>
          <w:tcPr>
            <w:tcW w:w="960" w:type="dxa"/>
            <w:tcBorders>
              <w:top w:val="single" w:sz="4" w:space="0" w:color="auto"/>
              <w:left w:val="nil"/>
              <w:bottom w:val="single" w:sz="4" w:space="0" w:color="auto"/>
              <w:right w:val="nil"/>
            </w:tcBorders>
            <w:shd w:val="clear" w:color="auto" w:fill="auto"/>
            <w:noWrap/>
            <w:hideMark/>
          </w:tcPr>
          <w:p w14:paraId="56A929AE"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dEI</w:t>
            </w:r>
          </w:p>
        </w:tc>
        <w:tc>
          <w:tcPr>
            <w:tcW w:w="960" w:type="dxa"/>
            <w:tcBorders>
              <w:top w:val="single" w:sz="4" w:space="0" w:color="auto"/>
              <w:left w:val="nil"/>
              <w:bottom w:val="single" w:sz="4" w:space="0" w:color="auto"/>
              <w:right w:val="nil"/>
            </w:tcBorders>
            <w:shd w:val="clear" w:color="auto" w:fill="auto"/>
            <w:noWrap/>
            <w:hideMark/>
          </w:tcPr>
          <w:p w14:paraId="32B0D98B"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dUPR</w:t>
            </w:r>
          </w:p>
        </w:tc>
        <w:tc>
          <w:tcPr>
            <w:tcW w:w="960" w:type="dxa"/>
            <w:gridSpan w:val="2"/>
            <w:tcBorders>
              <w:top w:val="single" w:sz="4" w:space="0" w:color="auto"/>
              <w:left w:val="nil"/>
              <w:bottom w:val="single" w:sz="4" w:space="0" w:color="auto"/>
              <w:right w:val="nil"/>
            </w:tcBorders>
            <w:shd w:val="clear" w:color="auto" w:fill="auto"/>
            <w:noWrap/>
            <w:hideMark/>
          </w:tcPr>
          <w:p w14:paraId="45968176"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dUI</w:t>
            </w:r>
          </w:p>
        </w:tc>
        <w:tc>
          <w:tcPr>
            <w:tcW w:w="960" w:type="dxa"/>
            <w:tcBorders>
              <w:top w:val="single" w:sz="4" w:space="0" w:color="auto"/>
              <w:left w:val="nil"/>
              <w:bottom w:val="single" w:sz="4" w:space="0" w:color="auto"/>
              <w:right w:val="nil"/>
            </w:tcBorders>
            <w:shd w:val="clear" w:color="auto" w:fill="auto"/>
            <w:noWrap/>
            <w:hideMark/>
          </w:tcPr>
          <w:p w14:paraId="39F16F26"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dUTS</w:t>
            </w:r>
          </w:p>
        </w:tc>
        <w:tc>
          <w:tcPr>
            <w:tcW w:w="1008" w:type="dxa"/>
            <w:gridSpan w:val="2"/>
            <w:tcBorders>
              <w:top w:val="single" w:sz="4" w:space="0" w:color="auto"/>
              <w:left w:val="nil"/>
              <w:bottom w:val="single" w:sz="4" w:space="0" w:color="auto"/>
              <w:right w:val="nil"/>
            </w:tcBorders>
            <w:shd w:val="clear" w:color="auto" w:fill="auto"/>
            <w:noWrap/>
            <w:hideMark/>
          </w:tcPr>
          <w:p w14:paraId="7E41D221"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dOP</w:t>
            </w:r>
          </w:p>
        </w:tc>
        <w:tc>
          <w:tcPr>
            <w:tcW w:w="960" w:type="dxa"/>
            <w:gridSpan w:val="3"/>
            <w:tcBorders>
              <w:top w:val="single" w:sz="4" w:space="0" w:color="auto"/>
              <w:left w:val="nil"/>
              <w:bottom w:val="single" w:sz="4" w:space="0" w:color="auto"/>
              <w:right w:val="nil"/>
            </w:tcBorders>
            <w:shd w:val="clear" w:color="auto" w:fill="auto"/>
            <w:noWrap/>
            <w:hideMark/>
          </w:tcPr>
          <w:p w14:paraId="3E272736" w14:textId="77777777"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dSP500</w:t>
            </w:r>
          </w:p>
        </w:tc>
      </w:tr>
      <w:tr w:rsidR="00BC1E6D" w:rsidRPr="00BC1E6D" w14:paraId="4793D059" w14:textId="77777777" w:rsidTr="00897EDE">
        <w:trPr>
          <w:trHeight w:val="300"/>
          <w:jc w:val="center"/>
        </w:trPr>
        <w:tc>
          <w:tcPr>
            <w:tcW w:w="1320" w:type="dxa"/>
            <w:tcBorders>
              <w:top w:val="nil"/>
              <w:left w:val="nil"/>
              <w:bottom w:val="nil"/>
              <w:right w:val="nil"/>
            </w:tcBorders>
            <w:shd w:val="clear" w:color="auto" w:fill="auto"/>
            <w:noWrap/>
            <w:hideMark/>
          </w:tcPr>
          <w:p w14:paraId="5AA10AD5" w14:textId="105169CE" w:rsidR="00A72E43" w:rsidRPr="00BC1E6D" w:rsidRDefault="00A72E43"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ADF  Stat</w:t>
            </w:r>
          </w:p>
        </w:tc>
        <w:tc>
          <w:tcPr>
            <w:tcW w:w="1008" w:type="dxa"/>
            <w:tcBorders>
              <w:top w:val="nil"/>
              <w:left w:val="nil"/>
              <w:bottom w:val="nil"/>
              <w:right w:val="nil"/>
            </w:tcBorders>
            <w:shd w:val="clear" w:color="auto" w:fill="auto"/>
            <w:noWrap/>
            <w:vAlign w:val="bottom"/>
            <w:hideMark/>
          </w:tcPr>
          <w:p w14:paraId="6F2961D2"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-10.4545</w:t>
            </w:r>
          </w:p>
        </w:tc>
        <w:tc>
          <w:tcPr>
            <w:tcW w:w="960" w:type="dxa"/>
            <w:tcBorders>
              <w:top w:val="nil"/>
              <w:left w:val="nil"/>
              <w:bottom w:val="nil"/>
              <w:right w:val="nil"/>
            </w:tcBorders>
            <w:shd w:val="clear" w:color="auto" w:fill="auto"/>
            <w:noWrap/>
            <w:vAlign w:val="bottom"/>
            <w:hideMark/>
          </w:tcPr>
          <w:p w14:paraId="219AAA54"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-7.3252</w:t>
            </w:r>
          </w:p>
        </w:tc>
        <w:tc>
          <w:tcPr>
            <w:tcW w:w="960" w:type="dxa"/>
            <w:tcBorders>
              <w:top w:val="nil"/>
              <w:left w:val="nil"/>
              <w:bottom w:val="nil"/>
              <w:right w:val="nil"/>
            </w:tcBorders>
            <w:shd w:val="clear" w:color="auto" w:fill="auto"/>
            <w:noWrap/>
            <w:vAlign w:val="bottom"/>
            <w:hideMark/>
          </w:tcPr>
          <w:p w14:paraId="458527DD"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-7.5669</w:t>
            </w:r>
          </w:p>
        </w:tc>
        <w:tc>
          <w:tcPr>
            <w:tcW w:w="960" w:type="dxa"/>
            <w:gridSpan w:val="2"/>
            <w:tcBorders>
              <w:top w:val="nil"/>
              <w:left w:val="nil"/>
              <w:bottom w:val="nil"/>
              <w:right w:val="nil"/>
            </w:tcBorders>
            <w:shd w:val="clear" w:color="auto" w:fill="auto"/>
            <w:noWrap/>
            <w:vAlign w:val="bottom"/>
            <w:hideMark/>
          </w:tcPr>
          <w:p w14:paraId="205730D7"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-9.3685</w:t>
            </w:r>
          </w:p>
        </w:tc>
        <w:tc>
          <w:tcPr>
            <w:tcW w:w="960" w:type="dxa"/>
            <w:tcBorders>
              <w:top w:val="nil"/>
              <w:left w:val="nil"/>
              <w:bottom w:val="nil"/>
              <w:right w:val="nil"/>
            </w:tcBorders>
            <w:shd w:val="clear" w:color="auto" w:fill="auto"/>
            <w:noWrap/>
            <w:vAlign w:val="bottom"/>
            <w:hideMark/>
          </w:tcPr>
          <w:p w14:paraId="4BF95CA1"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-6.9869</w:t>
            </w:r>
          </w:p>
        </w:tc>
        <w:tc>
          <w:tcPr>
            <w:tcW w:w="1008" w:type="dxa"/>
            <w:gridSpan w:val="2"/>
            <w:tcBorders>
              <w:top w:val="nil"/>
              <w:left w:val="nil"/>
              <w:bottom w:val="nil"/>
              <w:right w:val="nil"/>
            </w:tcBorders>
            <w:shd w:val="clear" w:color="auto" w:fill="auto"/>
            <w:noWrap/>
            <w:vAlign w:val="bottom"/>
            <w:hideMark/>
          </w:tcPr>
          <w:p w14:paraId="386372FE"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-10.5661</w:t>
            </w:r>
          </w:p>
        </w:tc>
        <w:tc>
          <w:tcPr>
            <w:tcW w:w="960" w:type="dxa"/>
            <w:gridSpan w:val="3"/>
            <w:tcBorders>
              <w:top w:val="nil"/>
              <w:left w:val="nil"/>
              <w:bottom w:val="nil"/>
              <w:right w:val="nil"/>
            </w:tcBorders>
            <w:shd w:val="clear" w:color="auto" w:fill="auto"/>
            <w:noWrap/>
            <w:vAlign w:val="bottom"/>
            <w:hideMark/>
          </w:tcPr>
          <w:p w14:paraId="5A3F4055" w14:textId="77777777" w:rsidR="00A72E43" w:rsidRPr="00BC1E6D" w:rsidRDefault="00A72E43"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-7.4152</w:t>
            </w:r>
          </w:p>
        </w:tc>
      </w:tr>
      <w:tr w:rsidR="00BC1E6D" w:rsidRPr="00BC1E6D" w14:paraId="3CB8881C" w14:textId="77777777" w:rsidTr="00897EDE">
        <w:trPr>
          <w:trHeight w:val="300"/>
          <w:jc w:val="center"/>
        </w:trPr>
        <w:tc>
          <w:tcPr>
            <w:tcW w:w="1320" w:type="dxa"/>
            <w:tcBorders>
              <w:top w:val="nil"/>
              <w:left w:val="nil"/>
              <w:bottom w:val="single" w:sz="4" w:space="0" w:color="auto"/>
              <w:right w:val="nil"/>
            </w:tcBorders>
            <w:shd w:val="clear" w:color="auto" w:fill="auto"/>
            <w:noWrap/>
            <w:hideMark/>
          </w:tcPr>
          <w:p w14:paraId="0CACCD83" w14:textId="49F89818" w:rsidR="00A72E43" w:rsidRPr="00BC1E6D" w:rsidRDefault="00746E4C"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P(ADF)</w:t>
            </w:r>
          </w:p>
        </w:tc>
        <w:tc>
          <w:tcPr>
            <w:tcW w:w="1008" w:type="dxa"/>
            <w:tcBorders>
              <w:top w:val="nil"/>
              <w:left w:val="nil"/>
              <w:bottom w:val="single" w:sz="4" w:space="0" w:color="auto"/>
              <w:right w:val="nil"/>
            </w:tcBorders>
            <w:shd w:val="clear" w:color="auto" w:fill="auto"/>
            <w:noWrap/>
            <w:vAlign w:val="bottom"/>
            <w:hideMark/>
          </w:tcPr>
          <w:p w14:paraId="5C54D2A3" w14:textId="0DAC81CA"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w:t>
            </w:r>
            <w:r w:rsidR="00A72E43" w:rsidRPr="00BC1E6D">
              <w:rPr>
                <w:rFonts w:ascii="Times New Roman" w:eastAsia="Times New Roman" w:hAnsi="Times New Roman" w:cs="Times New Roman"/>
                <w:sz w:val="20"/>
                <w:szCs w:val="20"/>
              </w:rPr>
              <w:t>0</w:t>
            </w:r>
            <w:r w:rsidRPr="00BC1E6D">
              <w:rPr>
                <w:rFonts w:ascii="Times New Roman" w:eastAsia="Times New Roman" w:hAnsi="Times New Roman" w:cs="Times New Roman"/>
                <w:sz w:val="20"/>
                <w:szCs w:val="20"/>
              </w:rPr>
              <w:t>.0001</w:t>
            </w:r>
          </w:p>
        </w:tc>
        <w:tc>
          <w:tcPr>
            <w:tcW w:w="960" w:type="dxa"/>
            <w:tcBorders>
              <w:top w:val="nil"/>
              <w:left w:val="nil"/>
              <w:bottom w:val="single" w:sz="4" w:space="0" w:color="auto"/>
              <w:right w:val="nil"/>
            </w:tcBorders>
            <w:shd w:val="clear" w:color="auto" w:fill="auto"/>
            <w:noWrap/>
            <w:vAlign w:val="bottom"/>
            <w:hideMark/>
          </w:tcPr>
          <w:p w14:paraId="3D218BF6" w14:textId="4417E4B0"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w:t>
            </w:r>
            <w:r w:rsidR="00A72E43" w:rsidRPr="00BC1E6D">
              <w:rPr>
                <w:rFonts w:ascii="Times New Roman" w:eastAsia="Times New Roman" w:hAnsi="Times New Roman" w:cs="Times New Roman"/>
                <w:sz w:val="20"/>
                <w:szCs w:val="20"/>
              </w:rPr>
              <w:t>0</w:t>
            </w:r>
            <w:r w:rsidRPr="00BC1E6D">
              <w:rPr>
                <w:rFonts w:ascii="Times New Roman" w:eastAsia="Times New Roman" w:hAnsi="Times New Roman" w:cs="Times New Roman"/>
                <w:sz w:val="20"/>
                <w:szCs w:val="20"/>
              </w:rPr>
              <w:t>.0001</w:t>
            </w:r>
          </w:p>
        </w:tc>
        <w:tc>
          <w:tcPr>
            <w:tcW w:w="960" w:type="dxa"/>
            <w:tcBorders>
              <w:top w:val="nil"/>
              <w:left w:val="nil"/>
              <w:bottom w:val="single" w:sz="4" w:space="0" w:color="auto"/>
              <w:right w:val="nil"/>
            </w:tcBorders>
            <w:shd w:val="clear" w:color="auto" w:fill="auto"/>
            <w:noWrap/>
            <w:vAlign w:val="bottom"/>
            <w:hideMark/>
          </w:tcPr>
          <w:p w14:paraId="4B03208D" w14:textId="63053A02"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&lt;0.0001</w:t>
            </w:r>
          </w:p>
        </w:tc>
        <w:tc>
          <w:tcPr>
            <w:tcW w:w="960" w:type="dxa"/>
            <w:gridSpan w:val="2"/>
            <w:tcBorders>
              <w:top w:val="nil"/>
              <w:left w:val="nil"/>
              <w:bottom w:val="single" w:sz="4" w:space="0" w:color="auto"/>
              <w:right w:val="nil"/>
            </w:tcBorders>
            <w:shd w:val="clear" w:color="auto" w:fill="auto"/>
            <w:noWrap/>
            <w:vAlign w:val="bottom"/>
            <w:hideMark/>
          </w:tcPr>
          <w:p w14:paraId="5204A64D" w14:textId="43F2AD4D"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&lt;0.0001</w:t>
            </w:r>
          </w:p>
        </w:tc>
        <w:tc>
          <w:tcPr>
            <w:tcW w:w="960" w:type="dxa"/>
            <w:tcBorders>
              <w:top w:val="nil"/>
              <w:left w:val="nil"/>
              <w:bottom w:val="single" w:sz="4" w:space="0" w:color="auto"/>
              <w:right w:val="nil"/>
            </w:tcBorders>
            <w:shd w:val="clear" w:color="auto" w:fill="auto"/>
            <w:noWrap/>
            <w:vAlign w:val="bottom"/>
            <w:hideMark/>
          </w:tcPr>
          <w:p w14:paraId="176CB317" w14:textId="2A0231F5"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&lt;0.0001</w:t>
            </w:r>
          </w:p>
        </w:tc>
        <w:tc>
          <w:tcPr>
            <w:tcW w:w="1008" w:type="dxa"/>
            <w:gridSpan w:val="2"/>
            <w:tcBorders>
              <w:top w:val="nil"/>
              <w:left w:val="nil"/>
              <w:bottom w:val="single" w:sz="4" w:space="0" w:color="auto"/>
              <w:right w:val="nil"/>
            </w:tcBorders>
            <w:shd w:val="clear" w:color="auto" w:fill="auto"/>
            <w:noWrap/>
            <w:vAlign w:val="bottom"/>
            <w:hideMark/>
          </w:tcPr>
          <w:p w14:paraId="401F2809" w14:textId="7E745028"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&lt;0.0001</w:t>
            </w:r>
          </w:p>
        </w:tc>
        <w:tc>
          <w:tcPr>
            <w:tcW w:w="960" w:type="dxa"/>
            <w:gridSpan w:val="3"/>
            <w:tcBorders>
              <w:top w:val="nil"/>
              <w:left w:val="nil"/>
              <w:bottom w:val="single" w:sz="4" w:space="0" w:color="auto"/>
              <w:right w:val="nil"/>
            </w:tcBorders>
            <w:shd w:val="clear" w:color="auto" w:fill="auto"/>
            <w:noWrap/>
            <w:vAlign w:val="bottom"/>
            <w:hideMark/>
          </w:tcPr>
          <w:p w14:paraId="064FC155" w14:textId="1BC70CCE" w:rsidR="00A72E43" w:rsidRPr="00BC1E6D" w:rsidRDefault="00897EDE"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&lt;0.0001</w:t>
            </w:r>
          </w:p>
        </w:tc>
      </w:tr>
      <w:tr w:rsidR="00A72E43" w:rsidRPr="00BC1E6D" w14:paraId="59BBC3FA" w14:textId="77777777" w:rsidTr="00897EDE">
        <w:trPr>
          <w:gridAfter w:val="2"/>
          <w:wAfter w:w="96" w:type="dxa"/>
          <w:trHeight w:val="300"/>
          <w:jc w:val="center"/>
        </w:trPr>
        <w:tc>
          <w:tcPr>
            <w:tcW w:w="8040" w:type="dxa"/>
            <w:gridSpan w:val="10"/>
            <w:tcBorders>
              <w:top w:val="nil"/>
              <w:left w:val="nil"/>
              <w:bottom w:val="nil"/>
              <w:right w:val="nil"/>
            </w:tcBorders>
            <w:shd w:val="clear" w:color="auto" w:fill="auto"/>
            <w:noWrap/>
            <w:vAlign w:val="bottom"/>
            <w:hideMark/>
          </w:tcPr>
          <w:p w14:paraId="0E4A76C9" w14:textId="77777777" w:rsidR="00A72E43" w:rsidRPr="00BC1E6D" w:rsidRDefault="00A72E43" w:rsidP="00BD3816">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Note: Null Hypothesis is that there is a unit root; low p-value implies absence of unit root</w:t>
            </w:r>
          </w:p>
        </w:tc>
      </w:tr>
    </w:tbl>
    <w:p w14:paraId="3174C8DA" w14:textId="77777777" w:rsidR="00A72E43" w:rsidRPr="00BC1E6D" w:rsidRDefault="00A72E43" w:rsidP="00BD3816">
      <w:pPr>
        <w:spacing w:line="276" w:lineRule="auto"/>
        <w:rPr>
          <w:rFonts w:ascii="Times New Roman" w:hAnsi="Times New Roman" w:cs="Times New Roman"/>
          <w:sz w:val="24"/>
          <w:szCs w:val="24"/>
        </w:rPr>
      </w:pPr>
    </w:p>
    <w:p w14:paraId="361460A2" w14:textId="32B88FD9" w:rsidR="003245FF" w:rsidRPr="00BC1E6D" w:rsidRDefault="00803154" w:rsidP="00BD3816">
      <w:pPr>
        <w:pStyle w:val="ListParagraph"/>
        <w:numPr>
          <w:ilvl w:val="0"/>
          <w:numId w:val="7"/>
        </w:numPr>
        <w:spacing w:line="276" w:lineRule="auto"/>
        <w:rPr>
          <w:rFonts w:ascii="Times New Roman" w:hAnsi="Times New Roman" w:cs="Times New Roman"/>
          <w:sz w:val="24"/>
          <w:szCs w:val="24"/>
        </w:rPr>
      </w:pPr>
      <w:r w:rsidRPr="00BC1E6D">
        <w:rPr>
          <w:rFonts w:ascii="Times New Roman" w:hAnsi="Times New Roman" w:cs="Times New Roman"/>
          <w:sz w:val="24"/>
          <w:szCs w:val="24"/>
        </w:rPr>
        <w:t>No perfect collinearity – This requirement is satisfied for our data</w:t>
      </w:r>
      <w:r w:rsidR="000056C7" w:rsidRPr="00BC1E6D">
        <w:rPr>
          <w:rFonts w:ascii="Times New Roman" w:hAnsi="Times New Roman" w:cs="Times New Roman"/>
          <w:sz w:val="24"/>
          <w:szCs w:val="24"/>
        </w:rPr>
        <w:t>,</w:t>
      </w:r>
      <w:r w:rsidRPr="00BC1E6D">
        <w:rPr>
          <w:rFonts w:ascii="Times New Roman" w:hAnsi="Times New Roman" w:cs="Times New Roman"/>
          <w:sz w:val="24"/>
          <w:szCs w:val="24"/>
        </w:rPr>
        <w:t xml:space="preserve"> shown in</w:t>
      </w:r>
      <w:r w:rsidR="003245FF" w:rsidRPr="00BC1E6D">
        <w:rPr>
          <w:rFonts w:ascii="Times New Roman" w:hAnsi="Times New Roman" w:cs="Times New Roman"/>
          <w:sz w:val="24"/>
          <w:szCs w:val="24"/>
        </w:rPr>
        <w:t xml:space="preserve"> table </w:t>
      </w:r>
      <w:r w:rsidR="000056C7" w:rsidRPr="00BC1E6D">
        <w:rPr>
          <w:rFonts w:ascii="Times New Roman" w:hAnsi="Times New Roman" w:cs="Times New Roman"/>
          <w:sz w:val="24"/>
          <w:szCs w:val="24"/>
        </w:rPr>
        <w:t>2</w:t>
      </w:r>
      <w:r w:rsidR="003245FF" w:rsidRPr="00BC1E6D">
        <w:rPr>
          <w:rFonts w:ascii="Times New Roman" w:hAnsi="Times New Roman" w:cs="Times New Roman"/>
          <w:sz w:val="24"/>
          <w:szCs w:val="24"/>
        </w:rPr>
        <w:t xml:space="preserve">. </w:t>
      </w:r>
    </w:p>
    <w:p w14:paraId="15B676CD" w14:textId="77777777" w:rsidR="00C85E75" w:rsidRPr="00BC1E6D" w:rsidRDefault="00E60FB8" w:rsidP="00BD3816">
      <w:pPr>
        <w:pStyle w:val="ListParagraph"/>
        <w:numPr>
          <w:ilvl w:val="0"/>
          <w:numId w:val="7"/>
        </w:num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Zero conditional mean </w:t>
      </w:r>
      <w:r w:rsidR="00C85E75" w:rsidRPr="00BC1E6D">
        <w:rPr>
          <w:rFonts w:ascii="Times New Roman" w:hAnsi="Times New Roman" w:cs="Times New Roman"/>
          <w:sz w:val="24"/>
          <w:szCs w:val="24"/>
        </w:rPr>
        <w:t>–</w:t>
      </w:r>
      <w:r w:rsidRPr="00BC1E6D">
        <w:rPr>
          <w:rFonts w:ascii="Times New Roman" w:hAnsi="Times New Roman" w:cs="Times New Roman"/>
          <w:sz w:val="24"/>
          <w:szCs w:val="24"/>
        </w:rPr>
        <w:t xml:space="preserve"> </w:t>
      </w:r>
      <w:r w:rsidR="00C85E75" w:rsidRPr="00BC1E6D">
        <w:rPr>
          <w:rFonts w:ascii="Times New Roman" w:hAnsi="Times New Roman" w:cs="Times New Roman"/>
          <w:sz w:val="24"/>
          <w:szCs w:val="24"/>
        </w:rPr>
        <w:t xml:space="preserve">errors are exogenous </w:t>
      </w:r>
    </w:p>
    <w:p w14:paraId="379AB69D" w14:textId="6120DA37" w:rsidR="004D639F" w:rsidRPr="00BC1E6D" w:rsidRDefault="00BE5CB8" w:rsidP="00BD3816">
      <w:pPr>
        <w:pStyle w:val="ListParagraph"/>
        <w:spacing w:line="276" w:lineRule="auto"/>
        <w:ind w:left="1125"/>
        <w:rPr>
          <w:rFonts w:ascii="Times New Roman" w:hAnsi="Times New Roman" w:cs="Times New Roman"/>
          <w:sz w:val="24"/>
          <w:szCs w:val="24"/>
        </w:rPr>
      </w:pPr>
      <w:r w:rsidRPr="00BC1E6D">
        <w:rPr>
          <w:rFonts w:ascii="Times New Roman" w:hAnsi="Times New Roman" w:cs="Times New Roman"/>
          <w:sz w:val="24"/>
          <w:szCs w:val="24"/>
        </w:rPr>
        <w:t>All</w:t>
      </w:r>
      <w:r w:rsidR="00F33CDA" w:rsidRPr="00BC1E6D">
        <w:rPr>
          <w:rFonts w:ascii="Times New Roman" w:hAnsi="Times New Roman" w:cs="Times New Roman"/>
          <w:sz w:val="24"/>
          <w:szCs w:val="24"/>
        </w:rPr>
        <w:t xml:space="preserve"> the exogenous variables, in every model, have a correlation with the residuals of </w:t>
      </w:r>
      <w:r w:rsidR="008860AF" w:rsidRPr="00BC1E6D">
        <w:rPr>
          <w:rFonts w:ascii="Times New Roman" w:hAnsi="Times New Roman" w:cs="Times New Roman"/>
          <w:sz w:val="24"/>
          <w:szCs w:val="24"/>
        </w:rPr>
        <w:t>&lt; 0.0001. Additionally, the residuals display no skew in their distribution</w:t>
      </w:r>
      <w:r w:rsidR="00C51813" w:rsidRPr="00BC1E6D">
        <w:rPr>
          <w:rFonts w:ascii="Times New Roman" w:hAnsi="Times New Roman" w:cs="Times New Roman"/>
          <w:sz w:val="24"/>
          <w:szCs w:val="24"/>
        </w:rPr>
        <w:t xml:space="preserve"> and have a mean of 0, shown in figure 5. </w:t>
      </w:r>
    </w:p>
    <w:p w14:paraId="37A4B992" w14:textId="497AD99A" w:rsidR="00E762FC" w:rsidRPr="00BC1E6D" w:rsidRDefault="00292830" w:rsidP="00BD3816">
      <w:pPr>
        <w:pStyle w:val="ListParagraph"/>
        <w:keepNext/>
        <w:spacing w:line="276" w:lineRule="auto"/>
        <w:ind w:left="0"/>
        <w:jc w:val="center"/>
        <w:rPr>
          <w:rFonts w:ascii="Times New Roman" w:hAnsi="Times New Roman" w:cs="Times New Roman"/>
          <w:sz w:val="24"/>
          <w:szCs w:val="24"/>
        </w:rPr>
      </w:pPr>
      <w:r>
        <w:rPr>
          <w:noProof/>
        </w:rPr>
        <w:lastRenderedPageBreak/>
        <w:drawing>
          <wp:inline distT="0" distB="0" distL="0" distR="0" wp14:anchorId="2489BD04" wp14:editId="04BA4767">
            <wp:extent cx="5838825" cy="2987407"/>
            <wp:effectExtent l="0" t="0" r="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118" cy="2990115"/>
                    </a:xfrm>
                    <a:prstGeom prst="rect">
                      <a:avLst/>
                    </a:prstGeom>
                    <a:noFill/>
                    <a:ln>
                      <a:noFill/>
                    </a:ln>
                  </pic:spPr>
                </pic:pic>
              </a:graphicData>
            </a:graphic>
          </wp:inline>
        </w:drawing>
      </w:r>
    </w:p>
    <w:p w14:paraId="2C75EFC4" w14:textId="3627F187" w:rsidR="00E762FC" w:rsidRPr="00BC1E6D" w:rsidRDefault="00E762FC" w:rsidP="00BD3816">
      <w:pPr>
        <w:pStyle w:val="Caption"/>
        <w:spacing w:line="276" w:lineRule="auto"/>
        <w:jc w:val="center"/>
        <w:rPr>
          <w:rFonts w:ascii="Times New Roman" w:hAnsi="Times New Roman" w:cs="Times New Roman"/>
          <w:color w:val="auto"/>
          <w:sz w:val="24"/>
          <w:szCs w:val="24"/>
        </w:rPr>
      </w:pPr>
      <w:r w:rsidRPr="00BC1E6D">
        <w:rPr>
          <w:rFonts w:ascii="Times New Roman" w:hAnsi="Times New Roman" w:cs="Times New Roman"/>
          <w:color w:val="auto"/>
          <w:sz w:val="24"/>
          <w:szCs w:val="24"/>
        </w:rPr>
        <w:t xml:space="preserve">Figure </w:t>
      </w:r>
      <w:r w:rsidR="0027579F" w:rsidRPr="00BC1E6D">
        <w:rPr>
          <w:rFonts w:ascii="Times New Roman" w:hAnsi="Times New Roman" w:cs="Times New Roman"/>
          <w:color w:val="auto"/>
          <w:sz w:val="24"/>
          <w:szCs w:val="24"/>
        </w:rPr>
        <w:t>5</w:t>
      </w:r>
      <w:r w:rsidRPr="00BC1E6D">
        <w:rPr>
          <w:rFonts w:ascii="Times New Roman" w:hAnsi="Times New Roman" w:cs="Times New Roman"/>
          <w:color w:val="auto"/>
          <w:sz w:val="24"/>
          <w:szCs w:val="24"/>
        </w:rPr>
        <w:t>: residual plots for each sector's model</w:t>
      </w:r>
    </w:p>
    <w:p w14:paraId="71427CBD" w14:textId="5DE6EE3A" w:rsidR="00E94853" w:rsidRPr="00BC1E6D" w:rsidRDefault="00EA6622" w:rsidP="00BD3816">
      <w:pPr>
        <w:pStyle w:val="ListParagraph"/>
        <w:numPr>
          <w:ilvl w:val="0"/>
          <w:numId w:val="7"/>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The error terms are contemporaneously homoscedastic</w:t>
      </w:r>
    </w:p>
    <w:p w14:paraId="422684DF" w14:textId="63D4E9F8" w:rsidR="00D908DD" w:rsidRPr="00D908DD" w:rsidRDefault="00792A50" w:rsidP="00D908DD">
      <w:pPr>
        <w:pStyle w:val="ListParagraph"/>
        <w:spacing w:line="276" w:lineRule="auto"/>
        <w:ind w:left="1125"/>
        <w:rPr>
          <w:rFonts w:ascii="Times New Roman" w:hAnsi="Times New Roman" w:cs="Times New Roman"/>
          <w:sz w:val="24"/>
          <w:szCs w:val="24"/>
        </w:rPr>
      </w:pPr>
      <w:r w:rsidRPr="00BC1E6D">
        <w:rPr>
          <w:rFonts w:ascii="Times New Roman" w:hAnsi="Times New Roman" w:cs="Times New Roman"/>
          <w:sz w:val="24"/>
          <w:szCs w:val="24"/>
        </w:rPr>
        <w:t xml:space="preserve">A </w:t>
      </w:r>
      <w:r w:rsidR="00EC333E" w:rsidRPr="00BC1E6D">
        <w:rPr>
          <w:rFonts w:ascii="Times New Roman" w:hAnsi="Times New Roman" w:cs="Times New Roman"/>
          <w:sz w:val="24"/>
          <w:szCs w:val="24"/>
        </w:rPr>
        <w:t xml:space="preserve">Breusch-Pagan test </w:t>
      </w:r>
      <w:r w:rsidRPr="00BC1E6D">
        <w:rPr>
          <w:rFonts w:ascii="Times New Roman" w:hAnsi="Times New Roman" w:cs="Times New Roman"/>
          <w:sz w:val="24"/>
          <w:szCs w:val="24"/>
        </w:rPr>
        <w:t>was performed on each secto</w:t>
      </w:r>
      <w:r w:rsidR="00E92826" w:rsidRPr="00BC1E6D">
        <w:rPr>
          <w:rFonts w:ascii="Times New Roman" w:hAnsi="Times New Roman" w:cs="Times New Roman"/>
          <w:sz w:val="24"/>
          <w:szCs w:val="24"/>
        </w:rPr>
        <w:t xml:space="preserve">r’s residuals, and </w:t>
      </w:r>
      <w:r w:rsidR="00EC333E" w:rsidRPr="00BC1E6D">
        <w:rPr>
          <w:rFonts w:ascii="Times New Roman" w:hAnsi="Times New Roman" w:cs="Times New Roman"/>
          <w:sz w:val="24"/>
          <w:szCs w:val="24"/>
        </w:rPr>
        <w:t xml:space="preserve">most of the sector’s models shows results that are insignificant at the 5% level, implying that the condition holds. The sectors of consumer discretionary and consumer staples had significant results. These are shown in table 9. </w:t>
      </w:r>
    </w:p>
    <w:tbl>
      <w:tblPr>
        <w:tblW w:w="16880" w:type="dxa"/>
        <w:tblLook w:val="04A0" w:firstRow="1" w:lastRow="0" w:firstColumn="1" w:lastColumn="0" w:noHBand="0" w:noVBand="1"/>
      </w:tblPr>
      <w:tblGrid>
        <w:gridCol w:w="911"/>
        <w:gridCol w:w="666"/>
        <w:gridCol w:w="766"/>
        <w:gridCol w:w="613"/>
        <w:gridCol w:w="153"/>
        <w:gridCol w:w="666"/>
        <w:gridCol w:w="666"/>
        <w:gridCol w:w="666"/>
        <w:gridCol w:w="766"/>
        <w:gridCol w:w="766"/>
        <w:gridCol w:w="1080"/>
        <w:gridCol w:w="76"/>
        <w:gridCol w:w="924"/>
        <w:gridCol w:w="1120"/>
        <w:gridCol w:w="336"/>
        <w:gridCol w:w="2440"/>
        <w:gridCol w:w="1020"/>
        <w:gridCol w:w="1180"/>
        <w:gridCol w:w="740"/>
        <w:gridCol w:w="1780"/>
        <w:gridCol w:w="860"/>
        <w:gridCol w:w="1080"/>
        <w:gridCol w:w="1000"/>
        <w:gridCol w:w="1120"/>
      </w:tblGrid>
      <w:tr w:rsidR="00BC1E6D" w:rsidRPr="00BC1E6D" w14:paraId="5E2D1FE2" w14:textId="77777777" w:rsidTr="00EC333E">
        <w:trPr>
          <w:trHeight w:val="300"/>
        </w:trPr>
        <w:tc>
          <w:tcPr>
            <w:tcW w:w="900" w:type="dxa"/>
            <w:gridSpan w:val="4"/>
            <w:tcBorders>
              <w:top w:val="nil"/>
              <w:left w:val="nil"/>
              <w:bottom w:val="nil"/>
              <w:right w:val="nil"/>
            </w:tcBorders>
            <w:shd w:val="clear" w:color="auto" w:fill="auto"/>
            <w:noWrap/>
            <w:vAlign w:val="bottom"/>
            <w:hideMark/>
          </w:tcPr>
          <w:p w14:paraId="43C95B10" w14:textId="77777777" w:rsidR="00EC333E" w:rsidRPr="00BC1E6D" w:rsidRDefault="00EC333E" w:rsidP="00481AE9">
            <w:pPr>
              <w:spacing w:after="0" w:line="276" w:lineRule="auto"/>
              <w:rPr>
                <w:rFonts w:ascii="Times New Roman" w:eastAsia="Times New Roman" w:hAnsi="Times New Roman" w:cs="Times New Roman"/>
                <w:b/>
                <w:bCs/>
                <w:sz w:val="20"/>
                <w:szCs w:val="20"/>
              </w:rPr>
            </w:pPr>
            <w:r w:rsidRPr="00BC1E6D">
              <w:rPr>
                <w:rFonts w:ascii="Times New Roman" w:eastAsia="Times New Roman" w:hAnsi="Times New Roman" w:cs="Times New Roman"/>
                <w:b/>
                <w:bCs/>
                <w:sz w:val="20"/>
                <w:szCs w:val="20"/>
              </w:rPr>
              <w:t>Table 9</w:t>
            </w:r>
          </w:p>
        </w:tc>
        <w:tc>
          <w:tcPr>
            <w:tcW w:w="2380" w:type="dxa"/>
            <w:gridSpan w:val="8"/>
            <w:tcBorders>
              <w:top w:val="nil"/>
              <w:left w:val="nil"/>
              <w:bottom w:val="nil"/>
              <w:right w:val="nil"/>
            </w:tcBorders>
            <w:shd w:val="clear" w:color="auto" w:fill="auto"/>
            <w:noWrap/>
            <w:vAlign w:val="bottom"/>
            <w:hideMark/>
          </w:tcPr>
          <w:p w14:paraId="1EB74A4F" w14:textId="77777777" w:rsidR="00EC333E" w:rsidRPr="00BC1E6D" w:rsidRDefault="00EC333E" w:rsidP="00481AE9">
            <w:pPr>
              <w:spacing w:after="0" w:line="276" w:lineRule="auto"/>
              <w:rPr>
                <w:rFonts w:ascii="Times New Roman" w:eastAsia="Times New Roman" w:hAnsi="Times New Roman" w:cs="Times New Roman"/>
                <w:b/>
                <w:bCs/>
                <w:sz w:val="20"/>
                <w:szCs w:val="20"/>
              </w:rPr>
            </w:pPr>
          </w:p>
        </w:tc>
        <w:tc>
          <w:tcPr>
            <w:tcW w:w="2380" w:type="dxa"/>
            <w:gridSpan w:val="3"/>
            <w:tcBorders>
              <w:top w:val="nil"/>
              <w:left w:val="nil"/>
              <w:bottom w:val="nil"/>
              <w:right w:val="nil"/>
            </w:tcBorders>
            <w:shd w:val="clear" w:color="auto" w:fill="auto"/>
            <w:noWrap/>
            <w:vAlign w:val="bottom"/>
            <w:hideMark/>
          </w:tcPr>
          <w:p w14:paraId="78AA75D6"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3E779B56"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D8F112E"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492CA82"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14:paraId="4E6FAAED"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2CFD2DCD"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vAlign w:val="bottom"/>
            <w:hideMark/>
          </w:tcPr>
          <w:p w14:paraId="07D2D3F0"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3E195616"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D0850CC"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1094E6" w14:textId="77777777" w:rsidR="00EC333E" w:rsidRPr="00BC1E6D" w:rsidRDefault="00EC333E" w:rsidP="00481AE9">
            <w:pPr>
              <w:spacing w:after="0" w:line="276" w:lineRule="auto"/>
              <w:rPr>
                <w:rFonts w:ascii="Times New Roman" w:eastAsia="Times New Roman" w:hAnsi="Times New Roman" w:cs="Times New Roman"/>
                <w:sz w:val="20"/>
                <w:szCs w:val="20"/>
              </w:rPr>
            </w:pPr>
          </w:p>
        </w:tc>
      </w:tr>
      <w:tr w:rsidR="00BC1E6D" w:rsidRPr="00BC1E6D" w14:paraId="79B186C0" w14:textId="77777777" w:rsidTr="00EC333E">
        <w:trPr>
          <w:trHeight w:val="300"/>
        </w:trPr>
        <w:tc>
          <w:tcPr>
            <w:tcW w:w="8100" w:type="dxa"/>
            <w:gridSpan w:val="16"/>
            <w:tcBorders>
              <w:top w:val="nil"/>
              <w:left w:val="nil"/>
              <w:bottom w:val="nil"/>
              <w:right w:val="nil"/>
            </w:tcBorders>
            <w:shd w:val="clear" w:color="auto" w:fill="auto"/>
            <w:noWrap/>
            <w:vAlign w:val="bottom"/>
            <w:hideMark/>
          </w:tcPr>
          <w:p w14:paraId="042D0356" w14:textId="77777777" w:rsidR="00EC333E" w:rsidRPr="00BC1E6D" w:rsidRDefault="00EC333E" w:rsidP="00481AE9">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 xml:space="preserve">Results of Breusch-Pagan Test on Errors of Regression for Each Sector </w:t>
            </w:r>
          </w:p>
        </w:tc>
        <w:tc>
          <w:tcPr>
            <w:tcW w:w="1020" w:type="dxa"/>
            <w:tcBorders>
              <w:top w:val="nil"/>
              <w:left w:val="nil"/>
              <w:bottom w:val="nil"/>
              <w:right w:val="nil"/>
            </w:tcBorders>
            <w:shd w:val="clear" w:color="auto" w:fill="auto"/>
            <w:noWrap/>
            <w:vAlign w:val="bottom"/>
            <w:hideMark/>
          </w:tcPr>
          <w:p w14:paraId="4DE5B2BD" w14:textId="77777777" w:rsidR="00EC333E" w:rsidRPr="00BC1E6D" w:rsidRDefault="00EC333E" w:rsidP="00481AE9">
            <w:pPr>
              <w:spacing w:after="0" w:line="276" w:lineRule="auto"/>
              <w:rPr>
                <w:rFonts w:ascii="Times New Roman" w:eastAsia="Times New Roman" w:hAnsi="Times New Roman" w:cs="Times New Roman"/>
                <w:i/>
                <w:iCs/>
                <w:sz w:val="20"/>
                <w:szCs w:val="20"/>
              </w:rPr>
            </w:pPr>
          </w:p>
        </w:tc>
        <w:tc>
          <w:tcPr>
            <w:tcW w:w="1180" w:type="dxa"/>
            <w:tcBorders>
              <w:top w:val="nil"/>
              <w:left w:val="nil"/>
              <w:bottom w:val="nil"/>
              <w:right w:val="nil"/>
            </w:tcBorders>
            <w:shd w:val="clear" w:color="auto" w:fill="auto"/>
            <w:noWrap/>
            <w:vAlign w:val="bottom"/>
            <w:hideMark/>
          </w:tcPr>
          <w:p w14:paraId="0006D4DB"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14:paraId="21208105"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77025DC7"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vAlign w:val="bottom"/>
            <w:hideMark/>
          </w:tcPr>
          <w:p w14:paraId="30D49547"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66F938A"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17C11A9" w14:textId="77777777" w:rsidR="00EC333E" w:rsidRPr="00BC1E6D" w:rsidRDefault="00EC333E" w:rsidP="00481AE9">
            <w:pPr>
              <w:spacing w:after="0" w:line="276"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6FBE7C40" w14:textId="77777777" w:rsidR="00EC333E" w:rsidRPr="00BC1E6D" w:rsidRDefault="00EC333E" w:rsidP="00481AE9">
            <w:pPr>
              <w:spacing w:after="0" w:line="276" w:lineRule="auto"/>
              <w:rPr>
                <w:rFonts w:ascii="Times New Roman" w:eastAsia="Times New Roman" w:hAnsi="Times New Roman" w:cs="Times New Roman"/>
                <w:sz w:val="20"/>
                <w:szCs w:val="20"/>
              </w:rPr>
            </w:pPr>
          </w:p>
        </w:tc>
      </w:tr>
      <w:tr w:rsidR="00BC1E6D" w:rsidRPr="00BC1E6D" w14:paraId="39CED836" w14:textId="77777777" w:rsidTr="00EC333E">
        <w:trPr>
          <w:gridAfter w:val="10"/>
          <w:wAfter w:w="11556" w:type="dxa"/>
          <w:trHeight w:val="300"/>
        </w:trPr>
        <w:tc>
          <w:tcPr>
            <w:tcW w:w="236" w:type="dxa"/>
            <w:tcBorders>
              <w:top w:val="single" w:sz="4" w:space="0" w:color="auto"/>
              <w:left w:val="nil"/>
              <w:bottom w:val="single" w:sz="4" w:space="0" w:color="auto"/>
              <w:right w:val="nil"/>
            </w:tcBorders>
            <w:shd w:val="clear" w:color="auto" w:fill="auto"/>
            <w:noWrap/>
            <w:vAlign w:val="bottom"/>
            <w:hideMark/>
          </w:tcPr>
          <w:p w14:paraId="2A8B7C5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Statistic </w:t>
            </w:r>
          </w:p>
        </w:tc>
        <w:tc>
          <w:tcPr>
            <w:tcW w:w="236" w:type="dxa"/>
            <w:tcBorders>
              <w:top w:val="single" w:sz="4" w:space="0" w:color="auto"/>
              <w:left w:val="nil"/>
              <w:bottom w:val="single" w:sz="4" w:space="0" w:color="auto"/>
              <w:right w:val="nil"/>
            </w:tcBorders>
            <w:shd w:val="clear" w:color="000000" w:fill="FFFFFF"/>
            <w:noWrap/>
            <w:vAlign w:val="center"/>
            <w:hideMark/>
          </w:tcPr>
          <w:p w14:paraId="442E1AE7"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IT</w:t>
            </w:r>
          </w:p>
        </w:tc>
        <w:tc>
          <w:tcPr>
            <w:tcW w:w="236" w:type="dxa"/>
            <w:tcBorders>
              <w:top w:val="single" w:sz="4" w:space="0" w:color="auto"/>
              <w:left w:val="nil"/>
              <w:bottom w:val="single" w:sz="4" w:space="0" w:color="auto"/>
              <w:right w:val="nil"/>
            </w:tcBorders>
            <w:shd w:val="clear" w:color="000000" w:fill="FFFFFF"/>
            <w:noWrap/>
            <w:vAlign w:val="center"/>
            <w:hideMark/>
          </w:tcPr>
          <w:p w14:paraId="37CAEF14"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CD</w:t>
            </w:r>
          </w:p>
        </w:tc>
        <w:tc>
          <w:tcPr>
            <w:tcW w:w="236" w:type="dxa"/>
            <w:gridSpan w:val="2"/>
            <w:tcBorders>
              <w:top w:val="single" w:sz="4" w:space="0" w:color="auto"/>
              <w:left w:val="nil"/>
              <w:bottom w:val="single" w:sz="4" w:space="0" w:color="auto"/>
              <w:right w:val="nil"/>
            </w:tcBorders>
            <w:shd w:val="clear" w:color="000000" w:fill="FFFFFF"/>
            <w:noWrap/>
            <w:vAlign w:val="center"/>
            <w:hideMark/>
          </w:tcPr>
          <w:p w14:paraId="7F429FF6"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Com</w:t>
            </w:r>
          </w:p>
        </w:tc>
        <w:tc>
          <w:tcPr>
            <w:tcW w:w="236" w:type="dxa"/>
            <w:tcBorders>
              <w:top w:val="single" w:sz="4" w:space="0" w:color="auto"/>
              <w:left w:val="nil"/>
              <w:bottom w:val="single" w:sz="4" w:space="0" w:color="auto"/>
              <w:right w:val="nil"/>
            </w:tcBorders>
            <w:shd w:val="clear" w:color="000000" w:fill="FFFFFF"/>
            <w:noWrap/>
            <w:vAlign w:val="center"/>
            <w:hideMark/>
          </w:tcPr>
          <w:p w14:paraId="39FFAE6F"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Fin</w:t>
            </w:r>
          </w:p>
        </w:tc>
        <w:tc>
          <w:tcPr>
            <w:tcW w:w="236" w:type="dxa"/>
            <w:tcBorders>
              <w:top w:val="single" w:sz="4" w:space="0" w:color="auto"/>
              <w:left w:val="nil"/>
              <w:bottom w:val="single" w:sz="4" w:space="0" w:color="auto"/>
              <w:right w:val="nil"/>
            </w:tcBorders>
            <w:shd w:val="clear" w:color="000000" w:fill="FFFFFF"/>
            <w:noWrap/>
            <w:vAlign w:val="center"/>
            <w:hideMark/>
          </w:tcPr>
          <w:p w14:paraId="20D39ACA"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HC</w:t>
            </w:r>
          </w:p>
        </w:tc>
        <w:tc>
          <w:tcPr>
            <w:tcW w:w="236" w:type="dxa"/>
            <w:tcBorders>
              <w:top w:val="single" w:sz="4" w:space="0" w:color="auto"/>
              <w:left w:val="nil"/>
              <w:bottom w:val="single" w:sz="4" w:space="0" w:color="auto"/>
              <w:right w:val="nil"/>
            </w:tcBorders>
            <w:shd w:val="clear" w:color="000000" w:fill="FFFFFF"/>
            <w:noWrap/>
            <w:vAlign w:val="center"/>
            <w:hideMark/>
          </w:tcPr>
          <w:p w14:paraId="70E5EF47"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E</w:t>
            </w:r>
          </w:p>
        </w:tc>
        <w:tc>
          <w:tcPr>
            <w:tcW w:w="236" w:type="dxa"/>
            <w:tcBorders>
              <w:top w:val="single" w:sz="4" w:space="0" w:color="auto"/>
              <w:left w:val="nil"/>
              <w:bottom w:val="single" w:sz="4" w:space="0" w:color="auto"/>
              <w:right w:val="nil"/>
            </w:tcBorders>
            <w:shd w:val="clear" w:color="000000" w:fill="FFFFFF"/>
            <w:noWrap/>
            <w:vAlign w:val="center"/>
            <w:hideMark/>
          </w:tcPr>
          <w:p w14:paraId="401963F7"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CS</w:t>
            </w:r>
          </w:p>
        </w:tc>
        <w:tc>
          <w:tcPr>
            <w:tcW w:w="236" w:type="dxa"/>
            <w:tcBorders>
              <w:top w:val="single" w:sz="4" w:space="0" w:color="auto"/>
              <w:left w:val="nil"/>
              <w:bottom w:val="single" w:sz="4" w:space="0" w:color="auto"/>
              <w:right w:val="nil"/>
            </w:tcBorders>
            <w:shd w:val="clear" w:color="000000" w:fill="FFFFFF"/>
            <w:noWrap/>
            <w:vAlign w:val="center"/>
            <w:hideMark/>
          </w:tcPr>
          <w:p w14:paraId="291CC73C"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U</w:t>
            </w:r>
          </w:p>
        </w:tc>
        <w:tc>
          <w:tcPr>
            <w:tcW w:w="1080" w:type="dxa"/>
            <w:tcBorders>
              <w:top w:val="single" w:sz="4" w:space="0" w:color="auto"/>
              <w:left w:val="nil"/>
              <w:bottom w:val="single" w:sz="4" w:space="0" w:color="auto"/>
              <w:right w:val="nil"/>
            </w:tcBorders>
            <w:shd w:val="clear" w:color="000000" w:fill="FFFFFF"/>
            <w:noWrap/>
            <w:vAlign w:val="center"/>
            <w:hideMark/>
          </w:tcPr>
          <w:p w14:paraId="50140DBB"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Ind</w:t>
            </w:r>
          </w:p>
        </w:tc>
        <w:tc>
          <w:tcPr>
            <w:tcW w:w="1000" w:type="dxa"/>
            <w:gridSpan w:val="2"/>
            <w:tcBorders>
              <w:top w:val="single" w:sz="4" w:space="0" w:color="auto"/>
              <w:left w:val="nil"/>
              <w:bottom w:val="single" w:sz="4" w:space="0" w:color="auto"/>
              <w:right w:val="nil"/>
            </w:tcBorders>
            <w:shd w:val="clear" w:color="000000" w:fill="FFFFFF"/>
            <w:noWrap/>
            <w:vAlign w:val="center"/>
            <w:hideMark/>
          </w:tcPr>
          <w:p w14:paraId="2C5F9CF8"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Mat</w:t>
            </w:r>
          </w:p>
        </w:tc>
        <w:tc>
          <w:tcPr>
            <w:tcW w:w="1120" w:type="dxa"/>
            <w:tcBorders>
              <w:top w:val="single" w:sz="4" w:space="0" w:color="auto"/>
              <w:left w:val="nil"/>
              <w:bottom w:val="single" w:sz="4" w:space="0" w:color="auto"/>
              <w:right w:val="nil"/>
            </w:tcBorders>
            <w:shd w:val="clear" w:color="000000" w:fill="FFFFFF"/>
            <w:noWrap/>
            <w:vAlign w:val="center"/>
            <w:hideMark/>
          </w:tcPr>
          <w:p w14:paraId="6B15AE5B"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RE</w:t>
            </w:r>
          </w:p>
        </w:tc>
      </w:tr>
      <w:tr w:rsidR="00BC1E6D" w:rsidRPr="00BC1E6D" w14:paraId="5DD19C2A" w14:textId="77777777" w:rsidTr="00EC333E">
        <w:trPr>
          <w:gridAfter w:val="10"/>
          <w:wAfter w:w="11556" w:type="dxa"/>
          <w:trHeight w:val="300"/>
        </w:trPr>
        <w:tc>
          <w:tcPr>
            <w:tcW w:w="236" w:type="dxa"/>
            <w:tcBorders>
              <w:top w:val="nil"/>
              <w:left w:val="nil"/>
              <w:bottom w:val="nil"/>
              <w:right w:val="nil"/>
            </w:tcBorders>
            <w:shd w:val="clear" w:color="auto" w:fill="auto"/>
            <w:noWrap/>
            <w:hideMark/>
          </w:tcPr>
          <w:p w14:paraId="4F4972E6"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LM</w:t>
            </w:r>
          </w:p>
        </w:tc>
        <w:tc>
          <w:tcPr>
            <w:tcW w:w="236" w:type="dxa"/>
            <w:tcBorders>
              <w:top w:val="nil"/>
              <w:left w:val="nil"/>
              <w:bottom w:val="nil"/>
              <w:right w:val="nil"/>
            </w:tcBorders>
            <w:shd w:val="clear" w:color="auto" w:fill="auto"/>
            <w:noWrap/>
            <w:vAlign w:val="bottom"/>
            <w:hideMark/>
          </w:tcPr>
          <w:p w14:paraId="4FC9AEE1"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7.824</w:t>
            </w:r>
          </w:p>
        </w:tc>
        <w:tc>
          <w:tcPr>
            <w:tcW w:w="236" w:type="dxa"/>
            <w:tcBorders>
              <w:top w:val="nil"/>
              <w:left w:val="nil"/>
              <w:bottom w:val="nil"/>
              <w:right w:val="nil"/>
            </w:tcBorders>
            <w:shd w:val="clear" w:color="auto" w:fill="auto"/>
            <w:noWrap/>
            <w:vAlign w:val="bottom"/>
            <w:hideMark/>
          </w:tcPr>
          <w:p w14:paraId="0746D8F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16.439</w:t>
            </w:r>
          </w:p>
        </w:tc>
        <w:tc>
          <w:tcPr>
            <w:tcW w:w="236" w:type="dxa"/>
            <w:gridSpan w:val="2"/>
            <w:tcBorders>
              <w:top w:val="nil"/>
              <w:left w:val="nil"/>
              <w:bottom w:val="nil"/>
              <w:right w:val="nil"/>
            </w:tcBorders>
            <w:shd w:val="clear" w:color="auto" w:fill="auto"/>
            <w:noWrap/>
            <w:vAlign w:val="bottom"/>
            <w:hideMark/>
          </w:tcPr>
          <w:p w14:paraId="43FE2C6F"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11.491</w:t>
            </w:r>
          </w:p>
        </w:tc>
        <w:tc>
          <w:tcPr>
            <w:tcW w:w="236" w:type="dxa"/>
            <w:tcBorders>
              <w:top w:val="nil"/>
              <w:left w:val="nil"/>
              <w:bottom w:val="nil"/>
              <w:right w:val="nil"/>
            </w:tcBorders>
            <w:shd w:val="clear" w:color="auto" w:fill="auto"/>
            <w:noWrap/>
            <w:vAlign w:val="bottom"/>
            <w:hideMark/>
          </w:tcPr>
          <w:p w14:paraId="08FB7AB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4.741</w:t>
            </w:r>
          </w:p>
        </w:tc>
        <w:tc>
          <w:tcPr>
            <w:tcW w:w="236" w:type="dxa"/>
            <w:tcBorders>
              <w:top w:val="nil"/>
              <w:left w:val="nil"/>
              <w:bottom w:val="nil"/>
              <w:right w:val="nil"/>
            </w:tcBorders>
            <w:shd w:val="clear" w:color="auto" w:fill="auto"/>
            <w:noWrap/>
            <w:vAlign w:val="bottom"/>
            <w:hideMark/>
          </w:tcPr>
          <w:p w14:paraId="329F708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5.02</w:t>
            </w:r>
          </w:p>
        </w:tc>
        <w:tc>
          <w:tcPr>
            <w:tcW w:w="236" w:type="dxa"/>
            <w:tcBorders>
              <w:top w:val="nil"/>
              <w:left w:val="nil"/>
              <w:bottom w:val="nil"/>
              <w:right w:val="nil"/>
            </w:tcBorders>
            <w:shd w:val="clear" w:color="auto" w:fill="auto"/>
            <w:noWrap/>
            <w:vAlign w:val="bottom"/>
            <w:hideMark/>
          </w:tcPr>
          <w:p w14:paraId="29ACF822"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6.641</w:t>
            </w:r>
          </w:p>
        </w:tc>
        <w:tc>
          <w:tcPr>
            <w:tcW w:w="236" w:type="dxa"/>
            <w:tcBorders>
              <w:top w:val="nil"/>
              <w:left w:val="nil"/>
              <w:bottom w:val="nil"/>
              <w:right w:val="nil"/>
            </w:tcBorders>
            <w:shd w:val="clear" w:color="auto" w:fill="auto"/>
            <w:noWrap/>
            <w:vAlign w:val="bottom"/>
            <w:hideMark/>
          </w:tcPr>
          <w:p w14:paraId="6BB80B50"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14.076</w:t>
            </w:r>
          </w:p>
        </w:tc>
        <w:tc>
          <w:tcPr>
            <w:tcW w:w="236" w:type="dxa"/>
            <w:tcBorders>
              <w:top w:val="nil"/>
              <w:left w:val="nil"/>
              <w:bottom w:val="nil"/>
              <w:right w:val="nil"/>
            </w:tcBorders>
            <w:shd w:val="clear" w:color="auto" w:fill="auto"/>
            <w:noWrap/>
            <w:vAlign w:val="bottom"/>
            <w:hideMark/>
          </w:tcPr>
          <w:p w14:paraId="0E96E98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11.728</w:t>
            </w:r>
          </w:p>
        </w:tc>
        <w:tc>
          <w:tcPr>
            <w:tcW w:w="1080" w:type="dxa"/>
            <w:tcBorders>
              <w:top w:val="nil"/>
              <w:left w:val="nil"/>
              <w:bottom w:val="nil"/>
              <w:right w:val="nil"/>
            </w:tcBorders>
            <w:shd w:val="clear" w:color="auto" w:fill="auto"/>
            <w:noWrap/>
            <w:vAlign w:val="bottom"/>
            <w:hideMark/>
          </w:tcPr>
          <w:p w14:paraId="4E89EEC8"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6.865</w:t>
            </w:r>
          </w:p>
        </w:tc>
        <w:tc>
          <w:tcPr>
            <w:tcW w:w="1000" w:type="dxa"/>
            <w:gridSpan w:val="2"/>
            <w:tcBorders>
              <w:top w:val="nil"/>
              <w:left w:val="nil"/>
              <w:bottom w:val="nil"/>
              <w:right w:val="nil"/>
            </w:tcBorders>
            <w:shd w:val="clear" w:color="auto" w:fill="auto"/>
            <w:noWrap/>
            <w:vAlign w:val="bottom"/>
            <w:hideMark/>
          </w:tcPr>
          <w:p w14:paraId="1C9A497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10.115</w:t>
            </w:r>
          </w:p>
        </w:tc>
        <w:tc>
          <w:tcPr>
            <w:tcW w:w="1120" w:type="dxa"/>
            <w:tcBorders>
              <w:top w:val="nil"/>
              <w:left w:val="nil"/>
              <w:bottom w:val="nil"/>
              <w:right w:val="nil"/>
            </w:tcBorders>
            <w:shd w:val="clear" w:color="auto" w:fill="auto"/>
            <w:noWrap/>
            <w:vAlign w:val="bottom"/>
            <w:hideMark/>
          </w:tcPr>
          <w:p w14:paraId="66016020"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11.346</w:t>
            </w:r>
          </w:p>
        </w:tc>
      </w:tr>
      <w:tr w:rsidR="00BC1E6D" w:rsidRPr="00BC1E6D" w14:paraId="3F9A4896" w14:textId="77777777" w:rsidTr="00EC333E">
        <w:trPr>
          <w:gridAfter w:val="10"/>
          <w:wAfter w:w="11556" w:type="dxa"/>
          <w:trHeight w:val="300"/>
        </w:trPr>
        <w:tc>
          <w:tcPr>
            <w:tcW w:w="236" w:type="dxa"/>
            <w:tcBorders>
              <w:top w:val="nil"/>
              <w:left w:val="nil"/>
              <w:bottom w:val="nil"/>
              <w:right w:val="nil"/>
            </w:tcBorders>
            <w:shd w:val="clear" w:color="auto" w:fill="auto"/>
            <w:noWrap/>
            <w:hideMark/>
          </w:tcPr>
          <w:p w14:paraId="4D60F0B7"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P(LM)</w:t>
            </w:r>
          </w:p>
        </w:tc>
        <w:tc>
          <w:tcPr>
            <w:tcW w:w="236" w:type="dxa"/>
            <w:tcBorders>
              <w:top w:val="nil"/>
              <w:left w:val="nil"/>
              <w:bottom w:val="nil"/>
              <w:right w:val="nil"/>
            </w:tcBorders>
            <w:shd w:val="clear" w:color="auto" w:fill="auto"/>
            <w:noWrap/>
            <w:vAlign w:val="bottom"/>
            <w:hideMark/>
          </w:tcPr>
          <w:p w14:paraId="1AFF872E"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0.348</w:t>
            </w:r>
          </w:p>
        </w:tc>
        <w:tc>
          <w:tcPr>
            <w:tcW w:w="236" w:type="dxa"/>
            <w:tcBorders>
              <w:top w:val="nil"/>
              <w:left w:val="nil"/>
              <w:bottom w:val="nil"/>
              <w:right w:val="nil"/>
            </w:tcBorders>
            <w:shd w:val="clear" w:color="auto" w:fill="auto"/>
            <w:noWrap/>
            <w:vAlign w:val="bottom"/>
            <w:hideMark/>
          </w:tcPr>
          <w:p w14:paraId="57F1BC5D"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0.021</w:t>
            </w:r>
          </w:p>
        </w:tc>
        <w:tc>
          <w:tcPr>
            <w:tcW w:w="236" w:type="dxa"/>
            <w:gridSpan w:val="2"/>
            <w:tcBorders>
              <w:top w:val="nil"/>
              <w:left w:val="nil"/>
              <w:bottom w:val="nil"/>
              <w:right w:val="nil"/>
            </w:tcBorders>
            <w:shd w:val="clear" w:color="auto" w:fill="auto"/>
            <w:noWrap/>
            <w:vAlign w:val="bottom"/>
            <w:hideMark/>
          </w:tcPr>
          <w:p w14:paraId="6FD40EA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0.119</w:t>
            </w:r>
          </w:p>
        </w:tc>
        <w:tc>
          <w:tcPr>
            <w:tcW w:w="236" w:type="dxa"/>
            <w:tcBorders>
              <w:top w:val="nil"/>
              <w:left w:val="nil"/>
              <w:bottom w:val="nil"/>
              <w:right w:val="nil"/>
            </w:tcBorders>
            <w:shd w:val="clear" w:color="auto" w:fill="auto"/>
            <w:noWrap/>
            <w:vAlign w:val="bottom"/>
            <w:hideMark/>
          </w:tcPr>
          <w:p w14:paraId="354318D3"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0.692</w:t>
            </w:r>
          </w:p>
        </w:tc>
        <w:tc>
          <w:tcPr>
            <w:tcW w:w="236" w:type="dxa"/>
            <w:tcBorders>
              <w:top w:val="nil"/>
              <w:left w:val="nil"/>
              <w:bottom w:val="nil"/>
              <w:right w:val="nil"/>
            </w:tcBorders>
            <w:shd w:val="clear" w:color="auto" w:fill="auto"/>
            <w:noWrap/>
            <w:vAlign w:val="bottom"/>
            <w:hideMark/>
          </w:tcPr>
          <w:p w14:paraId="6A1C2FBD"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0.658</w:t>
            </w:r>
          </w:p>
        </w:tc>
        <w:tc>
          <w:tcPr>
            <w:tcW w:w="236" w:type="dxa"/>
            <w:tcBorders>
              <w:top w:val="nil"/>
              <w:left w:val="nil"/>
              <w:bottom w:val="nil"/>
              <w:right w:val="nil"/>
            </w:tcBorders>
            <w:shd w:val="clear" w:color="auto" w:fill="auto"/>
            <w:noWrap/>
            <w:vAlign w:val="bottom"/>
            <w:hideMark/>
          </w:tcPr>
          <w:p w14:paraId="566064BD"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0.467</w:t>
            </w:r>
          </w:p>
        </w:tc>
        <w:tc>
          <w:tcPr>
            <w:tcW w:w="236" w:type="dxa"/>
            <w:tcBorders>
              <w:top w:val="nil"/>
              <w:left w:val="nil"/>
              <w:bottom w:val="nil"/>
              <w:right w:val="nil"/>
            </w:tcBorders>
            <w:shd w:val="clear" w:color="auto" w:fill="auto"/>
            <w:noWrap/>
            <w:vAlign w:val="bottom"/>
            <w:hideMark/>
          </w:tcPr>
          <w:p w14:paraId="4B0582E6"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0.05</w:t>
            </w:r>
          </w:p>
        </w:tc>
        <w:tc>
          <w:tcPr>
            <w:tcW w:w="236" w:type="dxa"/>
            <w:tcBorders>
              <w:top w:val="nil"/>
              <w:left w:val="nil"/>
              <w:bottom w:val="nil"/>
              <w:right w:val="nil"/>
            </w:tcBorders>
            <w:shd w:val="clear" w:color="auto" w:fill="auto"/>
            <w:noWrap/>
            <w:vAlign w:val="bottom"/>
            <w:hideMark/>
          </w:tcPr>
          <w:p w14:paraId="2D7B7C0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0.11</w:t>
            </w:r>
          </w:p>
        </w:tc>
        <w:tc>
          <w:tcPr>
            <w:tcW w:w="1080" w:type="dxa"/>
            <w:tcBorders>
              <w:top w:val="nil"/>
              <w:left w:val="nil"/>
              <w:bottom w:val="nil"/>
              <w:right w:val="nil"/>
            </w:tcBorders>
            <w:shd w:val="clear" w:color="auto" w:fill="auto"/>
            <w:noWrap/>
            <w:vAlign w:val="bottom"/>
            <w:hideMark/>
          </w:tcPr>
          <w:p w14:paraId="75522DDF"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0.443</w:t>
            </w:r>
          </w:p>
        </w:tc>
        <w:tc>
          <w:tcPr>
            <w:tcW w:w="1000" w:type="dxa"/>
            <w:gridSpan w:val="2"/>
            <w:tcBorders>
              <w:top w:val="nil"/>
              <w:left w:val="nil"/>
              <w:bottom w:val="nil"/>
              <w:right w:val="nil"/>
            </w:tcBorders>
            <w:shd w:val="clear" w:color="auto" w:fill="auto"/>
            <w:noWrap/>
            <w:vAlign w:val="bottom"/>
            <w:hideMark/>
          </w:tcPr>
          <w:p w14:paraId="6CB6C496"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0.182</w:t>
            </w:r>
          </w:p>
        </w:tc>
        <w:tc>
          <w:tcPr>
            <w:tcW w:w="1120" w:type="dxa"/>
            <w:tcBorders>
              <w:top w:val="nil"/>
              <w:left w:val="nil"/>
              <w:bottom w:val="nil"/>
              <w:right w:val="nil"/>
            </w:tcBorders>
            <w:shd w:val="clear" w:color="auto" w:fill="auto"/>
            <w:noWrap/>
            <w:vAlign w:val="bottom"/>
            <w:hideMark/>
          </w:tcPr>
          <w:p w14:paraId="3AA0A302"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0.124</w:t>
            </w:r>
          </w:p>
        </w:tc>
      </w:tr>
      <w:tr w:rsidR="00BC1E6D" w:rsidRPr="00BC1E6D" w14:paraId="2CCADA0E" w14:textId="77777777" w:rsidTr="00EC333E">
        <w:trPr>
          <w:gridAfter w:val="10"/>
          <w:wAfter w:w="11556" w:type="dxa"/>
          <w:trHeight w:val="300"/>
        </w:trPr>
        <w:tc>
          <w:tcPr>
            <w:tcW w:w="236" w:type="dxa"/>
            <w:tcBorders>
              <w:top w:val="nil"/>
              <w:left w:val="nil"/>
              <w:bottom w:val="nil"/>
              <w:right w:val="nil"/>
            </w:tcBorders>
            <w:shd w:val="clear" w:color="auto" w:fill="auto"/>
            <w:noWrap/>
            <w:hideMark/>
          </w:tcPr>
          <w:p w14:paraId="1CDF7990"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F</w:t>
            </w:r>
          </w:p>
        </w:tc>
        <w:tc>
          <w:tcPr>
            <w:tcW w:w="236" w:type="dxa"/>
            <w:tcBorders>
              <w:top w:val="nil"/>
              <w:left w:val="nil"/>
              <w:bottom w:val="nil"/>
              <w:right w:val="nil"/>
            </w:tcBorders>
            <w:shd w:val="clear" w:color="auto" w:fill="auto"/>
            <w:noWrap/>
            <w:vAlign w:val="bottom"/>
            <w:hideMark/>
          </w:tcPr>
          <w:p w14:paraId="44473F56"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1.116</w:t>
            </w:r>
          </w:p>
        </w:tc>
        <w:tc>
          <w:tcPr>
            <w:tcW w:w="236" w:type="dxa"/>
            <w:tcBorders>
              <w:top w:val="nil"/>
              <w:left w:val="nil"/>
              <w:bottom w:val="nil"/>
              <w:right w:val="nil"/>
            </w:tcBorders>
            <w:shd w:val="clear" w:color="auto" w:fill="auto"/>
            <w:noWrap/>
            <w:vAlign w:val="bottom"/>
            <w:hideMark/>
          </w:tcPr>
          <w:p w14:paraId="7C559EA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2.499</w:t>
            </w:r>
          </w:p>
        </w:tc>
        <w:tc>
          <w:tcPr>
            <w:tcW w:w="236" w:type="dxa"/>
            <w:gridSpan w:val="2"/>
            <w:tcBorders>
              <w:top w:val="nil"/>
              <w:left w:val="nil"/>
              <w:bottom w:val="nil"/>
              <w:right w:val="nil"/>
            </w:tcBorders>
            <w:shd w:val="clear" w:color="auto" w:fill="auto"/>
            <w:noWrap/>
            <w:vAlign w:val="bottom"/>
            <w:hideMark/>
          </w:tcPr>
          <w:p w14:paraId="7BB479C1"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1.684</w:t>
            </w:r>
          </w:p>
        </w:tc>
        <w:tc>
          <w:tcPr>
            <w:tcW w:w="236" w:type="dxa"/>
            <w:tcBorders>
              <w:top w:val="nil"/>
              <w:left w:val="nil"/>
              <w:bottom w:val="nil"/>
              <w:right w:val="nil"/>
            </w:tcBorders>
            <w:shd w:val="clear" w:color="auto" w:fill="auto"/>
            <w:noWrap/>
            <w:vAlign w:val="bottom"/>
            <w:hideMark/>
          </w:tcPr>
          <w:p w14:paraId="55AFE283"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0.662</w:t>
            </w:r>
          </w:p>
        </w:tc>
        <w:tc>
          <w:tcPr>
            <w:tcW w:w="236" w:type="dxa"/>
            <w:tcBorders>
              <w:top w:val="nil"/>
              <w:left w:val="nil"/>
              <w:bottom w:val="nil"/>
              <w:right w:val="nil"/>
            </w:tcBorders>
            <w:shd w:val="clear" w:color="auto" w:fill="auto"/>
            <w:noWrap/>
            <w:vAlign w:val="bottom"/>
            <w:hideMark/>
          </w:tcPr>
          <w:p w14:paraId="5791B01A"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0.702</w:t>
            </w:r>
          </w:p>
        </w:tc>
        <w:tc>
          <w:tcPr>
            <w:tcW w:w="236" w:type="dxa"/>
            <w:tcBorders>
              <w:top w:val="nil"/>
              <w:left w:val="nil"/>
              <w:bottom w:val="nil"/>
              <w:right w:val="nil"/>
            </w:tcBorders>
            <w:shd w:val="clear" w:color="auto" w:fill="auto"/>
            <w:noWrap/>
            <w:vAlign w:val="bottom"/>
            <w:hideMark/>
          </w:tcPr>
          <w:p w14:paraId="0B1DC09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w:t>
            </w:r>
          </w:p>
        </w:tc>
        <w:tc>
          <w:tcPr>
            <w:tcW w:w="236" w:type="dxa"/>
            <w:tcBorders>
              <w:top w:val="nil"/>
              <w:left w:val="nil"/>
              <w:bottom w:val="nil"/>
              <w:right w:val="nil"/>
            </w:tcBorders>
            <w:shd w:val="clear" w:color="auto" w:fill="auto"/>
            <w:noWrap/>
            <w:vAlign w:val="bottom"/>
            <w:hideMark/>
          </w:tcPr>
          <w:p w14:paraId="0F725752"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2.102</w:t>
            </w:r>
          </w:p>
        </w:tc>
        <w:tc>
          <w:tcPr>
            <w:tcW w:w="236" w:type="dxa"/>
            <w:tcBorders>
              <w:top w:val="nil"/>
              <w:left w:val="nil"/>
              <w:bottom w:val="nil"/>
              <w:right w:val="nil"/>
            </w:tcBorders>
            <w:shd w:val="clear" w:color="auto" w:fill="auto"/>
            <w:noWrap/>
            <w:vAlign w:val="bottom"/>
            <w:hideMark/>
          </w:tcPr>
          <w:p w14:paraId="308C9EEF"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1.721</w:t>
            </w:r>
          </w:p>
        </w:tc>
        <w:tc>
          <w:tcPr>
            <w:tcW w:w="1080" w:type="dxa"/>
            <w:tcBorders>
              <w:top w:val="nil"/>
              <w:left w:val="nil"/>
              <w:bottom w:val="nil"/>
              <w:right w:val="nil"/>
            </w:tcBorders>
            <w:shd w:val="clear" w:color="auto" w:fill="auto"/>
            <w:noWrap/>
            <w:vAlign w:val="bottom"/>
            <w:hideMark/>
          </w:tcPr>
          <w:p w14:paraId="1DBA0EDE"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0.973</w:t>
            </w:r>
          </w:p>
        </w:tc>
        <w:tc>
          <w:tcPr>
            <w:tcW w:w="1000" w:type="dxa"/>
            <w:gridSpan w:val="2"/>
            <w:tcBorders>
              <w:top w:val="nil"/>
              <w:left w:val="nil"/>
              <w:bottom w:val="nil"/>
              <w:right w:val="nil"/>
            </w:tcBorders>
            <w:shd w:val="clear" w:color="auto" w:fill="auto"/>
            <w:noWrap/>
            <w:vAlign w:val="bottom"/>
            <w:hideMark/>
          </w:tcPr>
          <w:p w14:paraId="05D91E8A"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1.467</w:t>
            </w:r>
          </w:p>
        </w:tc>
        <w:tc>
          <w:tcPr>
            <w:tcW w:w="1120" w:type="dxa"/>
            <w:tcBorders>
              <w:top w:val="nil"/>
              <w:left w:val="nil"/>
              <w:bottom w:val="nil"/>
              <w:right w:val="nil"/>
            </w:tcBorders>
            <w:shd w:val="clear" w:color="auto" w:fill="auto"/>
            <w:noWrap/>
            <w:vAlign w:val="bottom"/>
            <w:hideMark/>
          </w:tcPr>
          <w:p w14:paraId="757536F9"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1.661</w:t>
            </w:r>
          </w:p>
        </w:tc>
      </w:tr>
      <w:tr w:rsidR="00EC333E" w:rsidRPr="00BC1E6D" w14:paraId="0BC4713A" w14:textId="77777777" w:rsidTr="00EC333E">
        <w:trPr>
          <w:gridAfter w:val="10"/>
          <w:wAfter w:w="11556" w:type="dxa"/>
          <w:trHeight w:val="300"/>
        </w:trPr>
        <w:tc>
          <w:tcPr>
            <w:tcW w:w="236" w:type="dxa"/>
            <w:tcBorders>
              <w:top w:val="nil"/>
              <w:left w:val="nil"/>
              <w:bottom w:val="single" w:sz="4" w:space="0" w:color="auto"/>
              <w:right w:val="nil"/>
            </w:tcBorders>
            <w:shd w:val="clear" w:color="auto" w:fill="auto"/>
            <w:noWrap/>
            <w:hideMark/>
          </w:tcPr>
          <w:p w14:paraId="7D1C1EA1" w14:textId="77777777" w:rsidR="00EC333E" w:rsidRPr="00BC1E6D" w:rsidRDefault="00EC333E" w:rsidP="00481AE9">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P(F)</w:t>
            </w:r>
          </w:p>
        </w:tc>
        <w:tc>
          <w:tcPr>
            <w:tcW w:w="236" w:type="dxa"/>
            <w:tcBorders>
              <w:top w:val="nil"/>
              <w:left w:val="nil"/>
              <w:bottom w:val="single" w:sz="4" w:space="0" w:color="auto"/>
              <w:right w:val="nil"/>
            </w:tcBorders>
            <w:shd w:val="clear" w:color="auto" w:fill="auto"/>
            <w:noWrap/>
            <w:vAlign w:val="bottom"/>
            <w:hideMark/>
          </w:tcPr>
          <w:p w14:paraId="3ACFF4A2"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0.356</w:t>
            </w:r>
          </w:p>
        </w:tc>
        <w:tc>
          <w:tcPr>
            <w:tcW w:w="236" w:type="dxa"/>
            <w:tcBorders>
              <w:top w:val="nil"/>
              <w:left w:val="nil"/>
              <w:bottom w:val="single" w:sz="4" w:space="0" w:color="auto"/>
              <w:right w:val="nil"/>
            </w:tcBorders>
            <w:shd w:val="clear" w:color="auto" w:fill="auto"/>
            <w:noWrap/>
            <w:vAlign w:val="bottom"/>
            <w:hideMark/>
          </w:tcPr>
          <w:p w14:paraId="56E8C54A"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0.019</w:t>
            </w:r>
          </w:p>
        </w:tc>
        <w:tc>
          <w:tcPr>
            <w:tcW w:w="236" w:type="dxa"/>
            <w:gridSpan w:val="2"/>
            <w:tcBorders>
              <w:top w:val="nil"/>
              <w:left w:val="nil"/>
              <w:bottom w:val="single" w:sz="4" w:space="0" w:color="auto"/>
              <w:right w:val="nil"/>
            </w:tcBorders>
            <w:shd w:val="clear" w:color="auto" w:fill="auto"/>
            <w:noWrap/>
            <w:vAlign w:val="bottom"/>
            <w:hideMark/>
          </w:tcPr>
          <w:p w14:paraId="3AE58AF0"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0.118</w:t>
            </w:r>
          </w:p>
        </w:tc>
        <w:tc>
          <w:tcPr>
            <w:tcW w:w="236" w:type="dxa"/>
            <w:tcBorders>
              <w:top w:val="nil"/>
              <w:left w:val="nil"/>
              <w:bottom w:val="single" w:sz="4" w:space="0" w:color="auto"/>
              <w:right w:val="nil"/>
            </w:tcBorders>
            <w:shd w:val="clear" w:color="auto" w:fill="auto"/>
            <w:noWrap/>
            <w:vAlign w:val="bottom"/>
            <w:hideMark/>
          </w:tcPr>
          <w:p w14:paraId="130FF7FA"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0.704</w:t>
            </w:r>
          </w:p>
        </w:tc>
        <w:tc>
          <w:tcPr>
            <w:tcW w:w="236" w:type="dxa"/>
            <w:tcBorders>
              <w:top w:val="nil"/>
              <w:left w:val="nil"/>
              <w:bottom w:val="single" w:sz="4" w:space="0" w:color="auto"/>
              <w:right w:val="nil"/>
            </w:tcBorders>
            <w:shd w:val="clear" w:color="auto" w:fill="auto"/>
            <w:noWrap/>
            <w:vAlign w:val="bottom"/>
            <w:hideMark/>
          </w:tcPr>
          <w:p w14:paraId="66A8DCAD"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0.67</w:t>
            </w:r>
          </w:p>
        </w:tc>
        <w:tc>
          <w:tcPr>
            <w:tcW w:w="236" w:type="dxa"/>
            <w:tcBorders>
              <w:top w:val="nil"/>
              <w:left w:val="nil"/>
              <w:bottom w:val="single" w:sz="4" w:space="0" w:color="auto"/>
              <w:right w:val="nil"/>
            </w:tcBorders>
            <w:shd w:val="clear" w:color="auto" w:fill="auto"/>
            <w:noWrap/>
            <w:vAlign w:val="bottom"/>
            <w:hideMark/>
          </w:tcPr>
          <w:p w14:paraId="7726D52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0.478</w:t>
            </w:r>
          </w:p>
        </w:tc>
        <w:tc>
          <w:tcPr>
            <w:tcW w:w="236" w:type="dxa"/>
            <w:tcBorders>
              <w:top w:val="nil"/>
              <w:left w:val="nil"/>
              <w:bottom w:val="single" w:sz="4" w:space="0" w:color="auto"/>
              <w:right w:val="nil"/>
            </w:tcBorders>
            <w:shd w:val="clear" w:color="auto" w:fill="auto"/>
            <w:noWrap/>
            <w:vAlign w:val="bottom"/>
            <w:hideMark/>
          </w:tcPr>
          <w:p w14:paraId="27CC201F"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0.047</w:t>
            </w:r>
          </w:p>
        </w:tc>
        <w:tc>
          <w:tcPr>
            <w:tcW w:w="236" w:type="dxa"/>
            <w:tcBorders>
              <w:top w:val="nil"/>
              <w:left w:val="nil"/>
              <w:bottom w:val="single" w:sz="4" w:space="0" w:color="auto"/>
              <w:right w:val="nil"/>
            </w:tcBorders>
            <w:shd w:val="clear" w:color="auto" w:fill="auto"/>
            <w:noWrap/>
            <w:vAlign w:val="bottom"/>
            <w:hideMark/>
          </w:tcPr>
          <w:p w14:paraId="5CF90EEA"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0.109</w:t>
            </w:r>
          </w:p>
        </w:tc>
        <w:tc>
          <w:tcPr>
            <w:tcW w:w="1080" w:type="dxa"/>
            <w:tcBorders>
              <w:top w:val="nil"/>
              <w:left w:val="nil"/>
              <w:bottom w:val="single" w:sz="4" w:space="0" w:color="auto"/>
              <w:right w:val="nil"/>
            </w:tcBorders>
            <w:shd w:val="clear" w:color="auto" w:fill="auto"/>
            <w:noWrap/>
            <w:vAlign w:val="bottom"/>
            <w:hideMark/>
          </w:tcPr>
          <w:p w14:paraId="59BE160D"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0.454</w:t>
            </w:r>
          </w:p>
        </w:tc>
        <w:tc>
          <w:tcPr>
            <w:tcW w:w="1000" w:type="dxa"/>
            <w:gridSpan w:val="2"/>
            <w:tcBorders>
              <w:top w:val="nil"/>
              <w:left w:val="nil"/>
              <w:bottom w:val="single" w:sz="4" w:space="0" w:color="auto"/>
              <w:right w:val="nil"/>
            </w:tcBorders>
            <w:shd w:val="clear" w:color="auto" w:fill="auto"/>
            <w:noWrap/>
            <w:vAlign w:val="bottom"/>
            <w:hideMark/>
          </w:tcPr>
          <w:p w14:paraId="6C60D1E7"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0.184</w:t>
            </w:r>
          </w:p>
        </w:tc>
        <w:tc>
          <w:tcPr>
            <w:tcW w:w="1120" w:type="dxa"/>
            <w:tcBorders>
              <w:top w:val="nil"/>
              <w:left w:val="nil"/>
              <w:bottom w:val="single" w:sz="4" w:space="0" w:color="auto"/>
              <w:right w:val="nil"/>
            </w:tcBorders>
            <w:shd w:val="clear" w:color="auto" w:fill="auto"/>
            <w:noWrap/>
            <w:vAlign w:val="bottom"/>
            <w:hideMark/>
          </w:tcPr>
          <w:p w14:paraId="59617B4F" w14:textId="77777777" w:rsidR="00EC333E" w:rsidRPr="00BC1E6D" w:rsidRDefault="00EC333E" w:rsidP="00481AE9">
            <w:pPr>
              <w:spacing w:after="0" w:line="276" w:lineRule="auto"/>
              <w:jc w:val="center"/>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0.124</w:t>
            </w:r>
          </w:p>
        </w:tc>
      </w:tr>
    </w:tbl>
    <w:p w14:paraId="4769E029" w14:textId="77777777" w:rsidR="00EC333E" w:rsidRPr="00BC1E6D" w:rsidRDefault="00EC333E" w:rsidP="00EC333E">
      <w:pPr>
        <w:pStyle w:val="ListParagraph"/>
        <w:spacing w:line="276" w:lineRule="auto"/>
        <w:ind w:left="1125"/>
        <w:rPr>
          <w:rFonts w:ascii="Times New Roman" w:hAnsi="Times New Roman" w:cs="Times New Roman"/>
          <w:sz w:val="24"/>
          <w:szCs w:val="24"/>
        </w:rPr>
      </w:pPr>
    </w:p>
    <w:p w14:paraId="1BCF1536" w14:textId="08924200" w:rsidR="00C957C7" w:rsidRPr="00BC1E6D" w:rsidRDefault="00C957C7" w:rsidP="00BD3816">
      <w:pPr>
        <w:pStyle w:val="ListParagraph"/>
        <w:numPr>
          <w:ilvl w:val="0"/>
          <w:numId w:val="7"/>
        </w:num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No serial correlation</w:t>
      </w:r>
    </w:p>
    <w:p w14:paraId="02247F8D" w14:textId="77777777" w:rsidR="001E31E3" w:rsidRDefault="00217E60" w:rsidP="002F343C">
      <w:pPr>
        <w:pStyle w:val="ListParagraph"/>
        <w:spacing w:line="276" w:lineRule="auto"/>
        <w:ind w:left="1125"/>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Because of </w:t>
      </w:r>
      <w:r w:rsidR="00F76F7E" w:rsidRPr="00BC1E6D">
        <w:rPr>
          <w:rFonts w:ascii="Times New Roman" w:eastAsiaTheme="minorEastAsia" w:hAnsi="Times New Roman" w:cs="Times New Roman"/>
          <w:sz w:val="24"/>
          <w:szCs w:val="24"/>
        </w:rPr>
        <w:t xml:space="preserve">the two significant results in requirement </w:t>
      </w:r>
      <w:r w:rsidR="00E92826" w:rsidRPr="00BC1E6D">
        <w:rPr>
          <w:rFonts w:ascii="Times New Roman" w:eastAsiaTheme="minorEastAsia" w:hAnsi="Times New Roman" w:cs="Times New Roman"/>
          <w:sz w:val="24"/>
          <w:szCs w:val="24"/>
        </w:rPr>
        <w:t>4</w:t>
      </w:r>
      <w:r w:rsidR="00F76F7E" w:rsidRPr="00BC1E6D">
        <w:rPr>
          <w:rFonts w:ascii="Times New Roman" w:eastAsiaTheme="minorEastAsia" w:hAnsi="Times New Roman" w:cs="Times New Roman"/>
          <w:sz w:val="24"/>
          <w:szCs w:val="24"/>
        </w:rPr>
        <w:t xml:space="preserve">, </w:t>
      </w:r>
      <w:r w:rsidR="000170C2" w:rsidRPr="00BC1E6D">
        <w:rPr>
          <w:rFonts w:ascii="Times New Roman" w:eastAsiaTheme="minorEastAsia" w:hAnsi="Times New Roman" w:cs="Times New Roman"/>
          <w:sz w:val="24"/>
          <w:szCs w:val="24"/>
        </w:rPr>
        <w:t>Durbin-Watson is not advised for testing this requirement. Instead,</w:t>
      </w:r>
      <w:r w:rsidR="00C957C7" w:rsidRPr="00BC1E6D">
        <w:rPr>
          <w:rFonts w:ascii="Times New Roman" w:eastAsiaTheme="minorEastAsia" w:hAnsi="Times New Roman" w:cs="Times New Roman"/>
          <w:sz w:val="24"/>
          <w:szCs w:val="24"/>
        </w:rPr>
        <w:t xml:space="preserve"> </w:t>
      </w:r>
      <w:r w:rsidR="009974FF" w:rsidRPr="00BC1E6D">
        <w:rPr>
          <w:rFonts w:ascii="Times New Roman" w:eastAsiaTheme="minorEastAsia" w:hAnsi="Times New Roman" w:cs="Times New Roman"/>
          <w:sz w:val="24"/>
          <w:szCs w:val="24"/>
        </w:rPr>
        <w:t xml:space="preserve">for each model of each sector the residuals from the model were regressed on all the exogenous variables from the model and the lagged residuals from the </w:t>
      </w:r>
      <w:r w:rsidR="008A34B3" w:rsidRPr="00BC1E6D">
        <w:rPr>
          <w:rFonts w:ascii="Times New Roman" w:eastAsiaTheme="minorEastAsia" w:hAnsi="Times New Roman" w:cs="Times New Roman"/>
          <w:sz w:val="24"/>
          <w:szCs w:val="24"/>
        </w:rPr>
        <w:t xml:space="preserve">model. The p-values of the parameter values obtained from these regressions are shown in table </w:t>
      </w:r>
      <w:r w:rsidR="00E92826" w:rsidRPr="00BC1E6D">
        <w:rPr>
          <w:rFonts w:ascii="Times New Roman" w:eastAsiaTheme="minorEastAsia" w:hAnsi="Times New Roman" w:cs="Times New Roman"/>
          <w:sz w:val="24"/>
          <w:szCs w:val="24"/>
        </w:rPr>
        <w:t>10</w:t>
      </w:r>
      <w:r w:rsidR="008A34B3" w:rsidRPr="00BC1E6D">
        <w:rPr>
          <w:rFonts w:ascii="Times New Roman" w:eastAsiaTheme="minorEastAsia" w:hAnsi="Times New Roman" w:cs="Times New Roman"/>
          <w:sz w:val="24"/>
          <w:szCs w:val="24"/>
        </w:rPr>
        <w:t xml:space="preserve">. </w:t>
      </w:r>
      <w:r w:rsidR="00506701" w:rsidRPr="00BC1E6D">
        <w:rPr>
          <w:rFonts w:ascii="Times New Roman" w:eastAsiaTheme="minorEastAsia" w:hAnsi="Times New Roman" w:cs="Times New Roman"/>
          <w:sz w:val="24"/>
          <w:szCs w:val="24"/>
        </w:rPr>
        <w:t xml:space="preserve">P-values of &lt;0.05 would suggest that the model suffers from autocorrelation. </w:t>
      </w:r>
      <w:r w:rsidR="00E655EE" w:rsidRPr="00BC1E6D">
        <w:rPr>
          <w:rFonts w:ascii="Times New Roman" w:eastAsiaTheme="minorEastAsia" w:hAnsi="Times New Roman" w:cs="Times New Roman"/>
          <w:sz w:val="24"/>
          <w:szCs w:val="24"/>
        </w:rPr>
        <w:t>However,</w:t>
      </w:r>
      <w:r w:rsidR="00A11D43" w:rsidRPr="00BC1E6D">
        <w:rPr>
          <w:rFonts w:ascii="Times New Roman" w:eastAsiaTheme="minorEastAsia" w:hAnsi="Times New Roman" w:cs="Times New Roman"/>
          <w:sz w:val="24"/>
          <w:szCs w:val="24"/>
        </w:rPr>
        <w:t xml:space="preserve"> all p-values here</w:t>
      </w:r>
      <w:r w:rsidR="00C3649D" w:rsidRPr="00BC1E6D">
        <w:rPr>
          <w:rFonts w:ascii="Times New Roman" w:eastAsiaTheme="minorEastAsia" w:hAnsi="Times New Roman" w:cs="Times New Roman"/>
          <w:sz w:val="24"/>
          <w:szCs w:val="24"/>
        </w:rPr>
        <w:t xml:space="preserve"> with respect to the lagged residuals</w:t>
      </w:r>
      <w:r w:rsidR="00A11D43" w:rsidRPr="00BC1E6D">
        <w:rPr>
          <w:rFonts w:ascii="Times New Roman" w:eastAsiaTheme="minorEastAsia" w:hAnsi="Times New Roman" w:cs="Times New Roman"/>
          <w:sz w:val="24"/>
          <w:szCs w:val="24"/>
        </w:rPr>
        <w:t xml:space="preserve"> are</w:t>
      </w:r>
      <w:r w:rsidR="00C3649D" w:rsidRPr="00BC1E6D">
        <w:rPr>
          <w:rFonts w:ascii="Times New Roman" w:eastAsiaTheme="minorEastAsia" w:hAnsi="Times New Roman" w:cs="Times New Roman"/>
          <w:sz w:val="24"/>
          <w:szCs w:val="24"/>
        </w:rPr>
        <w:t xml:space="preserve"> </w:t>
      </w:r>
      <w:r w:rsidR="00A11D43" w:rsidRPr="00BC1E6D">
        <w:rPr>
          <w:rFonts w:ascii="Times New Roman" w:eastAsiaTheme="minorEastAsia" w:hAnsi="Times New Roman" w:cs="Times New Roman"/>
          <w:sz w:val="24"/>
          <w:szCs w:val="24"/>
        </w:rPr>
        <w:t xml:space="preserve">&gt; 0.05, </w:t>
      </w:r>
      <w:r w:rsidR="00C3649D" w:rsidRPr="00BC1E6D">
        <w:rPr>
          <w:rFonts w:ascii="Times New Roman" w:eastAsiaTheme="minorEastAsia" w:hAnsi="Times New Roman" w:cs="Times New Roman"/>
          <w:sz w:val="24"/>
          <w:szCs w:val="24"/>
        </w:rPr>
        <w:t>so</w:t>
      </w:r>
      <w:r w:rsidR="00A11D43" w:rsidRPr="00BC1E6D">
        <w:rPr>
          <w:rFonts w:ascii="Times New Roman" w:eastAsiaTheme="minorEastAsia" w:hAnsi="Times New Roman" w:cs="Times New Roman"/>
          <w:sz w:val="24"/>
          <w:szCs w:val="24"/>
        </w:rPr>
        <w:t xml:space="preserve"> this requirement is satisfied.</w:t>
      </w:r>
    </w:p>
    <w:p w14:paraId="2FA0AFE3" w14:textId="1C18E561" w:rsidR="00A930BE" w:rsidRPr="00BC1E6D" w:rsidRDefault="00A11D43" w:rsidP="002F343C">
      <w:pPr>
        <w:pStyle w:val="ListParagraph"/>
        <w:spacing w:line="276" w:lineRule="auto"/>
        <w:ind w:left="1125"/>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 </w:t>
      </w:r>
    </w:p>
    <w:tbl>
      <w:tblPr>
        <w:tblW w:w="11520" w:type="dxa"/>
        <w:tblLook w:val="04A0" w:firstRow="1" w:lastRow="0" w:firstColumn="1" w:lastColumn="0" w:noHBand="0" w:noVBand="1"/>
      </w:tblPr>
      <w:tblGrid>
        <w:gridCol w:w="864"/>
        <w:gridCol w:w="96"/>
        <w:gridCol w:w="768"/>
        <w:gridCol w:w="192"/>
        <w:gridCol w:w="672"/>
        <w:gridCol w:w="288"/>
        <w:gridCol w:w="576"/>
        <w:gridCol w:w="384"/>
        <w:gridCol w:w="480"/>
        <w:gridCol w:w="480"/>
        <w:gridCol w:w="384"/>
        <w:gridCol w:w="576"/>
        <w:gridCol w:w="288"/>
        <w:gridCol w:w="672"/>
        <w:gridCol w:w="192"/>
        <w:gridCol w:w="768"/>
        <w:gridCol w:w="96"/>
        <w:gridCol w:w="864"/>
        <w:gridCol w:w="864"/>
        <w:gridCol w:w="96"/>
        <w:gridCol w:w="768"/>
        <w:gridCol w:w="192"/>
        <w:gridCol w:w="960"/>
      </w:tblGrid>
      <w:tr w:rsidR="00BC1E6D" w:rsidRPr="00BC1E6D" w14:paraId="0713C73D" w14:textId="77777777" w:rsidTr="003A24D1">
        <w:trPr>
          <w:trHeight w:val="300"/>
        </w:trPr>
        <w:tc>
          <w:tcPr>
            <w:tcW w:w="960" w:type="dxa"/>
            <w:gridSpan w:val="2"/>
            <w:tcBorders>
              <w:top w:val="nil"/>
              <w:left w:val="nil"/>
              <w:bottom w:val="nil"/>
              <w:right w:val="nil"/>
            </w:tcBorders>
            <w:shd w:val="clear" w:color="auto" w:fill="auto"/>
            <w:noWrap/>
            <w:vAlign w:val="bottom"/>
            <w:hideMark/>
          </w:tcPr>
          <w:p w14:paraId="732F5ED7" w14:textId="77777777" w:rsidR="003A24D1" w:rsidRPr="00BC1E6D" w:rsidRDefault="003A24D1" w:rsidP="00BD3816">
            <w:pPr>
              <w:spacing w:after="0" w:line="276" w:lineRule="auto"/>
              <w:rPr>
                <w:rFonts w:ascii="Times New Roman" w:eastAsia="Times New Roman" w:hAnsi="Times New Roman" w:cs="Times New Roman"/>
                <w:b/>
                <w:bCs/>
                <w:sz w:val="20"/>
                <w:szCs w:val="20"/>
              </w:rPr>
            </w:pPr>
          </w:p>
          <w:p w14:paraId="4927BAFD" w14:textId="2A89C5A3" w:rsidR="003A24D1" w:rsidRPr="00BC1E6D" w:rsidRDefault="003A24D1" w:rsidP="00BD3816">
            <w:pPr>
              <w:spacing w:after="0" w:line="276" w:lineRule="auto"/>
              <w:rPr>
                <w:rFonts w:ascii="Times New Roman" w:eastAsia="Times New Roman" w:hAnsi="Times New Roman" w:cs="Times New Roman"/>
                <w:b/>
                <w:bCs/>
                <w:sz w:val="20"/>
                <w:szCs w:val="20"/>
              </w:rPr>
            </w:pPr>
            <w:r w:rsidRPr="00BC1E6D">
              <w:rPr>
                <w:rFonts w:ascii="Times New Roman" w:eastAsia="Times New Roman" w:hAnsi="Times New Roman" w:cs="Times New Roman"/>
                <w:b/>
                <w:bCs/>
                <w:sz w:val="20"/>
                <w:szCs w:val="20"/>
              </w:rPr>
              <w:lastRenderedPageBreak/>
              <w:t>Table</w:t>
            </w:r>
            <w:r w:rsidR="00D85EC9" w:rsidRPr="00BC1E6D">
              <w:rPr>
                <w:rFonts w:ascii="Times New Roman" w:eastAsia="Times New Roman" w:hAnsi="Times New Roman" w:cs="Times New Roman"/>
                <w:b/>
                <w:bCs/>
                <w:sz w:val="20"/>
                <w:szCs w:val="20"/>
              </w:rPr>
              <w:t xml:space="preserve"> </w:t>
            </w:r>
            <w:r w:rsidRPr="00BC1E6D">
              <w:rPr>
                <w:rFonts w:ascii="Times New Roman" w:eastAsia="Times New Roman" w:hAnsi="Times New Roman" w:cs="Times New Roman"/>
                <w:b/>
                <w:bCs/>
                <w:sz w:val="20"/>
                <w:szCs w:val="20"/>
              </w:rPr>
              <w:t>10</w:t>
            </w:r>
          </w:p>
        </w:tc>
        <w:tc>
          <w:tcPr>
            <w:tcW w:w="960" w:type="dxa"/>
            <w:gridSpan w:val="2"/>
            <w:tcBorders>
              <w:top w:val="nil"/>
              <w:left w:val="nil"/>
              <w:bottom w:val="nil"/>
              <w:right w:val="nil"/>
            </w:tcBorders>
            <w:shd w:val="clear" w:color="auto" w:fill="auto"/>
            <w:noWrap/>
            <w:vAlign w:val="bottom"/>
            <w:hideMark/>
          </w:tcPr>
          <w:p w14:paraId="143D4724" w14:textId="77777777" w:rsidR="003A24D1" w:rsidRPr="00BC1E6D" w:rsidRDefault="003A24D1" w:rsidP="00BD3816">
            <w:pPr>
              <w:spacing w:after="0" w:line="276" w:lineRule="auto"/>
              <w:rPr>
                <w:rFonts w:ascii="Times New Roman" w:eastAsia="Times New Roman" w:hAnsi="Times New Roman" w:cs="Times New Roman"/>
                <w:b/>
                <w:bCs/>
                <w:sz w:val="20"/>
                <w:szCs w:val="20"/>
              </w:rPr>
            </w:pPr>
          </w:p>
        </w:tc>
        <w:tc>
          <w:tcPr>
            <w:tcW w:w="960" w:type="dxa"/>
            <w:gridSpan w:val="2"/>
            <w:tcBorders>
              <w:top w:val="nil"/>
              <w:left w:val="nil"/>
              <w:bottom w:val="nil"/>
              <w:right w:val="nil"/>
            </w:tcBorders>
            <w:shd w:val="clear" w:color="auto" w:fill="auto"/>
            <w:noWrap/>
            <w:vAlign w:val="bottom"/>
            <w:hideMark/>
          </w:tcPr>
          <w:p w14:paraId="0DDEF1A5"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CE8F7F2"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7CD0CF"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F63837E"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07B86101"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476E09E0"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37DBE26"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9F4A798"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69CE72B8" w14:textId="77777777" w:rsidR="003A24D1" w:rsidRPr="00BC1E6D" w:rsidRDefault="003A24D1" w:rsidP="00BD3816">
            <w:pPr>
              <w:spacing w:after="0"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013EA64" w14:textId="77777777" w:rsidR="003A24D1" w:rsidRPr="00BC1E6D" w:rsidRDefault="003A24D1" w:rsidP="00BD3816">
            <w:pPr>
              <w:spacing w:after="0" w:line="276" w:lineRule="auto"/>
              <w:rPr>
                <w:rFonts w:ascii="Times New Roman" w:eastAsia="Times New Roman" w:hAnsi="Times New Roman" w:cs="Times New Roman"/>
                <w:sz w:val="24"/>
                <w:szCs w:val="24"/>
              </w:rPr>
            </w:pPr>
          </w:p>
        </w:tc>
      </w:tr>
      <w:tr w:rsidR="00BC1E6D" w:rsidRPr="00BC1E6D" w14:paraId="4FEC8A58" w14:textId="77777777" w:rsidTr="003A24D1">
        <w:trPr>
          <w:trHeight w:val="300"/>
        </w:trPr>
        <w:tc>
          <w:tcPr>
            <w:tcW w:w="11520" w:type="dxa"/>
            <w:gridSpan w:val="23"/>
            <w:tcBorders>
              <w:top w:val="nil"/>
              <w:left w:val="nil"/>
              <w:bottom w:val="nil"/>
              <w:right w:val="nil"/>
            </w:tcBorders>
            <w:shd w:val="clear" w:color="auto" w:fill="auto"/>
            <w:noWrap/>
            <w:vAlign w:val="bottom"/>
            <w:hideMark/>
          </w:tcPr>
          <w:p w14:paraId="1CCF1886" w14:textId="77777777" w:rsidR="003A24D1" w:rsidRPr="00BC1E6D" w:rsidRDefault="003A24D1" w:rsidP="00BD3816">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Autocorrelation Test: P-values from Regression of Exogenous Variables and lagged Residuals on Residuals for Each Model</w:t>
            </w:r>
          </w:p>
        </w:tc>
      </w:tr>
      <w:tr w:rsidR="00BC1E6D" w:rsidRPr="00BC1E6D" w14:paraId="1AE619FC" w14:textId="77777777" w:rsidTr="00565467">
        <w:trPr>
          <w:gridAfter w:val="2"/>
          <w:wAfter w:w="1152" w:type="dxa"/>
          <w:trHeight w:val="300"/>
        </w:trPr>
        <w:tc>
          <w:tcPr>
            <w:tcW w:w="864" w:type="dxa"/>
            <w:tcBorders>
              <w:top w:val="single" w:sz="4" w:space="0" w:color="auto"/>
              <w:left w:val="nil"/>
              <w:bottom w:val="nil"/>
              <w:right w:val="nil"/>
            </w:tcBorders>
            <w:shd w:val="clear" w:color="auto" w:fill="auto"/>
            <w:noWrap/>
            <w:vAlign w:val="bottom"/>
            <w:hideMark/>
          </w:tcPr>
          <w:p w14:paraId="40843E9D" w14:textId="77777777" w:rsidR="003A24D1" w:rsidRPr="00BC1E6D" w:rsidRDefault="003A24D1" w:rsidP="00BD3816">
            <w:pPr>
              <w:spacing w:after="0" w:line="276" w:lineRule="auto"/>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 </w:t>
            </w:r>
          </w:p>
        </w:tc>
        <w:tc>
          <w:tcPr>
            <w:tcW w:w="864" w:type="dxa"/>
            <w:gridSpan w:val="2"/>
            <w:tcBorders>
              <w:top w:val="single" w:sz="4" w:space="0" w:color="auto"/>
              <w:left w:val="nil"/>
              <w:bottom w:val="nil"/>
              <w:right w:val="nil"/>
            </w:tcBorders>
            <w:shd w:val="clear" w:color="000000" w:fill="FFFFFF"/>
            <w:noWrap/>
            <w:vAlign w:val="center"/>
            <w:hideMark/>
          </w:tcPr>
          <w:p w14:paraId="2C62F569"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IT</w:t>
            </w:r>
          </w:p>
        </w:tc>
        <w:tc>
          <w:tcPr>
            <w:tcW w:w="864" w:type="dxa"/>
            <w:gridSpan w:val="2"/>
            <w:tcBorders>
              <w:top w:val="single" w:sz="4" w:space="0" w:color="auto"/>
              <w:left w:val="nil"/>
              <w:bottom w:val="nil"/>
              <w:right w:val="nil"/>
            </w:tcBorders>
            <w:shd w:val="clear" w:color="000000" w:fill="FFFFFF"/>
            <w:noWrap/>
            <w:vAlign w:val="center"/>
            <w:hideMark/>
          </w:tcPr>
          <w:p w14:paraId="6B6D97F5"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CD</w:t>
            </w:r>
          </w:p>
        </w:tc>
        <w:tc>
          <w:tcPr>
            <w:tcW w:w="864" w:type="dxa"/>
            <w:gridSpan w:val="2"/>
            <w:tcBorders>
              <w:top w:val="single" w:sz="4" w:space="0" w:color="auto"/>
              <w:left w:val="nil"/>
              <w:bottom w:val="nil"/>
              <w:right w:val="nil"/>
            </w:tcBorders>
            <w:shd w:val="clear" w:color="000000" w:fill="FFFFFF"/>
            <w:noWrap/>
            <w:vAlign w:val="center"/>
            <w:hideMark/>
          </w:tcPr>
          <w:p w14:paraId="666B7189"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Com</w:t>
            </w:r>
          </w:p>
        </w:tc>
        <w:tc>
          <w:tcPr>
            <w:tcW w:w="864" w:type="dxa"/>
            <w:gridSpan w:val="2"/>
            <w:tcBorders>
              <w:top w:val="single" w:sz="4" w:space="0" w:color="auto"/>
              <w:left w:val="nil"/>
              <w:bottom w:val="nil"/>
              <w:right w:val="nil"/>
            </w:tcBorders>
            <w:shd w:val="clear" w:color="000000" w:fill="FFFFFF"/>
            <w:noWrap/>
            <w:vAlign w:val="center"/>
            <w:hideMark/>
          </w:tcPr>
          <w:p w14:paraId="42EF8563"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Fin</w:t>
            </w:r>
          </w:p>
        </w:tc>
        <w:tc>
          <w:tcPr>
            <w:tcW w:w="864" w:type="dxa"/>
            <w:gridSpan w:val="2"/>
            <w:tcBorders>
              <w:top w:val="single" w:sz="4" w:space="0" w:color="auto"/>
              <w:left w:val="nil"/>
              <w:bottom w:val="nil"/>
              <w:right w:val="nil"/>
            </w:tcBorders>
            <w:shd w:val="clear" w:color="000000" w:fill="FFFFFF"/>
            <w:noWrap/>
            <w:vAlign w:val="center"/>
            <w:hideMark/>
          </w:tcPr>
          <w:p w14:paraId="79DD0107"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HC</w:t>
            </w:r>
          </w:p>
        </w:tc>
        <w:tc>
          <w:tcPr>
            <w:tcW w:w="864" w:type="dxa"/>
            <w:gridSpan w:val="2"/>
            <w:tcBorders>
              <w:top w:val="single" w:sz="4" w:space="0" w:color="auto"/>
              <w:left w:val="nil"/>
              <w:bottom w:val="nil"/>
              <w:right w:val="nil"/>
            </w:tcBorders>
            <w:shd w:val="clear" w:color="000000" w:fill="FFFFFF"/>
            <w:noWrap/>
            <w:vAlign w:val="center"/>
            <w:hideMark/>
          </w:tcPr>
          <w:p w14:paraId="2E7D501F"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E</w:t>
            </w:r>
          </w:p>
        </w:tc>
        <w:tc>
          <w:tcPr>
            <w:tcW w:w="864" w:type="dxa"/>
            <w:gridSpan w:val="2"/>
            <w:tcBorders>
              <w:top w:val="single" w:sz="4" w:space="0" w:color="auto"/>
              <w:left w:val="nil"/>
              <w:bottom w:val="nil"/>
              <w:right w:val="nil"/>
            </w:tcBorders>
            <w:shd w:val="clear" w:color="000000" w:fill="FFFFFF"/>
            <w:noWrap/>
            <w:vAlign w:val="center"/>
            <w:hideMark/>
          </w:tcPr>
          <w:p w14:paraId="1877825E"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CS</w:t>
            </w:r>
          </w:p>
        </w:tc>
        <w:tc>
          <w:tcPr>
            <w:tcW w:w="864" w:type="dxa"/>
            <w:gridSpan w:val="2"/>
            <w:tcBorders>
              <w:top w:val="single" w:sz="4" w:space="0" w:color="auto"/>
              <w:left w:val="nil"/>
              <w:bottom w:val="nil"/>
              <w:right w:val="nil"/>
            </w:tcBorders>
            <w:shd w:val="clear" w:color="000000" w:fill="FFFFFF"/>
            <w:noWrap/>
            <w:vAlign w:val="center"/>
            <w:hideMark/>
          </w:tcPr>
          <w:p w14:paraId="3BD1001A"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U</w:t>
            </w:r>
          </w:p>
        </w:tc>
        <w:tc>
          <w:tcPr>
            <w:tcW w:w="864" w:type="dxa"/>
            <w:tcBorders>
              <w:top w:val="single" w:sz="4" w:space="0" w:color="auto"/>
              <w:left w:val="nil"/>
              <w:bottom w:val="nil"/>
              <w:right w:val="nil"/>
            </w:tcBorders>
            <w:shd w:val="clear" w:color="000000" w:fill="FFFFFF"/>
            <w:noWrap/>
            <w:vAlign w:val="center"/>
            <w:hideMark/>
          </w:tcPr>
          <w:p w14:paraId="5BFDC8E0"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Ind</w:t>
            </w:r>
          </w:p>
        </w:tc>
        <w:tc>
          <w:tcPr>
            <w:tcW w:w="864" w:type="dxa"/>
            <w:tcBorders>
              <w:top w:val="single" w:sz="4" w:space="0" w:color="auto"/>
              <w:left w:val="nil"/>
              <w:bottom w:val="nil"/>
              <w:right w:val="nil"/>
            </w:tcBorders>
            <w:shd w:val="clear" w:color="000000" w:fill="FFFFFF"/>
            <w:noWrap/>
            <w:vAlign w:val="center"/>
            <w:hideMark/>
          </w:tcPr>
          <w:p w14:paraId="321014A4"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Mat</w:t>
            </w:r>
          </w:p>
        </w:tc>
        <w:tc>
          <w:tcPr>
            <w:tcW w:w="864" w:type="dxa"/>
            <w:gridSpan w:val="2"/>
            <w:tcBorders>
              <w:top w:val="single" w:sz="4" w:space="0" w:color="auto"/>
              <w:left w:val="nil"/>
              <w:bottom w:val="nil"/>
              <w:right w:val="nil"/>
            </w:tcBorders>
            <w:shd w:val="clear" w:color="000000" w:fill="FFFFFF"/>
            <w:noWrap/>
            <w:vAlign w:val="center"/>
            <w:hideMark/>
          </w:tcPr>
          <w:p w14:paraId="2DF49432"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RE</w:t>
            </w:r>
          </w:p>
        </w:tc>
      </w:tr>
      <w:tr w:rsidR="00BC1E6D" w:rsidRPr="00BC1E6D" w14:paraId="1408B9EF" w14:textId="77777777" w:rsidTr="00565467">
        <w:trPr>
          <w:gridAfter w:val="2"/>
          <w:wAfter w:w="1152" w:type="dxa"/>
          <w:trHeight w:val="300"/>
        </w:trPr>
        <w:tc>
          <w:tcPr>
            <w:tcW w:w="864" w:type="dxa"/>
            <w:tcBorders>
              <w:top w:val="single" w:sz="4" w:space="0" w:color="auto"/>
              <w:left w:val="nil"/>
              <w:bottom w:val="nil"/>
              <w:right w:val="nil"/>
            </w:tcBorders>
            <w:shd w:val="clear" w:color="auto" w:fill="auto"/>
            <w:noWrap/>
            <w:hideMark/>
          </w:tcPr>
          <w:p w14:paraId="087F8788"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const</w:t>
            </w:r>
          </w:p>
        </w:tc>
        <w:tc>
          <w:tcPr>
            <w:tcW w:w="864" w:type="dxa"/>
            <w:gridSpan w:val="2"/>
            <w:tcBorders>
              <w:top w:val="single" w:sz="4" w:space="0" w:color="auto"/>
              <w:left w:val="nil"/>
              <w:bottom w:val="nil"/>
              <w:right w:val="nil"/>
            </w:tcBorders>
            <w:shd w:val="clear" w:color="auto" w:fill="auto"/>
            <w:noWrap/>
            <w:vAlign w:val="bottom"/>
            <w:hideMark/>
          </w:tcPr>
          <w:p w14:paraId="1F7F1B9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0.9932</w:t>
            </w:r>
          </w:p>
        </w:tc>
        <w:tc>
          <w:tcPr>
            <w:tcW w:w="864" w:type="dxa"/>
            <w:gridSpan w:val="2"/>
            <w:tcBorders>
              <w:top w:val="single" w:sz="4" w:space="0" w:color="auto"/>
              <w:left w:val="nil"/>
              <w:bottom w:val="nil"/>
              <w:right w:val="nil"/>
            </w:tcBorders>
            <w:shd w:val="clear" w:color="auto" w:fill="auto"/>
            <w:noWrap/>
            <w:vAlign w:val="bottom"/>
            <w:hideMark/>
          </w:tcPr>
          <w:p w14:paraId="6A531A2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0.9581</w:t>
            </w:r>
          </w:p>
        </w:tc>
        <w:tc>
          <w:tcPr>
            <w:tcW w:w="864" w:type="dxa"/>
            <w:gridSpan w:val="2"/>
            <w:tcBorders>
              <w:top w:val="single" w:sz="4" w:space="0" w:color="auto"/>
              <w:left w:val="nil"/>
              <w:bottom w:val="nil"/>
              <w:right w:val="nil"/>
            </w:tcBorders>
            <w:shd w:val="clear" w:color="auto" w:fill="auto"/>
            <w:noWrap/>
            <w:vAlign w:val="bottom"/>
            <w:hideMark/>
          </w:tcPr>
          <w:p w14:paraId="111EDB8E"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0.9907</w:t>
            </w:r>
          </w:p>
        </w:tc>
        <w:tc>
          <w:tcPr>
            <w:tcW w:w="864" w:type="dxa"/>
            <w:gridSpan w:val="2"/>
            <w:tcBorders>
              <w:top w:val="single" w:sz="4" w:space="0" w:color="auto"/>
              <w:left w:val="nil"/>
              <w:bottom w:val="nil"/>
              <w:right w:val="nil"/>
            </w:tcBorders>
            <w:shd w:val="clear" w:color="auto" w:fill="auto"/>
            <w:noWrap/>
            <w:vAlign w:val="bottom"/>
            <w:hideMark/>
          </w:tcPr>
          <w:p w14:paraId="67D98F74"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0.9466</w:t>
            </w:r>
          </w:p>
        </w:tc>
        <w:tc>
          <w:tcPr>
            <w:tcW w:w="864" w:type="dxa"/>
            <w:gridSpan w:val="2"/>
            <w:tcBorders>
              <w:top w:val="single" w:sz="4" w:space="0" w:color="auto"/>
              <w:left w:val="nil"/>
              <w:bottom w:val="nil"/>
              <w:right w:val="nil"/>
            </w:tcBorders>
            <w:shd w:val="clear" w:color="auto" w:fill="auto"/>
            <w:noWrap/>
            <w:vAlign w:val="bottom"/>
            <w:hideMark/>
          </w:tcPr>
          <w:p w14:paraId="2061502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0.9926</w:t>
            </w:r>
          </w:p>
        </w:tc>
        <w:tc>
          <w:tcPr>
            <w:tcW w:w="864" w:type="dxa"/>
            <w:gridSpan w:val="2"/>
            <w:tcBorders>
              <w:top w:val="single" w:sz="4" w:space="0" w:color="auto"/>
              <w:left w:val="nil"/>
              <w:bottom w:val="nil"/>
              <w:right w:val="nil"/>
            </w:tcBorders>
            <w:shd w:val="clear" w:color="auto" w:fill="auto"/>
            <w:noWrap/>
            <w:vAlign w:val="bottom"/>
            <w:hideMark/>
          </w:tcPr>
          <w:p w14:paraId="504D8B9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0.9864</w:t>
            </w:r>
          </w:p>
        </w:tc>
        <w:tc>
          <w:tcPr>
            <w:tcW w:w="864" w:type="dxa"/>
            <w:gridSpan w:val="2"/>
            <w:tcBorders>
              <w:top w:val="single" w:sz="4" w:space="0" w:color="auto"/>
              <w:left w:val="nil"/>
              <w:bottom w:val="nil"/>
              <w:right w:val="nil"/>
            </w:tcBorders>
            <w:shd w:val="clear" w:color="auto" w:fill="auto"/>
            <w:noWrap/>
            <w:vAlign w:val="bottom"/>
            <w:hideMark/>
          </w:tcPr>
          <w:p w14:paraId="49EFFC8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0.9924</w:t>
            </w:r>
          </w:p>
        </w:tc>
        <w:tc>
          <w:tcPr>
            <w:tcW w:w="864" w:type="dxa"/>
            <w:gridSpan w:val="2"/>
            <w:tcBorders>
              <w:top w:val="single" w:sz="4" w:space="0" w:color="auto"/>
              <w:left w:val="nil"/>
              <w:bottom w:val="nil"/>
              <w:right w:val="nil"/>
            </w:tcBorders>
            <w:shd w:val="clear" w:color="auto" w:fill="auto"/>
            <w:noWrap/>
            <w:vAlign w:val="bottom"/>
            <w:hideMark/>
          </w:tcPr>
          <w:p w14:paraId="16B7085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0.9812</w:t>
            </w:r>
          </w:p>
        </w:tc>
        <w:tc>
          <w:tcPr>
            <w:tcW w:w="864" w:type="dxa"/>
            <w:tcBorders>
              <w:top w:val="single" w:sz="4" w:space="0" w:color="auto"/>
              <w:left w:val="nil"/>
              <w:bottom w:val="nil"/>
              <w:right w:val="nil"/>
            </w:tcBorders>
            <w:shd w:val="clear" w:color="auto" w:fill="auto"/>
            <w:noWrap/>
            <w:vAlign w:val="bottom"/>
            <w:hideMark/>
          </w:tcPr>
          <w:p w14:paraId="06C7571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0.9503</w:t>
            </w:r>
          </w:p>
        </w:tc>
        <w:tc>
          <w:tcPr>
            <w:tcW w:w="864" w:type="dxa"/>
            <w:tcBorders>
              <w:top w:val="single" w:sz="4" w:space="0" w:color="auto"/>
              <w:left w:val="nil"/>
              <w:bottom w:val="nil"/>
              <w:right w:val="nil"/>
            </w:tcBorders>
            <w:shd w:val="clear" w:color="auto" w:fill="auto"/>
            <w:noWrap/>
            <w:vAlign w:val="bottom"/>
            <w:hideMark/>
          </w:tcPr>
          <w:p w14:paraId="28648EEE"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0.9694</w:t>
            </w:r>
          </w:p>
        </w:tc>
        <w:tc>
          <w:tcPr>
            <w:tcW w:w="864" w:type="dxa"/>
            <w:gridSpan w:val="2"/>
            <w:tcBorders>
              <w:top w:val="single" w:sz="4" w:space="0" w:color="auto"/>
              <w:left w:val="nil"/>
              <w:bottom w:val="nil"/>
              <w:right w:val="nil"/>
            </w:tcBorders>
            <w:shd w:val="clear" w:color="auto" w:fill="auto"/>
            <w:noWrap/>
            <w:vAlign w:val="bottom"/>
            <w:hideMark/>
          </w:tcPr>
          <w:p w14:paraId="34CC132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0.9964</w:t>
            </w:r>
          </w:p>
        </w:tc>
      </w:tr>
      <w:tr w:rsidR="00BC1E6D" w:rsidRPr="00BC1E6D" w14:paraId="2ADD967C"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2DD1C0B8"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dIP</w:t>
            </w:r>
          </w:p>
        </w:tc>
        <w:tc>
          <w:tcPr>
            <w:tcW w:w="864" w:type="dxa"/>
            <w:gridSpan w:val="2"/>
            <w:tcBorders>
              <w:top w:val="nil"/>
              <w:left w:val="nil"/>
              <w:bottom w:val="nil"/>
              <w:right w:val="nil"/>
            </w:tcBorders>
            <w:shd w:val="clear" w:color="auto" w:fill="auto"/>
            <w:noWrap/>
            <w:vAlign w:val="bottom"/>
            <w:hideMark/>
          </w:tcPr>
          <w:p w14:paraId="62DB23D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0.9646</w:t>
            </w:r>
          </w:p>
        </w:tc>
        <w:tc>
          <w:tcPr>
            <w:tcW w:w="864" w:type="dxa"/>
            <w:gridSpan w:val="2"/>
            <w:tcBorders>
              <w:top w:val="nil"/>
              <w:left w:val="nil"/>
              <w:bottom w:val="nil"/>
              <w:right w:val="nil"/>
            </w:tcBorders>
            <w:shd w:val="clear" w:color="auto" w:fill="auto"/>
            <w:noWrap/>
            <w:vAlign w:val="bottom"/>
            <w:hideMark/>
          </w:tcPr>
          <w:p w14:paraId="0BFAD68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0.83</w:t>
            </w:r>
          </w:p>
        </w:tc>
        <w:tc>
          <w:tcPr>
            <w:tcW w:w="864" w:type="dxa"/>
            <w:gridSpan w:val="2"/>
            <w:tcBorders>
              <w:top w:val="nil"/>
              <w:left w:val="nil"/>
              <w:bottom w:val="nil"/>
              <w:right w:val="nil"/>
            </w:tcBorders>
            <w:shd w:val="clear" w:color="auto" w:fill="auto"/>
            <w:noWrap/>
            <w:vAlign w:val="bottom"/>
            <w:hideMark/>
          </w:tcPr>
          <w:p w14:paraId="3104062E"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0.9871</w:t>
            </w:r>
          </w:p>
        </w:tc>
        <w:tc>
          <w:tcPr>
            <w:tcW w:w="864" w:type="dxa"/>
            <w:gridSpan w:val="2"/>
            <w:tcBorders>
              <w:top w:val="nil"/>
              <w:left w:val="nil"/>
              <w:bottom w:val="nil"/>
              <w:right w:val="nil"/>
            </w:tcBorders>
            <w:shd w:val="clear" w:color="auto" w:fill="auto"/>
            <w:noWrap/>
            <w:vAlign w:val="bottom"/>
            <w:hideMark/>
          </w:tcPr>
          <w:p w14:paraId="026DDB1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0.9368</w:t>
            </w:r>
          </w:p>
        </w:tc>
        <w:tc>
          <w:tcPr>
            <w:tcW w:w="864" w:type="dxa"/>
            <w:gridSpan w:val="2"/>
            <w:tcBorders>
              <w:top w:val="nil"/>
              <w:left w:val="nil"/>
              <w:bottom w:val="nil"/>
              <w:right w:val="nil"/>
            </w:tcBorders>
            <w:shd w:val="clear" w:color="auto" w:fill="auto"/>
            <w:noWrap/>
            <w:vAlign w:val="bottom"/>
            <w:hideMark/>
          </w:tcPr>
          <w:p w14:paraId="4B7AED0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0.9792</w:t>
            </w:r>
          </w:p>
        </w:tc>
        <w:tc>
          <w:tcPr>
            <w:tcW w:w="864" w:type="dxa"/>
            <w:gridSpan w:val="2"/>
            <w:tcBorders>
              <w:top w:val="nil"/>
              <w:left w:val="nil"/>
              <w:bottom w:val="nil"/>
              <w:right w:val="nil"/>
            </w:tcBorders>
            <w:shd w:val="clear" w:color="auto" w:fill="auto"/>
            <w:noWrap/>
            <w:vAlign w:val="bottom"/>
            <w:hideMark/>
          </w:tcPr>
          <w:p w14:paraId="45E4000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0.9156</w:t>
            </w:r>
          </w:p>
        </w:tc>
        <w:tc>
          <w:tcPr>
            <w:tcW w:w="864" w:type="dxa"/>
            <w:gridSpan w:val="2"/>
            <w:tcBorders>
              <w:top w:val="nil"/>
              <w:left w:val="nil"/>
              <w:bottom w:val="nil"/>
              <w:right w:val="nil"/>
            </w:tcBorders>
            <w:shd w:val="clear" w:color="auto" w:fill="auto"/>
            <w:noWrap/>
            <w:vAlign w:val="bottom"/>
            <w:hideMark/>
          </w:tcPr>
          <w:p w14:paraId="56E31A1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0.9741</w:t>
            </w:r>
          </w:p>
        </w:tc>
        <w:tc>
          <w:tcPr>
            <w:tcW w:w="864" w:type="dxa"/>
            <w:gridSpan w:val="2"/>
            <w:tcBorders>
              <w:top w:val="nil"/>
              <w:left w:val="nil"/>
              <w:bottom w:val="nil"/>
              <w:right w:val="nil"/>
            </w:tcBorders>
            <w:shd w:val="clear" w:color="auto" w:fill="auto"/>
            <w:noWrap/>
            <w:vAlign w:val="bottom"/>
            <w:hideMark/>
          </w:tcPr>
          <w:p w14:paraId="616D9C2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0.9496</w:t>
            </w:r>
          </w:p>
        </w:tc>
        <w:tc>
          <w:tcPr>
            <w:tcW w:w="864" w:type="dxa"/>
            <w:tcBorders>
              <w:top w:val="nil"/>
              <w:left w:val="nil"/>
              <w:bottom w:val="nil"/>
              <w:right w:val="nil"/>
            </w:tcBorders>
            <w:shd w:val="clear" w:color="auto" w:fill="auto"/>
            <w:noWrap/>
            <w:vAlign w:val="bottom"/>
            <w:hideMark/>
          </w:tcPr>
          <w:p w14:paraId="450B96C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0.994</w:t>
            </w:r>
          </w:p>
        </w:tc>
        <w:tc>
          <w:tcPr>
            <w:tcW w:w="864" w:type="dxa"/>
            <w:tcBorders>
              <w:top w:val="nil"/>
              <w:left w:val="nil"/>
              <w:bottom w:val="nil"/>
              <w:right w:val="nil"/>
            </w:tcBorders>
            <w:shd w:val="clear" w:color="auto" w:fill="auto"/>
            <w:noWrap/>
            <w:vAlign w:val="bottom"/>
            <w:hideMark/>
          </w:tcPr>
          <w:p w14:paraId="68A3FC4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0.9668</w:t>
            </w:r>
          </w:p>
        </w:tc>
        <w:tc>
          <w:tcPr>
            <w:tcW w:w="864" w:type="dxa"/>
            <w:gridSpan w:val="2"/>
            <w:tcBorders>
              <w:top w:val="nil"/>
              <w:left w:val="nil"/>
              <w:bottom w:val="nil"/>
              <w:right w:val="nil"/>
            </w:tcBorders>
            <w:shd w:val="clear" w:color="auto" w:fill="auto"/>
            <w:noWrap/>
            <w:vAlign w:val="bottom"/>
            <w:hideMark/>
          </w:tcPr>
          <w:p w14:paraId="7611FB2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0.9569</w:t>
            </w:r>
          </w:p>
        </w:tc>
      </w:tr>
      <w:tr w:rsidR="00BC1E6D" w:rsidRPr="00BC1E6D" w14:paraId="5432A7E0"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11E2E240"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dEI</w:t>
            </w:r>
          </w:p>
        </w:tc>
        <w:tc>
          <w:tcPr>
            <w:tcW w:w="864" w:type="dxa"/>
            <w:gridSpan w:val="2"/>
            <w:tcBorders>
              <w:top w:val="nil"/>
              <w:left w:val="nil"/>
              <w:bottom w:val="nil"/>
              <w:right w:val="nil"/>
            </w:tcBorders>
            <w:shd w:val="clear" w:color="auto" w:fill="auto"/>
            <w:noWrap/>
            <w:vAlign w:val="bottom"/>
            <w:hideMark/>
          </w:tcPr>
          <w:p w14:paraId="480E648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0.953</w:t>
            </w:r>
          </w:p>
        </w:tc>
        <w:tc>
          <w:tcPr>
            <w:tcW w:w="864" w:type="dxa"/>
            <w:gridSpan w:val="2"/>
            <w:tcBorders>
              <w:top w:val="nil"/>
              <w:left w:val="nil"/>
              <w:bottom w:val="nil"/>
              <w:right w:val="nil"/>
            </w:tcBorders>
            <w:shd w:val="clear" w:color="auto" w:fill="auto"/>
            <w:noWrap/>
            <w:vAlign w:val="bottom"/>
            <w:hideMark/>
          </w:tcPr>
          <w:p w14:paraId="6B3265A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0.8211</w:t>
            </w:r>
          </w:p>
        </w:tc>
        <w:tc>
          <w:tcPr>
            <w:tcW w:w="864" w:type="dxa"/>
            <w:gridSpan w:val="2"/>
            <w:tcBorders>
              <w:top w:val="nil"/>
              <w:left w:val="nil"/>
              <w:bottom w:val="nil"/>
              <w:right w:val="nil"/>
            </w:tcBorders>
            <w:shd w:val="clear" w:color="auto" w:fill="auto"/>
            <w:noWrap/>
            <w:vAlign w:val="bottom"/>
            <w:hideMark/>
          </w:tcPr>
          <w:p w14:paraId="0771B73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0.9526</w:t>
            </w:r>
          </w:p>
        </w:tc>
        <w:tc>
          <w:tcPr>
            <w:tcW w:w="864" w:type="dxa"/>
            <w:gridSpan w:val="2"/>
            <w:tcBorders>
              <w:top w:val="nil"/>
              <w:left w:val="nil"/>
              <w:bottom w:val="nil"/>
              <w:right w:val="nil"/>
            </w:tcBorders>
            <w:shd w:val="clear" w:color="auto" w:fill="auto"/>
            <w:noWrap/>
            <w:vAlign w:val="bottom"/>
            <w:hideMark/>
          </w:tcPr>
          <w:p w14:paraId="308F92C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0.9346</w:t>
            </w:r>
          </w:p>
        </w:tc>
        <w:tc>
          <w:tcPr>
            <w:tcW w:w="864" w:type="dxa"/>
            <w:gridSpan w:val="2"/>
            <w:tcBorders>
              <w:top w:val="nil"/>
              <w:left w:val="nil"/>
              <w:bottom w:val="nil"/>
              <w:right w:val="nil"/>
            </w:tcBorders>
            <w:shd w:val="clear" w:color="auto" w:fill="auto"/>
            <w:noWrap/>
            <w:vAlign w:val="bottom"/>
            <w:hideMark/>
          </w:tcPr>
          <w:p w14:paraId="0EFE9A3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0.9927</w:t>
            </w:r>
          </w:p>
        </w:tc>
        <w:tc>
          <w:tcPr>
            <w:tcW w:w="864" w:type="dxa"/>
            <w:gridSpan w:val="2"/>
            <w:tcBorders>
              <w:top w:val="nil"/>
              <w:left w:val="nil"/>
              <w:bottom w:val="nil"/>
              <w:right w:val="nil"/>
            </w:tcBorders>
            <w:shd w:val="clear" w:color="auto" w:fill="auto"/>
            <w:noWrap/>
            <w:vAlign w:val="bottom"/>
            <w:hideMark/>
          </w:tcPr>
          <w:p w14:paraId="586DD84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0.9999</w:t>
            </w:r>
          </w:p>
        </w:tc>
        <w:tc>
          <w:tcPr>
            <w:tcW w:w="864" w:type="dxa"/>
            <w:gridSpan w:val="2"/>
            <w:tcBorders>
              <w:top w:val="nil"/>
              <w:left w:val="nil"/>
              <w:bottom w:val="nil"/>
              <w:right w:val="nil"/>
            </w:tcBorders>
            <w:shd w:val="clear" w:color="auto" w:fill="auto"/>
            <w:noWrap/>
            <w:vAlign w:val="bottom"/>
            <w:hideMark/>
          </w:tcPr>
          <w:p w14:paraId="090E5E5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0.9921</w:t>
            </w:r>
          </w:p>
        </w:tc>
        <w:tc>
          <w:tcPr>
            <w:tcW w:w="864" w:type="dxa"/>
            <w:gridSpan w:val="2"/>
            <w:tcBorders>
              <w:top w:val="nil"/>
              <w:left w:val="nil"/>
              <w:bottom w:val="nil"/>
              <w:right w:val="nil"/>
            </w:tcBorders>
            <w:shd w:val="clear" w:color="auto" w:fill="auto"/>
            <w:noWrap/>
            <w:vAlign w:val="bottom"/>
            <w:hideMark/>
          </w:tcPr>
          <w:p w14:paraId="07467EA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0.925</w:t>
            </w:r>
          </w:p>
        </w:tc>
        <w:tc>
          <w:tcPr>
            <w:tcW w:w="864" w:type="dxa"/>
            <w:tcBorders>
              <w:top w:val="nil"/>
              <w:left w:val="nil"/>
              <w:bottom w:val="nil"/>
              <w:right w:val="nil"/>
            </w:tcBorders>
            <w:shd w:val="clear" w:color="auto" w:fill="auto"/>
            <w:noWrap/>
            <w:vAlign w:val="bottom"/>
            <w:hideMark/>
          </w:tcPr>
          <w:p w14:paraId="3674E1D2"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0.8834</w:t>
            </w:r>
          </w:p>
        </w:tc>
        <w:tc>
          <w:tcPr>
            <w:tcW w:w="864" w:type="dxa"/>
            <w:tcBorders>
              <w:top w:val="nil"/>
              <w:left w:val="nil"/>
              <w:bottom w:val="nil"/>
              <w:right w:val="nil"/>
            </w:tcBorders>
            <w:shd w:val="clear" w:color="auto" w:fill="auto"/>
            <w:noWrap/>
            <w:vAlign w:val="bottom"/>
            <w:hideMark/>
          </w:tcPr>
          <w:p w14:paraId="3D080E6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0.951</w:t>
            </w:r>
          </w:p>
        </w:tc>
        <w:tc>
          <w:tcPr>
            <w:tcW w:w="864" w:type="dxa"/>
            <w:gridSpan w:val="2"/>
            <w:tcBorders>
              <w:top w:val="nil"/>
              <w:left w:val="nil"/>
              <w:bottom w:val="nil"/>
              <w:right w:val="nil"/>
            </w:tcBorders>
            <w:shd w:val="clear" w:color="auto" w:fill="auto"/>
            <w:noWrap/>
            <w:vAlign w:val="bottom"/>
            <w:hideMark/>
          </w:tcPr>
          <w:p w14:paraId="791C77F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0.9432</w:t>
            </w:r>
          </w:p>
        </w:tc>
      </w:tr>
      <w:tr w:rsidR="00BC1E6D" w:rsidRPr="00BC1E6D" w14:paraId="294D508B"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365F2D4B"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dUPR</w:t>
            </w:r>
          </w:p>
        </w:tc>
        <w:tc>
          <w:tcPr>
            <w:tcW w:w="864" w:type="dxa"/>
            <w:gridSpan w:val="2"/>
            <w:tcBorders>
              <w:top w:val="nil"/>
              <w:left w:val="nil"/>
              <w:bottom w:val="nil"/>
              <w:right w:val="nil"/>
            </w:tcBorders>
            <w:shd w:val="clear" w:color="auto" w:fill="auto"/>
            <w:noWrap/>
            <w:vAlign w:val="bottom"/>
            <w:hideMark/>
          </w:tcPr>
          <w:p w14:paraId="7C5965D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0.9974</w:t>
            </w:r>
          </w:p>
        </w:tc>
        <w:tc>
          <w:tcPr>
            <w:tcW w:w="864" w:type="dxa"/>
            <w:gridSpan w:val="2"/>
            <w:tcBorders>
              <w:top w:val="nil"/>
              <w:left w:val="nil"/>
              <w:bottom w:val="nil"/>
              <w:right w:val="nil"/>
            </w:tcBorders>
            <w:shd w:val="clear" w:color="auto" w:fill="auto"/>
            <w:noWrap/>
            <w:vAlign w:val="bottom"/>
            <w:hideMark/>
          </w:tcPr>
          <w:p w14:paraId="0CA3FF6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0.9626</w:t>
            </w:r>
          </w:p>
        </w:tc>
        <w:tc>
          <w:tcPr>
            <w:tcW w:w="864" w:type="dxa"/>
            <w:gridSpan w:val="2"/>
            <w:tcBorders>
              <w:top w:val="nil"/>
              <w:left w:val="nil"/>
              <w:bottom w:val="nil"/>
              <w:right w:val="nil"/>
            </w:tcBorders>
            <w:shd w:val="clear" w:color="auto" w:fill="auto"/>
            <w:noWrap/>
            <w:vAlign w:val="bottom"/>
            <w:hideMark/>
          </w:tcPr>
          <w:p w14:paraId="0A892134"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0.9724</w:t>
            </w:r>
          </w:p>
        </w:tc>
        <w:tc>
          <w:tcPr>
            <w:tcW w:w="864" w:type="dxa"/>
            <w:gridSpan w:val="2"/>
            <w:tcBorders>
              <w:top w:val="nil"/>
              <w:left w:val="nil"/>
              <w:bottom w:val="nil"/>
              <w:right w:val="nil"/>
            </w:tcBorders>
            <w:shd w:val="clear" w:color="auto" w:fill="auto"/>
            <w:noWrap/>
            <w:vAlign w:val="bottom"/>
            <w:hideMark/>
          </w:tcPr>
          <w:p w14:paraId="49CB901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0.9313</w:t>
            </w:r>
          </w:p>
        </w:tc>
        <w:tc>
          <w:tcPr>
            <w:tcW w:w="864" w:type="dxa"/>
            <w:gridSpan w:val="2"/>
            <w:tcBorders>
              <w:top w:val="nil"/>
              <w:left w:val="nil"/>
              <w:bottom w:val="nil"/>
              <w:right w:val="nil"/>
            </w:tcBorders>
            <w:shd w:val="clear" w:color="auto" w:fill="auto"/>
            <w:noWrap/>
            <w:vAlign w:val="bottom"/>
            <w:hideMark/>
          </w:tcPr>
          <w:p w14:paraId="2164D30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0.9846</w:t>
            </w:r>
          </w:p>
        </w:tc>
        <w:tc>
          <w:tcPr>
            <w:tcW w:w="864" w:type="dxa"/>
            <w:gridSpan w:val="2"/>
            <w:tcBorders>
              <w:top w:val="nil"/>
              <w:left w:val="nil"/>
              <w:bottom w:val="nil"/>
              <w:right w:val="nil"/>
            </w:tcBorders>
            <w:shd w:val="clear" w:color="auto" w:fill="auto"/>
            <w:noWrap/>
            <w:vAlign w:val="bottom"/>
            <w:hideMark/>
          </w:tcPr>
          <w:p w14:paraId="33FF636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0.9941</w:t>
            </w:r>
          </w:p>
        </w:tc>
        <w:tc>
          <w:tcPr>
            <w:tcW w:w="864" w:type="dxa"/>
            <w:gridSpan w:val="2"/>
            <w:tcBorders>
              <w:top w:val="nil"/>
              <w:left w:val="nil"/>
              <w:bottom w:val="nil"/>
              <w:right w:val="nil"/>
            </w:tcBorders>
            <w:shd w:val="clear" w:color="auto" w:fill="auto"/>
            <w:noWrap/>
            <w:vAlign w:val="bottom"/>
            <w:hideMark/>
          </w:tcPr>
          <w:p w14:paraId="6794DC9A"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0.969</w:t>
            </w:r>
          </w:p>
        </w:tc>
        <w:tc>
          <w:tcPr>
            <w:tcW w:w="864" w:type="dxa"/>
            <w:gridSpan w:val="2"/>
            <w:tcBorders>
              <w:top w:val="nil"/>
              <w:left w:val="nil"/>
              <w:bottom w:val="nil"/>
              <w:right w:val="nil"/>
            </w:tcBorders>
            <w:shd w:val="clear" w:color="auto" w:fill="auto"/>
            <w:noWrap/>
            <w:vAlign w:val="bottom"/>
            <w:hideMark/>
          </w:tcPr>
          <w:p w14:paraId="54DFE1A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0.9925</w:t>
            </w:r>
          </w:p>
        </w:tc>
        <w:tc>
          <w:tcPr>
            <w:tcW w:w="864" w:type="dxa"/>
            <w:tcBorders>
              <w:top w:val="nil"/>
              <w:left w:val="nil"/>
              <w:bottom w:val="nil"/>
              <w:right w:val="nil"/>
            </w:tcBorders>
            <w:shd w:val="clear" w:color="auto" w:fill="auto"/>
            <w:noWrap/>
            <w:vAlign w:val="bottom"/>
            <w:hideMark/>
          </w:tcPr>
          <w:p w14:paraId="2BE0981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0.8687</w:t>
            </w:r>
          </w:p>
        </w:tc>
        <w:tc>
          <w:tcPr>
            <w:tcW w:w="864" w:type="dxa"/>
            <w:tcBorders>
              <w:top w:val="nil"/>
              <w:left w:val="nil"/>
              <w:bottom w:val="nil"/>
              <w:right w:val="nil"/>
            </w:tcBorders>
            <w:shd w:val="clear" w:color="auto" w:fill="auto"/>
            <w:noWrap/>
            <w:vAlign w:val="bottom"/>
            <w:hideMark/>
          </w:tcPr>
          <w:p w14:paraId="62385F3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0.9711</w:t>
            </w:r>
          </w:p>
        </w:tc>
        <w:tc>
          <w:tcPr>
            <w:tcW w:w="864" w:type="dxa"/>
            <w:gridSpan w:val="2"/>
            <w:tcBorders>
              <w:top w:val="nil"/>
              <w:left w:val="nil"/>
              <w:bottom w:val="nil"/>
              <w:right w:val="nil"/>
            </w:tcBorders>
            <w:shd w:val="clear" w:color="auto" w:fill="auto"/>
            <w:noWrap/>
            <w:vAlign w:val="bottom"/>
            <w:hideMark/>
          </w:tcPr>
          <w:p w14:paraId="27A969D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0.9759</w:t>
            </w:r>
          </w:p>
        </w:tc>
      </w:tr>
      <w:tr w:rsidR="00BC1E6D" w:rsidRPr="00BC1E6D" w14:paraId="6E5FAA71"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1617A144"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dUI</w:t>
            </w:r>
          </w:p>
        </w:tc>
        <w:tc>
          <w:tcPr>
            <w:tcW w:w="864" w:type="dxa"/>
            <w:gridSpan w:val="2"/>
            <w:tcBorders>
              <w:top w:val="nil"/>
              <w:left w:val="nil"/>
              <w:bottom w:val="nil"/>
              <w:right w:val="nil"/>
            </w:tcBorders>
            <w:shd w:val="clear" w:color="auto" w:fill="auto"/>
            <w:noWrap/>
            <w:vAlign w:val="bottom"/>
            <w:hideMark/>
          </w:tcPr>
          <w:p w14:paraId="23926D18"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0.9793</w:t>
            </w:r>
          </w:p>
        </w:tc>
        <w:tc>
          <w:tcPr>
            <w:tcW w:w="864" w:type="dxa"/>
            <w:gridSpan w:val="2"/>
            <w:tcBorders>
              <w:top w:val="nil"/>
              <w:left w:val="nil"/>
              <w:bottom w:val="nil"/>
              <w:right w:val="nil"/>
            </w:tcBorders>
            <w:shd w:val="clear" w:color="auto" w:fill="auto"/>
            <w:noWrap/>
            <w:vAlign w:val="bottom"/>
            <w:hideMark/>
          </w:tcPr>
          <w:p w14:paraId="436FFED2"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0.9976</w:t>
            </w:r>
          </w:p>
        </w:tc>
        <w:tc>
          <w:tcPr>
            <w:tcW w:w="864" w:type="dxa"/>
            <w:gridSpan w:val="2"/>
            <w:tcBorders>
              <w:top w:val="nil"/>
              <w:left w:val="nil"/>
              <w:bottom w:val="nil"/>
              <w:right w:val="nil"/>
            </w:tcBorders>
            <w:shd w:val="clear" w:color="auto" w:fill="auto"/>
            <w:noWrap/>
            <w:vAlign w:val="bottom"/>
            <w:hideMark/>
          </w:tcPr>
          <w:p w14:paraId="3A8F949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0.9978</w:t>
            </w:r>
          </w:p>
        </w:tc>
        <w:tc>
          <w:tcPr>
            <w:tcW w:w="864" w:type="dxa"/>
            <w:gridSpan w:val="2"/>
            <w:tcBorders>
              <w:top w:val="nil"/>
              <w:left w:val="nil"/>
              <w:bottom w:val="nil"/>
              <w:right w:val="nil"/>
            </w:tcBorders>
            <w:shd w:val="clear" w:color="auto" w:fill="auto"/>
            <w:noWrap/>
            <w:vAlign w:val="bottom"/>
            <w:hideMark/>
          </w:tcPr>
          <w:p w14:paraId="3144E1B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0.9218</w:t>
            </w:r>
          </w:p>
        </w:tc>
        <w:tc>
          <w:tcPr>
            <w:tcW w:w="864" w:type="dxa"/>
            <w:gridSpan w:val="2"/>
            <w:tcBorders>
              <w:top w:val="nil"/>
              <w:left w:val="nil"/>
              <w:bottom w:val="nil"/>
              <w:right w:val="nil"/>
            </w:tcBorders>
            <w:shd w:val="clear" w:color="auto" w:fill="auto"/>
            <w:noWrap/>
            <w:vAlign w:val="bottom"/>
            <w:hideMark/>
          </w:tcPr>
          <w:p w14:paraId="3A94EAEC"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0.961</w:t>
            </w:r>
          </w:p>
        </w:tc>
        <w:tc>
          <w:tcPr>
            <w:tcW w:w="864" w:type="dxa"/>
            <w:gridSpan w:val="2"/>
            <w:tcBorders>
              <w:top w:val="nil"/>
              <w:left w:val="nil"/>
              <w:bottom w:val="nil"/>
              <w:right w:val="nil"/>
            </w:tcBorders>
            <w:shd w:val="clear" w:color="auto" w:fill="auto"/>
            <w:noWrap/>
            <w:vAlign w:val="bottom"/>
            <w:hideMark/>
          </w:tcPr>
          <w:p w14:paraId="7E0542B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0.9923</w:t>
            </w:r>
          </w:p>
        </w:tc>
        <w:tc>
          <w:tcPr>
            <w:tcW w:w="864" w:type="dxa"/>
            <w:gridSpan w:val="2"/>
            <w:tcBorders>
              <w:top w:val="nil"/>
              <w:left w:val="nil"/>
              <w:bottom w:val="nil"/>
              <w:right w:val="nil"/>
            </w:tcBorders>
            <w:shd w:val="clear" w:color="auto" w:fill="auto"/>
            <w:noWrap/>
            <w:vAlign w:val="bottom"/>
            <w:hideMark/>
          </w:tcPr>
          <w:p w14:paraId="2ADD3E4C"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0.9459</w:t>
            </w:r>
          </w:p>
        </w:tc>
        <w:tc>
          <w:tcPr>
            <w:tcW w:w="864" w:type="dxa"/>
            <w:gridSpan w:val="2"/>
            <w:tcBorders>
              <w:top w:val="nil"/>
              <w:left w:val="nil"/>
              <w:bottom w:val="nil"/>
              <w:right w:val="nil"/>
            </w:tcBorders>
            <w:shd w:val="clear" w:color="auto" w:fill="auto"/>
            <w:noWrap/>
            <w:vAlign w:val="bottom"/>
            <w:hideMark/>
          </w:tcPr>
          <w:p w14:paraId="04ABBEF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0.9291</w:t>
            </w:r>
          </w:p>
        </w:tc>
        <w:tc>
          <w:tcPr>
            <w:tcW w:w="864" w:type="dxa"/>
            <w:tcBorders>
              <w:top w:val="nil"/>
              <w:left w:val="nil"/>
              <w:bottom w:val="nil"/>
              <w:right w:val="nil"/>
            </w:tcBorders>
            <w:shd w:val="clear" w:color="auto" w:fill="auto"/>
            <w:noWrap/>
            <w:vAlign w:val="bottom"/>
            <w:hideMark/>
          </w:tcPr>
          <w:p w14:paraId="4BC96C3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0.9439</w:t>
            </w:r>
          </w:p>
        </w:tc>
        <w:tc>
          <w:tcPr>
            <w:tcW w:w="864" w:type="dxa"/>
            <w:tcBorders>
              <w:top w:val="nil"/>
              <w:left w:val="nil"/>
              <w:bottom w:val="nil"/>
              <w:right w:val="nil"/>
            </w:tcBorders>
            <w:shd w:val="clear" w:color="auto" w:fill="auto"/>
            <w:noWrap/>
            <w:vAlign w:val="bottom"/>
            <w:hideMark/>
          </w:tcPr>
          <w:p w14:paraId="094917B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0.9829</w:t>
            </w:r>
          </w:p>
        </w:tc>
        <w:tc>
          <w:tcPr>
            <w:tcW w:w="864" w:type="dxa"/>
            <w:gridSpan w:val="2"/>
            <w:tcBorders>
              <w:top w:val="nil"/>
              <w:left w:val="nil"/>
              <w:bottom w:val="nil"/>
              <w:right w:val="nil"/>
            </w:tcBorders>
            <w:shd w:val="clear" w:color="auto" w:fill="auto"/>
            <w:noWrap/>
            <w:vAlign w:val="bottom"/>
            <w:hideMark/>
          </w:tcPr>
          <w:p w14:paraId="542018AE"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0.9614</w:t>
            </w:r>
          </w:p>
        </w:tc>
      </w:tr>
      <w:tr w:rsidR="00BC1E6D" w:rsidRPr="00BC1E6D" w14:paraId="38E28776"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671AAC15"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dUTS</w:t>
            </w:r>
          </w:p>
        </w:tc>
        <w:tc>
          <w:tcPr>
            <w:tcW w:w="864" w:type="dxa"/>
            <w:gridSpan w:val="2"/>
            <w:tcBorders>
              <w:top w:val="nil"/>
              <w:left w:val="nil"/>
              <w:bottom w:val="nil"/>
              <w:right w:val="nil"/>
            </w:tcBorders>
            <w:shd w:val="clear" w:color="auto" w:fill="auto"/>
            <w:noWrap/>
            <w:vAlign w:val="bottom"/>
            <w:hideMark/>
          </w:tcPr>
          <w:p w14:paraId="0548855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0.9698</w:t>
            </w:r>
          </w:p>
        </w:tc>
        <w:tc>
          <w:tcPr>
            <w:tcW w:w="864" w:type="dxa"/>
            <w:gridSpan w:val="2"/>
            <w:tcBorders>
              <w:top w:val="nil"/>
              <w:left w:val="nil"/>
              <w:bottom w:val="nil"/>
              <w:right w:val="nil"/>
            </w:tcBorders>
            <w:shd w:val="clear" w:color="auto" w:fill="auto"/>
            <w:noWrap/>
            <w:vAlign w:val="bottom"/>
            <w:hideMark/>
          </w:tcPr>
          <w:p w14:paraId="4A30EB32"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0.884</w:t>
            </w:r>
          </w:p>
        </w:tc>
        <w:tc>
          <w:tcPr>
            <w:tcW w:w="864" w:type="dxa"/>
            <w:gridSpan w:val="2"/>
            <w:tcBorders>
              <w:top w:val="nil"/>
              <w:left w:val="nil"/>
              <w:bottom w:val="nil"/>
              <w:right w:val="nil"/>
            </w:tcBorders>
            <w:shd w:val="clear" w:color="auto" w:fill="auto"/>
            <w:noWrap/>
            <w:vAlign w:val="bottom"/>
            <w:hideMark/>
          </w:tcPr>
          <w:p w14:paraId="51BBAFA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0.9631</w:t>
            </w:r>
          </w:p>
        </w:tc>
        <w:tc>
          <w:tcPr>
            <w:tcW w:w="864" w:type="dxa"/>
            <w:gridSpan w:val="2"/>
            <w:tcBorders>
              <w:top w:val="nil"/>
              <w:left w:val="nil"/>
              <w:bottom w:val="nil"/>
              <w:right w:val="nil"/>
            </w:tcBorders>
            <w:shd w:val="clear" w:color="auto" w:fill="auto"/>
            <w:noWrap/>
            <w:vAlign w:val="bottom"/>
            <w:hideMark/>
          </w:tcPr>
          <w:p w14:paraId="284EBFB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0.997</w:t>
            </w:r>
          </w:p>
        </w:tc>
        <w:tc>
          <w:tcPr>
            <w:tcW w:w="864" w:type="dxa"/>
            <w:gridSpan w:val="2"/>
            <w:tcBorders>
              <w:top w:val="nil"/>
              <w:left w:val="nil"/>
              <w:bottom w:val="nil"/>
              <w:right w:val="nil"/>
            </w:tcBorders>
            <w:shd w:val="clear" w:color="auto" w:fill="auto"/>
            <w:noWrap/>
            <w:vAlign w:val="bottom"/>
            <w:hideMark/>
          </w:tcPr>
          <w:p w14:paraId="701D705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0.9745</w:t>
            </w:r>
          </w:p>
        </w:tc>
        <w:tc>
          <w:tcPr>
            <w:tcW w:w="864" w:type="dxa"/>
            <w:gridSpan w:val="2"/>
            <w:tcBorders>
              <w:top w:val="nil"/>
              <w:left w:val="nil"/>
              <w:bottom w:val="nil"/>
              <w:right w:val="nil"/>
            </w:tcBorders>
            <w:shd w:val="clear" w:color="auto" w:fill="auto"/>
            <w:noWrap/>
            <w:vAlign w:val="bottom"/>
            <w:hideMark/>
          </w:tcPr>
          <w:p w14:paraId="346CE2C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0.9939</w:t>
            </w:r>
          </w:p>
        </w:tc>
        <w:tc>
          <w:tcPr>
            <w:tcW w:w="864" w:type="dxa"/>
            <w:gridSpan w:val="2"/>
            <w:tcBorders>
              <w:top w:val="nil"/>
              <w:left w:val="nil"/>
              <w:bottom w:val="nil"/>
              <w:right w:val="nil"/>
            </w:tcBorders>
            <w:shd w:val="clear" w:color="auto" w:fill="auto"/>
            <w:noWrap/>
            <w:vAlign w:val="bottom"/>
            <w:hideMark/>
          </w:tcPr>
          <w:p w14:paraId="5043AB8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0.9245</w:t>
            </w:r>
          </w:p>
        </w:tc>
        <w:tc>
          <w:tcPr>
            <w:tcW w:w="864" w:type="dxa"/>
            <w:gridSpan w:val="2"/>
            <w:tcBorders>
              <w:top w:val="nil"/>
              <w:left w:val="nil"/>
              <w:bottom w:val="nil"/>
              <w:right w:val="nil"/>
            </w:tcBorders>
            <w:shd w:val="clear" w:color="auto" w:fill="auto"/>
            <w:noWrap/>
            <w:vAlign w:val="bottom"/>
            <w:hideMark/>
          </w:tcPr>
          <w:p w14:paraId="4F173FD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0.931</w:t>
            </w:r>
          </w:p>
        </w:tc>
        <w:tc>
          <w:tcPr>
            <w:tcW w:w="864" w:type="dxa"/>
            <w:tcBorders>
              <w:top w:val="nil"/>
              <w:left w:val="nil"/>
              <w:bottom w:val="nil"/>
              <w:right w:val="nil"/>
            </w:tcBorders>
            <w:shd w:val="clear" w:color="auto" w:fill="auto"/>
            <w:noWrap/>
            <w:vAlign w:val="bottom"/>
            <w:hideMark/>
          </w:tcPr>
          <w:p w14:paraId="49F8FBF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0.8685</w:t>
            </w:r>
          </w:p>
        </w:tc>
        <w:tc>
          <w:tcPr>
            <w:tcW w:w="864" w:type="dxa"/>
            <w:tcBorders>
              <w:top w:val="nil"/>
              <w:left w:val="nil"/>
              <w:bottom w:val="nil"/>
              <w:right w:val="nil"/>
            </w:tcBorders>
            <w:shd w:val="clear" w:color="auto" w:fill="auto"/>
            <w:noWrap/>
            <w:vAlign w:val="bottom"/>
            <w:hideMark/>
          </w:tcPr>
          <w:p w14:paraId="6FE7ED6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0.8939</w:t>
            </w:r>
          </w:p>
        </w:tc>
        <w:tc>
          <w:tcPr>
            <w:tcW w:w="864" w:type="dxa"/>
            <w:gridSpan w:val="2"/>
            <w:tcBorders>
              <w:top w:val="nil"/>
              <w:left w:val="nil"/>
              <w:bottom w:val="nil"/>
              <w:right w:val="nil"/>
            </w:tcBorders>
            <w:shd w:val="clear" w:color="auto" w:fill="auto"/>
            <w:noWrap/>
            <w:vAlign w:val="bottom"/>
            <w:hideMark/>
          </w:tcPr>
          <w:p w14:paraId="2F8C6A9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0.9804</w:t>
            </w:r>
          </w:p>
        </w:tc>
      </w:tr>
      <w:tr w:rsidR="00BC1E6D" w:rsidRPr="00BC1E6D" w14:paraId="64D01456"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65739AD3"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dOP</w:t>
            </w:r>
          </w:p>
        </w:tc>
        <w:tc>
          <w:tcPr>
            <w:tcW w:w="864" w:type="dxa"/>
            <w:gridSpan w:val="2"/>
            <w:tcBorders>
              <w:top w:val="nil"/>
              <w:left w:val="nil"/>
              <w:bottom w:val="nil"/>
              <w:right w:val="nil"/>
            </w:tcBorders>
            <w:shd w:val="clear" w:color="auto" w:fill="auto"/>
            <w:noWrap/>
            <w:vAlign w:val="bottom"/>
            <w:hideMark/>
          </w:tcPr>
          <w:p w14:paraId="1F076C24"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0.929</w:t>
            </w:r>
          </w:p>
        </w:tc>
        <w:tc>
          <w:tcPr>
            <w:tcW w:w="864" w:type="dxa"/>
            <w:gridSpan w:val="2"/>
            <w:tcBorders>
              <w:top w:val="nil"/>
              <w:left w:val="nil"/>
              <w:bottom w:val="nil"/>
              <w:right w:val="nil"/>
            </w:tcBorders>
            <w:shd w:val="clear" w:color="auto" w:fill="auto"/>
            <w:noWrap/>
            <w:vAlign w:val="bottom"/>
            <w:hideMark/>
          </w:tcPr>
          <w:p w14:paraId="7ACC729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0.7577</w:t>
            </w:r>
          </w:p>
        </w:tc>
        <w:tc>
          <w:tcPr>
            <w:tcW w:w="864" w:type="dxa"/>
            <w:gridSpan w:val="2"/>
            <w:tcBorders>
              <w:top w:val="nil"/>
              <w:left w:val="nil"/>
              <w:bottom w:val="nil"/>
              <w:right w:val="nil"/>
            </w:tcBorders>
            <w:shd w:val="clear" w:color="auto" w:fill="auto"/>
            <w:noWrap/>
            <w:vAlign w:val="bottom"/>
            <w:hideMark/>
          </w:tcPr>
          <w:p w14:paraId="1055496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0.963</w:t>
            </w:r>
          </w:p>
        </w:tc>
        <w:tc>
          <w:tcPr>
            <w:tcW w:w="864" w:type="dxa"/>
            <w:gridSpan w:val="2"/>
            <w:tcBorders>
              <w:top w:val="nil"/>
              <w:left w:val="nil"/>
              <w:bottom w:val="nil"/>
              <w:right w:val="nil"/>
            </w:tcBorders>
            <w:shd w:val="clear" w:color="auto" w:fill="auto"/>
            <w:noWrap/>
            <w:vAlign w:val="bottom"/>
            <w:hideMark/>
          </w:tcPr>
          <w:p w14:paraId="32EDA49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0.9907</w:t>
            </w:r>
          </w:p>
        </w:tc>
        <w:tc>
          <w:tcPr>
            <w:tcW w:w="864" w:type="dxa"/>
            <w:gridSpan w:val="2"/>
            <w:tcBorders>
              <w:top w:val="nil"/>
              <w:left w:val="nil"/>
              <w:bottom w:val="nil"/>
              <w:right w:val="nil"/>
            </w:tcBorders>
            <w:shd w:val="clear" w:color="auto" w:fill="auto"/>
            <w:noWrap/>
            <w:vAlign w:val="bottom"/>
            <w:hideMark/>
          </w:tcPr>
          <w:p w14:paraId="61D0538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0.9996</w:t>
            </w:r>
          </w:p>
        </w:tc>
        <w:tc>
          <w:tcPr>
            <w:tcW w:w="864" w:type="dxa"/>
            <w:gridSpan w:val="2"/>
            <w:tcBorders>
              <w:top w:val="nil"/>
              <w:left w:val="nil"/>
              <w:bottom w:val="nil"/>
              <w:right w:val="nil"/>
            </w:tcBorders>
            <w:shd w:val="clear" w:color="auto" w:fill="auto"/>
            <w:noWrap/>
            <w:vAlign w:val="bottom"/>
            <w:hideMark/>
          </w:tcPr>
          <w:p w14:paraId="10223D7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0.9642</w:t>
            </w:r>
          </w:p>
        </w:tc>
        <w:tc>
          <w:tcPr>
            <w:tcW w:w="864" w:type="dxa"/>
            <w:gridSpan w:val="2"/>
            <w:tcBorders>
              <w:top w:val="nil"/>
              <w:left w:val="nil"/>
              <w:bottom w:val="nil"/>
              <w:right w:val="nil"/>
            </w:tcBorders>
            <w:shd w:val="clear" w:color="auto" w:fill="auto"/>
            <w:noWrap/>
            <w:vAlign w:val="bottom"/>
            <w:hideMark/>
          </w:tcPr>
          <w:p w14:paraId="0C9DA228"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0.9652</w:t>
            </w:r>
          </w:p>
        </w:tc>
        <w:tc>
          <w:tcPr>
            <w:tcW w:w="864" w:type="dxa"/>
            <w:gridSpan w:val="2"/>
            <w:tcBorders>
              <w:top w:val="nil"/>
              <w:left w:val="nil"/>
              <w:bottom w:val="nil"/>
              <w:right w:val="nil"/>
            </w:tcBorders>
            <w:shd w:val="clear" w:color="auto" w:fill="auto"/>
            <w:noWrap/>
            <w:vAlign w:val="bottom"/>
            <w:hideMark/>
          </w:tcPr>
          <w:p w14:paraId="16627F6C"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0.974</w:t>
            </w:r>
          </w:p>
        </w:tc>
        <w:tc>
          <w:tcPr>
            <w:tcW w:w="864" w:type="dxa"/>
            <w:tcBorders>
              <w:top w:val="nil"/>
              <w:left w:val="nil"/>
              <w:bottom w:val="nil"/>
              <w:right w:val="nil"/>
            </w:tcBorders>
            <w:shd w:val="clear" w:color="auto" w:fill="auto"/>
            <w:noWrap/>
            <w:vAlign w:val="bottom"/>
            <w:hideMark/>
          </w:tcPr>
          <w:p w14:paraId="5BBF102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0.9038</w:t>
            </w:r>
          </w:p>
        </w:tc>
        <w:tc>
          <w:tcPr>
            <w:tcW w:w="864" w:type="dxa"/>
            <w:tcBorders>
              <w:top w:val="nil"/>
              <w:left w:val="nil"/>
              <w:bottom w:val="nil"/>
              <w:right w:val="nil"/>
            </w:tcBorders>
            <w:shd w:val="clear" w:color="auto" w:fill="auto"/>
            <w:noWrap/>
            <w:vAlign w:val="bottom"/>
            <w:hideMark/>
          </w:tcPr>
          <w:p w14:paraId="4BDA76D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0.865</w:t>
            </w:r>
          </w:p>
        </w:tc>
        <w:tc>
          <w:tcPr>
            <w:tcW w:w="864" w:type="dxa"/>
            <w:gridSpan w:val="2"/>
            <w:tcBorders>
              <w:top w:val="nil"/>
              <w:left w:val="nil"/>
              <w:bottom w:val="nil"/>
              <w:right w:val="nil"/>
            </w:tcBorders>
            <w:shd w:val="clear" w:color="auto" w:fill="auto"/>
            <w:noWrap/>
            <w:vAlign w:val="bottom"/>
            <w:hideMark/>
          </w:tcPr>
          <w:p w14:paraId="170CE594"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0.9342</w:t>
            </w:r>
          </w:p>
        </w:tc>
      </w:tr>
      <w:tr w:rsidR="00BC1E6D" w:rsidRPr="00BC1E6D" w14:paraId="27C97024" w14:textId="77777777" w:rsidTr="00565467">
        <w:trPr>
          <w:gridAfter w:val="2"/>
          <w:wAfter w:w="1152" w:type="dxa"/>
          <w:trHeight w:val="300"/>
        </w:trPr>
        <w:tc>
          <w:tcPr>
            <w:tcW w:w="864" w:type="dxa"/>
            <w:tcBorders>
              <w:top w:val="nil"/>
              <w:left w:val="nil"/>
              <w:bottom w:val="nil"/>
              <w:right w:val="nil"/>
            </w:tcBorders>
            <w:shd w:val="clear" w:color="auto" w:fill="auto"/>
            <w:noWrap/>
            <w:hideMark/>
          </w:tcPr>
          <w:p w14:paraId="1DA92294"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dSP500</w:t>
            </w:r>
          </w:p>
        </w:tc>
        <w:tc>
          <w:tcPr>
            <w:tcW w:w="864" w:type="dxa"/>
            <w:gridSpan w:val="2"/>
            <w:tcBorders>
              <w:top w:val="nil"/>
              <w:left w:val="nil"/>
              <w:bottom w:val="nil"/>
              <w:right w:val="nil"/>
            </w:tcBorders>
            <w:shd w:val="clear" w:color="auto" w:fill="auto"/>
            <w:noWrap/>
            <w:vAlign w:val="bottom"/>
            <w:hideMark/>
          </w:tcPr>
          <w:p w14:paraId="7CA03A7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0.9429</w:t>
            </w:r>
          </w:p>
        </w:tc>
        <w:tc>
          <w:tcPr>
            <w:tcW w:w="864" w:type="dxa"/>
            <w:gridSpan w:val="2"/>
            <w:tcBorders>
              <w:top w:val="nil"/>
              <w:left w:val="nil"/>
              <w:bottom w:val="nil"/>
              <w:right w:val="nil"/>
            </w:tcBorders>
            <w:shd w:val="clear" w:color="auto" w:fill="auto"/>
            <w:noWrap/>
            <w:vAlign w:val="bottom"/>
            <w:hideMark/>
          </w:tcPr>
          <w:p w14:paraId="29F0CC7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0.9174</w:t>
            </w:r>
          </w:p>
        </w:tc>
        <w:tc>
          <w:tcPr>
            <w:tcW w:w="864" w:type="dxa"/>
            <w:gridSpan w:val="2"/>
            <w:tcBorders>
              <w:top w:val="nil"/>
              <w:left w:val="nil"/>
              <w:bottom w:val="nil"/>
              <w:right w:val="nil"/>
            </w:tcBorders>
            <w:shd w:val="clear" w:color="auto" w:fill="auto"/>
            <w:noWrap/>
            <w:vAlign w:val="bottom"/>
            <w:hideMark/>
          </w:tcPr>
          <w:p w14:paraId="15E1B3A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0.9999</w:t>
            </w:r>
          </w:p>
        </w:tc>
        <w:tc>
          <w:tcPr>
            <w:tcW w:w="864" w:type="dxa"/>
            <w:gridSpan w:val="2"/>
            <w:tcBorders>
              <w:top w:val="nil"/>
              <w:left w:val="nil"/>
              <w:bottom w:val="nil"/>
              <w:right w:val="nil"/>
            </w:tcBorders>
            <w:shd w:val="clear" w:color="auto" w:fill="auto"/>
            <w:noWrap/>
            <w:vAlign w:val="bottom"/>
            <w:hideMark/>
          </w:tcPr>
          <w:p w14:paraId="0EB5B1C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0.8073</w:t>
            </w:r>
          </w:p>
        </w:tc>
        <w:tc>
          <w:tcPr>
            <w:tcW w:w="864" w:type="dxa"/>
            <w:gridSpan w:val="2"/>
            <w:tcBorders>
              <w:top w:val="nil"/>
              <w:left w:val="nil"/>
              <w:bottom w:val="nil"/>
              <w:right w:val="nil"/>
            </w:tcBorders>
            <w:shd w:val="clear" w:color="auto" w:fill="auto"/>
            <w:noWrap/>
            <w:vAlign w:val="bottom"/>
            <w:hideMark/>
          </w:tcPr>
          <w:p w14:paraId="6B72349F"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0.9963</w:t>
            </w:r>
          </w:p>
        </w:tc>
        <w:tc>
          <w:tcPr>
            <w:tcW w:w="864" w:type="dxa"/>
            <w:gridSpan w:val="2"/>
            <w:tcBorders>
              <w:top w:val="nil"/>
              <w:left w:val="nil"/>
              <w:bottom w:val="nil"/>
              <w:right w:val="nil"/>
            </w:tcBorders>
            <w:shd w:val="clear" w:color="auto" w:fill="auto"/>
            <w:noWrap/>
            <w:vAlign w:val="bottom"/>
            <w:hideMark/>
          </w:tcPr>
          <w:p w14:paraId="1759B857"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0.9849</w:t>
            </w:r>
          </w:p>
        </w:tc>
        <w:tc>
          <w:tcPr>
            <w:tcW w:w="864" w:type="dxa"/>
            <w:gridSpan w:val="2"/>
            <w:tcBorders>
              <w:top w:val="nil"/>
              <w:left w:val="nil"/>
              <w:bottom w:val="nil"/>
              <w:right w:val="nil"/>
            </w:tcBorders>
            <w:shd w:val="clear" w:color="auto" w:fill="auto"/>
            <w:noWrap/>
            <w:vAlign w:val="bottom"/>
            <w:hideMark/>
          </w:tcPr>
          <w:p w14:paraId="6801AFC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0.9768</w:t>
            </w:r>
          </w:p>
        </w:tc>
        <w:tc>
          <w:tcPr>
            <w:tcW w:w="864" w:type="dxa"/>
            <w:gridSpan w:val="2"/>
            <w:tcBorders>
              <w:top w:val="nil"/>
              <w:left w:val="nil"/>
              <w:bottom w:val="nil"/>
              <w:right w:val="nil"/>
            </w:tcBorders>
            <w:shd w:val="clear" w:color="auto" w:fill="auto"/>
            <w:noWrap/>
            <w:vAlign w:val="bottom"/>
            <w:hideMark/>
          </w:tcPr>
          <w:p w14:paraId="23C06A4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0.9091</w:t>
            </w:r>
          </w:p>
        </w:tc>
        <w:tc>
          <w:tcPr>
            <w:tcW w:w="864" w:type="dxa"/>
            <w:tcBorders>
              <w:top w:val="nil"/>
              <w:left w:val="nil"/>
              <w:bottom w:val="nil"/>
              <w:right w:val="nil"/>
            </w:tcBorders>
            <w:shd w:val="clear" w:color="auto" w:fill="auto"/>
            <w:noWrap/>
            <w:vAlign w:val="bottom"/>
            <w:hideMark/>
          </w:tcPr>
          <w:p w14:paraId="27B95C7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0.8192</w:t>
            </w:r>
          </w:p>
        </w:tc>
        <w:tc>
          <w:tcPr>
            <w:tcW w:w="864" w:type="dxa"/>
            <w:tcBorders>
              <w:top w:val="nil"/>
              <w:left w:val="nil"/>
              <w:bottom w:val="nil"/>
              <w:right w:val="nil"/>
            </w:tcBorders>
            <w:shd w:val="clear" w:color="auto" w:fill="auto"/>
            <w:noWrap/>
            <w:vAlign w:val="bottom"/>
            <w:hideMark/>
          </w:tcPr>
          <w:p w14:paraId="0D1C153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0.9027</w:t>
            </w:r>
          </w:p>
        </w:tc>
        <w:tc>
          <w:tcPr>
            <w:tcW w:w="864" w:type="dxa"/>
            <w:gridSpan w:val="2"/>
            <w:tcBorders>
              <w:top w:val="nil"/>
              <w:left w:val="nil"/>
              <w:bottom w:val="nil"/>
              <w:right w:val="nil"/>
            </w:tcBorders>
            <w:shd w:val="clear" w:color="auto" w:fill="auto"/>
            <w:noWrap/>
            <w:vAlign w:val="bottom"/>
            <w:hideMark/>
          </w:tcPr>
          <w:p w14:paraId="0965F735"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0.9789</w:t>
            </w:r>
          </w:p>
        </w:tc>
      </w:tr>
      <w:tr w:rsidR="00BC1E6D" w:rsidRPr="00BC1E6D" w14:paraId="06D589A6" w14:textId="77777777" w:rsidTr="00565467">
        <w:trPr>
          <w:gridAfter w:val="2"/>
          <w:wAfter w:w="1152" w:type="dxa"/>
          <w:trHeight w:val="300"/>
        </w:trPr>
        <w:tc>
          <w:tcPr>
            <w:tcW w:w="864" w:type="dxa"/>
            <w:tcBorders>
              <w:top w:val="nil"/>
              <w:left w:val="nil"/>
              <w:bottom w:val="single" w:sz="4" w:space="0" w:color="auto"/>
              <w:right w:val="nil"/>
            </w:tcBorders>
            <w:shd w:val="clear" w:color="auto" w:fill="auto"/>
            <w:noWrap/>
            <w:hideMark/>
          </w:tcPr>
          <w:p w14:paraId="75DFDE48" w14:textId="77777777" w:rsidR="003A24D1" w:rsidRPr="00BC1E6D" w:rsidRDefault="003A24D1" w:rsidP="00BD3816">
            <w:pPr>
              <w:spacing w:after="0" w:line="276" w:lineRule="auto"/>
              <w:jc w:val="center"/>
              <w:rPr>
                <w:rFonts w:ascii="Times New Roman" w:eastAsia="Times New Roman" w:hAnsi="Times New Roman" w:cs="Times New Roman"/>
                <w:b/>
                <w:bCs/>
                <w:i/>
                <w:iCs/>
                <w:sz w:val="20"/>
                <w:szCs w:val="20"/>
              </w:rPr>
            </w:pPr>
            <w:r w:rsidRPr="00BC1E6D">
              <w:rPr>
                <w:rFonts w:ascii="Times New Roman" w:eastAsia="Times New Roman" w:hAnsi="Times New Roman" w:cs="Times New Roman"/>
                <w:b/>
                <w:bCs/>
                <w:i/>
                <w:iCs/>
                <w:sz w:val="20"/>
                <w:szCs w:val="20"/>
              </w:rPr>
              <w:t>u(t-1)</w:t>
            </w:r>
          </w:p>
        </w:tc>
        <w:tc>
          <w:tcPr>
            <w:tcW w:w="864" w:type="dxa"/>
            <w:gridSpan w:val="2"/>
            <w:tcBorders>
              <w:top w:val="nil"/>
              <w:left w:val="nil"/>
              <w:bottom w:val="single" w:sz="4" w:space="0" w:color="auto"/>
              <w:right w:val="nil"/>
            </w:tcBorders>
            <w:shd w:val="clear" w:color="auto" w:fill="auto"/>
            <w:noWrap/>
            <w:vAlign w:val="bottom"/>
            <w:hideMark/>
          </w:tcPr>
          <w:p w14:paraId="285F5BC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0.6321</w:t>
            </w:r>
          </w:p>
        </w:tc>
        <w:tc>
          <w:tcPr>
            <w:tcW w:w="864" w:type="dxa"/>
            <w:gridSpan w:val="2"/>
            <w:tcBorders>
              <w:top w:val="nil"/>
              <w:left w:val="nil"/>
              <w:bottom w:val="single" w:sz="4" w:space="0" w:color="auto"/>
              <w:right w:val="nil"/>
            </w:tcBorders>
            <w:shd w:val="clear" w:color="auto" w:fill="auto"/>
            <w:noWrap/>
            <w:vAlign w:val="bottom"/>
            <w:hideMark/>
          </w:tcPr>
          <w:p w14:paraId="6D4FCEA8"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0.1816</w:t>
            </w:r>
          </w:p>
        </w:tc>
        <w:tc>
          <w:tcPr>
            <w:tcW w:w="864" w:type="dxa"/>
            <w:gridSpan w:val="2"/>
            <w:tcBorders>
              <w:top w:val="nil"/>
              <w:left w:val="nil"/>
              <w:bottom w:val="single" w:sz="4" w:space="0" w:color="auto"/>
              <w:right w:val="nil"/>
            </w:tcBorders>
            <w:shd w:val="clear" w:color="auto" w:fill="auto"/>
            <w:noWrap/>
            <w:vAlign w:val="bottom"/>
            <w:hideMark/>
          </w:tcPr>
          <w:p w14:paraId="29B7F12D"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0.6599</w:t>
            </w:r>
          </w:p>
        </w:tc>
        <w:tc>
          <w:tcPr>
            <w:tcW w:w="864" w:type="dxa"/>
            <w:gridSpan w:val="2"/>
            <w:tcBorders>
              <w:top w:val="nil"/>
              <w:left w:val="nil"/>
              <w:bottom w:val="single" w:sz="4" w:space="0" w:color="auto"/>
              <w:right w:val="nil"/>
            </w:tcBorders>
            <w:shd w:val="clear" w:color="auto" w:fill="auto"/>
            <w:noWrap/>
            <w:vAlign w:val="bottom"/>
            <w:hideMark/>
          </w:tcPr>
          <w:p w14:paraId="10AC25CA"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0.0669</w:t>
            </w:r>
          </w:p>
        </w:tc>
        <w:tc>
          <w:tcPr>
            <w:tcW w:w="864" w:type="dxa"/>
            <w:gridSpan w:val="2"/>
            <w:tcBorders>
              <w:top w:val="nil"/>
              <w:left w:val="nil"/>
              <w:bottom w:val="single" w:sz="4" w:space="0" w:color="auto"/>
              <w:right w:val="nil"/>
            </w:tcBorders>
            <w:shd w:val="clear" w:color="auto" w:fill="auto"/>
            <w:noWrap/>
            <w:vAlign w:val="bottom"/>
            <w:hideMark/>
          </w:tcPr>
          <w:p w14:paraId="37327313"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0.5558</w:t>
            </w:r>
          </w:p>
        </w:tc>
        <w:tc>
          <w:tcPr>
            <w:tcW w:w="864" w:type="dxa"/>
            <w:gridSpan w:val="2"/>
            <w:tcBorders>
              <w:top w:val="nil"/>
              <w:left w:val="nil"/>
              <w:bottom w:val="single" w:sz="4" w:space="0" w:color="auto"/>
              <w:right w:val="nil"/>
            </w:tcBorders>
            <w:shd w:val="clear" w:color="auto" w:fill="auto"/>
            <w:noWrap/>
            <w:vAlign w:val="bottom"/>
            <w:hideMark/>
          </w:tcPr>
          <w:p w14:paraId="25757EB0"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0.6853</w:t>
            </w:r>
          </w:p>
        </w:tc>
        <w:tc>
          <w:tcPr>
            <w:tcW w:w="864" w:type="dxa"/>
            <w:gridSpan w:val="2"/>
            <w:tcBorders>
              <w:top w:val="nil"/>
              <w:left w:val="nil"/>
              <w:bottom w:val="single" w:sz="4" w:space="0" w:color="auto"/>
              <w:right w:val="nil"/>
            </w:tcBorders>
            <w:shd w:val="clear" w:color="auto" w:fill="auto"/>
            <w:noWrap/>
            <w:vAlign w:val="bottom"/>
            <w:hideMark/>
          </w:tcPr>
          <w:p w14:paraId="2789F729"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0.2998</w:t>
            </w:r>
          </w:p>
        </w:tc>
        <w:tc>
          <w:tcPr>
            <w:tcW w:w="864" w:type="dxa"/>
            <w:gridSpan w:val="2"/>
            <w:tcBorders>
              <w:top w:val="nil"/>
              <w:left w:val="nil"/>
              <w:bottom w:val="single" w:sz="4" w:space="0" w:color="auto"/>
              <w:right w:val="nil"/>
            </w:tcBorders>
            <w:shd w:val="clear" w:color="auto" w:fill="auto"/>
            <w:noWrap/>
            <w:vAlign w:val="bottom"/>
            <w:hideMark/>
          </w:tcPr>
          <w:p w14:paraId="72DBB5D6"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0.3805</w:t>
            </w:r>
          </w:p>
        </w:tc>
        <w:tc>
          <w:tcPr>
            <w:tcW w:w="864" w:type="dxa"/>
            <w:tcBorders>
              <w:top w:val="nil"/>
              <w:left w:val="nil"/>
              <w:bottom w:val="single" w:sz="4" w:space="0" w:color="auto"/>
              <w:right w:val="nil"/>
            </w:tcBorders>
            <w:shd w:val="clear" w:color="auto" w:fill="auto"/>
            <w:noWrap/>
            <w:vAlign w:val="bottom"/>
            <w:hideMark/>
          </w:tcPr>
          <w:p w14:paraId="71DBB9B1"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0.2716</w:t>
            </w:r>
          </w:p>
        </w:tc>
        <w:tc>
          <w:tcPr>
            <w:tcW w:w="864" w:type="dxa"/>
            <w:tcBorders>
              <w:top w:val="nil"/>
              <w:left w:val="nil"/>
              <w:bottom w:val="single" w:sz="4" w:space="0" w:color="auto"/>
              <w:right w:val="nil"/>
            </w:tcBorders>
            <w:shd w:val="clear" w:color="auto" w:fill="auto"/>
            <w:noWrap/>
            <w:vAlign w:val="bottom"/>
            <w:hideMark/>
          </w:tcPr>
          <w:p w14:paraId="156FAB52"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0.1796</w:t>
            </w:r>
          </w:p>
        </w:tc>
        <w:tc>
          <w:tcPr>
            <w:tcW w:w="864" w:type="dxa"/>
            <w:gridSpan w:val="2"/>
            <w:tcBorders>
              <w:top w:val="nil"/>
              <w:left w:val="nil"/>
              <w:bottom w:val="single" w:sz="4" w:space="0" w:color="auto"/>
              <w:right w:val="nil"/>
            </w:tcBorders>
            <w:shd w:val="clear" w:color="auto" w:fill="auto"/>
            <w:noWrap/>
            <w:vAlign w:val="bottom"/>
            <w:hideMark/>
          </w:tcPr>
          <w:p w14:paraId="780C318B" w14:textId="77777777" w:rsidR="003A24D1" w:rsidRPr="00BC1E6D" w:rsidRDefault="003A24D1" w:rsidP="00BD3816">
            <w:pPr>
              <w:spacing w:after="0" w:line="276" w:lineRule="auto"/>
              <w:jc w:val="right"/>
              <w:rPr>
                <w:rFonts w:ascii="Times New Roman" w:eastAsia="Times New Roman" w:hAnsi="Times New Roman" w:cs="Times New Roman"/>
                <w:sz w:val="20"/>
                <w:szCs w:val="20"/>
              </w:rPr>
            </w:pPr>
            <w:r w:rsidRPr="00BC1E6D">
              <w:rPr>
                <w:rFonts w:ascii="Times New Roman" w:eastAsia="Times New Roman" w:hAnsi="Times New Roman" w:cs="Times New Roman"/>
                <w:sz w:val="20"/>
                <w:szCs w:val="20"/>
              </w:rPr>
              <w:t>0.3424</w:t>
            </w:r>
          </w:p>
        </w:tc>
      </w:tr>
      <w:tr w:rsidR="00BC1E6D" w:rsidRPr="00BC1E6D" w14:paraId="43127ECA" w14:textId="77777777" w:rsidTr="003A24D1">
        <w:trPr>
          <w:trHeight w:val="300"/>
        </w:trPr>
        <w:tc>
          <w:tcPr>
            <w:tcW w:w="10560" w:type="dxa"/>
            <w:gridSpan w:val="22"/>
            <w:tcBorders>
              <w:top w:val="nil"/>
              <w:left w:val="nil"/>
              <w:bottom w:val="nil"/>
              <w:right w:val="nil"/>
            </w:tcBorders>
            <w:shd w:val="clear" w:color="auto" w:fill="auto"/>
            <w:noWrap/>
            <w:vAlign w:val="bottom"/>
            <w:hideMark/>
          </w:tcPr>
          <w:p w14:paraId="1395F2BE" w14:textId="2FF59289" w:rsidR="003A24D1" w:rsidRPr="00BC1E6D" w:rsidRDefault="003A24D1" w:rsidP="00BD3816">
            <w:pPr>
              <w:spacing w:after="0" w:line="276" w:lineRule="auto"/>
              <w:rPr>
                <w:rFonts w:ascii="Times New Roman" w:eastAsia="Times New Roman" w:hAnsi="Times New Roman" w:cs="Times New Roman"/>
                <w:i/>
                <w:iCs/>
                <w:sz w:val="20"/>
                <w:szCs w:val="20"/>
              </w:rPr>
            </w:pPr>
            <w:r w:rsidRPr="00BC1E6D">
              <w:rPr>
                <w:rFonts w:ascii="Times New Roman" w:eastAsia="Times New Roman" w:hAnsi="Times New Roman" w:cs="Times New Roman"/>
                <w:i/>
                <w:iCs/>
                <w:sz w:val="20"/>
                <w:szCs w:val="20"/>
              </w:rPr>
              <w:t xml:space="preserve">Note: u(t-1) is the lagged residuals and p-values </w:t>
            </w:r>
            <w:r w:rsidR="00ED1FAC" w:rsidRPr="00BC1E6D">
              <w:rPr>
                <w:rFonts w:ascii="Times New Roman" w:eastAsia="Times New Roman" w:hAnsi="Times New Roman" w:cs="Times New Roman"/>
                <w:i/>
                <w:iCs/>
                <w:sz w:val="20"/>
                <w:szCs w:val="20"/>
              </w:rPr>
              <w:t>&lt;</w:t>
            </w:r>
            <w:r w:rsidRPr="00BC1E6D">
              <w:rPr>
                <w:rFonts w:ascii="Times New Roman" w:eastAsia="Times New Roman" w:hAnsi="Times New Roman" w:cs="Times New Roman"/>
                <w:i/>
                <w:iCs/>
                <w:sz w:val="20"/>
                <w:szCs w:val="20"/>
              </w:rPr>
              <w:t xml:space="preserve"> 0.05 would suggest the model suffers from autocorrelation</w:t>
            </w:r>
          </w:p>
          <w:p w14:paraId="1491D72A" w14:textId="77777777" w:rsidR="001F0372" w:rsidRPr="00BC1E6D" w:rsidRDefault="001F0372" w:rsidP="00BD3816">
            <w:pPr>
              <w:spacing w:after="0" w:line="276" w:lineRule="auto"/>
              <w:rPr>
                <w:rFonts w:ascii="Times New Roman" w:eastAsia="Times New Roman" w:hAnsi="Times New Roman" w:cs="Times New Roman"/>
                <w:i/>
                <w:iCs/>
                <w:sz w:val="20"/>
                <w:szCs w:val="20"/>
              </w:rPr>
            </w:pPr>
          </w:p>
          <w:p w14:paraId="490E6B5D" w14:textId="026FBC42" w:rsidR="00D85EC9" w:rsidRPr="00BC1E6D" w:rsidRDefault="00D85EC9" w:rsidP="00BD3816">
            <w:pPr>
              <w:spacing w:after="0" w:line="276" w:lineRule="auto"/>
              <w:rPr>
                <w:rFonts w:ascii="Times New Roman" w:eastAsia="Times New Roman" w:hAnsi="Times New Roman" w:cs="Times New Roman"/>
                <w:i/>
                <w:iCs/>
                <w:sz w:val="20"/>
                <w:szCs w:val="20"/>
              </w:rPr>
            </w:pPr>
          </w:p>
        </w:tc>
        <w:tc>
          <w:tcPr>
            <w:tcW w:w="960" w:type="dxa"/>
            <w:tcBorders>
              <w:top w:val="nil"/>
              <w:left w:val="nil"/>
              <w:bottom w:val="nil"/>
              <w:right w:val="nil"/>
            </w:tcBorders>
            <w:shd w:val="clear" w:color="auto" w:fill="auto"/>
            <w:noWrap/>
            <w:vAlign w:val="bottom"/>
            <w:hideMark/>
          </w:tcPr>
          <w:p w14:paraId="4939A241" w14:textId="77777777" w:rsidR="003A24D1" w:rsidRPr="00BC1E6D" w:rsidRDefault="003A24D1" w:rsidP="00BD3816">
            <w:pPr>
              <w:spacing w:after="0" w:line="276" w:lineRule="auto"/>
              <w:rPr>
                <w:rFonts w:ascii="Times New Roman" w:eastAsia="Times New Roman" w:hAnsi="Times New Roman" w:cs="Times New Roman"/>
                <w:i/>
                <w:iCs/>
                <w:sz w:val="24"/>
                <w:szCs w:val="24"/>
              </w:rPr>
            </w:pPr>
          </w:p>
        </w:tc>
      </w:tr>
    </w:tbl>
    <w:p w14:paraId="0516984C" w14:textId="1D1F949B" w:rsidR="002A7D9A" w:rsidRPr="00735EF7" w:rsidRDefault="002A7D9A" w:rsidP="00735EF7">
      <w:pPr>
        <w:pStyle w:val="Heading2"/>
        <w:spacing w:line="276" w:lineRule="auto"/>
        <w:jc w:val="center"/>
        <w:rPr>
          <w:rFonts w:ascii="Times New Roman" w:eastAsiaTheme="minorEastAsia" w:hAnsi="Times New Roman" w:cs="Times New Roman"/>
          <w:b/>
          <w:bCs/>
          <w:color w:val="auto"/>
          <w:sz w:val="24"/>
          <w:szCs w:val="24"/>
        </w:rPr>
      </w:pPr>
      <w:r w:rsidRPr="00735EF7">
        <w:rPr>
          <w:rFonts w:ascii="Times New Roman" w:eastAsiaTheme="minorEastAsia" w:hAnsi="Times New Roman" w:cs="Times New Roman"/>
          <w:b/>
          <w:bCs/>
          <w:color w:val="auto"/>
          <w:sz w:val="24"/>
          <w:szCs w:val="24"/>
        </w:rPr>
        <w:t>Discussion</w:t>
      </w:r>
      <w:r w:rsidR="00B9641C" w:rsidRPr="00735EF7">
        <w:rPr>
          <w:rFonts w:ascii="Times New Roman" w:eastAsiaTheme="minorEastAsia" w:hAnsi="Times New Roman" w:cs="Times New Roman"/>
          <w:b/>
          <w:bCs/>
          <w:color w:val="auto"/>
          <w:sz w:val="24"/>
          <w:szCs w:val="24"/>
        </w:rPr>
        <w:t xml:space="preserve"> and Conclusion</w:t>
      </w:r>
    </w:p>
    <w:p w14:paraId="4EB6F9B9" w14:textId="74F00B34" w:rsidR="0072029B" w:rsidRPr="00BC1E6D" w:rsidRDefault="002A7D9A" w:rsidP="00BD3816">
      <w:pPr>
        <w:spacing w:line="276" w:lineRule="auto"/>
        <w:rPr>
          <w:rFonts w:ascii="Times New Roman" w:eastAsiaTheme="minorEastAsia" w:hAnsi="Times New Roman" w:cs="Times New Roman"/>
          <w:sz w:val="24"/>
          <w:szCs w:val="24"/>
        </w:rPr>
      </w:pPr>
      <w:r w:rsidRPr="00BC1E6D">
        <w:rPr>
          <w:rFonts w:ascii="Times New Roman" w:hAnsi="Times New Roman" w:cs="Times New Roman"/>
          <w:sz w:val="24"/>
          <w:szCs w:val="24"/>
        </w:rPr>
        <w:t xml:space="preserve">The results shown in table </w:t>
      </w:r>
      <w:r w:rsidR="001B70E3" w:rsidRPr="00BC1E6D">
        <w:rPr>
          <w:rFonts w:ascii="Times New Roman" w:hAnsi="Times New Roman" w:cs="Times New Roman"/>
          <w:sz w:val="24"/>
          <w:szCs w:val="24"/>
        </w:rPr>
        <w:t>6</w:t>
      </w:r>
      <w:r w:rsidRPr="00BC1E6D">
        <w:rPr>
          <w:rFonts w:ascii="Times New Roman" w:hAnsi="Times New Roman" w:cs="Times New Roman"/>
          <w:sz w:val="24"/>
          <w:szCs w:val="24"/>
        </w:rPr>
        <w:t xml:space="preserve"> </w:t>
      </w:r>
      <w:r w:rsidR="00036BAC" w:rsidRPr="00BC1E6D">
        <w:rPr>
          <w:rFonts w:ascii="Times New Roman" w:hAnsi="Times New Roman" w:cs="Times New Roman"/>
          <w:sz w:val="24"/>
          <w:szCs w:val="24"/>
        </w:rPr>
        <w:t xml:space="preserve">demonstrate that each sector of the S&amp;P500 is significantly influenced by the returns of the </w:t>
      </w:r>
      <w:r w:rsidR="006B08DE" w:rsidRPr="00BC1E6D">
        <w:rPr>
          <w:rFonts w:ascii="Times New Roman" w:hAnsi="Times New Roman" w:cs="Times New Roman"/>
          <w:sz w:val="24"/>
          <w:szCs w:val="24"/>
        </w:rPr>
        <w:t>whole S&amp;P500</w:t>
      </w:r>
      <w:r w:rsidR="00036BAC" w:rsidRPr="00BC1E6D">
        <w:rPr>
          <w:rFonts w:ascii="Times New Roman" w:hAnsi="Times New Roman" w:cs="Times New Roman"/>
          <w:sz w:val="24"/>
          <w:szCs w:val="24"/>
        </w:rPr>
        <w:t xml:space="preserve">. </w:t>
      </w:r>
      <w:r w:rsidR="006B08DE" w:rsidRPr="00BC1E6D">
        <w:rPr>
          <w:rFonts w:ascii="Times New Roman" w:hAnsi="Times New Roman" w:cs="Times New Roman"/>
          <w:sz w:val="24"/>
          <w:szCs w:val="24"/>
        </w:rPr>
        <w:t xml:space="preserve">The CAPM would suggest that the </w:t>
      </w:r>
      <w:r w:rsidR="007D0D29" w:rsidRPr="00BC1E6D">
        <w:rPr>
          <w:rFonts w:ascii="Times New Roman" w:hAnsi="Times New Roman" w:cs="Times New Roman"/>
          <w:sz w:val="24"/>
          <w:szCs w:val="24"/>
        </w:rPr>
        <w:t xml:space="preserve">regression coefficient </w:t>
      </w:r>
      <w:r w:rsidR="00295A89" w:rsidRPr="00BC1E6D">
        <w:rPr>
          <w:rFonts w:ascii="Times New Roman" w:hAnsi="Times New Roman" w:cs="Times New Roman"/>
          <w:sz w:val="24"/>
          <w:szCs w:val="24"/>
        </w:rPr>
        <w:t>obtained f</w:t>
      </w:r>
      <w:r w:rsidR="00783123" w:rsidRPr="00BC1E6D">
        <w:rPr>
          <w:rFonts w:ascii="Times New Roman" w:hAnsi="Times New Roman" w:cs="Times New Roman"/>
          <w:sz w:val="24"/>
          <w:szCs w:val="24"/>
        </w:rPr>
        <w:t xml:space="preserve">or the S&amp;P500, </w:t>
      </w:r>
      <m:oMath>
        <m:r>
          <w:rPr>
            <w:rFonts w:ascii="Cambria Math" w:hAnsi="Cambria Math" w:cs="Times New Roman"/>
            <w:sz w:val="24"/>
            <w:szCs w:val="24"/>
          </w:rPr>
          <m:t>β</m:t>
        </m:r>
      </m:oMath>
      <w:r w:rsidR="00783123" w:rsidRPr="00BC1E6D">
        <w:rPr>
          <w:rFonts w:ascii="Times New Roman" w:eastAsiaTheme="minorEastAsia" w:hAnsi="Times New Roman" w:cs="Times New Roman"/>
          <w:sz w:val="24"/>
          <w:szCs w:val="24"/>
        </w:rPr>
        <w:t>,</w:t>
      </w:r>
      <w:r w:rsidR="00783123" w:rsidRPr="00BC1E6D">
        <w:rPr>
          <w:rFonts w:ascii="Times New Roman" w:hAnsi="Times New Roman" w:cs="Times New Roman"/>
          <w:sz w:val="24"/>
          <w:szCs w:val="24"/>
        </w:rPr>
        <w:t xml:space="preserve"> would be the </w:t>
      </w:r>
      <w:r w:rsidR="00783123" w:rsidRPr="00BC1E6D">
        <w:rPr>
          <w:rFonts w:ascii="Times New Roman" w:hAnsi="Times New Roman" w:cs="Times New Roman"/>
          <w:i/>
          <w:iCs/>
          <w:sz w:val="24"/>
          <w:szCs w:val="24"/>
        </w:rPr>
        <w:t>only</w:t>
      </w:r>
      <w:r w:rsidR="00783123" w:rsidRPr="00BC1E6D">
        <w:rPr>
          <w:rFonts w:ascii="Times New Roman" w:hAnsi="Times New Roman" w:cs="Times New Roman"/>
          <w:sz w:val="24"/>
          <w:szCs w:val="24"/>
        </w:rPr>
        <w:t xml:space="preserve"> significant one as</w:t>
      </w:r>
      <w:r w:rsidR="00B63A6D" w:rsidRPr="00BC1E6D">
        <w:rPr>
          <w:rFonts w:ascii="Times New Roman" w:hAnsi="Times New Roman" w:cs="Times New Roman"/>
          <w:sz w:val="24"/>
          <w:szCs w:val="24"/>
        </w:rPr>
        <w:t xml:space="preserve"> no other variables would add any more information. </w:t>
      </w:r>
      <w:r w:rsidR="00D25B84" w:rsidRPr="00BC1E6D">
        <w:rPr>
          <w:rFonts w:ascii="Times New Roman" w:hAnsi="Times New Roman" w:cs="Times New Roman"/>
          <w:sz w:val="24"/>
          <w:szCs w:val="24"/>
        </w:rPr>
        <w:t>However, there is only one sector where this was the case: Industrials</w:t>
      </w:r>
      <w:r w:rsidR="00A97B13" w:rsidRPr="00BC1E6D">
        <w:rPr>
          <w:rFonts w:ascii="Times New Roman" w:hAnsi="Times New Roman" w:cs="Times New Roman"/>
          <w:sz w:val="24"/>
          <w:szCs w:val="24"/>
        </w:rPr>
        <w:t xml:space="preserve">; its </w:t>
      </w:r>
      <w:r w:rsidR="00F00403" w:rsidRPr="00BC1E6D">
        <w:rPr>
          <w:rFonts w:ascii="Times New Roman" w:eastAsiaTheme="minorEastAsia" w:hAnsi="Times New Roman" w:cs="Times New Roman"/>
          <w:sz w:val="24"/>
          <w:szCs w:val="24"/>
        </w:rPr>
        <w:t xml:space="preserve">particular </w:t>
      </w:r>
      <m:oMath>
        <m:r>
          <w:rPr>
            <w:rFonts w:ascii="Cambria Math" w:eastAsiaTheme="minorEastAsia" w:hAnsi="Cambria Math" w:cs="Times New Roman"/>
            <w:sz w:val="24"/>
            <w:szCs w:val="24"/>
          </w:rPr>
          <m:t>β</m:t>
        </m:r>
      </m:oMath>
      <w:r w:rsidR="00F00403" w:rsidRPr="00BC1E6D">
        <w:rPr>
          <w:rFonts w:ascii="Times New Roman" w:eastAsiaTheme="minorEastAsia" w:hAnsi="Times New Roman" w:cs="Times New Roman"/>
          <w:sz w:val="24"/>
          <w:szCs w:val="24"/>
        </w:rPr>
        <w:t xml:space="preserve"> determine</w:t>
      </w:r>
      <w:r w:rsidR="00771243" w:rsidRPr="00BC1E6D">
        <w:rPr>
          <w:rFonts w:ascii="Times New Roman" w:eastAsiaTheme="minorEastAsia" w:hAnsi="Times New Roman" w:cs="Times New Roman"/>
          <w:sz w:val="24"/>
          <w:szCs w:val="24"/>
        </w:rPr>
        <w:t xml:space="preserve">s </w:t>
      </w:r>
      <w:r w:rsidR="00F00403" w:rsidRPr="00BC1E6D">
        <w:rPr>
          <w:rFonts w:ascii="Times New Roman" w:eastAsiaTheme="minorEastAsia" w:hAnsi="Times New Roman" w:cs="Times New Roman"/>
          <w:sz w:val="24"/>
          <w:szCs w:val="24"/>
        </w:rPr>
        <w:t xml:space="preserve">average returns. </w:t>
      </w:r>
      <w:r w:rsidR="001C6828" w:rsidRPr="00BC1E6D">
        <w:rPr>
          <w:rFonts w:ascii="Times New Roman" w:eastAsiaTheme="minorEastAsia" w:hAnsi="Times New Roman" w:cs="Times New Roman"/>
          <w:sz w:val="24"/>
          <w:szCs w:val="24"/>
        </w:rPr>
        <w:t>Using the significant coefficients in</w:t>
      </w:r>
      <w:r w:rsidR="0072029B" w:rsidRPr="00BC1E6D">
        <w:rPr>
          <w:rFonts w:ascii="Times New Roman" w:eastAsiaTheme="minorEastAsia" w:hAnsi="Times New Roman" w:cs="Times New Roman"/>
          <w:sz w:val="24"/>
          <w:szCs w:val="24"/>
        </w:rPr>
        <w:t xml:space="preserve"> </w:t>
      </w:r>
      <w:r w:rsidR="001C6828" w:rsidRPr="00BC1E6D">
        <w:rPr>
          <w:rFonts w:ascii="Times New Roman" w:eastAsiaTheme="minorEastAsia" w:hAnsi="Times New Roman" w:cs="Times New Roman"/>
          <w:sz w:val="24"/>
          <w:szCs w:val="24"/>
        </w:rPr>
        <w:t xml:space="preserve">table 6, </w:t>
      </w:r>
      <w:r w:rsidR="0072029B" w:rsidRPr="00BC1E6D">
        <w:rPr>
          <w:rFonts w:ascii="Times New Roman" w:eastAsiaTheme="minorEastAsia" w:hAnsi="Times New Roman" w:cs="Times New Roman"/>
          <w:sz w:val="24"/>
          <w:szCs w:val="24"/>
        </w:rPr>
        <w:t>its returns can be modeled to take the form</w:t>
      </w:r>
      <w:r w:rsidR="001C6828" w:rsidRPr="00BC1E6D">
        <w:rPr>
          <w:rFonts w:ascii="Times New Roman" w:eastAsiaTheme="minorEastAsia" w:hAnsi="Times New Roman" w:cs="Times New Roman"/>
          <w:sz w:val="24"/>
          <w:szCs w:val="24"/>
        </w:rPr>
        <w:t>:</w:t>
      </w:r>
      <w:r w:rsidR="0072029B" w:rsidRPr="00BC1E6D">
        <w:rPr>
          <w:rFonts w:ascii="Times New Roman" w:eastAsiaTheme="minorEastAsia" w:hAnsi="Times New Roman" w:cs="Times New Roman"/>
          <w:sz w:val="24"/>
          <w:szCs w:val="24"/>
        </w:rPr>
        <w:t xml:space="preserve"> </w:t>
      </w:r>
    </w:p>
    <w:p w14:paraId="600569DF" w14:textId="25252D20" w:rsidR="00FC3B46" w:rsidRPr="00BC1E6D" w:rsidRDefault="00000000" w:rsidP="00686726">
      <w:pPr>
        <w:spacing w:line="276"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Ind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=0.009+0.956dSP5009</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686726">
        <w:rPr>
          <w:rFonts w:ascii="Times New Roman" w:eastAsiaTheme="minorEastAsia" w:hAnsi="Times New Roman" w:cs="Times New Roman"/>
          <w:sz w:val="24"/>
          <w:szCs w:val="24"/>
        </w:rPr>
        <w:tab/>
      </w:r>
      <w:r w:rsidR="00686726">
        <w:rPr>
          <w:rFonts w:ascii="Times New Roman" w:eastAsiaTheme="minorEastAsia" w:hAnsi="Times New Roman" w:cs="Times New Roman"/>
          <w:sz w:val="24"/>
          <w:szCs w:val="24"/>
        </w:rPr>
        <w:tab/>
        <w:t>(7)</w:t>
      </w:r>
    </w:p>
    <w:p w14:paraId="55C15E96" w14:textId="77777777" w:rsidR="00B9672E" w:rsidRDefault="00621ECA"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The interpretation </w:t>
      </w:r>
      <w:r w:rsidR="00237B9C">
        <w:rPr>
          <w:rFonts w:ascii="Times New Roman" w:eastAsiaTheme="minorEastAsia" w:hAnsi="Times New Roman" w:cs="Times New Roman"/>
          <w:sz w:val="24"/>
          <w:szCs w:val="24"/>
        </w:rPr>
        <w:t>equation 7</w:t>
      </w:r>
      <w:r w:rsidRPr="00BC1E6D">
        <w:rPr>
          <w:rFonts w:ascii="Times New Roman" w:eastAsiaTheme="minorEastAsia" w:hAnsi="Times New Roman" w:cs="Times New Roman"/>
          <w:sz w:val="24"/>
          <w:szCs w:val="24"/>
        </w:rPr>
        <w:t>, and all other equations that could be constructed</w:t>
      </w:r>
      <w:r w:rsidR="008E09B6">
        <w:rPr>
          <w:rFonts w:ascii="Times New Roman" w:eastAsiaTheme="minorEastAsia" w:hAnsi="Times New Roman" w:cs="Times New Roman"/>
          <w:sz w:val="24"/>
          <w:szCs w:val="24"/>
        </w:rPr>
        <w:t xml:space="preserve"> </w:t>
      </w:r>
      <w:r w:rsidR="00ED7489">
        <w:rPr>
          <w:rFonts w:ascii="Times New Roman" w:eastAsiaTheme="minorEastAsia" w:hAnsi="Times New Roman" w:cs="Times New Roman"/>
          <w:sz w:val="24"/>
          <w:szCs w:val="24"/>
        </w:rPr>
        <w:t xml:space="preserve">(but weren’t </w:t>
      </w:r>
      <w:r w:rsidR="008E09B6">
        <w:rPr>
          <w:rFonts w:ascii="Times New Roman" w:eastAsiaTheme="minorEastAsia" w:hAnsi="Times New Roman" w:cs="Times New Roman"/>
          <w:sz w:val="24"/>
          <w:szCs w:val="24"/>
        </w:rPr>
        <w:t xml:space="preserve">because they would </w:t>
      </w:r>
      <w:r w:rsidR="00605D57">
        <w:rPr>
          <w:rFonts w:ascii="Times New Roman" w:eastAsiaTheme="minorEastAsia" w:hAnsi="Times New Roman" w:cs="Times New Roman"/>
          <w:sz w:val="24"/>
          <w:szCs w:val="24"/>
        </w:rPr>
        <w:t xml:space="preserve">use </w:t>
      </w:r>
      <w:r w:rsidR="008E09B6">
        <w:rPr>
          <w:rFonts w:ascii="Times New Roman" w:eastAsiaTheme="minorEastAsia" w:hAnsi="Times New Roman" w:cs="Times New Roman"/>
          <w:sz w:val="24"/>
          <w:szCs w:val="24"/>
        </w:rPr>
        <w:t>too much paper space)</w:t>
      </w:r>
      <w:r w:rsidRPr="00BC1E6D">
        <w:rPr>
          <w:rFonts w:ascii="Times New Roman" w:eastAsiaTheme="minorEastAsia" w:hAnsi="Times New Roman" w:cs="Times New Roman"/>
          <w:sz w:val="24"/>
          <w:szCs w:val="24"/>
        </w:rPr>
        <w:t xml:space="preserve">, is that a 1% change in the price of the S&amp;P500 in period t will result in a 0.956% average change in the average price of stocks in the Industrial Sector. </w:t>
      </w:r>
      <w:r w:rsidR="002D4197" w:rsidRPr="00BC1E6D">
        <w:rPr>
          <w:rFonts w:ascii="Times New Roman" w:eastAsiaTheme="minorEastAsia" w:hAnsi="Times New Roman" w:cs="Times New Roman"/>
          <w:sz w:val="24"/>
          <w:szCs w:val="24"/>
        </w:rPr>
        <w:t xml:space="preserve">The 10 remaining sectors each had at least one </w:t>
      </w:r>
      <w:r w:rsidR="009E05F9" w:rsidRPr="00BC1E6D">
        <w:rPr>
          <w:rFonts w:ascii="Times New Roman" w:eastAsiaTheme="minorEastAsia" w:hAnsi="Times New Roman" w:cs="Times New Roman"/>
          <w:sz w:val="24"/>
          <w:szCs w:val="24"/>
        </w:rPr>
        <w:t xml:space="preserve">significant factor other than their market </w:t>
      </w:r>
      <m:oMath>
        <m:r>
          <w:rPr>
            <w:rFonts w:ascii="Cambria Math" w:eastAsiaTheme="minorEastAsia" w:hAnsi="Cambria Math" w:cs="Times New Roman"/>
            <w:sz w:val="24"/>
            <w:szCs w:val="24"/>
          </w:rPr>
          <m:t>β</m:t>
        </m:r>
      </m:oMath>
      <w:r w:rsidR="009E05F9" w:rsidRPr="00BC1E6D">
        <w:rPr>
          <w:rFonts w:ascii="Times New Roman" w:eastAsiaTheme="minorEastAsia" w:hAnsi="Times New Roman" w:cs="Times New Roman"/>
          <w:sz w:val="24"/>
          <w:szCs w:val="24"/>
        </w:rPr>
        <w:t xml:space="preserve"> that significantly estimated its average returns. </w:t>
      </w:r>
    </w:p>
    <w:p w14:paraId="425264EB" w14:textId="24EA90CA" w:rsidR="005A236D" w:rsidRPr="00BC1E6D" w:rsidRDefault="008C2CEA"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The degree to which the sector followed a</w:t>
      </w:r>
      <w:r w:rsidR="00DD56D0" w:rsidRPr="00BC1E6D">
        <w:rPr>
          <w:rFonts w:ascii="Times New Roman" w:eastAsiaTheme="minorEastAsia" w:hAnsi="Times New Roman" w:cs="Times New Roman"/>
          <w:sz w:val="24"/>
          <w:szCs w:val="24"/>
        </w:rPr>
        <w:t>n APT model can be described by how many significant factors its model produced</w:t>
      </w:r>
      <w:r w:rsidR="003E769B" w:rsidRPr="00BC1E6D">
        <w:rPr>
          <w:rFonts w:ascii="Times New Roman" w:eastAsiaTheme="minorEastAsia" w:hAnsi="Times New Roman" w:cs="Times New Roman"/>
          <w:sz w:val="24"/>
          <w:szCs w:val="24"/>
        </w:rPr>
        <w:t>. Sectors with one significant variable are weak</w:t>
      </w:r>
      <w:r w:rsidR="00C6336D" w:rsidRPr="00BC1E6D">
        <w:rPr>
          <w:rFonts w:ascii="Times New Roman" w:eastAsiaTheme="minorEastAsia" w:hAnsi="Times New Roman" w:cs="Times New Roman"/>
          <w:sz w:val="24"/>
          <w:szCs w:val="24"/>
        </w:rPr>
        <w:t>ly</w:t>
      </w:r>
      <w:r w:rsidR="003E769B" w:rsidRPr="00BC1E6D">
        <w:rPr>
          <w:rFonts w:ascii="Times New Roman" w:eastAsiaTheme="minorEastAsia" w:hAnsi="Times New Roman" w:cs="Times New Roman"/>
          <w:sz w:val="24"/>
          <w:szCs w:val="24"/>
        </w:rPr>
        <w:t xml:space="preserve"> APT model</w:t>
      </w:r>
      <w:r w:rsidR="008757FB" w:rsidRPr="00BC1E6D">
        <w:rPr>
          <w:rFonts w:ascii="Times New Roman" w:eastAsiaTheme="minorEastAsia" w:hAnsi="Times New Roman" w:cs="Times New Roman"/>
          <w:sz w:val="24"/>
          <w:szCs w:val="24"/>
        </w:rPr>
        <w:t>ed sectors</w:t>
      </w:r>
      <w:r w:rsidR="003E769B" w:rsidRPr="00BC1E6D">
        <w:rPr>
          <w:rFonts w:ascii="Times New Roman" w:eastAsiaTheme="minorEastAsia" w:hAnsi="Times New Roman" w:cs="Times New Roman"/>
          <w:sz w:val="24"/>
          <w:szCs w:val="24"/>
        </w:rPr>
        <w:t xml:space="preserve">, ones with two significant factors are </w:t>
      </w:r>
      <w:r w:rsidR="008757FB" w:rsidRPr="00BC1E6D">
        <w:rPr>
          <w:rFonts w:ascii="Times New Roman" w:eastAsiaTheme="minorEastAsia" w:hAnsi="Times New Roman" w:cs="Times New Roman"/>
          <w:sz w:val="24"/>
          <w:szCs w:val="24"/>
        </w:rPr>
        <w:t>semi-strong</w:t>
      </w:r>
      <w:r w:rsidR="00C6336D" w:rsidRPr="00BC1E6D">
        <w:rPr>
          <w:rFonts w:ascii="Times New Roman" w:eastAsiaTheme="minorEastAsia" w:hAnsi="Times New Roman" w:cs="Times New Roman"/>
          <w:sz w:val="24"/>
          <w:szCs w:val="24"/>
        </w:rPr>
        <w:t>ly</w:t>
      </w:r>
      <w:r w:rsidR="008757FB" w:rsidRPr="00BC1E6D">
        <w:rPr>
          <w:rFonts w:ascii="Times New Roman" w:eastAsiaTheme="minorEastAsia" w:hAnsi="Times New Roman" w:cs="Times New Roman"/>
          <w:sz w:val="24"/>
          <w:szCs w:val="24"/>
        </w:rPr>
        <w:t xml:space="preserve"> APT modeled sectors, and ones with </w:t>
      </w:r>
      <w:r w:rsidR="00845E75" w:rsidRPr="00BC1E6D">
        <w:rPr>
          <w:rFonts w:ascii="Times New Roman" w:eastAsiaTheme="minorEastAsia" w:hAnsi="Times New Roman" w:cs="Times New Roman"/>
          <w:sz w:val="24"/>
          <w:szCs w:val="24"/>
        </w:rPr>
        <w:t xml:space="preserve">three or more significant factors are </w:t>
      </w:r>
      <w:r w:rsidR="00C6336D" w:rsidRPr="00BC1E6D">
        <w:rPr>
          <w:rFonts w:ascii="Times New Roman" w:eastAsiaTheme="minorEastAsia" w:hAnsi="Times New Roman" w:cs="Times New Roman"/>
          <w:sz w:val="24"/>
          <w:szCs w:val="24"/>
        </w:rPr>
        <w:t xml:space="preserve">strongly APT modeled sectors. </w:t>
      </w:r>
    </w:p>
    <w:p w14:paraId="020CDC51" w14:textId="72F31DB7" w:rsidR="009E05F9" w:rsidRPr="00BC1E6D" w:rsidRDefault="005032CA"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Information Technology</w:t>
      </w:r>
      <w:r w:rsidR="00043F2C" w:rsidRPr="00BC1E6D">
        <w:rPr>
          <w:rFonts w:ascii="Times New Roman" w:eastAsiaTheme="minorEastAsia" w:hAnsi="Times New Roman" w:cs="Times New Roman"/>
          <w:sz w:val="24"/>
          <w:szCs w:val="24"/>
        </w:rPr>
        <w:t>, Com</w:t>
      </w:r>
      <w:r w:rsidRPr="00BC1E6D">
        <w:rPr>
          <w:rFonts w:ascii="Times New Roman" w:eastAsiaTheme="minorEastAsia" w:hAnsi="Times New Roman" w:cs="Times New Roman"/>
          <w:sz w:val="24"/>
          <w:szCs w:val="24"/>
        </w:rPr>
        <w:t>munications</w:t>
      </w:r>
      <w:r w:rsidR="00043F2C" w:rsidRPr="00BC1E6D">
        <w:rPr>
          <w:rFonts w:ascii="Times New Roman" w:eastAsiaTheme="minorEastAsia" w:hAnsi="Times New Roman" w:cs="Times New Roman"/>
          <w:sz w:val="24"/>
          <w:szCs w:val="24"/>
        </w:rPr>
        <w:t xml:space="preserve">, </w:t>
      </w:r>
      <w:r w:rsidR="005A236D" w:rsidRPr="00BC1E6D">
        <w:rPr>
          <w:rFonts w:ascii="Times New Roman" w:eastAsiaTheme="minorEastAsia" w:hAnsi="Times New Roman" w:cs="Times New Roman"/>
          <w:sz w:val="24"/>
          <w:szCs w:val="24"/>
        </w:rPr>
        <w:t>H</w:t>
      </w:r>
      <w:r w:rsidRPr="00BC1E6D">
        <w:rPr>
          <w:rFonts w:ascii="Times New Roman" w:eastAsiaTheme="minorEastAsia" w:hAnsi="Times New Roman" w:cs="Times New Roman"/>
          <w:sz w:val="24"/>
          <w:szCs w:val="24"/>
        </w:rPr>
        <w:t xml:space="preserve">ealth </w:t>
      </w:r>
      <w:r w:rsidR="005A236D" w:rsidRPr="00BC1E6D">
        <w:rPr>
          <w:rFonts w:ascii="Times New Roman" w:eastAsiaTheme="minorEastAsia" w:hAnsi="Times New Roman" w:cs="Times New Roman"/>
          <w:sz w:val="24"/>
          <w:szCs w:val="24"/>
        </w:rPr>
        <w:t>C</w:t>
      </w:r>
      <w:r w:rsidRPr="00BC1E6D">
        <w:rPr>
          <w:rFonts w:ascii="Times New Roman" w:eastAsiaTheme="minorEastAsia" w:hAnsi="Times New Roman" w:cs="Times New Roman"/>
          <w:sz w:val="24"/>
          <w:szCs w:val="24"/>
        </w:rPr>
        <w:t>are</w:t>
      </w:r>
      <w:r w:rsidR="005A236D" w:rsidRPr="00BC1E6D">
        <w:rPr>
          <w:rFonts w:ascii="Times New Roman" w:eastAsiaTheme="minorEastAsia" w:hAnsi="Times New Roman" w:cs="Times New Roman"/>
          <w:sz w:val="24"/>
          <w:szCs w:val="24"/>
        </w:rPr>
        <w:t>, C</w:t>
      </w:r>
      <w:r w:rsidRPr="00BC1E6D">
        <w:rPr>
          <w:rFonts w:ascii="Times New Roman" w:eastAsiaTheme="minorEastAsia" w:hAnsi="Times New Roman" w:cs="Times New Roman"/>
          <w:sz w:val="24"/>
          <w:szCs w:val="24"/>
        </w:rPr>
        <w:t xml:space="preserve">onsumer </w:t>
      </w:r>
      <w:r w:rsidR="005A236D" w:rsidRPr="00BC1E6D">
        <w:rPr>
          <w:rFonts w:ascii="Times New Roman" w:eastAsiaTheme="minorEastAsia" w:hAnsi="Times New Roman" w:cs="Times New Roman"/>
          <w:sz w:val="24"/>
          <w:szCs w:val="24"/>
        </w:rPr>
        <w:t>S</w:t>
      </w:r>
      <w:r w:rsidRPr="00BC1E6D">
        <w:rPr>
          <w:rFonts w:ascii="Times New Roman" w:eastAsiaTheme="minorEastAsia" w:hAnsi="Times New Roman" w:cs="Times New Roman"/>
          <w:sz w:val="24"/>
          <w:szCs w:val="24"/>
        </w:rPr>
        <w:t>taples</w:t>
      </w:r>
      <w:r w:rsidR="00EE0766" w:rsidRPr="00BC1E6D">
        <w:rPr>
          <w:rFonts w:ascii="Times New Roman" w:eastAsiaTheme="minorEastAsia" w:hAnsi="Times New Roman" w:cs="Times New Roman"/>
          <w:sz w:val="24"/>
          <w:szCs w:val="24"/>
        </w:rPr>
        <w:t>, and U</w:t>
      </w:r>
      <w:r w:rsidRPr="00BC1E6D">
        <w:rPr>
          <w:rFonts w:ascii="Times New Roman" w:eastAsiaTheme="minorEastAsia" w:hAnsi="Times New Roman" w:cs="Times New Roman"/>
          <w:sz w:val="24"/>
          <w:szCs w:val="24"/>
        </w:rPr>
        <w:t>tilities</w:t>
      </w:r>
      <w:r w:rsidR="00EE0766" w:rsidRPr="00BC1E6D">
        <w:rPr>
          <w:rFonts w:ascii="Times New Roman" w:eastAsiaTheme="minorEastAsia" w:hAnsi="Times New Roman" w:cs="Times New Roman"/>
          <w:sz w:val="24"/>
          <w:szCs w:val="24"/>
        </w:rPr>
        <w:t xml:space="preserve"> are weakly </w:t>
      </w:r>
      <w:r w:rsidR="00597B9C" w:rsidRPr="00BC1E6D">
        <w:rPr>
          <w:rFonts w:ascii="Times New Roman" w:eastAsiaTheme="minorEastAsia" w:hAnsi="Times New Roman" w:cs="Times New Roman"/>
          <w:sz w:val="24"/>
          <w:szCs w:val="24"/>
        </w:rPr>
        <w:t>modeled APT sector</w:t>
      </w:r>
      <w:r w:rsidR="007B2F05" w:rsidRPr="00BC1E6D">
        <w:rPr>
          <w:rFonts w:ascii="Times New Roman" w:eastAsiaTheme="minorEastAsia" w:hAnsi="Times New Roman" w:cs="Times New Roman"/>
          <w:sz w:val="24"/>
          <w:szCs w:val="24"/>
        </w:rPr>
        <w:t>s</w:t>
      </w:r>
      <w:r w:rsidR="006B3D12" w:rsidRPr="00BC1E6D">
        <w:rPr>
          <w:rFonts w:ascii="Times New Roman" w:eastAsiaTheme="minorEastAsia" w:hAnsi="Times New Roman" w:cs="Times New Roman"/>
          <w:sz w:val="24"/>
          <w:szCs w:val="24"/>
        </w:rPr>
        <w:t>. T</w:t>
      </w:r>
      <w:r w:rsidR="00597B9C" w:rsidRPr="00BC1E6D">
        <w:rPr>
          <w:rFonts w:ascii="Times New Roman" w:eastAsiaTheme="minorEastAsia" w:hAnsi="Times New Roman" w:cs="Times New Roman"/>
          <w:sz w:val="24"/>
          <w:szCs w:val="24"/>
        </w:rPr>
        <w:t xml:space="preserve">hese </w:t>
      </w:r>
      <w:r w:rsidR="006B3D12" w:rsidRPr="00BC1E6D">
        <w:rPr>
          <w:rFonts w:ascii="Times New Roman" w:eastAsiaTheme="minorEastAsia" w:hAnsi="Times New Roman" w:cs="Times New Roman"/>
          <w:sz w:val="24"/>
          <w:szCs w:val="24"/>
        </w:rPr>
        <w:t xml:space="preserve">sectors </w:t>
      </w:r>
      <w:r w:rsidR="00597B9C" w:rsidRPr="00BC1E6D">
        <w:rPr>
          <w:rFonts w:ascii="Times New Roman" w:eastAsiaTheme="minorEastAsia" w:hAnsi="Times New Roman" w:cs="Times New Roman"/>
          <w:sz w:val="24"/>
          <w:szCs w:val="24"/>
        </w:rPr>
        <w:t xml:space="preserve">do not have </w:t>
      </w:r>
      <w:r w:rsidR="006B3D12" w:rsidRPr="00BC1E6D">
        <w:rPr>
          <w:rFonts w:ascii="Times New Roman" w:eastAsiaTheme="minorEastAsia" w:hAnsi="Times New Roman" w:cs="Times New Roman"/>
          <w:sz w:val="24"/>
          <w:szCs w:val="24"/>
        </w:rPr>
        <w:t xml:space="preserve">many unique influences that effect their pricing relative to the market. </w:t>
      </w:r>
      <w:r w:rsidR="007F7049" w:rsidRPr="00BC1E6D">
        <w:rPr>
          <w:rFonts w:ascii="Times New Roman" w:eastAsiaTheme="minorEastAsia" w:hAnsi="Times New Roman" w:cs="Times New Roman"/>
          <w:sz w:val="24"/>
          <w:szCs w:val="24"/>
        </w:rPr>
        <w:t>C</w:t>
      </w:r>
      <w:r w:rsidRPr="00BC1E6D">
        <w:rPr>
          <w:rFonts w:ascii="Times New Roman" w:eastAsiaTheme="minorEastAsia" w:hAnsi="Times New Roman" w:cs="Times New Roman"/>
          <w:sz w:val="24"/>
          <w:szCs w:val="24"/>
        </w:rPr>
        <w:t xml:space="preserve">onsumer </w:t>
      </w:r>
      <w:r w:rsidR="007F7049" w:rsidRPr="00BC1E6D">
        <w:rPr>
          <w:rFonts w:ascii="Times New Roman" w:eastAsiaTheme="minorEastAsia" w:hAnsi="Times New Roman" w:cs="Times New Roman"/>
          <w:sz w:val="24"/>
          <w:szCs w:val="24"/>
        </w:rPr>
        <w:t>D</w:t>
      </w:r>
      <w:r w:rsidRPr="00BC1E6D">
        <w:rPr>
          <w:rFonts w:ascii="Times New Roman" w:eastAsiaTheme="minorEastAsia" w:hAnsi="Times New Roman" w:cs="Times New Roman"/>
          <w:sz w:val="24"/>
          <w:szCs w:val="24"/>
        </w:rPr>
        <w:t>iscretionary</w:t>
      </w:r>
      <w:r w:rsidR="007F7049" w:rsidRPr="00BC1E6D">
        <w:rPr>
          <w:rFonts w:ascii="Times New Roman" w:eastAsiaTheme="minorEastAsia" w:hAnsi="Times New Roman" w:cs="Times New Roman"/>
          <w:sz w:val="24"/>
          <w:szCs w:val="24"/>
        </w:rPr>
        <w:t>, Fin</w:t>
      </w:r>
      <w:r w:rsidRPr="00BC1E6D">
        <w:rPr>
          <w:rFonts w:ascii="Times New Roman" w:eastAsiaTheme="minorEastAsia" w:hAnsi="Times New Roman" w:cs="Times New Roman"/>
          <w:sz w:val="24"/>
          <w:szCs w:val="24"/>
        </w:rPr>
        <w:t>ancial</w:t>
      </w:r>
      <w:r w:rsidR="007F7049" w:rsidRPr="00BC1E6D">
        <w:rPr>
          <w:rFonts w:ascii="Times New Roman" w:eastAsiaTheme="minorEastAsia" w:hAnsi="Times New Roman" w:cs="Times New Roman"/>
          <w:sz w:val="24"/>
          <w:szCs w:val="24"/>
        </w:rPr>
        <w:t>, E</w:t>
      </w:r>
      <w:r w:rsidRPr="00BC1E6D">
        <w:rPr>
          <w:rFonts w:ascii="Times New Roman" w:eastAsiaTheme="minorEastAsia" w:hAnsi="Times New Roman" w:cs="Times New Roman"/>
          <w:sz w:val="24"/>
          <w:szCs w:val="24"/>
        </w:rPr>
        <w:t>nergy</w:t>
      </w:r>
      <w:r w:rsidR="007F7049" w:rsidRPr="00BC1E6D">
        <w:rPr>
          <w:rFonts w:ascii="Times New Roman" w:eastAsiaTheme="minorEastAsia" w:hAnsi="Times New Roman" w:cs="Times New Roman"/>
          <w:sz w:val="24"/>
          <w:szCs w:val="24"/>
        </w:rPr>
        <w:t>, and Mat</w:t>
      </w:r>
      <w:r w:rsidRPr="00BC1E6D">
        <w:rPr>
          <w:rFonts w:ascii="Times New Roman" w:eastAsiaTheme="minorEastAsia" w:hAnsi="Times New Roman" w:cs="Times New Roman"/>
          <w:sz w:val="24"/>
          <w:szCs w:val="24"/>
        </w:rPr>
        <w:t>erials</w:t>
      </w:r>
      <w:r w:rsidR="007F7049" w:rsidRPr="00BC1E6D">
        <w:rPr>
          <w:rFonts w:ascii="Times New Roman" w:eastAsiaTheme="minorEastAsia" w:hAnsi="Times New Roman" w:cs="Times New Roman"/>
          <w:sz w:val="24"/>
          <w:szCs w:val="24"/>
        </w:rPr>
        <w:t xml:space="preserve"> are the semi-strong</w:t>
      </w:r>
      <w:r w:rsidR="00E84A32" w:rsidRPr="00BC1E6D">
        <w:rPr>
          <w:rFonts w:ascii="Times New Roman" w:eastAsiaTheme="minorEastAsia" w:hAnsi="Times New Roman" w:cs="Times New Roman"/>
          <w:sz w:val="24"/>
          <w:szCs w:val="24"/>
        </w:rPr>
        <w:t>ly APT modeled sectors, with multiple</w:t>
      </w:r>
      <w:r w:rsidR="005143D3" w:rsidRPr="00BC1E6D">
        <w:rPr>
          <w:rFonts w:ascii="Times New Roman" w:eastAsiaTheme="minorEastAsia" w:hAnsi="Times New Roman" w:cs="Times New Roman"/>
          <w:sz w:val="24"/>
          <w:szCs w:val="24"/>
        </w:rPr>
        <w:t xml:space="preserve"> non-market</w:t>
      </w:r>
      <w:r w:rsidR="00E84A32" w:rsidRPr="00BC1E6D">
        <w:rPr>
          <w:rFonts w:ascii="Times New Roman" w:eastAsiaTheme="minorEastAsia" w:hAnsi="Times New Roman" w:cs="Times New Roman"/>
          <w:sz w:val="24"/>
          <w:szCs w:val="24"/>
        </w:rPr>
        <w:t xml:space="preserve"> influences </w:t>
      </w:r>
      <w:r w:rsidR="005143D3" w:rsidRPr="00BC1E6D">
        <w:rPr>
          <w:rFonts w:ascii="Times New Roman" w:eastAsiaTheme="minorEastAsia" w:hAnsi="Times New Roman" w:cs="Times New Roman"/>
          <w:sz w:val="24"/>
          <w:szCs w:val="24"/>
        </w:rPr>
        <w:t>that change their pricing. R</w:t>
      </w:r>
      <w:r w:rsidRPr="00BC1E6D">
        <w:rPr>
          <w:rFonts w:ascii="Times New Roman" w:eastAsiaTheme="minorEastAsia" w:hAnsi="Times New Roman" w:cs="Times New Roman"/>
          <w:sz w:val="24"/>
          <w:szCs w:val="24"/>
        </w:rPr>
        <w:t xml:space="preserve">eal </w:t>
      </w:r>
      <w:r w:rsidR="005143D3" w:rsidRPr="00BC1E6D">
        <w:rPr>
          <w:rFonts w:ascii="Times New Roman" w:eastAsiaTheme="minorEastAsia" w:hAnsi="Times New Roman" w:cs="Times New Roman"/>
          <w:sz w:val="24"/>
          <w:szCs w:val="24"/>
        </w:rPr>
        <w:t>E</w:t>
      </w:r>
      <w:r w:rsidRPr="00BC1E6D">
        <w:rPr>
          <w:rFonts w:ascii="Times New Roman" w:eastAsiaTheme="minorEastAsia" w:hAnsi="Times New Roman" w:cs="Times New Roman"/>
          <w:sz w:val="24"/>
          <w:szCs w:val="24"/>
        </w:rPr>
        <w:t>state</w:t>
      </w:r>
      <w:r w:rsidR="005143D3" w:rsidRPr="00BC1E6D">
        <w:rPr>
          <w:rFonts w:ascii="Times New Roman" w:eastAsiaTheme="minorEastAsia" w:hAnsi="Times New Roman" w:cs="Times New Roman"/>
          <w:sz w:val="24"/>
          <w:szCs w:val="24"/>
        </w:rPr>
        <w:t xml:space="preserve"> is the only sector that is a strongly modeled APT sector. </w:t>
      </w:r>
      <w:r w:rsidR="00D34ADF" w:rsidRPr="00BC1E6D">
        <w:rPr>
          <w:rFonts w:ascii="Times New Roman" w:eastAsiaTheme="minorEastAsia" w:hAnsi="Times New Roman" w:cs="Times New Roman"/>
          <w:sz w:val="24"/>
          <w:szCs w:val="24"/>
        </w:rPr>
        <w:t>Home buyers and sellers</w:t>
      </w:r>
      <w:r w:rsidR="0014564D" w:rsidRPr="00BC1E6D">
        <w:rPr>
          <w:rFonts w:ascii="Times New Roman" w:eastAsiaTheme="minorEastAsia" w:hAnsi="Times New Roman" w:cs="Times New Roman"/>
          <w:sz w:val="24"/>
          <w:szCs w:val="24"/>
        </w:rPr>
        <w:t xml:space="preserve"> </w:t>
      </w:r>
      <w:r w:rsidR="007B2F05" w:rsidRPr="00BC1E6D">
        <w:rPr>
          <w:rFonts w:ascii="Times New Roman" w:eastAsiaTheme="minorEastAsia" w:hAnsi="Times New Roman" w:cs="Times New Roman"/>
          <w:sz w:val="24"/>
          <w:szCs w:val="24"/>
        </w:rPr>
        <w:t xml:space="preserve">may be extra sensitive to news about macroeconomic conditions and thus this market is susceptible to </w:t>
      </w:r>
      <w:r w:rsidR="00E3361A" w:rsidRPr="00BC1E6D">
        <w:rPr>
          <w:rFonts w:ascii="Times New Roman" w:eastAsiaTheme="minorEastAsia" w:hAnsi="Times New Roman" w:cs="Times New Roman"/>
          <w:sz w:val="24"/>
          <w:szCs w:val="24"/>
        </w:rPr>
        <w:t xml:space="preserve">swings based on macroeconomic factors. </w:t>
      </w:r>
    </w:p>
    <w:p w14:paraId="4D81944F" w14:textId="698C70DD" w:rsidR="003C32E7" w:rsidRPr="00BC1E6D" w:rsidRDefault="003C32E7"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lastRenderedPageBreak/>
        <w:t>The individual factors are interesting to look at as well</w:t>
      </w:r>
      <w:r w:rsidR="00863AB2" w:rsidRPr="00BC1E6D">
        <w:rPr>
          <w:rFonts w:ascii="Times New Roman" w:eastAsiaTheme="minorEastAsia" w:hAnsi="Times New Roman" w:cs="Times New Roman"/>
          <w:sz w:val="24"/>
          <w:szCs w:val="24"/>
        </w:rPr>
        <w:t xml:space="preserve">. Unexpected Inflation and </w:t>
      </w:r>
      <w:r w:rsidR="00FC5F13" w:rsidRPr="00BC1E6D">
        <w:rPr>
          <w:rFonts w:ascii="Times New Roman" w:eastAsiaTheme="minorEastAsia" w:hAnsi="Times New Roman" w:cs="Times New Roman"/>
          <w:sz w:val="24"/>
          <w:szCs w:val="24"/>
        </w:rPr>
        <w:t xml:space="preserve">The Term Structure were not significant in any model. Perhaps these are variables that would </w:t>
      </w:r>
      <w:r w:rsidR="004D55F4" w:rsidRPr="00BC1E6D">
        <w:rPr>
          <w:rFonts w:ascii="Times New Roman" w:eastAsiaTheme="minorEastAsia" w:hAnsi="Times New Roman" w:cs="Times New Roman"/>
          <w:sz w:val="24"/>
          <w:szCs w:val="24"/>
        </w:rPr>
        <w:t>be significant</w:t>
      </w:r>
      <w:r w:rsidR="00FC5F13" w:rsidRPr="00BC1E6D">
        <w:rPr>
          <w:rFonts w:ascii="Times New Roman" w:eastAsiaTheme="minorEastAsia" w:hAnsi="Times New Roman" w:cs="Times New Roman"/>
          <w:sz w:val="24"/>
          <w:szCs w:val="24"/>
        </w:rPr>
        <w:t xml:space="preserve"> lagged</w:t>
      </w:r>
      <w:r w:rsidR="00751737" w:rsidRPr="00BC1E6D">
        <w:rPr>
          <w:rFonts w:ascii="Times New Roman" w:eastAsiaTheme="minorEastAsia" w:hAnsi="Times New Roman" w:cs="Times New Roman"/>
          <w:sz w:val="24"/>
          <w:szCs w:val="24"/>
        </w:rPr>
        <w:t>, but lagging variables was something I chose not to do in this model as it was not done in the</w:t>
      </w:r>
      <w:r w:rsidR="00C813BE" w:rsidRPr="00BC1E6D">
        <w:rPr>
          <w:rFonts w:ascii="Times New Roman" w:eastAsiaTheme="minorEastAsia" w:hAnsi="Times New Roman" w:cs="Times New Roman"/>
          <w:sz w:val="24"/>
          <w:szCs w:val="24"/>
        </w:rPr>
        <w:t xml:space="preserve"> </w:t>
      </w:r>
      <w:r w:rsidR="00751737" w:rsidRPr="00BC1E6D">
        <w:rPr>
          <w:rFonts w:ascii="Times New Roman" w:eastAsiaTheme="minorEastAsia" w:hAnsi="Times New Roman" w:cs="Times New Roman"/>
          <w:sz w:val="24"/>
          <w:szCs w:val="24"/>
        </w:rPr>
        <w:t>paper by Chen, Nai-Fu, Roll, and Ross</w:t>
      </w:r>
      <w:r w:rsidR="00C813BE" w:rsidRPr="00BC1E6D">
        <w:rPr>
          <w:rFonts w:ascii="Times New Roman" w:eastAsiaTheme="minorEastAsia" w:hAnsi="Times New Roman" w:cs="Times New Roman"/>
          <w:sz w:val="24"/>
          <w:szCs w:val="24"/>
        </w:rPr>
        <w:t xml:space="preserve"> (1986)</w:t>
      </w:r>
      <w:r w:rsidR="00751737" w:rsidRPr="00BC1E6D">
        <w:rPr>
          <w:rFonts w:ascii="Times New Roman" w:eastAsiaTheme="minorEastAsia" w:hAnsi="Times New Roman" w:cs="Times New Roman"/>
          <w:sz w:val="24"/>
          <w:szCs w:val="24"/>
        </w:rPr>
        <w:t xml:space="preserve"> I am emulating</w:t>
      </w:r>
      <w:r w:rsidR="00D74391" w:rsidRPr="00BC1E6D">
        <w:rPr>
          <w:rFonts w:ascii="Times New Roman" w:eastAsiaTheme="minorEastAsia" w:hAnsi="Times New Roman" w:cs="Times New Roman"/>
          <w:sz w:val="24"/>
          <w:szCs w:val="24"/>
        </w:rPr>
        <w:t xml:space="preserve"> </w:t>
      </w:r>
      <w:r w:rsidR="00751737" w:rsidRPr="00BC1E6D">
        <w:rPr>
          <w:rFonts w:ascii="Times New Roman" w:eastAsiaTheme="minorEastAsia" w:hAnsi="Times New Roman" w:cs="Times New Roman"/>
          <w:sz w:val="24"/>
          <w:szCs w:val="24"/>
        </w:rPr>
        <w:t xml:space="preserve">and due to paper length constraints. </w:t>
      </w:r>
      <w:r w:rsidR="004D55F4" w:rsidRPr="00BC1E6D">
        <w:rPr>
          <w:rFonts w:ascii="Times New Roman" w:eastAsiaTheme="minorEastAsia" w:hAnsi="Times New Roman" w:cs="Times New Roman"/>
          <w:sz w:val="24"/>
          <w:szCs w:val="24"/>
        </w:rPr>
        <w:t>This is something that future papers</w:t>
      </w:r>
      <w:r w:rsidR="00C813BE" w:rsidRPr="00BC1E6D">
        <w:rPr>
          <w:rFonts w:ascii="Times New Roman" w:eastAsiaTheme="minorEastAsia" w:hAnsi="Times New Roman" w:cs="Times New Roman"/>
          <w:sz w:val="24"/>
          <w:szCs w:val="24"/>
        </w:rPr>
        <w:t xml:space="preserve"> could</w:t>
      </w:r>
      <w:r w:rsidR="004D55F4" w:rsidRPr="00BC1E6D">
        <w:rPr>
          <w:rFonts w:ascii="Times New Roman" w:eastAsiaTheme="minorEastAsia" w:hAnsi="Times New Roman" w:cs="Times New Roman"/>
          <w:sz w:val="24"/>
          <w:szCs w:val="24"/>
        </w:rPr>
        <w:t xml:space="preserve"> model. </w:t>
      </w:r>
    </w:p>
    <w:p w14:paraId="054D1986" w14:textId="4B2E1FE3" w:rsidR="00D74391" w:rsidRPr="00BC1E6D" w:rsidRDefault="006867D5" w:rsidP="00BD3816">
      <w:pPr>
        <w:spacing w:line="276" w:lineRule="auto"/>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Expected Inflation and </w:t>
      </w:r>
      <w:r w:rsidR="00F1725A" w:rsidRPr="00BC1E6D">
        <w:rPr>
          <w:rFonts w:ascii="Times New Roman" w:eastAsiaTheme="minorEastAsia" w:hAnsi="Times New Roman" w:cs="Times New Roman"/>
          <w:sz w:val="24"/>
          <w:szCs w:val="24"/>
        </w:rPr>
        <w:t xml:space="preserve">Industrial Production were the variables </w:t>
      </w:r>
      <w:r w:rsidR="00487F30" w:rsidRPr="00BC1E6D">
        <w:rPr>
          <w:rFonts w:ascii="Times New Roman" w:eastAsiaTheme="minorEastAsia" w:hAnsi="Times New Roman" w:cs="Times New Roman"/>
          <w:sz w:val="24"/>
          <w:szCs w:val="24"/>
        </w:rPr>
        <w:t xml:space="preserve">that were significant </w:t>
      </w:r>
      <w:r w:rsidR="00C62F75" w:rsidRPr="00BC1E6D">
        <w:rPr>
          <w:rFonts w:ascii="Times New Roman" w:eastAsiaTheme="minorEastAsia" w:hAnsi="Times New Roman" w:cs="Times New Roman"/>
          <w:sz w:val="24"/>
          <w:szCs w:val="24"/>
        </w:rPr>
        <w:t xml:space="preserve">in the most models, 5 each. These are important pricing factors as they </w:t>
      </w:r>
      <w:r w:rsidR="00B50D9E" w:rsidRPr="00BC1E6D">
        <w:rPr>
          <w:rFonts w:ascii="Times New Roman" w:eastAsiaTheme="minorEastAsia" w:hAnsi="Times New Roman" w:cs="Times New Roman"/>
          <w:sz w:val="24"/>
          <w:szCs w:val="24"/>
        </w:rPr>
        <w:t xml:space="preserve">are signals about the future earnings potential. Expected inflation had a negative coefficient in each model it was significant, which implies that investors respond negatively to increases in expected inflation. The coefficient for Industrial Production is </w:t>
      </w:r>
      <w:r w:rsidR="00885A95" w:rsidRPr="00BC1E6D">
        <w:rPr>
          <w:rFonts w:ascii="Times New Roman" w:eastAsiaTheme="minorEastAsia" w:hAnsi="Times New Roman" w:cs="Times New Roman"/>
          <w:sz w:val="24"/>
          <w:szCs w:val="24"/>
        </w:rPr>
        <w:t xml:space="preserve">positive for all </w:t>
      </w:r>
      <w:r w:rsidR="005473D2" w:rsidRPr="00BC1E6D">
        <w:rPr>
          <w:rFonts w:ascii="Times New Roman" w:eastAsiaTheme="minorEastAsia" w:hAnsi="Times New Roman" w:cs="Times New Roman"/>
          <w:sz w:val="24"/>
          <w:szCs w:val="24"/>
        </w:rPr>
        <w:t>sectors except</w:t>
      </w:r>
      <w:r w:rsidR="00F54251" w:rsidRPr="00BC1E6D">
        <w:rPr>
          <w:rFonts w:ascii="Times New Roman" w:eastAsiaTheme="minorEastAsia" w:hAnsi="Times New Roman" w:cs="Times New Roman"/>
          <w:sz w:val="24"/>
          <w:szCs w:val="24"/>
        </w:rPr>
        <w:t xml:space="preserve"> HC and IT, which may be an artifact of the COVID-19 pandemic where technology</w:t>
      </w:r>
      <w:r w:rsidR="00152C4C" w:rsidRPr="00BC1E6D">
        <w:rPr>
          <w:rFonts w:ascii="Times New Roman" w:eastAsiaTheme="minorEastAsia" w:hAnsi="Times New Roman" w:cs="Times New Roman"/>
          <w:sz w:val="24"/>
          <w:szCs w:val="24"/>
        </w:rPr>
        <w:t xml:space="preserve"> and healthcare</w:t>
      </w:r>
      <w:r w:rsidR="00F54251" w:rsidRPr="00BC1E6D">
        <w:rPr>
          <w:rFonts w:ascii="Times New Roman" w:eastAsiaTheme="minorEastAsia" w:hAnsi="Times New Roman" w:cs="Times New Roman"/>
          <w:sz w:val="24"/>
          <w:szCs w:val="24"/>
        </w:rPr>
        <w:t xml:space="preserve"> companies saw massive gains</w:t>
      </w:r>
      <w:r w:rsidR="00152C4C" w:rsidRPr="00BC1E6D">
        <w:rPr>
          <w:rFonts w:ascii="Times New Roman" w:eastAsiaTheme="minorEastAsia" w:hAnsi="Times New Roman" w:cs="Times New Roman"/>
          <w:sz w:val="24"/>
          <w:szCs w:val="24"/>
        </w:rPr>
        <w:t>,</w:t>
      </w:r>
      <w:r w:rsidR="00F54251" w:rsidRPr="00BC1E6D">
        <w:rPr>
          <w:rFonts w:ascii="Times New Roman" w:eastAsiaTheme="minorEastAsia" w:hAnsi="Times New Roman" w:cs="Times New Roman"/>
          <w:sz w:val="24"/>
          <w:szCs w:val="24"/>
        </w:rPr>
        <w:t xml:space="preserve"> </w:t>
      </w:r>
      <w:r w:rsidR="00152C4C" w:rsidRPr="00BC1E6D">
        <w:rPr>
          <w:rFonts w:ascii="Times New Roman" w:eastAsiaTheme="minorEastAsia" w:hAnsi="Times New Roman" w:cs="Times New Roman"/>
          <w:sz w:val="24"/>
          <w:szCs w:val="24"/>
        </w:rPr>
        <w:t>and</w:t>
      </w:r>
      <w:r w:rsidR="00F54251" w:rsidRPr="00BC1E6D">
        <w:rPr>
          <w:rFonts w:ascii="Times New Roman" w:eastAsiaTheme="minorEastAsia" w:hAnsi="Times New Roman" w:cs="Times New Roman"/>
          <w:sz w:val="24"/>
          <w:szCs w:val="24"/>
        </w:rPr>
        <w:t xml:space="preserve"> industrial production slowed</w:t>
      </w:r>
      <w:r w:rsidR="00152C4C" w:rsidRPr="00BC1E6D">
        <w:rPr>
          <w:rFonts w:ascii="Times New Roman" w:eastAsiaTheme="minorEastAsia" w:hAnsi="Times New Roman" w:cs="Times New Roman"/>
          <w:sz w:val="24"/>
          <w:szCs w:val="24"/>
        </w:rPr>
        <w:t xml:space="preserve">. </w:t>
      </w:r>
      <w:r w:rsidR="005473D2" w:rsidRPr="00BC1E6D">
        <w:rPr>
          <w:rFonts w:ascii="Times New Roman" w:eastAsiaTheme="minorEastAsia" w:hAnsi="Times New Roman" w:cs="Times New Roman"/>
          <w:sz w:val="24"/>
          <w:szCs w:val="24"/>
        </w:rPr>
        <w:t>Inc</w:t>
      </w:r>
      <w:r w:rsidR="00152C4C" w:rsidRPr="00BC1E6D">
        <w:rPr>
          <w:rFonts w:ascii="Times New Roman" w:eastAsiaTheme="minorEastAsia" w:hAnsi="Times New Roman" w:cs="Times New Roman"/>
          <w:sz w:val="24"/>
          <w:szCs w:val="24"/>
        </w:rPr>
        <w:t>reases in industrial production could</w:t>
      </w:r>
      <w:r w:rsidR="005473D2" w:rsidRPr="00BC1E6D">
        <w:rPr>
          <w:rFonts w:ascii="Times New Roman" w:eastAsiaTheme="minorEastAsia" w:hAnsi="Times New Roman" w:cs="Times New Roman"/>
          <w:sz w:val="24"/>
          <w:szCs w:val="24"/>
        </w:rPr>
        <w:t xml:space="preserve"> also</w:t>
      </w:r>
      <w:r w:rsidR="00152C4C" w:rsidRPr="00BC1E6D">
        <w:rPr>
          <w:rFonts w:ascii="Times New Roman" w:eastAsiaTheme="minorEastAsia" w:hAnsi="Times New Roman" w:cs="Times New Roman"/>
          <w:sz w:val="24"/>
          <w:szCs w:val="24"/>
        </w:rPr>
        <w:t xml:space="preserve"> be a sign for </w:t>
      </w:r>
      <w:r w:rsidR="008B54DF" w:rsidRPr="00BC1E6D">
        <w:rPr>
          <w:rFonts w:ascii="Times New Roman" w:eastAsiaTheme="minorEastAsia" w:hAnsi="Times New Roman" w:cs="Times New Roman"/>
          <w:sz w:val="24"/>
          <w:szCs w:val="24"/>
        </w:rPr>
        <w:t xml:space="preserve">a disinvestment in technology in a zero-sum investment economy. </w:t>
      </w:r>
    </w:p>
    <w:p w14:paraId="7D50D050" w14:textId="58FD5BC9" w:rsidR="004A45E0" w:rsidRPr="00BC1E6D" w:rsidRDefault="004A45E0"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The single most significant factor for any sector was oil prices </w:t>
      </w:r>
      <w:r w:rsidR="00893E16" w:rsidRPr="00BC1E6D">
        <w:rPr>
          <w:rFonts w:ascii="Times New Roman" w:hAnsi="Times New Roman" w:cs="Times New Roman"/>
          <w:sz w:val="24"/>
          <w:szCs w:val="24"/>
        </w:rPr>
        <w:t>for</w:t>
      </w:r>
      <w:r w:rsidRPr="00BC1E6D">
        <w:rPr>
          <w:rFonts w:ascii="Times New Roman" w:hAnsi="Times New Roman" w:cs="Times New Roman"/>
          <w:sz w:val="24"/>
          <w:szCs w:val="24"/>
        </w:rPr>
        <w:t xml:space="preserve"> energy</w:t>
      </w:r>
      <w:r w:rsidR="00893E16" w:rsidRPr="00BC1E6D">
        <w:rPr>
          <w:rFonts w:ascii="Times New Roman" w:hAnsi="Times New Roman" w:cs="Times New Roman"/>
          <w:sz w:val="24"/>
          <w:szCs w:val="24"/>
        </w:rPr>
        <w:t>,</w:t>
      </w:r>
      <w:r w:rsidR="00FD07F6" w:rsidRPr="00BC1E6D">
        <w:rPr>
          <w:rFonts w:ascii="Times New Roman" w:hAnsi="Times New Roman" w:cs="Times New Roman"/>
          <w:sz w:val="24"/>
          <w:szCs w:val="24"/>
        </w:rPr>
        <w:t xml:space="preserve"> with a strong positive coefficient.</w:t>
      </w:r>
      <w:r w:rsidR="00656DC3" w:rsidRPr="00BC1E6D">
        <w:rPr>
          <w:rFonts w:ascii="Times New Roman" w:hAnsi="Times New Roman" w:cs="Times New Roman"/>
          <w:sz w:val="24"/>
          <w:szCs w:val="24"/>
        </w:rPr>
        <w:t xml:space="preserve"> T</w:t>
      </w:r>
      <w:r w:rsidRPr="00BC1E6D">
        <w:rPr>
          <w:rFonts w:ascii="Times New Roman" w:hAnsi="Times New Roman" w:cs="Times New Roman"/>
          <w:sz w:val="24"/>
          <w:szCs w:val="24"/>
        </w:rPr>
        <w:t xml:space="preserve">his connection is </w:t>
      </w:r>
      <w:r w:rsidR="007A02BA" w:rsidRPr="00BC1E6D">
        <w:rPr>
          <w:rFonts w:ascii="Times New Roman" w:hAnsi="Times New Roman" w:cs="Times New Roman"/>
          <w:sz w:val="24"/>
          <w:szCs w:val="24"/>
        </w:rPr>
        <w:t xml:space="preserve">obvious, as </w:t>
      </w:r>
      <w:r w:rsidR="00656DC3" w:rsidRPr="00BC1E6D">
        <w:rPr>
          <w:rFonts w:ascii="Times New Roman" w:hAnsi="Times New Roman" w:cs="Times New Roman"/>
          <w:sz w:val="24"/>
          <w:szCs w:val="24"/>
        </w:rPr>
        <w:t>increased energy prices allow for higher returns from energy companies, a</w:t>
      </w:r>
      <w:r w:rsidR="00893E16" w:rsidRPr="00BC1E6D">
        <w:rPr>
          <w:rFonts w:ascii="Times New Roman" w:hAnsi="Times New Roman" w:cs="Times New Roman"/>
          <w:sz w:val="24"/>
          <w:szCs w:val="24"/>
        </w:rPr>
        <w:t xml:space="preserve">s happened in Summer 2022. </w:t>
      </w:r>
      <w:r w:rsidR="00D30392" w:rsidRPr="00BC1E6D">
        <w:rPr>
          <w:rFonts w:ascii="Times New Roman" w:hAnsi="Times New Roman" w:cs="Times New Roman"/>
          <w:sz w:val="24"/>
          <w:szCs w:val="24"/>
        </w:rPr>
        <w:t xml:space="preserve">Oil price was significant </w:t>
      </w:r>
      <w:r w:rsidR="008525EB" w:rsidRPr="00BC1E6D">
        <w:rPr>
          <w:rFonts w:ascii="Times New Roman" w:hAnsi="Times New Roman" w:cs="Times New Roman"/>
          <w:sz w:val="24"/>
          <w:szCs w:val="24"/>
        </w:rPr>
        <w:t xml:space="preserve">for consumer discretionary and consumer staples, both with negative coefficients. This implies that consumers tend to </w:t>
      </w:r>
      <w:r w:rsidR="00D75F5D" w:rsidRPr="00BC1E6D">
        <w:rPr>
          <w:rFonts w:ascii="Times New Roman" w:hAnsi="Times New Roman" w:cs="Times New Roman"/>
          <w:sz w:val="24"/>
          <w:szCs w:val="24"/>
        </w:rPr>
        <w:t xml:space="preserve">decrease consumption as oil prices change, and those sectors returns suffer. Materials </w:t>
      </w:r>
      <w:r w:rsidR="006F7507" w:rsidRPr="00BC1E6D">
        <w:rPr>
          <w:rFonts w:ascii="Times New Roman" w:hAnsi="Times New Roman" w:cs="Times New Roman"/>
          <w:sz w:val="24"/>
          <w:szCs w:val="24"/>
        </w:rPr>
        <w:t xml:space="preserve">returns </w:t>
      </w:r>
      <w:r w:rsidR="00D75F5D" w:rsidRPr="00BC1E6D">
        <w:rPr>
          <w:rFonts w:ascii="Times New Roman" w:hAnsi="Times New Roman" w:cs="Times New Roman"/>
          <w:sz w:val="24"/>
          <w:szCs w:val="24"/>
        </w:rPr>
        <w:t>was positive</w:t>
      </w:r>
      <w:r w:rsidR="006F7507" w:rsidRPr="00BC1E6D">
        <w:rPr>
          <w:rFonts w:ascii="Times New Roman" w:hAnsi="Times New Roman" w:cs="Times New Roman"/>
          <w:sz w:val="24"/>
          <w:szCs w:val="24"/>
        </w:rPr>
        <w:t xml:space="preserve"> with oil prices</w:t>
      </w:r>
      <w:r w:rsidR="001846BC" w:rsidRPr="00BC1E6D">
        <w:rPr>
          <w:rFonts w:ascii="Times New Roman" w:hAnsi="Times New Roman" w:cs="Times New Roman"/>
          <w:sz w:val="24"/>
          <w:szCs w:val="24"/>
        </w:rPr>
        <w:t xml:space="preserve"> as they likely benefit from increased energy prices. </w:t>
      </w:r>
    </w:p>
    <w:p w14:paraId="1C3C3EFC" w14:textId="6F389CC9" w:rsidR="00EF7163" w:rsidRPr="00BC1E6D" w:rsidRDefault="00EF7163" w:rsidP="00BD3816">
      <w:pPr>
        <w:spacing w:line="276" w:lineRule="auto"/>
        <w:rPr>
          <w:rFonts w:ascii="Times New Roman" w:hAnsi="Times New Roman" w:cs="Times New Roman"/>
          <w:sz w:val="24"/>
          <w:szCs w:val="24"/>
        </w:rPr>
      </w:pPr>
      <w:r w:rsidRPr="00BC1E6D">
        <w:rPr>
          <w:rFonts w:ascii="Times New Roman" w:hAnsi="Times New Roman" w:cs="Times New Roman"/>
          <w:sz w:val="24"/>
          <w:szCs w:val="24"/>
        </w:rPr>
        <w:t xml:space="preserve">Unexpected Risk Premia had </w:t>
      </w:r>
      <w:r w:rsidR="00263D7D" w:rsidRPr="00BC1E6D">
        <w:rPr>
          <w:rFonts w:ascii="Times New Roman" w:hAnsi="Times New Roman" w:cs="Times New Roman"/>
          <w:sz w:val="24"/>
          <w:szCs w:val="24"/>
        </w:rPr>
        <w:t xml:space="preserve">significant effects on real estate and </w:t>
      </w:r>
      <w:r w:rsidR="009018FF" w:rsidRPr="00BC1E6D">
        <w:rPr>
          <w:rFonts w:ascii="Times New Roman" w:hAnsi="Times New Roman" w:cs="Times New Roman"/>
          <w:sz w:val="24"/>
          <w:szCs w:val="24"/>
        </w:rPr>
        <w:t>materials, which may be secto</w:t>
      </w:r>
      <w:r w:rsidR="00CC5464" w:rsidRPr="00BC1E6D">
        <w:rPr>
          <w:rFonts w:ascii="Times New Roman" w:hAnsi="Times New Roman" w:cs="Times New Roman"/>
          <w:sz w:val="24"/>
          <w:szCs w:val="24"/>
        </w:rPr>
        <w:t xml:space="preserve">rs that suffer from </w:t>
      </w:r>
      <w:r w:rsidR="00714740" w:rsidRPr="00BC1E6D">
        <w:rPr>
          <w:rFonts w:ascii="Times New Roman" w:hAnsi="Times New Roman" w:cs="Times New Roman"/>
          <w:sz w:val="24"/>
          <w:szCs w:val="24"/>
        </w:rPr>
        <w:t xml:space="preserve">an increase in risk aversion. </w:t>
      </w:r>
    </w:p>
    <w:p w14:paraId="35D5357F" w14:textId="177AF9D5" w:rsidR="00C51813" w:rsidRPr="00BC1E6D" w:rsidRDefault="00B94CE0" w:rsidP="00BD3816">
      <w:pPr>
        <w:spacing w:line="276" w:lineRule="auto"/>
        <w:rPr>
          <w:rFonts w:ascii="Times New Roman" w:hAnsi="Times New Roman" w:cs="Times New Roman"/>
          <w:sz w:val="24"/>
          <w:szCs w:val="24"/>
        </w:rPr>
      </w:pPr>
      <w:r>
        <w:rPr>
          <w:rFonts w:ascii="Times New Roman" w:hAnsi="Times New Roman" w:cs="Times New Roman"/>
          <w:sz w:val="24"/>
          <w:szCs w:val="24"/>
        </w:rPr>
        <w:t>T</w:t>
      </w:r>
      <w:r w:rsidR="00A979A2" w:rsidRPr="00BC1E6D">
        <w:rPr>
          <w:rFonts w:ascii="Times New Roman" w:hAnsi="Times New Roman" w:cs="Times New Roman"/>
          <w:sz w:val="24"/>
          <w:szCs w:val="24"/>
        </w:rPr>
        <w:t>hese results suggest that different sectors of the economy respond differently to macroeconomic conditions</w:t>
      </w:r>
      <w:r w:rsidR="00C425F0" w:rsidRPr="00BC1E6D">
        <w:rPr>
          <w:rFonts w:ascii="Times New Roman" w:hAnsi="Times New Roman" w:cs="Times New Roman"/>
          <w:sz w:val="24"/>
          <w:szCs w:val="24"/>
        </w:rPr>
        <w:t>, with varying levels of significance</w:t>
      </w:r>
      <w:r w:rsidR="00A979A2" w:rsidRPr="00BC1E6D">
        <w:rPr>
          <w:rFonts w:ascii="Times New Roman" w:hAnsi="Times New Roman" w:cs="Times New Roman"/>
          <w:sz w:val="24"/>
          <w:szCs w:val="24"/>
        </w:rPr>
        <w:t xml:space="preserve">. Some are modeled better by the CAPM, and some fit an APT model. </w:t>
      </w:r>
      <w:r w:rsidR="00C65FB7" w:rsidRPr="00BC1E6D">
        <w:rPr>
          <w:rFonts w:ascii="Times New Roman" w:hAnsi="Times New Roman" w:cs="Times New Roman"/>
          <w:sz w:val="24"/>
          <w:szCs w:val="24"/>
        </w:rPr>
        <w:t>This could be a tool used by investors to focus their investments</w:t>
      </w:r>
      <w:r w:rsidR="00863DCC" w:rsidRPr="00BC1E6D">
        <w:rPr>
          <w:rFonts w:ascii="Times New Roman" w:hAnsi="Times New Roman" w:cs="Times New Roman"/>
          <w:sz w:val="24"/>
          <w:szCs w:val="24"/>
        </w:rPr>
        <w:t xml:space="preserve"> or disinvestments</w:t>
      </w:r>
      <w:r w:rsidR="00C65FB7" w:rsidRPr="00BC1E6D">
        <w:rPr>
          <w:rFonts w:ascii="Times New Roman" w:hAnsi="Times New Roman" w:cs="Times New Roman"/>
          <w:sz w:val="24"/>
          <w:szCs w:val="24"/>
        </w:rPr>
        <w:t xml:space="preserve"> in sectors </w:t>
      </w:r>
      <w:r w:rsidR="00863DCC" w:rsidRPr="00BC1E6D">
        <w:rPr>
          <w:rFonts w:ascii="Times New Roman" w:hAnsi="Times New Roman" w:cs="Times New Roman"/>
          <w:sz w:val="24"/>
          <w:szCs w:val="24"/>
        </w:rPr>
        <w:t xml:space="preserve">that respond to certain macroeconomic factors, while </w:t>
      </w:r>
      <w:r w:rsidR="00350967" w:rsidRPr="00BC1E6D">
        <w:rPr>
          <w:rFonts w:ascii="Times New Roman" w:hAnsi="Times New Roman" w:cs="Times New Roman"/>
          <w:sz w:val="24"/>
          <w:szCs w:val="24"/>
        </w:rPr>
        <w:t xml:space="preserve">still </w:t>
      </w:r>
      <w:r w:rsidR="00863DCC" w:rsidRPr="00BC1E6D">
        <w:rPr>
          <w:rFonts w:ascii="Times New Roman" w:hAnsi="Times New Roman" w:cs="Times New Roman"/>
          <w:sz w:val="24"/>
          <w:szCs w:val="24"/>
        </w:rPr>
        <w:t xml:space="preserve">maintaining the benefits of portfolio diversification. </w:t>
      </w:r>
    </w:p>
    <w:p w14:paraId="1EE8DAF8" w14:textId="77777777" w:rsidR="00E94853" w:rsidRPr="00BC1E6D" w:rsidRDefault="00E94853" w:rsidP="00BD3816">
      <w:pPr>
        <w:spacing w:line="276" w:lineRule="auto"/>
        <w:rPr>
          <w:rFonts w:ascii="Times New Roman" w:eastAsiaTheme="minorEastAsia" w:hAnsi="Times New Roman" w:cs="Times New Roman"/>
          <w:sz w:val="24"/>
          <w:szCs w:val="24"/>
        </w:rPr>
      </w:pPr>
    </w:p>
    <w:p w14:paraId="36A247E9" w14:textId="77777777" w:rsidR="00E94853" w:rsidRPr="00BC1E6D" w:rsidRDefault="00E94853" w:rsidP="00BD3816">
      <w:pPr>
        <w:spacing w:line="276" w:lineRule="auto"/>
        <w:rPr>
          <w:rFonts w:ascii="Times New Roman" w:eastAsiaTheme="minorEastAsia" w:hAnsi="Times New Roman" w:cs="Times New Roman"/>
          <w:sz w:val="24"/>
          <w:szCs w:val="24"/>
        </w:rPr>
      </w:pPr>
    </w:p>
    <w:p w14:paraId="3E554601" w14:textId="77777777" w:rsidR="00E94853" w:rsidRPr="00BC1E6D" w:rsidRDefault="00E94853" w:rsidP="00BD3816">
      <w:pPr>
        <w:spacing w:line="276" w:lineRule="auto"/>
        <w:rPr>
          <w:rFonts w:ascii="Times New Roman" w:eastAsiaTheme="minorEastAsia" w:hAnsi="Times New Roman" w:cs="Times New Roman"/>
          <w:sz w:val="24"/>
          <w:szCs w:val="24"/>
        </w:rPr>
      </w:pPr>
    </w:p>
    <w:p w14:paraId="7D8C25C1" w14:textId="77777777" w:rsidR="00E94853" w:rsidRPr="00BC1E6D" w:rsidRDefault="00E94853" w:rsidP="00BD3816">
      <w:pPr>
        <w:spacing w:line="276" w:lineRule="auto"/>
        <w:rPr>
          <w:rFonts w:ascii="Times New Roman" w:eastAsiaTheme="minorEastAsia" w:hAnsi="Times New Roman" w:cs="Times New Roman"/>
          <w:sz w:val="24"/>
          <w:szCs w:val="24"/>
        </w:rPr>
      </w:pPr>
    </w:p>
    <w:p w14:paraId="316CA508" w14:textId="77777777" w:rsidR="0051051C" w:rsidRPr="00BC1E6D" w:rsidRDefault="0051051C" w:rsidP="00BD3816">
      <w:pPr>
        <w:pStyle w:val="Heading1"/>
        <w:spacing w:line="276" w:lineRule="auto"/>
        <w:rPr>
          <w:sz w:val="24"/>
          <w:szCs w:val="24"/>
        </w:rPr>
      </w:pPr>
    </w:p>
    <w:p w14:paraId="2213BD9E" w14:textId="77777777" w:rsidR="0051051C" w:rsidRPr="00BC1E6D" w:rsidRDefault="0051051C" w:rsidP="00BD3816">
      <w:pPr>
        <w:pStyle w:val="Heading1"/>
        <w:spacing w:line="276" w:lineRule="auto"/>
        <w:rPr>
          <w:sz w:val="24"/>
          <w:szCs w:val="24"/>
        </w:rPr>
      </w:pPr>
    </w:p>
    <w:p w14:paraId="5D6E3E89" w14:textId="77777777" w:rsidR="001E31E3" w:rsidRPr="00BC1E6D" w:rsidRDefault="001E31E3" w:rsidP="00BD3816">
      <w:pPr>
        <w:pStyle w:val="Heading1"/>
        <w:spacing w:line="276" w:lineRule="auto"/>
        <w:rPr>
          <w:sz w:val="24"/>
          <w:szCs w:val="24"/>
        </w:rPr>
      </w:pPr>
    </w:p>
    <w:sdt>
      <w:sdtPr>
        <w:rPr>
          <w:rFonts w:asciiTheme="minorHAnsi" w:eastAsiaTheme="minorHAnsi" w:hAnsiTheme="minorHAnsi" w:cstheme="minorBidi"/>
          <w:b w:val="0"/>
          <w:bCs w:val="0"/>
          <w:kern w:val="0"/>
          <w:sz w:val="24"/>
          <w:szCs w:val="24"/>
        </w:rPr>
        <w:id w:val="-1332297107"/>
        <w:docPartObj>
          <w:docPartGallery w:val="Bibliographies"/>
          <w:docPartUnique/>
        </w:docPartObj>
      </w:sdtPr>
      <w:sdtContent>
        <w:p w14:paraId="339C0E96" w14:textId="3CCA237A" w:rsidR="00492C91" w:rsidRPr="00BC1E6D" w:rsidRDefault="00492C91" w:rsidP="00735EF7">
          <w:pPr>
            <w:pStyle w:val="Heading1"/>
            <w:spacing w:line="276" w:lineRule="auto"/>
            <w:jc w:val="center"/>
            <w:rPr>
              <w:sz w:val="24"/>
              <w:szCs w:val="24"/>
            </w:rPr>
          </w:pPr>
          <w:r w:rsidRPr="00BC1E6D">
            <w:rPr>
              <w:sz w:val="24"/>
              <w:szCs w:val="24"/>
            </w:rPr>
            <w:t>References</w:t>
          </w:r>
        </w:p>
        <w:p w14:paraId="630E79DE" w14:textId="77777777" w:rsidR="00645EAB" w:rsidRPr="00BC1E6D" w:rsidRDefault="00645EAB" w:rsidP="003E2BFE">
          <w:pPr>
            <w:spacing w:line="276" w:lineRule="auto"/>
            <w:ind w:left="720" w:hanging="720"/>
            <w:rPr>
              <w:rFonts w:ascii="Times New Roman" w:hAnsi="Times New Roman" w:cs="Times New Roman"/>
              <w:sz w:val="24"/>
              <w:szCs w:val="24"/>
            </w:rPr>
          </w:pPr>
          <w:r w:rsidRPr="00BC1E6D">
            <w:rPr>
              <w:rFonts w:ascii="Times New Roman" w:hAnsi="Times New Roman" w:cs="Times New Roman"/>
              <w:sz w:val="24"/>
              <w:szCs w:val="24"/>
            </w:rPr>
            <w:t xml:space="preserve">Black, Fischer. 1972. “Capital Market Equilibrium with Restricted Borrowing.” </w:t>
          </w:r>
          <w:r w:rsidRPr="00BC1E6D">
            <w:rPr>
              <w:rFonts w:ascii="Times New Roman" w:hAnsi="Times New Roman" w:cs="Times New Roman"/>
              <w:i/>
              <w:iCs/>
              <w:sz w:val="24"/>
              <w:szCs w:val="24"/>
            </w:rPr>
            <w:t>Journal of Business</w:t>
          </w:r>
          <w:r w:rsidRPr="00BC1E6D">
            <w:rPr>
              <w:rFonts w:ascii="Times New Roman" w:hAnsi="Times New Roman" w:cs="Times New Roman"/>
              <w:sz w:val="24"/>
              <w:szCs w:val="24"/>
            </w:rPr>
            <w:t>. 45:3, pp. 444–54.</w:t>
          </w:r>
        </w:p>
        <w:p w14:paraId="36917EC3" w14:textId="77777777" w:rsidR="00645EAB" w:rsidRPr="00BC1E6D" w:rsidRDefault="00645EAB"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Business Insider. 2010. </w:t>
          </w:r>
          <w:hyperlink r:id="rId11" w:history="1">
            <w:r w:rsidRPr="00BC1E6D">
              <w:rPr>
                <w:rFonts w:ascii="Times New Roman" w:eastAsiaTheme="minorEastAsia" w:hAnsi="Times New Roman" w:cs="Times New Roman"/>
                <w:sz w:val="24"/>
                <w:szCs w:val="24"/>
              </w:rPr>
              <w:t>"Here's What Warren Buffett Thinks About The Efficient Market Hypothesis"</w:t>
            </w:r>
          </w:hyperlink>
          <w:r w:rsidRPr="00BC1E6D">
            <w:rPr>
              <w:rFonts w:ascii="Times New Roman" w:eastAsiaTheme="minorEastAsia" w:hAnsi="Times New Roman" w:cs="Times New Roman"/>
              <w:sz w:val="24"/>
              <w:szCs w:val="24"/>
            </w:rPr>
            <w:t>. </w:t>
          </w:r>
          <w:r w:rsidRPr="00BC1E6D">
            <w:rPr>
              <w:rFonts w:ascii="Times New Roman" w:eastAsiaTheme="minorEastAsia" w:hAnsi="Times New Roman" w:cs="Times New Roman"/>
              <w:i/>
              <w:iCs/>
              <w:sz w:val="24"/>
              <w:szCs w:val="24"/>
            </w:rPr>
            <w:t xml:space="preserve">Business Insider. </w:t>
          </w:r>
          <w:r w:rsidRPr="00BC1E6D">
            <w:rPr>
              <w:rFonts w:ascii="Times New Roman" w:eastAsiaTheme="minorEastAsia" w:hAnsi="Times New Roman" w:cs="Times New Roman"/>
              <w:sz w:val="24"/>
              <w:szCs w:val="24"/>
            </w:rPr>
            <w:t>https://www.businessinsider.com/warren-buffett-on-efficient-market-hypothesis-2010-12</w:t>
          </w:r>
        </w:p>
        <w:p w14:paraId="568A9552" w14:textId="77777777" w:rsidR="00D059E5" w:rsidRPr="00BC1E6D" w:rsidRDefault="00D059E5"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Chen, Nai-Fu, Richard Roll, and Stephen A. Ross. 1986. "Economic forces and the stock market." </w:t>
          </w:r>
          <w:r w:rsidRPr="00BC1E6D">
            <w:rPr>
              <w:rFonts w:ascii="Times New Roman" w:eastAsiaTheme="minorEastAsia" w:hAnsi="Times New Roman" w:cs="Times New Roman"/>
              <w:i/>
              <w:iCs/>
              <w:sz w:val="24"/>
              <w:szCs w:val="24"/>
            </w:rPr>
            <w:t>Journal of business</w:t>
          </w:r>
          <w:r w:rsidRPr="00BC1E6D">
            <w:rPr>
              <w:rFonts w:ascii="Times New Roman" w:eastAsiaTheme="minorEastAsia" w:hAnsi="Times New Roman" w:cs="Times New Roman"/>
              <w:sz w:val="24"/>
              <w:szCs w:val="24"/>
            </w:rPr>
            <w:t>: 383-403.</w:t>
          </w:r>
        </w:p>
        <w:p w14:paraId="44CB8FBA" w14:textId="27B7CD70" w:rsidR="00923F21" w:rsidRPr="00BC1E6D" w:rsidRDefault="00D059E5" w:rsidP="003E2BFE">
          <w:pPr>
            <w:shd w:val="clear" w:color="auto" w:fill="FFFFFF"/>
            <w:spacing w:before="100" w:beforeAutospacing="1" w:after="24"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Fama, Eugene. 1970. "Efficient Capital Markets: A Review of Theory and Empirical Work</w:t>
          </w:r>
          <w:r w:rsidRPr="00BC1E6D">
            <w:rPr>
              <w:rFonts w:ascii="Times New Roman" w:eastAsiaTheme="minorEastAsia" w:hAnsi="Times New Roman" w:cs="Times New Roman"/>
              <w:i/>
              <w:iCs/>
              <w:sz w:val="24"/>
              <w:szCs w:val="24"/>
            </w:rPr>
            <w:t>". Journal of Finance</w:t>
          </w:r>
          <w:r w:rsidRPr="00BC1E6D">
            <w:rPr>
              <w:rFonts w:ascii="Times New Roman" w:eastAsiaTheme="minorEastAsia" w:hAnsi="Times New Roman" w:cs="Times New Roman"/>
              <w:sz w:val="24"/>
              <w:szCs w:val="24"/>
            </w:rPr>
            <w:t>. 25 (2): 383–417. </w:t>
          </w:r>
          <w:hyperlink r:id="rId12" w:tooltip="Doi (identifier)" w:history="1">
            <w:r w:rsidRPr="00BC1E6D">
              <w:rPr>
                <w:rFonts w:ascii="Times New Roman" w:eastAsiaTheme="minorEastAsia" w:hAnsi="Times New Roman" w:cs="Times New Roman"/>
                <w:sz w:val="24"/>
                <w:szCs w:val="24"/>
              </w:rPr>
              <w:t>doi</w:t>
            </w:r>
          </w:hyperlink>
          <w:r w:rsidRPr="00BC1E6D">
            <w:rPr>
              <w:rFonts w:ascii="Times New Roman" w:eastAsiaTheme="minorEastAsia" w:hAnsi="Times New Roman" w:cs="Times New Roman"/>
              <w:sz w:val="24"/>
              <w:szCs w:val="24"/>
            </w:rPr>
            <w:t>:</w:t>
          </w:r>
          <w:hyperlink r:id="rId13" w:history="1">
            <w:r w:rsidRPr="00BC1E6D">
              <w:rPr>
                <w:rFonts w:ascii="Times New Roman" w:eastAsiaTheme="minorEastAsia" w:hAnsi="Times New Roman" w:cs="Times New Roman"/>
                <w:sz w:val="24"/>
                <w:szCs w:val="24"/>
              </w:rPr>
              <w:t>10.2307/2325486</w:t>
            </w:r>
          </w:hyperlink>
          <w:r w:rsidRPr="00BC1E6D">
            <w:rPr>
              <w:rFonts w:ascii="Times New Roman" w:eastAsiaTheme="minorEastAsia" w:hAnsi="Times New Roman" w:cs="Times New Roman"/>
              <w:sz w:val="24"/>
              <w:szCs w:val="24"/>
            </w:rPr>
            <w:t xml:space="preserve">.  </w:t>
          </w:r>
        </w:p>
        <w:p w14:paraId="5F66C7AE" w14:textId="77777777" w:rsidR="002530F6" w:rsidRPr="00BC1E6D" w:rsidRDefault="002530F6" w:rsidP="003E2BFE">
          <w:pPr>
            <w:spacing w:line="276" w:lineRule="auto"/>
            <w:ind w:left="720" w:hanging="720"/>
            <w:rPr>
              <w:rFonts w:ascii="Times New Roman" w:hAnsi="Times New Roman" w:cs="Times New Roman"/>
              <w:sz w:val="24"/>
              <w:szCs w:val="24"/>
            </w:rPr>
          </w:pPr>
          <w:r w:rsidRPr="00BC1E6D">
            <w:rPr>
              <w:rFonts w:ascii="Times New Roman" w:hAnsi="Times New Roman" w:cs="Times New Roman"/>
              <w:sz w:val="24"/>
              <w:szCs w:val="24"/>
            </w:rPr>
            <w:t xml:space="preserve">Lintner, John. 1965. “The Valuation of Risk Assets and the Selection of Risky Investments in Stock Portfolios and Capital Budgets.” </w:t>
          </w:r>
          <w:r w:rsidRPr="00BC1E6D">
            <w:rPr>
              <w:rFonts w:ascii="Times New Roman" w:hAnsi="Times New Roman" w:cs="Times New Roman"/>
              <w:i/>
              <w:iCs/>
              <w:sz w:val="24"/>
              <w:szCs w:val="24"/>
            </w:rPr>
            <w:t>Review of Economics and Statistics</w:t>
          </w:r>
          <w:r w:rsidRPr="00BC1E6D">
            <w:rPr>
              <w:rFonts w:ascii="Times New Roman" w:hAnsi="Times New Roman" w:cs="Times New Roman"/>
              <w:sz w:val="24"/>
              <w:szCs w:val="24"/>
            </w:rPr>
            <w:t>. 47:1, pp. 13–37.</w:t>
          </w:r>
        </w:p>
        <w:p w14:paraId="50D3A930" w14:textId="03725551" w:rsidR="00645EAB" w:rsidRPr="00BC1E6D" w:rsidRDefault="002530F6"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Markowitz, Harry M. 1959. </w:t>
          </w:r>
          <w:r w:rsidR="000D3313" w:rsidRPr="00BC1E6D">
            <w:rPr>
              <w:rFonts w:ascii="Times New Roman" w:eastAsiaTheme="minorEastAsia" w:hAnsi="Times New Roman" w:cs="Times New Roman"/>
              <w:sz w:val="24"/>
              <w:szCs w:val="24"/>
            </w:rPr>
            <w:t>“</w:t>
          </w:r>
          <w:r w:rsidRPr="00BC1E6D">
            <w:rPr>
              <w:rFonts w:ascii="Times New Roman" w:eastAsiaTheme="minorEastAsia" w:hAnsi="Times New Roman" w:cs="Times New Roman"/>
              <w:sz w:val="24"/>
              <w:szCs w:val="24"/>
            </w:rPr>
            <w:t>Portfolio Selection: Efficient Diversification of Investments.</w:t>
          </w:r>
          <w:r w:rsidR="000D3313" w:rsidRPr="00BC1E6D">
            <w:rPr>
              <w:rFonts w:ascii="Times New Roman" w:eastAsiaTheme="minorEastAsia" w:hAnsi="Times New Roman" w:cs="Times New Roman"/>
              <w:sz w:val="24"/>
              <w:szCs w:val="24"/>
            </w:rPr>
            <w:t>”</w:t>
          </w:r>
          <w:r w:rsidRPr="00BC1E6D">
            <w:rPr>
              <w:rFonts w:ascii="Times New Roman" w:eastAsiaTheme="minorEastAsia" w:hAnsi="Times New Roman" w:cs="Times New Roman"/>
              <w:sz w:val="24"/>
              <w:szCs w:val="24"/>
            </w:rPr>
            <w:t xml:space="preserve"> </w:t>
          </w:r>
          <w:r w:rsidRPr="00BC1E6D">
            <w:rPr>
              <w:rFonts w:ascii="Times New Roman" w:eastAsiaTheme="minorEastAsia" w:hAnsi="Times New Roman" w:cs="Times New Roman"/>
              <w:i/>
              <w:iCs/>
              <w:sz w:val="24"/>
              <w:szCs w:val="24"/>
            </w:rPr>
            <w:t>New Haven: Yale University Press</w:t>
          </w:r>
          <w:r w:rsidR="00914C8F" w:rsidRPr="00BC1E6D">
            <w:rPr>
              <w:rFonts w:ascii="Times New Roman" w:eastAsiaTheme="minorEastAsia" w:hAnsi="Times New Roman" w:cs="Times New Roman"/>
              <w:sz w:val="24"/>
              <w:szCs w:val="24"/>
            </w:rPr>
            <w:t>,</w:t>
          </w:r>
          <w:r w:rsidR="000D3313" w:rsidRPr="00BC1E6D">
            <w:rPr>
              <w:rFonts w:ascii="Times New Roman" w:eastAsiaTheme="minorEastAsia" w:hAnsi="Times New Roman" w:cs="Times New Roman"/>
              <w:sz w:val="24"/>
              <w:szCs w:val="24"/>
            </w:rPr>
            <w:t xml:space="preserve"> </w:t>
          </w:r>
          <w:r w:rsidRPr="00BC1E6D">
            <w:rPr>
              <w:rFonts w:ascii="Times New Roman" w:eastAsiaTheme="minorEastAsia" w:hAnsi="Times New Roman" w:cs="Times New Roman"/>
              <w:sz w:val="24"/>
              <w:szCs w:val="24"/>
            </w:rPr>
            <w:t>1968.</w:t>
          </w:r>
          <w:r w:rsidR="000D3313" w:rsidRPr="00BC1E6D">
            <w:rPr>
              <w:rFonts w:ascii="Times New Roman" w:eastAsiaTheme="minorEastAsia" w:hAnsi="Times New Roman" w:cs="Times New Roman"/>
              <w:sz w:val="24"/>
              <w:szCs w:val="24"/>
            </w:rPr>
            <w:t xml:space="preserve"> </w:t>
          </w:r>
        </w:p>
        <w:sdt>
          <w:sdtPr>
            <w:rPr>
              <w:rFonts w:ascii="Times New Roman" w:hAnsi="Times New Roman" w:cs="Times New Roman"/>
              <w:sz w:val="24"/>
              <w:szCs w:val="24"/>
            </w:rPr>
            <w:id w:val="-573587230"/>
            <w:bibliography/>
          </w:sdtPr>
          <w:sdtContent>
            <w:p w14:paraId="1539FD94" w14:textId="0BE82DD7" w:rsidR="000D3313" w:rsidRPr="00BC1E6D" w:rsidRDefault="00000000" w:rsidP="003E2BFE">
              <w:pPr>
                <w:shd w:val="clear" w:color="auto" w:fill="FFFFFF"/>
                <w:spacing w:before="100" w:beforeAutospacing="1" w:after="24" w:line="276" w:lineRule="auto"/>
                <w:ind w:left="720" w:hanging="720"/>
                <w:rPr>
                  <w:rFonts w:ascii="Times New Roman" w:eastAsiaTheme="minorEastAsia" w:hAnsi="Times New Roman" w:cs="Times New Roman"/>
                  <w:sz w:val="24"/>
                  <w:szCs w:val="24"/>
                </w:rPr>
              </w:pPr>
              <w:hyperlink r:id="rId14" w:tooltip="John J. O'Connor (mathematician)" w:history="1">
                <w:r w:rsidR="001B21A8" w:rsidRPr="00BC1E6D">
                  <w:rPr>
                    <w:rFonts w:ascii="Times New Roman" w:eastAsiaTheme="minorEastAsia" w:hAnsi="Times New Roman" w:cs="Times New Roman"/>
                    <w:sz w:val="24"/>
                    <w:szCs w:val="24"/>
                  </w:rPr>
                  <w:t>O'Connor, John J.</w:t>
                </w:r>
              </w:hyperlink>
              <w:r w:rsidR="00494D1F" w:rsidRPr="00BC1E6D">
                <w:rPr>
                  <w:rFonts w:ascii="Times New Roman" w:eastAsiaTheme="minorEastAsia" w:hAnsi="Times New Roman" w:cs="Times New Roman"/>
                  <w:sz w:val="24"/>
                  <w:szCs w:val="24"/>
                </w:rPr>
                <w:t>,</w:t>
              </w:r>
              <w:r w:rsidR="001B21A8" w:rsidRPr="00BC1E6D">
                <w:rPr>
                  <w:rFonts w:ascii="Times New Roman" w:eastAsiaTheme="minorEastAsia" w:hAnsi="Times New Roman" w:cs="Times New Roman"/>
                  <w:i/>
                  <w:iCs/>
                  <w:sz w:val="24"/>
                  <w:szCs w:val="24"/>
                </w:rPr>
                <w:t> </w:t>
              </w:r>
              <w:hyperlink r:id="rId15" w:tooltip="Edmund F. Robertson" w:history="1">
                <w:r w:rsidR="001B21A8" w:rsidRPr="00BC1E6D">
                  <w:rPr>
                    <w:rFonts w:ascii="Times New Roman" w:eastAsiaTheme="minorEastAsia" w:hAnsi="Times New Roman" w:cs="Times New Roman"/>
                    <w:sz w:val="24"/>
                    <w:szCs w:val="24"/>
                  </w:rPr>
                  <w:t>Robertson, Edmund F.</w:t>
                </w:r>
              </w:hyperlink>
              <w:r w:rsidR="006A2740" w:rsidRPr="00BC1E6D">
                <w:rPr>
                  <w:rFonts w:ascii="Times New Roman" w:eastAsiaTheme="minorEastAsia" w:hAnsi="Times New Roman" w:cs="Times New Roman"/>
                  <w:sz w:val="24"/>
                  <w:szCs w:val="24"/>
                </w:rPr>
                <w:t xml:space="preserve"> </w:t>
              </w:r>
              <w:r w:rsidR="00494D1F" w:rsidRPr="00BC1E6D">
                <w:rPr>
                  <w:rFonts w:ascii="Times New Roman" w:eastAsiaTheme="minorEastAsia" w:hAnsi="Times New Roman" w:cs="Times New Roman"/>
                  <w:sz w:val="24"/>
                  <w:szCs w:val="24"/>
                </w:rPr>
                <w:t>2002.</w:t>
              </w:r>
              <w:r w:rsidR="001B21A8" w:rsidRPr="00BC1E6D">
                <w:rPr>
                  <w:rFonts w:ascii="Times New Roman" w:eastAsiaTheme="minorEastAsia" w:hAnsi="Times New Roman" w:cs="Times New Roman"/>
                  <w:i/>
                  <w:iCs/>
                  <w:sz w:val="24"/>
                  <w:szCs w:val="24"/>
                </w:rPr>
                <w:t> </w:t>
              </w:r>
              <w:hyperlink r:id="rId16" w:history="1">
                <w:r w:rsidR="001B21A8" w:rsidRPr="00BC1E6D">
                  <w:rPr>
                    <w:rFonts w:ascii="Times New Roman" w:eastAsiaTheme="minorEastAsia" w:hAnsi="Times New Roman" w:cs="Times New Roman"/>
                    <w:sz w:val="24"/>
                    <w:szCs w:val="24"/>
                  </w:rPr>
                  <w:t>"Louis Bachelier"</w:t>
                </w:r>
              </w:hyperlink>
              <w:r w:rsidR="001B410C" w:rsidRPr="00BC1E6D">
                <w:rPr>
                  <w:rFonts w:ascii="Times New Roman" w:eastAsiaTheme="minorEastAsia" w:hAnsi="Times New Roman" w:cs="Times New Roman"/>
                  <w:i/>
                  <w:iCs/>
                  <w:sz w:val="24"/>
                  <w:szCs w:val="24"/>
                </w:rPr>
                <w:t>.</w:t>
              </w:r>
              <w:r w:rsidR="001B21A8" w:rsidRPr="00BC1E6D">
                <w:rPr>
                  <w:rFonts w:ascii="Times New Roman" w:eastAsiaTheme="minorEastAsia" w:hAnsi="Times New Roman" w:cs="Times New Roman"/>
                  <w:i/>
                  <w:iCs/>
                  <w:sz w:val="24"/>
                  <w:szCs w:val="24"/>
                </w:rPr>
                <w:t> </w:t>
              </w:r>
              <w:hyperlink r:id="rId17" w:tooltip="MacTutor History of Mathematics archive" w:history="1">
                <w:r w:rsidR="001B21A8" w:rsidRPr="00BC1E6D">
                  <w:rPr>
                    <w:rFonts w:ascii="Times New Roman" w:eastAsiaTheme="minorEastAsia" w:hAnsi="Times New Roman" w:cs="Times New Roman"/>
                    <w:i/>
                    <w:iCs/>
                    <w:sz w:val="24"/>
                    <w:szCs w:val="24"/>
                  </w:rPr>
                  <w:t>MacTutor History of Mathematics archive</w:t>
                </w:r>
              </w:hyperlink>
              <w:r w:rsidR="001B410C" w:rsidRPr="00BC1E6D">
                <w:rPr>
                  <w:rFonts w:ascii="Times New Roman" w:eastAsiaTheme="minorEastAsia" w:hAnsi="Times New Roman" w:cs="Times New Roman"/>
                  <w:i/>
                  <w:iCs/>
                  <w:sz w:val="24"/>
                  <w:szCs w:val="24"/>
                </w:rPr>
                <w:t>.</w:t>
              </w:r>
              <w:r w:rsidR="001B21A8" w:rsidRPr="00BC1E6D">
                <w:rPr>
                  <w:rFonts w:ascii="Times New Roman" w:eastAsiaTheme="minorEastAsia" w:hAnsi="Times New Roman" w:cs="Times New Roman"/>
                  <w:i/>
                  <w:iCs/>
                  <w:sz w:val="24"/>
                  <w:szCs w:val="24"/>
                </w:rPr>
                <w:t> </w:t>
              </w:r>
              <w:hyperlink r:id="rId18" w:tooltip="University of St Andrews" w:history="1">
                <w:r w:rsidR="001B21A8" w:rsidRPr="00BC1E6D">
                  <w:rPr>
                    <w:rFonts w:ascii="Times New Roman" w:eastAsiaTheme="minorEastAsia" w:hAnsi="Times New Roman" w:cs="Times New Roman"/>
                    <w:sz w:val="24"/>
                    <w:szCs w:val="24"/>
                  </w:rPr>
                  <w:t>University of St Andrews</w:t>
                </w:r>
              </w:hyperlink>
            </w:p>
            <w:p w14:paraId="237C6EC9" w14:textId="071D0AB3" w:rsidR="002530F6" w:rsidRPr="00BC1E6D" w:rsidRDefault="002530F6"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Ross, S. 1976. "The arbitrage pricing theory of capital asset pricing model." </w:t>
              </w:r>
              <w:r w:rsidRPr="00BC1E6D">
                <w:rPr>
                  <w:rFonts w:ascii="Times New Roman" w:eastAsiaTheme="minorEastAsia" w:hAnsi="Times New Roman" w:cs="Times New Roman"/>
                  <w:i/>
                  <w:iCs/>
                  <w:sz w:val="24"/>
                  <w:szCs w:val="24"/>
                </w:rPr>
                <w:t>Journal of finance</w:t>
              </w:r>
              <w:r w:rsidRPr="00BC1E6D">
                <w:rPr>
                  <w:rFonts w:ascii="Times New Roman" w:eastAsiaTheme="minorEastAsia" w:hAnsi="Times New Roman" w:cs="Times New Roman"/>
                  <w:sz w:val="24"/>
                  <w:szCs w:val="24"/>
                </w:rPr>
                <w:t>.</w:t>
              </w:r>
            </w:p>
            <w:p w14:paraId="77B2E7F6" w14:textId="77777777" w:rsidR="002530F6" w:rsidRPr="00BC1E6D" w:rsidRDefault="002530F6" w:rsidP="003E2BFE">
              <w:pPr>
                <w:spacing w:line="276" w:lineRule="auto"/>
                <w:ind w:left="720" w:hanging="720"/>
                <w:rPr>
                  <w:rFonts w:ascii="Times New Roman" w:hAnsi="Times New Roman" w:cs="Times New Roman"/>
                  <w:sz w:val="24"/>
                  <w:szCs w:val="24"/>
                </w:rPr>
              </w:pPr>
              <w:r w:rsidRPr="00BC1E6D">
                <w:rPr>
                  <w:rFonts w:ascii="Times New Roman" w:hAnsi="Times New Roman" w:cs="Times New Roman"/>
                  <w:sz w:val="24"/>
                  <w:szCs w:val="24"/>
                </w:rPr>
                <w:t xml:space="preserve">Sharpe, William F. 1964. “Capital Asset Prices: A Theory of Market Equilibrium under Conditions of Risk.” </w:t>
              </w:r>
              <w:r w:rsidRPr="00BC1E6D">
                <w:rPr>
                  <w:rFonts w:ascii="Times New Roman" w:hAnsi="Times New Roman" w:cs="Times New Roman"/>
                  <w:i/>
                  <w:iCs/>
                  <w:sz w:val="24"/>
                  <w:szCs w:val="24"/>
                </w:rPr>
                <w:t>Journal of Finance</w:t>
              </w:r>
              <w:r w:rsidRPr="00BC1E6D">
                <w:rPr>
                  <w:rFonts w:ascii="Times New Roman" w:hAnsi="Times New Roman" w:cs="Times New Roman"/>
                  <w:sz w:val="24"/>
                  <w:szCs w:val="24"/>
                </w:rPr>
                <w:t>. 19:3, pp. 425– 42.</w:t>
              </w:r>
            </w:p>
            <w:p w14:paraId="5BF60E3A" w14:textId="06ABF5D6" w:rsidR="00C841E9" w:rsidRPr="00BC1E6D" w:rsidRDefault="000D3313" w:rsidP="003E2BFE">
              <w:pPr>
                <w:spacing w:line="276" w:lineRule="auto"/>
                <w:ind w:left="720" w:hanging="720"/>
                <w:rPr>
                  <w:rFonts w:ascii="Times New Roman" w:eastAsiaTheme="minorEastAsia" w:hAnsi="Times New Roman" w:cs="Times New Roman"/>
                  <w:sz w:val="24"/>
                  <w:szCs w:val="24"/>
                </w:rPr>
              </w:pPr>
              <w:r w:rsidRPr="00BC1E6D">
                <w:rPr>
                  <w:rFonts w:ascii="Times New Roman" w:hAnsi="Times New Roman" w:cs="Times New Roman"/>
                  <w:sz w:val="24"/>
                  <w:szCs w:val="24"/>
                </w:rPr>
                <w:t>Top Foreign Stocks. 2022. “The Complete List of Constituents of the S&amp;P 500 Index.” https://topforeignstocks.com/indices/components-of-the-sp-500-index/</w:t>
              </w:r>
            </w:p>
            <w:p w14:paraId="454CA0BF" w14:textId="59F66765" w:rsidR="00413A48" w:rsidRPr="00BC1E6D"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 xml:space="preserve">Werner, Jan </w:t>
              </w:r>
              <w:r w:rsidR="00416806" w:rsidRPr="00BC1E6D">
                <w:rPr>
                  <w:rFonts w:ascii="Times New Roman" w:eastAsiaTheme="minorEastAsia" w:hAnsi="Times New Roman" w:cs="Times New Roman"/>
                  <w:sz w:val="24"/>
                  <w:szCs w:val="24"/>
                </w:rPr>
                <w:t xml:space="preserve">. </w:t>
              </w:r>
              <w:r w:rsidRPr="00BC1E6D">
                <w:rPr>
                  <w:rFonts w:ascii="Times New Roman" w:eastAsiaTheme="minorEastAsia" w:hAnsi="Times New Roman" w:cs="Times New Roman"/>
                  <w:sz w:val="24"/>
                  <w:szCs w:val="24"/>
                </w:rPr>
                <w:t>2008. "Risk Aversion". </w:t>
              </w:r>
              <w:r w:rsidRPr="00BC1E6D">
                <w:rPr>
                  <w:rFonts w:ascii="Times New Roman" w:eastAsiaTheme="minorEastAsia" w:hAnsi="Times New Roman" w:cs="Times New Roman"/>
                  <w:i/>
                  <w:iCs/>
                  <w:sz w:val="24"/>
                  <w:szCs w:val="24"/>
                </w:rPr>
                <w:t>The New Palgrave Dictionary of Economics</w:t>
              </w:r>
              <w:r w:rsidRPr="00BC1E6D">
                <w:rPr>
                  <w:rFonts w:ascii="Times New Roman" w:eastAsiaTheme="minorEastAsia" w:hAnsi="Times New Roman" w:cs="Times New Roman"/>
                  <w:sz w:val="24"/>
                  <w:szCs w:val="24"/>
                </w:rPr>
                <w:t>. pp. 1–6</w:t>
              </w:r>
            </w:p>
            <w:p w14:paraId="71477340" w14:textId="09AA8B93" w:rsidR="00492C91" w:rsidRPr="00BC1E6D" w:rsidRDefault="00492C91" w:rsidP="003E2BFE">
              <w:pPr>
                <w:spacing w:line="276" w:lineRule="auto"/>
                <w:ind w:left="720" w:hanging="720"/>
                <w:rPr>
                  <w:rFonts w:ascii="Times New Roman" w:eastAsiaTheme="minorEastAsia" w:hAnsi="Times New Roman" w:cs="Times New Roman"/>
                  <w:b/>
                  <w:bCs/>
                  <w:sz w:val="24"/>
                  <w:szCs w:val="24"/>
                </w:rPr>
              </w:pPr>
              <w:r w:rsidRPr="00BC1E6D">
                <w:rPr>
                  <w:rFonts w:ascii="Times New Roman" w:eastAsiaTheme="minorEastAsia" w:hAnsi="Times New Roman" w:cs="Times New Roman"/>
                  <w:b/>
                  <w:bCs/>
                  <w:sz w:val="24"/>
                  <w:szCs w:val="24"/>
                </w:rPr>
                <w:t xml:space="preserve">FRED Data: </w:t>
              </w:r>
            </w:p>
            <w:p w14:paraId="5D1D4400" w14:textId="2D3BB2EA" w:rsidR="00492C91"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Board of Governors of the Federal Reserve System (US), Industrial Production: Total Index [INDPRO], retrieved from FRED, Federal Reserve Bank of St. Louis; https://fred.stlouisfed.org/series/INDPRO, November 28, 2022.</w:t>
              </w:r>
            </w:p>
            <w:p w14:paraId="365D22AB" w14:textId="6B8E178A" w:rsidR="00525F41" w:rsidRDefault="00525F41" w:rsidP="000728D8">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Board of Governors of the Federal Reserve System (US), Interest Rates and Price Indexes; 10-Year Treasury Yield, Level [BOGZ1FL073161113Q], retrieved from FRED, Federal Reserve Bank of St. Louis; https://fred.stlouisfed.org/series/BOGZ1FL073161113Q, November 29, 2022.</w:t>
              </w:r>
            </w:p>
            <w:p w14:paraId="7600393A" w14:textId="77777777" w:rsidR="000728D8" w:rsidRPr="00BC1E6D" w:rsidRDefault="000728D8" w:rsidP="000728D8">
              <w:pPr>
                <w:spacing w:line="276" w:lineRule="auto"/>
                <w:ind w:left="720" w:hanging="720"/>
                <w:rPr>
                  <w:rFonts w:ascii="Times New Roman" w:eastAsiaTheme="minorEastAsia" w:hAnsi="Times New Roman" w:cs="Times New Roman"/>
                  <w:sz w:val="24"/>
                  <w:szCs w:val="24"/>
                </w:rPr>
              </w:pPr>
            </w:p>
            <w:p w14:paraId="46C6A79D" w14:textId="5ACF3C37" w:rsidR="00492C91" w:rsidRDefault="00492C91" w:rsidP="003E2BFE">
              <w:pPr>
                <w:spacing w:line="276" w:lineRule="auto"/>
                <w:ind w:left="720" w:hanging="720"/>
                <w:rPr>
                  <w:rFonts w:ascii="Times New Roman" w:hAnsi="Times New Roman" w:cs="Times New Roman"/>
                  <w:sz w:val="24"/>
                  <w:szCs w:val="24"/>
                  <w:shd w:val="clear" w:color="auto" w:fill="FFFFFF"/>
                </w:rPr>
              </w:pPr>
              <w:r w:rsidRPr="00BC1E6D">
                <w:rPr>
                  <w:rFonts w:ascii="Times New Roman" w:hAnsi="Times New Roman" w:cs="Times New Roman"/>
                  <w:sz w:val="24"/>
                  <w:szCs w:val="24"/>
                  <w:shd w:val="clear" w:color="auto" w:fill="FFFFFF"/>
                </w:rPr>
                <w:lastRenderedPageBreak/>
                <w:t>Federal Reserve Bank of Atlanta, Sticky Price Consumer Price Index less Food and Energy [CORESTICKM159SFRBATL], retrieved from FRED, Federal Reserve Bank of St. Louis; https://fred.stlouisfed.org/series/CORESTICKM159SFRBATL, December 1, 2022.</w:t>
              </w:r>
            </w:p>
            <w:p w14:paraId="02F13B9B" w14:textId="6A63A8A1" w:rsidR="00525F41" w:rsidRPr="00525F41" w:rsidRDefault="00525F41" w:rsidP="00525F41">
              <w:pPr>
                <w:pStyle w:val="citation"/>
                <w:spacing w:before="0" w:beforeAutospacing="0" w:after="150" w:afterAutospacing="0" w:line="276" w:lineRule="auto"/>
                <w:ind w:left="720" w:hanging="720"/>
              </w:pPr>
              <w:r w:rsidRPr="00BC1E6D">
                <w:t>Federal Reserve Bank of Cleveland, 1-Year Expected Inflation [EXPINF1YR], retrieved from FRED, Federal Reserve Bank of St. Louis; https://fred.stlouisfed.org/series/EXPINF1YR, December 1, 2022.</w:t>
              </w:r>
            </w:p>
            <w:p w14:paraId="4E19164A" w14:textId="7306AD51" w:rsidR="00492C91" w:rsidRPr="00BC1E6D"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Federal Reserve Bank of St. Louis, Moody's Seasoned Baa Corporate Bond Yield Relative to Yield on 10-Year Treasury Constant Maturity [BAA10Y], retrieved from FRED, Federal Reserve Bank of St. Louis; https://fred.stlouisfed.org/series/BAA10Y, November 28, 2022.</w:t>
              </w:r>
            </w:p>
            <w:p w14:paraId="3378F012" w14:textId="5369E015" w:rsidR="00492C91" w:rsidRPr="00BC1E6D"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Organization for Economic Co-operation and Development, Long-Term Government Bond Yields: 10-year: Main (Including Benchmark) for the United States [IRLTLT01USM156N], retrieved from FRED, Federal Reserve Bank of St. Louis; https://fred.stlouisfed.org/series/IRLTLT01USM156N, November 28, 2022.</w:t>
              </w:r>
            </w:p>
            <w:p w14:paraId="0201032A" w14:textId="675B41C5" w:rsidR="00492C91" w:rsidRPr="00BC1E6D"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U.S. Bureau of Economic Analysis, Personal Consumption Expenditures [PCE], retrieved from FRED, Federal Reserve Bank of St. Louis; https://fred.stlouisfed.org/series/PCE, November 28, 2022.</w:t>
              </w:r>
            </w:p>
            <w:p w14:paraId="7BE310DC" w14:textId="584B6031" w:rsidR="00492C91" w:rsidRPr="00BC1E6D" w:rsidRDefault="00492C91" w:rsidP="003E2BFE">
              <w:pPr>
                <w:spacing w:line="276" w:lineRule="auto"/>
                <w:ind w:left="720" w:hanging="720"/>
                <w:rPr>
                  <w:rFonts w:ascii="Times New Roman" w:eastAsiaTheme="minorEastAsia" w:hAnsi="Times New Roman" w:cs="Times New Roman"/>
                  <w:sz w:val="24"/>
                  <w:szCs w:val="24"/>
                </w:rPr>
              </w:pPr>
              <w:r w:rsidRPr="00BC1E6D">
                <w:rPr>
                  <w:rFonts w:ascii="Times New Roman" w:eastAsiaTheme="minorEastAsia" w:hAnsi="Times New Roman" w:cs="Times New Roman"/>
                  <w:sz w:val="24"/>
                  <w:szCs w:val="24"/>
                </w:rPr>
                <w:t>U.S. Energy Information Administration, Crude Oil Prices: West Texas Intermediate (WTI) - Cushing, Oklahoma [DCOILWTICO], retrieved from FRED, Federal Reserve Bank of St. Louis; https://fred.stlouisfed.org/series/DCOILWTICO, November 28, 2022</w:t>
              </w:r>
            </w:p>
            <w:p w14:paraId="04E869A9" w14:textId="3CCA237A" w:rsidR="00492C91" w:rsidRPr="00BC1E6D" w:rsidRDefault="00000000" w:rsidP="000728D8">
              <w:pPr>
                <w:spacing w:line="276" w:lineRule="auto"/>
                <w:rPr>
                  <w:rFonts w:ascii="Times New Roman" w:hAnsi="Times New Roman" w:cs="Times New Roman"/>
                  <w:sz w:val="24"/>
                  <w:szCs w:val="24"/>
                </w:rPr>
              </w:pPr>
            </w:p>
          </w:sdtContent>
        </w:sdt>
      </w:sdtContent>
    </w:sdt>
    <w:p w14:paraId="2450A8E8" w14:textId="77777777" w:rsidR="00E9781C" w:rsidRPr="00BC1E6D" w:rsidRDefault="00E9781C" w:rsidP="003E2BFE">
      <w:pPr>
        <w:pStyle w:val="ListParagraph"/>
        <w:spacing w:line="276" w:lineRule="auto"/>
        <w:ind w:left="1440"/>
        <w:rPr>
          <w:rFonts w:ascii="Times New Roman" w:eastAsiaTheme="minorEastAsia" w:hAnsi="Times New Roman" w:cs="Times New Roman"/>
          <w:sz w:val="24"/>
          <w:szCs w:val="24"/>
        </w:rPr>
      </w:pPr>
    </w:p>
    <w:sectPr w:rsidR="00E9781C" w:rsidRPr="00BC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B06"/>
    <w:multiLevelType w:val="hybridMultilevel"/>
    <w:tmpl w:val="403829EC"/>
    <w:lvl w:ilvl="0" w:tplc="AEBE3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A656B"/>
    <w:multiLevelType w:val="hybridMultilevel"/>
    <w:tmpl w:val="FBEAE336"/>
    <w:lvl w:ilvl="0" w:tplc="3678FB52">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start w:val="1"/>
      <w:numFmt w:val="decimal"/>
      <w:lvlText w:val="%4."/>
      <w:lvlJc w:val="left"/>
      <w:pPr>
        <w:ind w:left="3285" w:hanging="360"/>
      </w:pPr>
    </w:lvl>
    <w:lvl w:ilvl="4" w:tplc="04090019">
      <w:start w:val="1"/>
      <w:numFmt w:val="lowerLetter"/>
      <w:lvlText w:val="%5."/>
      <w:lvlJc w:val="left"/>
      <w:pPr>
        <w:ind w:left="4005" w:hanging="360"/>
      </w:pPr>
    </w:lvl>
    <w:lvl w:ilvl="5" w:tplc="0409001B">
      <w:start w:val="1"/>
      <w:numFmt w:val="lowerRoman"/>
      <w:lvlText w:val="%6."/>
      <w:lvlJc w:val="right"/>
      <w:pPr>
        <w:ind w:left="4725" w:hanging="180"/>
      </w:pPr>
    </w:lvl>
    <w:lvl w:ilvl="6" w:tplc="0409000F">
      <w:start w:val="1"/>
      <w:numFmt w:val="decimal"/>
      <w:lvlText w:val="%7."/>
      <w:lvlJc w:val="left"/>
      <w:pPr>
        <w:ind w:left="5445" w:hanging="360"/>
      </w:pPr>
    </w:lvl>
    <w:lvl w:ilvl="7" w:tplc="04090019">
      <w:start w:val="1"/>
      <w:numFmt w:val="lowerLetter"/>
      <w:lvlText w:val="%8."/>
      <w:lvlJc w:val="left"/>
      <w:pPr>
        <w:ind w:left="6165" w:hanging="360"/>
      </w:pPr>
    </w:lvl>
    <w:lvl w:ilvl="8" w:tplc="0409001B">
      <w:start w:val="1"/>
      <w:numFmt w:val="lowerRoman"/>
      <w:lvlText w:val="%9."/>
      <w:lvlJc w:val="right"/>
      <w:pPr>
        <w:ind w:left="6885" w:hanging="180"/>
      </w:pPr>
    </w:lvl>
  </w:abstractNum>
  <w:abstractNum w:abstractNumId="2" w15:restartNumberingAfterBreak="0">
    <w:nsid w:val="15E06A12"/>
    <w:multiLevelType w:val="hybridMultilevel"/>
    <w:tmpl w:val="D3AC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E78A6"/>
    <w:multiLevelType w:val="multilevel"/>
    <w:tmpl w:val="7914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4DFE"/>
    <w:multiLevelType w:val="hybridMultilevel"/>
    <w:tmpl w:val="AEBA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E73D9"/>
    <w:multiLevelType w:val="multilevel"/>
    <w:tmpl w:val="4C6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54EDE"/>
    <w:multiLevelType w:val="multilevel"/>
    <w:tmpl w:val="CEF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A2600"/>
    <w:multiLevelType w:val="hybridMultilevel"/>
    <w:tmpl w:val="5F72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7279B"/>
    <w:multiLevelType w:val="hybridMultilevel"/>
    <w:tmpl w:val="B04CB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B1502"/>
    <w:multiLevelType w:val="hybridMultilevel"/>
    <w:tmpl w:val="B04CBF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DE5E13"/>
    <w:multiLevelType w:val="multilevel"/>
    <w:tmpl w:val="6F62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705389">
    <w:abstractNumId w:val="5"/>
  </w:num>
  <w:num w:numId="2" w16cid:durableId="1355955159">
    <w:abstractNumId w:val="10"/>
  </w:num>
  <w:num w:numId="3" w16cid:durableId="291257157">
    <w:abstractNumId w:val="3"/>
  </w:num>
  <w:num w:numId="4" w16cid:durableId="1935555479">
    <w:abstractNumId w:val="8"/>
  </w:num>
  <w:num w:numId="5" w16cid:durableId="535001861">
    <w:abstractNumId w:val="7"/>
  </w:num>
  <w:num w:numId="6" w16cid:durableId="1467504187">
    <w:abstractNumId w:val="4"/>
  </w:num>
  <w:num w:numId="7" w16cid:durableId="1492021512">
    <w:abstractNumId w:val="1"/>
  </w:num>
  <w:num w:numId="8" w16cid:durableId="1157922095">
    <w:abstractNumId w:val="6"/>
  </w:num>
  <w:num w:numId="9" w16cid:durableId="396365420">
    <w:abstractNumId w:val="9"/>
  </w:num>
  <w:num w:numId="10" w16cid:durableId="1215505188">
    <w:abstractNumId w:val="0"/>
  </w:num>
  <w:num w:numId="11" w16cid:durableId="147220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75"/>
    <w:rsid w:val="000016DD"/>
    <w:rsid w:val="000022A0"/>
    <w:rsid w:val="00003019"/>
    <w:rsid w:val="00003F52"/>
    <w:rsid w:val="00004E1C"/>
    <w:rsid w:val="000056C7"/>
    <w:rsid w:val="000064D9"/>
    <w:rsid w:val="000075B0"/>
    <w:rsid w:val="00011E45"/>
    <w:rsid w:val="000135E3"/>
    <w:rsid w:val="000141FB"/>
    <w:rsid w:val="00016769"/>
    <w:rsid w:val="000170C2"/>
    <w:rsid w:val="00017731"/>
    <w:rsid w:val="00017C1F"/>
    <w:rsid w:val="000205DC"/>
    <w:rsid w:val="000213A5"/>
    <w:rsid w:val="00022772"/>
    <w:rsid w:val="00025317"/>
    <w:rsid w:val="0002531C"/>
    <w:rsid w:val="00025593"/>
    <w:rsid w:val="00025BB6"/>
    <w:rsid w:val="00030A9B"/>
    <w:rsid w:val="00032305"/>
    <w:rsid w:val="00032AB5"/>
    <w:rsid w:val="00032DC3"/>
    <w:rsid w:val="00033ACC"/>
    <w:rsid w:val="00033FD1"/>
    <w:rsid w:val="0003562C"/>
    <w:rsid w:val="00035A29"/>
    <w:rsid w:val="00035D23"/>
    <w:rsid w:val="00036BAC"/>
    <w:rsid w:val="000378C3"/>
    <w:rsid w:val="00037C2B"/>
    <w:rsid w:val="00041328"/>
    <w:rsid w:val="000436CD"/>
    <w:rsid w:val="00043F2C"/>
    <w:rsid w:val="00047359"/>
    <w:rsid w:val="00056139"/>
    <w:rsid w:val="00056F29"/>
    <w:rsid w:val="000624D5"/>
    <w:rsid w:val="00064E0F"/>
    <w:rsid w:val="0006603A"/>
    <w:rsid w:val="00070068"/>
    <w:rsid w:val="00072617"/>
    <w:rsid w:val="000727D9"/>
    <w:rsid w:val="000728D8"/>
    <w:rsid w:val="000742B6"/>
    <w:rsid w:val="000760B6"/>
    <w:rsid w:val="00076290"/>
    <w:rsid w:val="0007720A"/>
    <w:rsid w:val="000774B1"/>
    <w:rsid w:val="000778DD"/>
    <w:rsid w:val="000808B1"/>
    <w:rsid w:val="000828CC"/>
    <w:rsid w:val="0008380F"/>
    <w:rsid w:val="00085BE3"/>
    <w:rsid w:val="00092496"/>
    <w:rsid w:val="0009329F"/>
    <w:rsid w:val="00094009"/>
    <w:rsid w:val="00094867"/>
    <w:rsid w:val="000A0487"/>
    <w:rsid w:val="000A12E9"/>
    <w:rsid w:val="000A3851"/>
    <w:rsid w:val="000A3AAD"/>
    <w:rsid w:val="000A5A3D"/>
    <w:rsid w:val="000A6DDD"/>
    <w:rsid w:val="000A7992"/>
    <w:rsid w:val="000B03B6"/>
    <w:rsid w:val="000B1582"/>
    <w:rsid w:val="000B215F"/>
    <w:rsid w:val="000B68D6"/>
    <w:rsid w:val="000B6DD5"/>
    <w:rsid w:val="000B7D17"/>
    <w:rsid w:val="000C11B9"/>
    <w:rsid w:val="000C1715"/>
    <w:rsid w:val="000C47F3"/>
    <w:rsid w:val="000C6A08"/>
    <w:rsid w:val="000C71FA"/>
    <w:rsid w:val="000D31F9"/>
    <w:rsid w:val="000D3313"/>
    <w:rsid w:val="000D3A21"/>
    <w:rsid w:val="000D7CAC"/>
    <w:rsid w:val="000E0126"/>
    <w:rsid w:val="000E19D8"/>
    <w:rsid w:val="000E6116"/>
    <w:rsid w:val="000F25E5"/>
    <w:rsid w:val="000F3903"/>
    <w:rsid w:val="000F3A24"/>
    <w:rsid w:val="000F3BF8"/>
    <w:rsid w:val="000F434D"/>
    <w:rsid w:val="000F551C"/>
    <w:rsid w:val="000F6600"/>
    <w:rsid w:val="0010088F"/>
    <w:rsid w:val="001033A1"/>
    <w:rsid w:val="001038B3"/>
    <w:rsid w:val="00104016"/>
    <w:rsid w:val="001044C2"/>
    <w:rsid w:val="001047BE"/>
    <w:rsid w:val="00106C57"/>
    <w:rsid w:val="001109A9"/>
    <w:rsid w:val="00112765"/>
    <w:rsid w:val="00113168"/>
    <w:rsid w:val="00113A1B"/>
    <w:rsid w:val="00113E52"/>
    <w:rsid w:val="00114581"/>
    <w:rsid w:val="00114CF5"/>
    <w:rsid w:val="00114D19"/>
    <w:rsid w:val="001155EA"/>
    <w:rsid w:val="001205A5"/>
    <w:rsid w:val="00120B9B"/>
    <w:rsid w:val="001216A3"/>
    <w:rsid w:val="00123D13"/>
    <w:rsid w:val="0013446C"/>
    <w:rsid w:val="00134E12"/>
    <w:rsid w:val="00136474"/>
    <w:rsid w:val="001376C6"/>
    <w:rsid w:val="001433F8"/>
    <w:rsid w:val="00143C78"/>
    <w:rsid w:val="00144DDF"/>
    <w:rsid w:val="0014564D"/>
    <w:rsid w:val="00151771"/>
    <w:rsid w:val="001518FB"/>
    <w:rsid w:val="00152C4C"/>
    <w:rsid w:val="001533F3"/>
    <w:rsid w:val="00154305"/>
    <w:rsid w:val="00154D5D"/>
    <w:rsid w:val="00157FB0"/>
    <w:rsid w:val="00160761"/>
    <w:rsid w:val="00160946"/>
    <w:rsid w:val="00161373"/>
    <w:rsid w:val="00161D05"/>
    <w:rsid w:val="00161E60"/>
    <w:rsid w:val="001628F7"/>
    <w:rsid w:val="00164B87"/>
    <w:rsid w:val="00165416"/>
    <w:rsid w:val="00165479"/>
    <w:rsid w:val="00167550"/>
    <w:rsid w:val="00170994"/>
    <w:rsid w:val="00170D25"/>
    <w:rsid w:val="001721B3"/>
    <w:rsid w:val="00172D69"/>
    <w:rsid w:val="00174A9F"/>
    <w:rsid w:val="001765AB"/>
    <w:rsid w:val="001766B2"/>
    <w:rsid w:val="0017750E"/>
    <w:rsid w:val="001812D1"/>
    <w:rsid w:val="001846BC"/>
    <w:rsid w:val="001853D8"/>
    <w:rsid w:val="00192EB6"/>
    <w:rsid w:val="00195113"/>
    <w:rsid w:val="001A1B96"/>
    <w:rsid w:val="001A28CC"/>
    <w:rsid w:val="001A3D4D"/>
    <w:rsid w:val="001A5596"/>
    <w:rsid w:val="001A7572"/>
    <w:rsid w:val="001B170C"/>
    <w:rsid w:val="001B21A8"/>
    <w:rsid w:val="001B2278"/>
    <w:rsid w:val="001B22D4"/>
    <w:rsid w:val="001B27AD"/>
    <w:rsid w:val="001B410C"/>
    <w:rsid w:val="001B5A94"/>
    <w:rsid w:val="001B6C5F"/>
    <w:rsid w:val="001B70E3"/>
    <w:rsid w:val="001C59F1"/>
    <w:rsid w:val="001C6593"/>
    <w:rsid w:val="001C6828"/>
    <w:rsid w:val="001C7B99"/>
    <w:rsid w:val="001C7D08"/>
    <w:rsid w:val="001D0A7F"/>
    <w:rsid w:val="001D1408"/>
    <w:rsid w:val="001D3C96"/>
    <w:rsid w:val="001D47D4"/>
    <w:rsid w:val="001D5517"/>
    <w:rsid w:val="001D6134"/>
    <w:rsid w:val="001E0132"/>
    <w:rsid w:val="001E0921"/>
    <w:rsid w:val="001E15B0"/>
    <w:rsid w:val="001E180D"/>
    <w:rsid w:val="001E2431"/>
    <w:rsid w:val="001E2BF5"/>
    <w:rsid w:val="001E31E3"/>
    <w:rsid w:val="001E66D5"/>
    <w:rsid w:val="001F0372"/>
    <w:rsid w:val="001F1A46"/>
    <w:rsid w:val="001F2857"/>
    <w:rsid w:val="001F58C7"/>
    <w:rsid w:val="001F62B4"/>
    <w:rsid w:val="001F787B"/>
    <w:rsid w:val="002001B7"/>
    <w:rsid w:val="00200818"/>
    <w:rsid w:val="00200C3D"/>
    <w:rsid w:val="002018C6"/>
    <w:rsid w:val="002029A9"/>
    <w:rsid w:val="00202BDF"/>
    <w:rsid w:val="00203655"/>
    <w:rsid w:val="00204926"/>
    <w:rsid w:val="00207650"/>
    <w:rsid w:val="00207E48"/>
    <w:rsid w:val="00211525"/>
    <w:rsid w:val="002149A3"/>
    <w:rsid w:val="0021794D"/>
    <w:rsid w:val="00217E60"/>
    <w:rsid w:val="00220F89"/>
    <w:rsid w:val="002227A9"/>
    <w:rsid w:val="0022408D"/>
    <w:rsid w:val="002247BE"/>
    <w:rsid w:val="00225FF8"/>
    <w:rsid w:val="002265EA"/>
    <w:rsid w:val="00227B7C"/>
    <w:rsid w:val="00232E2D"/>
    <w:rsid w:val="00233065"/>
    <w:rsid w:val="00237B9C"/>
    <w:rsid w:val="00241180"/>
    <w:rsid w:val="00243DFA"/>
    <w:rsid w:val="0024534F"/>
    <w:rsid w:val="002462EC"/>
    <w:rsid w:val="00247E1A"/>
    <w:rsid w:val="00247EAD"/>
    <w:rsid w:val="00251C0A"/>
    <w:rsid w:val="00252917"/>
    <w:rsid w:val="002530F6"/>
    <w:rsid w:val="00253D4D"/>
    <w:rsid w:val="00253FD1"/>
    <w:rsid w:val="00256152"/>
    <w:rsid w:val="0025747C"/>
    <w:rsid w:val="00257EAA"/>
    <w:rsid w:val="002628C1"/>
    <w:rsid w:val="00262FB6"/>
    <w:rsid w:val="00263D7D"/>
    <w:rsid w:val="0026548A"/>
    <w:rsid w:val="0026626E"/>
    <w:rsid w:val="002666A1"/>
    <w:rsid w:val="00271A37"/>
    <w:rsid w:val="002725E8"/>
    <w:rsid w:val="0027579F"/>
    <w:rsid w:val="002776E9"/>
    <w:rsid w:val="00277ECB"/>
    <w:rsid w:val="002817C4"/>
    <w:rsid w:val="00281934"/>
    <w:rsid w:val="00282B12"/>
    <w:rsid w:val="002838B1"/>
    <w:rsid w:val="00287367"/>
    <w:rsid w:val="0029076C"/>
    <w:rsid w:val="00290A14"/>
    <w:rsid w:val="00291657"/>
    <w:rsid w:val="00292830"/>
    <w:rsid w:val="002929DC"/>
    <w:rsid w:val="0029349A"/>
    <w:rsid w:val="002950CE"/>
    <w:rsid w:val="00295A89"/>
    <w:rsid w:val="0029777F"/>
    <w:rsid w:val="002A24D0"/>
    <w:rsid w:val="002A3B37"/>
    <w:rsid w:val="002A570C"/>
    <w:rsid w:val="002A5B78"/>
    <w:rsid w:val="002A6F8E"/>
    <w:rsid w:val="002A79A2"/>
    <w:rsid w:val="002A7BBF"/>
    <w:rsid w:val="002A7D9A"/>
    <w:rsid w:val="002B0988"/>
    <w:rsid w:val="002B18ED"/>
    <w:rsid w:val="002B2CA2"/>
    <w:rsid w:val="002B3C8A"/>
    <w:rsid w:val="002B5951"/>
    <w:rsid w:val="002C0A90"/>
    <w:rsid w:val="002C17D5"/>
    <w:rsid w:val="002D064D"/>
    <w:rsid w:val="002D389B"/>
    <w:rsid w:val="002D4197"/>
    <w:rsid w:val="002F04C2"/>
    <w:rsid w:val="002F1D60"/>
    <w:rsid w:val="002F343C"/>
    <w:rsid w:val="002F574B"/>
    <w:rsid w:val="002F7C50"/>
    <w:rsid w:val="0030632F"/>
    <w:rsid w:val="00311779"/>
    <w:rsid w:val="00313A65"/>
    <w:rsid w:val="003142B5"/>
    <w:rsid w:val="00317855"/>
    <w:rsid w:val="003200CB"/>
    <w:rsid w:val="003205DA"/>
    <w:rsid w:val="003206C1"/>
    <w:rsid w:val="003210AB"/>
    <w:rsid w:val="00323986"/>
    <w:rsid w:val="003245FF"/>
    <w:rsid w:val="003246FD"/>
    <w:rsid w:val="00325FB2"/>
    <w:rsid w:val="00326103"/>
    <w:rsid w:val="003269F2"/>
    <w:rsid w:val="00326EF1"/>
    <w:rsid w:val="00330D29"/>
    <w:rsid w:val="003316F6"/>
    <w:rsid w:val="003328BE"/>
    <w:rsid w:val="00332ADF"/>
    <w:rsid w:val="00332D55"/>
    <w:rsid w:val="00333158"/>
    <w:rsid w:val="0033358C"/>
    <w:rsid w:val="003338D0"/>
    <w:rsid w:val="0033503C"/>
    <w:rsid w:val="00336CC5"/>
    <w:rsid w:val="00341768"/>
    <w:rsid w:val="0034372B"/>
    <w:rsid w:val="00344170"/>
    <w:rsid w:val="0034520F"/>
    <w:rsid w:val="00350440"/>
    <w:rsid w:val="00350967"/>
    <w:rsid w:val="003564A5"/>
    <w:rsid w:val="003577AF"/>
    <w:rsid w:val="00360110"/>
    <w:rsid w:val="00360AA6"/>
    <w:rsid w:val="00360CFE"/>
    <w:rsid w:val="00362DB3"/>
    <w:rsid w:val="003659AD"/>
    <w:rsid w:val="003679B0"/>
    <w:rsid w:val="003703C8"/>
    <w:rsid w:val="003717DA"/>
    <w:rsid w:val="00375011"/>
    <w:rsid w:val="00380288"/>
    <w:rsid w:val="00383A08"/>
    <w:rsid w:val="00384D2C"/>
    <w:rsid w:val="00385BC9"/>
    <w:rsid w:val="0038677E"/>
    <w:rsid w:val="003930A0"/>
    <w:rsid w:val="003967E1"/>
    <w:rsid w:val="00396F8D"/>
    <w:rsid w:val="00397E41"/>
    <w:rsid w:val="003A039A"/>
    <w:rsid w:val="003A1120"/>
    <w:rsid w:val="003A19F9"/>
    <w:rsid w:val="003A1BE4"/>
    <w:rsid w:val="003A24D1"/>
    <w:rsid w:val="003A4D05"/>
    <w:rsid w:val="003A5473"/>
    <w:rsid w:val="003A5A91"/>
    <w:rsid w:val="003B1847"/>
    <w:rsid w:val="003B304B"/>
    <w:rsid w:val="003B405E"/>
    <w:rsid w:val="003B544B"/>
    <w:rsid w:val="003B5B14"/>
    <w:rsid w:val="003C1E74"/>
    <w:rsid w:val="003C32E7"/>
    <w:rsid w:val="003C44E2"/>
    <w:rsid w:val="003C5461"/>
    <w:rsid w:val="003D2D02"/>
    <w:rsid w:val="003D3F13"/>
    <w:rsid w:val="003D667B"/>
    <w:rsid w:val="003D70E7"/>
    <w:rsid w:val="003E2A98"/>
    <w:rsid w:val="003E2BFE"/>
    <w:rsid w:val="003E3160"/>
    <w:rsid w:val="003E414B"/>
    <w:rsid w:val="003E4269"/>
    <w:rsid w:val="003E5281"/>
    <w:rsid w:val="003E769B"/>
    <w:rsid w:val="003F310F"/>
    <w:rsid w:val="003F4E4D"/>
    <w:rsid w:val="003F4F73"/>
    <w:rsid w:val="004016AF"/>
    <w:rsid w:val="004053E7"/>
    <w:rsid w:val="00406C14"/>
    <w:rsid w:val="00413A48"/>
    <w:rsid w:val="00416806"/>
    <w:rsid w:val="004223FC"/>
    <w:rsid w:val="0042370B"/>
    <w:rsid w:val="0042537B"/>
    <w:rsid w:val="00425539"/>
    <w:rsid w:val="0043193C"/>
    <w:rsid w:val="00431DDF"/>
    <w:rsid w:val="004349DD"/>
    <w:rsid w:val="00434EA1"/>
    <w:rsid w:val="0044039F"/>
    <w:rsid w:val="00440E3B"/>
    <w:rsid w:val="00443031"/>
    <w:rsid w:val="00444E32"/>
    <w:rsid w:val="004453EC"/>
    <w:rsid w:val="00446C80"/>
    <w:rsid w:val="00451D84"/>
    <w:rsid w:val="004556E9"/>
    <w:rsid w:val="00457367"/>
    <w:rsid w:val="00460B88"/>
    <w:rsid w:val="004616A0"/>
    <w:rsid w:val="00462112"/>
    <w:rsid w:val="004655CB"/>
    <w:rsid w:val="004662FA"/>
    <w:rsid w:val="0047059B"/>
    <w:rsid w:val="00471756"/>
    <w:rsid w:val="00471900"/>
    <w:rsid w:val="004723FF"/>
    <w:rsid w:val="00472EC3"/>
    <w:rsid w:val="00473DB2"/>
    <w:rsid w:val="0047578E"/>
    <w:rsid w:val="0047585C"/>
    <w:rsid w:val="0047675E"/>
    <w:rsid w:val="00481EC4"/>
    <w:rsid w:val="004830AB"/>
    <w:rsid w:val="0048451E"/>
    <w:rsid w:val="00484A5D"/>
    <w:rsid w:val="00486395"/>
    <w:rsid w:val="00486612"/>
    <w:rsid w:val="00487474"/>
    <w:rsid w:val="004875B8"/>
    <w:rsid w:val="00487F30"/>
    <w:rsid w:val="00492893"/>
    <w:rsid w:val="00492C91"/>
    <w:rsid w:val="004936DD"/>
    <w:rsid w:val="00494D1F"/>
    <w:rsid w:val="00496913"/>
    <w:rsid w:val="004975C6"/>
    <w:rsid w:val="004A1AA6"/>
    <w:rsid w:val="004A1DAF"/>
    <w:rsid w:val="004A44D2"/>
    <w:rsid w:val="004A45E0"/>
    <w:rsid w:val="004A46C4"/>
    <w:rsid w:val="004A4C2F"/>
    <w:rsid w:val="004A55D0"/>
    <w:rsid w:val="004B0152"/>
    <w:rsid w:val="004B035B"/>
    <w:rsid w:val="004B2C65"/>
    <w:rsid w:val="004B33F8"/>
    <w:rsid w:val="004B43F5"/>
    <w:rsid w:val="004C2EAC"/>
    <w:rsid w:val="004C7C49"/>
    <w:rsid w:val="004D0B01"/>
    <w:rsid w:val="004D1EFB"/>
    <w:rsid w:val="004D2297"/>
    <w:rsid w:val="004D34A5"/>
    <w:rsid w:val="004D42C6"/>
    <w:rsid w:val="004D4FA1"/>
    <w:rsid w:val="004D55F4"/>
    <w:rsid w:val="004D639F"/>
    <w:rsid w:val="004D65A9"/>
    <w:rsid w:val="004D79AD"/>
    <w:rsid w:val="004E0675"/>
    <w:rsid w:val="004E25FE"/>
    <w:rsid w:val="004E336E"/>
    <w:rsid w:val="004E4B00"/>
    <w:rsid w:val="004F1361"/>
    <w:rsid w:val="004F152E"/>
    <w:rsid w:val="004F26E3"/>
    <w:rsid w:val="004F4112"/>
    <w:rsid w:val="004F6EA0"/>
    <w:rsid w:val="00500026"/>
    <w:rsid w:val="00500C55"/>
    <w:rsid w:val="005032CA"/>
    <w:rsid w:val="00506701"/>
    <w:rsid w:val="00506C70"/>
    <w:rsid w:val="00507E10"/>
    <w:rsid w:val="005104E0"/>
    <w:rsid w:val="0051051C"/>
    <w:rsid w:val="00513496"/>
    <w:rsid w:val="005143D3"/>
    <w:rsid w:val="0051584D"/>
    <w:rsid w:val="005173DB"/>
    <w:rsid w:val="00523110"/>
    <w:rsid w:val="00523470"/>
    <w:rsid w:val="00523F38"/>
    <w:rsid w:val="00524222"/>
    <w:rsid w:val="00524391"/>
    <w:rsid w:val="00525254"/>
    <w:rsid w:val="00525494"/>
    <w:rsid w:val="00525575"/>
    <w:rsid w:val="00525F41"/>
    <w:rsid w:val="005305B7"/>
    <w:rsid w:val="005315A9"/>
    <w:rsid w:val="00531D01"/>
    <w:rsid w:val="00533533"/>
    <w:rsid w:val="005349E9"/>
    <w:rsid w:val="00535B35"/>
    <w:rsid w:val="00536CA0"/>
    <w:rsid w:val="00537B7A"/>
    <w:rsid w:val="00540664"/>
    <w:rsid w:val="00540769"/>
    <w:rsid w:val="0054280F"/>
    <w:rsid w:val="0054468A"/>
    <w:rsid w:val="00544EB0"/>
    <w:rsid w:val="005473D2"/>
    <w:rsid w:val="0055139E"/>
    <w:rsid w:val="005521D2"/>
    <w:rsid w:val="005550A6"/>
    <w:rsid w:val="00555494"/>
    <w:rsid w:val="00563834"/>
    <w:rsid w:val="00565467"/>
    <w:rsid w:val="00565C5F"/>
    <w:rsid w:val="00567310"/>
    <w:rsid w:val="00567E4C"/>
    <w:rsid w:val="00567F21"/>
    <w:rsid w:val="00572AA3"/>
    <w:rsid w:val="005738E0"/>
    <w:rsid w:val="005743A6"/>
    <w:rsid w:val="00576430"/>
    <w:rsid w:val="00580514"/>
    <w:rsid w:val="00580729"/>
    <w:rsid w:val="0058332D"/>
    <w:rsid w:val="005842DE"/>
    <w:rsid w:val="005848D3"/>
    <w:rsid w:val="00587439"/>
    <w:rsid w:val="0058789F"/>
    <w:rsid w:val="005906E9"/>
    <w:rsid w:val="00590CE5"/>
    <w:rsid w:val="0059445D"/>
    <w:rsid w:val="005947CD"/>
    <w:rsid w:val="00594C57"/>
    <w:rsid w:val="00595328"/>
    <w:rsid w:val="0059678D"/>
    <w:rsid w:val="00597316"/>
    <w:rsid w:val="00597B9C"/>
    <w:rsid w:val="005A094A"/>
    <w:rsid w:val="005A0964"/>
    <w:rsid w:val="005A1122"/>
    <w:rsid w:val="005A236D"/>
    <w:rsid w:val="005A2AC6"/>
    <w:rsid w:val="005A2EF7"/>
    <w:rsid w:val="005A43A1"/>
    <w:rsid w:val="005A7321"/>
    <w:rsid w:val="005B0D97"/>
    <w:rsid w:val="005B1618"/>
    <w:rsid w:val="005B17B6"/>
    <w:rsid w:val="005B58C6"/>
    <w:rsid w:val="005C08E6"/>
    <w:rsid w:val="005C1584"/>
    <w:rsid w:val="005C2A90"/>
    <w:rsid w:val="005C3A28"/>
    <w:rsid w:val="005C7DDA"/>
    <w:rsid w:val="005D0F07"/>
    <w:rsid w:val="005D2766"/>
    <w:rsid w:val="005D371F"/>
    <w:rsid w:val="005D690C"/>
    <w:rsid w:val="005D6C76"/>
    <w:rsid w:val="005E0058"/>
    <w:rsid w:val="005E197F"/>
    <w:rsid w:val="005E7680"/>
    <w:rsid w:val="005F2299"/>
    <w:rsid w:val="005F2C03"/>
    <w:rsid w:val="005F4369"/>
    <w:rsid w:val="00601359"/>
    <w:rsid w:val="006024D8"/>
    <w:rsid w:val="00605D57"/>
    <w:rsid w:val="006068A7"/>
    <w:rsid w:val="00613798"/>
    <w:rsid w:val="0061456F"/>
    <w:rsid w:val="006154A2"/>
    <w:rsid w:val="00615B51"/>
    <w:rsid w:val="0061696A"/>
    <w:rsid w:val="006209DF"/>
    <w:rsid w:val="0062166D"/>
    <w:rsid w:val="00621ECA"/>
    <w:rsid w:val="00622C04"/>
    <w:rsid w:val="00624DEF"/>
    <w:rsid w:val="00626D8A"/>
    <w:rsid w:val="00626E78"/>
    <w:rsid w:val="00634DD6"/>
    <w:rsid w:val="0064455D"/>
    <w:rsid w:val="00645EAB"/>
    <w:rsid w:val="00646334"/>
    <w:rsid w:val="00646BDF"/>
    <w:rsid w:val="0065185C"/>
    <w:rsid w:val="00651DCE"/>
    <w:rsid w:val="006556FC"/>
    <w:rsid w:val="00656DC3"/>
    <w:rsid w:val="00657B52"/>
    <w:rsid w:val="006615A1"/>
    <w:rsid w:val="00661DFA"/>
    <w:rsid w:val="00663006"/>
    <w:rsid w:val="00663321"/>
    <w:rsid w:val="00667689"/>
    <w:rsid w:val="006752A9"/>
    <w:rsid w:val="006808C3"/>
    <w:rsid w:val="00681274"/>
    <w:rsid w:val="00682416"/>
    <w:rsid w:val="00682B03"/>
    <w:rsid w:val="006841E1"/>
    <w:rsid w:val="00686726"/>
    <w:rsid w:val="006867D5"/>
    <w:rsid w:val="00690CCA"/>
    <w:rsid w:val="00692AA0"/>
    <w:rsid w:val="0069692D"/>
    <w:rsid w:val="006969CE"/>
    <w:rsid w:val="006A00E0"/>
    <w:rsid w:val="006A0CF9"/>
    <w:rsid w:val="006A0D08"/>
    <w:rsid w:val="006A2554"/>
    <w:rsid w:val="006A2740"/>
    <w:rsid w:val="006A52B4"/>
    <w:rsid w:val="006A5823"/>
    <w:rsid w:val="006A5D55"/>
    <w:rsid w:val="006A5DB5"/>
    <w:rsid w:val="006A6997"/>
    <w:rsid w:val="006A7767"/>
    <w:rsid w:val="006B08DE"/>
    <w:rsid w:val="006B3D12"/>
    <w:rsid w:val="006B4439"/>
    <w:rsid w:val="006B615E"/>
    <w:rsid w:val="006C1D24"/>
    <w:rsid w:val="006C2197"/>
    <w:rsid w:val="006C3153"/>
    <w:rsid w:val="006C32BE"/>
    <w:rsid w:val="006C4CF6"/>
    <w:rsid w:val="006C5D55"/>
    <w:rsid w:val="006C6804"/>
    <w:rsid w:val="006C6ED8"/>
    <w:rsid w:val="006C738E"/>
    <w:rsid w:val="006C7784"/>
    <w:rsid w:val="006D0D4C"/>
    <w:rsid w:val="006D141C"/>
    <w:rsid w:val="006D204F"/>
    <w:rsid w:val="006D2FFA"/>
    <w:rsid w:val="006D5A7F"/>
    <w:rsid w:val="006E09AD"/>
    <w:rsid w:val="006E164B"/>
    <w:rsid w:val="006E2614"/>
    <w:rsid w:val="006E27A0"/>
    <w:rsid w:val="006E3DB1"/>
    <w:rsid w:val="006E4C1E"/>
    <w:rsid w:val="006E5F6A"/>
    <w:rsid w:val="006E7F99"/>
    <w:rsid w:val="006F646C"/>
    <w:rsid w:val="006F6700"/>
    <w:rsid w:val="006F7507"/>
    <w:rsid w:val="006F761A"/>
    <w:rsid w:val="0071428D"/>
    <w:rsid w:val="00714740"/>
    <w:rsid w:val="00714957"/>
    <w:rsid w:val="007157B8"/>
    <w:rsid w:val="0072029B"/>
    <w:rsid w:val="0072489B"/>
    <w:rsid w:val="007252C5"/>
    <w:rsid w:val="007262C4"/>
    <w:rsid w:val="00730EFF"/>
    <w:rsid w:val="00732F94"/>
    <w:rsid w:val="00735EF7"/>
    <w:rsid w:val="00740E2C"/>
    <w:rsid w:val="00741449"/>
    <w:rsid w:val="00744724"/>
    <w:rsid w:val="00744BC7"/>
    <w:rsid w:val="007458D1"/>
    <w:rsid w:val="007465F2"/>
    <w:rsid w:val="00746E4C"/>
    <w:rsid w:val="00750DB3"/>
    <w:rsid w:val="00751737"/>
    <w:rsid w:val="007521C3"/>
    <w:rsid w:val="00753C0B"/>
    <w:rsid w:val="00763441"/>
    <w:rsid w:val="007651B0"/>
    <w:rsid w:val="00765B1E"/>
    <w:rsid w:val="00767169"/>
    <w:rsid w:val="0077016E"/>
    <w:rsid w:val="007705A3"/>
    <w:rsid w:val="00771243"/>
    <w:rsid w:val="007713DC"/>
    <w:rsid w:val="00771FC2"/>
    <w:rsid w:val="007737F9"/>
    <w:rsid w:val="00775D4D"/>
    <w:rsid w:val="00775E9B"/>
    <w:rsid w:val="00781F94"/>
    <w:rsid w:val="00783123"/>
    <w:rsid w:val="00783AE8"/>
    <w:rsid w:val="00791580"/>
    <w:rsid w:val="00791829"/>
    <w:rsid w:val="00792A50"/>
    <w:rsid w:val="0079722C"/>
    <w:rsid w:val="007A02BA"/>
    <w:rsid w:val="007A0C1F"/>
    <w:rsid w:val="007A0F07"/>
    <w:rsid w:val="007A1E10"/>
    <w:rsid w:val="007A3AD3"/>
    <w:rsid w:val="007A4448"/>
    <w:rsid w:val="007A4DE3"/>
    <w:rsid w:val="007A6408"/>
    <w:rsid w:val="007B0974"/>
    <w:rsid w:val="007B2F05"/>
    <w:rsid w:val="007B3028"/>
    <w:rsid w:val="007B3682"/>
    <w:rsid w:val="007B4C83"/>
    <w:rsid w:val="007B7B65"/>
    <w:rsid w:val="007C48E1"/>
    <w:rsid w:val="007C5063"/>
    <w:rsid w:val="007D0D29"/>
    <w:rsid w:val="007D11FD"/>
    <w:rsid w:val="007D790B"/>
    <w:rsid w:val="007E158F"/>
    <w:rsid w:val="007E189E"/>
    <w:rsid w:val="007E1DA4"/>
    <w:rsid w:val="007E2FC9"/>
    <w:rsid w:val="007E32D4"/>
    <w:rsid w:val="007E3BAE"/>
    <w:rsid w:val="007E4FE6"/>
    <w:rsid w:val="007E5031"/>
    <w:rsid w:val="007E5209"/>
    <w:rsid w:val="007F1A3E"/>
    <w:rsid w:val="007F1CCD"/>
    <w:rsid w:val="007F26E9"/>
    <w:rsid w:val="007F54C7"/>
    <w:rsid w:val="007F7049"/>
    <w:rsid w:val="007F763E"/>
    <w:rsid w:val="0080041E"/>
    <w:rsid w:val="00801442"/>
    <w:rsid w:val="008017D1"/>
    <w:rsid w:val="00803154"/>
    <w:rsid w:val="00805AE1"/>
    <w:rsid w:val="0081069B"/>
    <w:rsid w:val="00810D2E"/>
    <w:rsid w:val="00813428"/>
    <w:rsid w:val="008134B8"/>
    <w:rsid w:val="00814B67"/>
    <w:rsid w:val="00815001"/>
    <w:rsid w:val="0081715F"/>
    <w:rsid w:val="008218FF"/>
    <w:rsid w:val="0082367F"/>
    <w:rsid w:val="00823A00"/>
    <w:rsid w:val="008303DB"/>
    <w:rsid w:val="0083091F"/>
    <w:rsid w:val="00830BAD"/>
    <w:rsid w:val="00830FBD"/>
    <w:rsid w:val="00836F43"/>
    <w:rsid w:val="00840059"/>
    <w:rsid w:val="00841570"/>
    <w:rsid w:val="00845E75"/>
    <w:rsid w:val="00847244"/>
    <w:rsid w:val="00847694"/>
    <w:rsid w:val="008525EB"/>
    <w:rsid w:val="00852C75"/>
    <w:rsid w:val="00852D93"/>
    <w:rsid w:val="008541A2"/>
    <w:rsid w:val="00855AF9"/>
    <w:rsid w:val="008572D1"/>
    <w:rsid w:val="0085734F"/>
    <w:rsid w:val="00857C3F"/>
    <w:rsid w:val="00861A73"/>
    <w:rsid w:val="00862A20"/>
    <w:rsid w:val="00863124"/>
    <w:rsid w:val="0086339E"/>
    <w:rsid w:val="00863AB2"/>
    <w:rsid w:val="00863DCC"/>
    <w:rsid w:val="00864754"/>
    <w:rsid w:val="008658D3"/>
    <w:rsid w:val="00865C6F"/>
    <w:rsid w:val="008665AA"/>
    <w:rsid w:val="008757FB"/>
    <w:rsid w:val="00875A12"/>
    <w:rsid w:val="00876FB1"/>
    <w:rsid w:val="00877E69"/>
    <w:rsid w:val="00884DEC"/>
    <w:rsid w:val="00885A52"/>
    <w:rsid w:val="00885A95"/>
    <w:rsid w:val="008860AF"/>
    <w:rsid w:val="0088683F"/>
    <w:rsid w:val="008877BC"/>
    <w:rsid w:val="008939CD"/>
    <w:rsid w:val="00893E16"/>
    <w:rsid w:val="00897EDE"/>
    <w:rsid w:val="008A34B3"/>
    <w:rsid w:val="008A46E2"/>
    <w:rsid w:val="008A523A"/>
    <w:rsid w:val="008A65F6"/>
    <w:rsid w:val="008A6DE1"/>
    <w:rsid w:val="008A7055"/>
    <w:rsid w:val="008B052E"/>
    <w:rsid w:val="008B0622"/>
    <w:rsid w:val="008B16AE"/>
    <w:rsid w:val="008B1BE3"/>
    <w:rsid w:val="008B3339"/>
    <w:rsid w:val="008B3BCF"/>
    <w:rsid w:val="008B47EE"/>
    <w:rsid w:val="008B4EFB"/>
    <w:rsid w:val="008B512A"/>
    <w:rsid w:val="008B54DF"/>
    <w:rsid w:val="008C14B6"/>
    <w:rsid w:val="008C1A7E"/>
    <w:rsid w:val="008C2294"/>
    <w:rsid w:val="008C2CEA"/>
    <w:rsid w:val="008C5908"/>
    <w:rsid w:val="008C5CA1"/>
    <w:rsid w:val="008C6895"/>
    <w:rsid w:val="008D0911"/>
    <w:rsid w:val="008D2C22"/>
    <w:rsid w:val="008E09B6"/>
    <w:rsid w:val="008E1EDF"/>
    <w:rsid w:val="008E31DA"/>
    <w:rsid w:val="008E67AD"/>
    <w:rsid w:val="008E7778"/>
    <w:rsid w:val="008E7A6D"/>
    <w:rsid w:val="008F1BE7"/>
    <w:rsid w:val="008F2098"/>
    <w:rsid w:val="008F21E2"/>
    <w:rsid w:val="008F3BE5"/>
    <w:rsid w:val="008F440F"/>
    <w:rsid w:val="008F49F7"/>
    <w:rsid w:val="008F65D0"/>
    <w:rsid w:val="009005DF"/>
    <w:rsid w:val="009018FF"/>
    <w:rsid w:val="00901B78"/>
    <w:rsid w:val="00905F97"/>
    <w:rsid w:val="00906426"/>
    <w:rsid w:val="009066F9"/>
    <w:rsid w:val="009067D2"/>
    <w:rsid w:val="0090796D"/>
    <w:rsid w:val="00911F80"/>
    <w:rsid w:val="00914C8F"/>
    <w:rsid w:val="00921FCE"/>
    <w:rsid w:val="00922F77"/>
    <w:rsid w:val="00923F21"/>
    <w:rsid w:val="009242A5"/>
    <w:rsid w:val="009267B4"/>
    <w:rsid w:val="00931994"/>
    <w:rsid w:val="00932BAF"/>
    <w:rsid w:val="0093384B"/>
    <w:rsid w:val="00933BA7"/>
    <w:rsid w:val="00933F41"/>
    <w:rsid w:val="00937803"/>
    <w:rsid w:val="00937EE6"/>
    <w:rsid w:val="0094697D"/>
    <w:rsid w:val="00947B68"/>
    <w:rsid w:val="00950AA1"/>
    <w:rsid w:val="009513C1"/>
    <w:rsid w:val="00953795"/>
    <w:rsid w:val="00954803"/>
    <w:rsid w:val="00957DBF"/>
    <w:rsid w:val="00961F35"/>
    <w:rsid w:val="00963E04"/>
    <w:rsid w:val="00964048"/>
    <w:rsid w:val="009671FF"/>
    <w:rsid w:val="00972D4F"/>
    <w:rsid w:val="00974940"/>
    <w:rsid w:val="00974F34"/>
    <w:rsid w:val="009752E5"/>
    <w:rsid w:val="00976522"/>
    <w:rsid w:val="00976FF5"/>
    <w:rsid w:val="009807C2"/>
    <w:rsid w:val="00981C27"/>
    <w:rsid w:val="00982BD5"/>
    <w:rsid w:val="009836FD"/>
    <w:rsid w:val="00983ACD"/>
    <w:rsid w:val="0098420E"/>
    <w:rsid w:val="0098441A"/>
    <w:rsid w:val="009851F6"/>
    <w:rsid w:val="00987652"/>
    <w:rsid w:val="0099043E"/>
    <w:rsid w:val="00990EEE"/>
    <w:rsid w:val="009912CD"/>
    <w:rsid w:val="00994C5C"/>
    <w:rsid w:val="009974FF"/>
    <w:rsid w:val="009A1826"/>
    <w:rsid w:val="009A3C5F"/>
    <w:rsid w:val="009A56C5"/>
    <w:rsid w:val="009B1FEB"/>
    <w:rsid w:val="009B2493"/>
    <w:rsid w:val="009B51C2"/>
    <w:rsid w:val="009C0643"/>
    <w:rsid w:val="009C0A2A"/>
    <w:rsid w:val="009C2F7A"/>
    <w:rsid w:val="009C5816"/>
    <w:rsid w:val="009C6528"/>
    <w:rsid w:val="009D14F1"/>
    <w:rsid w:val="009D4F6E"/>
    <w:rsid w:val="009D776C"/>
    <w:rsid w:val="009E05F9"/>
    <w:rsid w:val="009E1510"/>
    <w:rsid w:val="009E1FC1"/>
    <w:rsid w:val="009E361B"/>
    <w:rsid w:val="009E3D3E"/>
    <w:rsid w:val="009E5C1D"/>
    <w:rsid w:val="009E5E2E"/>
    <w:rsid w:val="009E63F5"/>
    <w:rsid w:val="009E683F"/>
    <w:rsid w:val="009E7556"/>
    <w:rsid w:val="009F358D"/>
    <w:rsid w:val="009F3592"/>
    <w:rsid w:val="009F58D1"/>
    <w:rsid w:val="009F603C"/>
    <w:rsid w:val="00A00352"/>
    <w:rsid w:val="00A01480"/>
    <w:rsid w:val="00A03DF9"/>
    <w:rsid w:val="00A040BF"/>
    <w:rsid w:val="00A04E4A"/>
    <w:rsid w:val="00A07546"/>
    <w:rsid w:val="00A11357"/>
    <w:rsid w:val="00A11D43"/>
    <w:rsid w:val="00A14533"/>
    <w:rsid w:val="00A15324"/>
    <w:rsid w:val="00A254AA"/>
    <w:rsid w:val="00A25DF1"/>
    <w:rsid w:val="00A273A4"/>
    <w:rsid w:val="00A316B8"/>
    <w:rsid w:val="00A31ED2"/>
    <w:rsid w:val="00A348EC"/>
    <w:rsid w:val="00A41B40"/>
    <w:rsid w:val="00A4411A"/>
    <w:rsid w:val="00A46020"/>
    <w:rsid w:val="00A47120"/>
    <w:rsid w:val="00A505E7"/>
    <w:rsid w:val="00A5163B"/>
    <w:rsid w:val="00A55106"/>
    <w:rsid w:val="00A554D1"/>
    <w:rsid w:val="00A5601D"/>
    <w:rsid w:val="00A56478"/>
    <w:rsid w:val="00A57671"/>
    <w:rsid w:val="00A600AD"/>
    <w:rsid w:val="00A60CDF"/>
    <w:rsid w:val="00A630C8"/>
    <w:rsid w:val="00A63A08"/>
    <w:rsid w:val="00A658F1"/>
    <w:rsid w:val="00A71750"/>
    <w:rsid w:val="00A72BB8"/>
    <w:rsid w:val="00A72E43"/>
    <w:rsid w:val="00A7551B"/>
    <w:rsid w:val="00A82DC8"/>
    <w:rsid w:val="00A832FA"/>
    <w:rsid w:val="00A9018E"/>
    <w:rsid w:val="00A91983"/>
    <w:rsid w:val="00A91C15"/>
    <w:rsid w:val="00A9224E"/>
    <w:rsid w:val="00A92B7E"/>
    <w:rsid w:val="00A93030"/>
    <w:rsid w:val="00A930BE"/>
    <w:rsid w:val="00A974D9"/>
    <w:rsid w:val="00A979A2"/>
    <w:rsid w:val="00A97B13"/>
    <w:rsid w:val="00A97E39"/>
    <w:rsid w:val="00AA0855"/>
    <w:rsid w:val="00AA11C3"/>
    <w:rsid w:val="00AA13F3"/>
    <w:rsid w:val="00AA147C"/>
    <w:rsid w:val="00AA1638"/>
    <w:rsid w:val="00AA240A"/>
    <w:rsid w:val="00AA4D43"/>
    <w:rsid w:val="00AA7E92"/>
    <w:rsid w:val="00AB2F99"/>
    <w:rsid w:val="00AC03D5"/>
    <w:rsid w:val="00AC5CC6"/>
    <w:rsid w:val="00AC6DE1"/>
    <w:rsid w:val="00AD0A44"/>
    <w:rsid w:val="00AD3B92"/>
    <w:rsid w:val="00AD3B96"/>
    <w:rsid w:val="00AD787E"/>
    <w:rsid w:val="00AE1E0E"/>
    <w:rsid w:val="00AE2DD1"/>
    <w:rsid w:val="00AE3449"/>
    <w:rsid w:val="00AE5D43"/>
    <w:rsid w:val="00AE674E"/>
    <w:rsid w:val="00AE7DA6"/>
    <w:rsid w:val="00AF07A6"/>
    <w:rsid w:val="00AF12D8"/>
    <w:rsid w:val="00AF1F05"/>
    <w:rsid w:val="00AF32A9"/>
    <w:rsid w:val="00AF6B26"/>
    <w:rsid w:val="00AF6C6B"/>
    <w:rsid w:val="00AF75CE"/>
    <w:rsid w:val="00AF7F5B"/>
    <w:rsid w:val="00B03967"/>
    <w:rsid w:val="00B06A9B"/>
    <w:rsid w:val="00B07C5A"/>
    <w:rsid w:val="00B10462"/>
    <w:rsid w:val="00B13929"/>
    <w:rsid w:val="00B14DE4"/>
    <w:rsid w:val="00B1527C"/>
    <w:rsid w:val="00B21ADD"/>
    <w:rsid w:val="00B246A8"/>
    <w:rsid w:val="00B24E63"/>
    <w:rsid w:val="00B24FEB"/>
    <w:rsid w:val="00B25FB9"/>
    <w:rsid w:val="00B2600E"/>
    <w:rsid w:val="00B26195"/>
    <w:rsid w:val="00B2662C"/>
    <w:rsid w:val="00B316EC"/>
    <w:rsid w:val="00B31B00"/>
    <w:rsid w:val="00B31E85"/>
    <w:rsid w:val="00B3216B"/>
    <w:rsid w:val="00B3307E"/>
    <w:rsid w:val="00B3420F"/>
    <w:rsid w:val="00B371A0"/>
    <w:rsid w:val="00B37B90"/>
    <w:rsid w:val="00B40496"/>
    <w:rsid w:val="00B4198B"/>
    <w:rsid w:val="00B42230"/>
    <w:rsid w:val="00B42FC5"/>
    <w:rsid w:val="00B43FEB"/>
    <w:rsid w:val="00B44AC2"/>
    <w:rsid w:val="00B44AED"/>
    <w:rsid w:val="00B4576F"/>
    <w:rsid w:val="00B46CE1"/>
    <w:rsid w:val="00B478AF"/>
    <w:rsid w:val="00B50CAC"/>
    <w:rsid w:val="00B50D9E"/>
    <w:rsid w:val="00B52F9A"/>
    <w:rsid w:val="00B53D05"/>
    <w:rsid w:val="00B54CC2"/>
    <w:rsid w:val="00B622B6"/>
    <w:rsid w:val="00B63A6D"/>
    <w:rsid w:val="00B64416"/>
    <w:rsid w:val="00B66949"/>
    <w:rsid w:val="00B70A23"/>
    <w:rsid w:val="00B71112"/>
    <w:rsid w:val="00B718AD"/>
    <w:rsid w:val="00B73E31"/>
    <w:rsid w:val="00B81D3A"/>
    <w:rsid w:val="00B81D9B"/>
    <w:rsid w:val="00B90653"/>
    <w:rsid w:val="00B925BF"/>
    <w:rsid w:val="00B93B12"/>
    <w:rsid w:val="00B94546"/>
    <w:rsid w:val="00B94CE0"/>
    <w:rsid w:val="00B9518E"/>
    <w:rsid w:val="00B9641C"/>
    <w:rsid w:val="00B9672E"/>
    <w:rsid w:val="00B978BE"/>
    <w:rsid w:val="00B97B29"/>
    <w:rsid w:val="00BA310D"/>
    <w:rsid w:val="00BA57E9"/>
    <w:rsid w:val="00BA6E0B"/>
    <w:rsid w:val="00BB0972"/>
    <w:rsid w:val="00BB37F6"/>
    <w:rsid w:val="00BB3985"/>
    <w:rsid w:val="00BC1983"/>
    <w:rsid w:val="00BC1E6D"/>
    <w:rsid w:val="00BC2569"/>
    <w:rsid w:val="00BC2626"/>
    <w:rsid w:val="00BC4743"/>
    <w:rsid w:val="00BC5EC1"/>
    <w:rsid w:val="00BD23E4"/>
    <w:rsid w:val="00BD3816"/>
    <w:rsid w:val="00BD5BA9"/>
    <w:rsid w:val="00BD66D9"/>
    <w:rsid w:val="00BD72D1"/>
    <w:rsid w:val="00BD7CE8"/>
    <w:rsid w:val="00BD7ECC"/>
    <w:rsid w:val="00BE3708"/>
    <w:rsid w:val="00BE5CB8"/>
    <w:rsid w:val="00BE7188"/>
    <w:rsid w:val="00BE771D"/>
    <w:rsid w:val="00BF1524"/>
    <w:rsid w:val="00BF20DA"/>
    <w:rsid w:val="00BF22E5"/>
    <w:rsid w:val="00BF3057"/>
    <w:rsid w:val="00BF356D"/>
    <w:rsid w:val="00C012D6"/>
    <w:rsid w:val="00C0249F"/>
    <w:rsid w:val="00C05ED5"/>
    <w:rsid w:val="00C0707A"/>
    <w:rsid w:val="00C07E54"/>
    <w:rsid w:val="00C114EC"/>
    <w:rsid w:val="00C15507"/>
    <w:rsid w:val="00C15A4C"/>
    <w:rsid w:val="00C212E8"/>
    <w:rsid w:val="00C27552"/>
    <w:rsid w:val="00C33734"/>
    <w:rsid w:val="00C33C6E"/>
    <w:rsid w:val="00C33DA7"/>
    <w:rsid w:val="00C34DD1"/>
    <w:rsid w:val="00C36317"/>
    <w:rsid w:val="00C3649D"/>
    <w:rsid w:val="00C42094"/>
    <w:rsid w:val="00C425F0"/>
    <w:rsid w:val="00C43BD6"/>
    <w:rsid w:val="00C43C01"/>
    <w:rsid w:val="00C44CAD"/>
    <w:rsid w:val="00C4598B"/>
    <w:rsid w:val="00C4714F"/>
    <w:rsid w:val="00C51192"/>
    <w:rsid w:val="00C513EC"/>
    <w:rsid w:val="00C513F4"/>
    <w:rsid w:val="00C51690"/>
    <w:rsid w:val="00C51813"/>
    <w:rsid w:val="00C52D45"/>
    <w:rsid w:val="00C53F79"/>
    <w:rsid w:val="00C5541E"/>
    <w:rsid w:val="00C56F94"/>
    <w:rsid w:val="00C60D02"/>
    <w:rsid w:val="00C61BCB"/>
    <w:rsid w:val="00C61F45"/>
    <w:rsid w:val="00C62F75"/>
    <w:rsid w:val="00C63036"/>
    <w:rsid w:val="00C6336D"/>
    <w:rsid w:val="00C6405E"/>
    <w:rsid w:val="00C65FB7"/>
    <w:rsid w:val="00C67006"/>
    <w:rsid w:val="00C673CF"/>
    <w:rsid w:val="00C6786D"/>
    <w:rsid w:val="00C679CB"/>
    <w:rsid w:val="00C7024A"/>
    <w:rsid w:val="00C70287"/>
    <w:rsid w:val="00C7074D"/>
    <w:rsid w:val="00C719BE"/>
    <w:rsid w:val="00C741CA"/>
    <w:rsid w:val="00C753EA"/>
    <w:rsid w:val="00C75BF1"/>
    <w:rsid w:val="00C772F4"/>
    <w:rsid w:val="00C77A61"/>
    <w:rsid w:val="00C77C70"/>
    <w:rsid w:val="00C81280"/>
    <w:rsid w:val="00C813BE"/>
    <w:rsid w:val="00C841E9"/>
    <w:rsid w:val="00C857A9"/>
    <w:rsid w:val="00C85E75"/>
    <w:rsid w:val="00C861A6"/>
    <w:rsid w:val="00C90F08"/>
    <w:rsid w:val="00C91C76"/>
    <w:rsid w:val="00C924CB"/>
    <w:rsid w:val="00C92F59"/>
    <w:rsid w:val="00C9357D"/>
    <w:rsid w:val="00C93C63"/>
    <w:rsid w:val="00C957C7"/>
    <w:rsid w:val="00C96F8E"/>
    <w:rsid w:val="00C9762F"/>
    <w:rsid w:val="00CA1509"/>
    <w:rsid w:val="00CA238C"/>
    <w:rsid w:val="00CA467E"/>
    <w:rsid w:val="00CB1CBE"/>
    <w:rsid w:val="00CB3941"/>
    <w:rsid w:val="00CB49DD"/>
    <w:rsid w:val="00CB5EC0"/>
    <w:rsid w:val="00CB6084"/>
    <w:rsid w:val="00CB6814"/>
    <w:rsid w:val="00CB7C52"/>
    <w:rsid w:val="00CC0387"/>
    <w:rsid w:val="00CC30E6"/>
    <w:rsid w:val="00CC4C55"/>
    <w:rsid w:val="00CC518F"/>
    <w:rsid w:val="00CC5464"/>
    <w:rsid w:val="00CC7A3D"/>
    <w:rsid w:val="00CD0274"/>
    <w:rsid w:val="00CD0D89"/>
    <w:rsid w:val="00CD4F46"/>
    <w:rsid w:val="00CD5819"/>
    <w:rsid w:val="00CE28F2"/>
    <w:rsid w:val="00CE69AC"/>
    <w:rsid w:val="00CF1A0B"/>
    <w:rsid w:val="00CF5104"/>
    <w:rsid w:val="00CF5A6D"/>
    <w:rsid w:val="00CF5B4A"/>
    <w:rsid w:val="00CF627B"/>
    <w:rsid w:val="00CF7017"/>
    <w:rsid w:val="00CF772D"/>
    <w:rsid w:val="00D00A22"/>
    <w:rsid w:val="00D029E9"/>
    <w:rsid w:val="00D04359"/>
    <w:rsid w:val="00D04B18"/>
    <w:rsid w:val="00D04EE6"/>
    <w:rsid w:val="00D05137"/>
    <w:rsid w:val="00D059E5"/>
    <w:rsid w:val="00D13FDB"/>
    <w:rsid w:val="00D15795"/>
    <w:rsid w:val="00D17B3B"/>
    <w:rsid w:val="00D200B3"/>
    <w:rsid w:val="00D204AE"/>
    <w:rsid w:val="00D20D19"/>
    <w:rsid w:val="00D22247"/>
    <w:rsid w:val="00D23A48"/>
    <w:rsid w:val="00D24638"/>
    <w:rsid w:val="00D25B84"/>
    <w:rsid w:val="00D30392"/>
    <w:rsid w:val="00D30BD7"/>
    <w:rsid w:val="00D32E05"/>
    <w:rsid w:val="00D33932"/>
    <w:rsid w:val="00D34ADF"/>
    <w:rsid w:val="00D35633"/>
    <w:rsid w:val="00D36312"/>
    <w:rsid w:val="00D366C7"/>
    <w:rsid w:val="00D36EC5"/>
    <w:rsid w:val="00D4065F"/>
    <w:rsid w:val="00D41AB0"/>
    <w:rsid w:val="00D4388A"/>
    <w:rsid w:val="00D43D1C"/>
    <w:rsid w:val="00D44FCC"/>
    <w:rsid w:val="00D51A9A"/>
    <w:rsid w:val="00D523E4"/>
    <w:rsid w:val="00D524A6"/>
    <w:rsid w:val="00D52565"/>
    <w:rsid w:val="00D5298D"/>
    <w:rsid w:val="00D52D3F"/>
    <w:rsid w:val="00D52DB9"/>
    <w:rsid w:val="00D533A8"/>
    <w:rsid w:val="00D54340"/>
    <w:rsid w:val="00D555D5"/>
    <w:rsid w:val="00D623B7"/>
    <w:rsid w:val="00D632B9"/>
    <w:rsid w:val="00D65029"/>
    <w:rsid w:val="00D65C7C"/>
    <w:rsid w:val="00D674B0"/>
    <w:rsid w:val="00D74391"/>
    <w:rsid w:val="00D75F5D"/>
    <w:rsid w:val="00D81EAD"/>
    <w:rsid w:val="00D83963"/>
    <w:rsid w:val="00D85097"/>
    <w:rsid w:val="00D85EC9"/>
    <w:rsid w:val="00D8678F"/>
    <w:rsid w:val="00D86D73"/>
    <w:rsid w:val="00D908DD"/>
    <w:rsid w:val="00D91C0F"/>
    <w:rsid w:val="00D92A22"/>
    <w:rsid w:val="00D92FD7"/>
    <w:rsid w:val="00D936A8"/>
    <w:rsid w:val="00D97144"/>
    <w:rsid w:val="00D97A32"/>
    <w:rsid w:val="00DA21A3"/>
    <w:rsid w:val="00DB2076"/>
    <w:rsid w:val="00DB3E8A"/>
    <w:rsid w:val="00DB420D"/>
    <w:rsid w:val="00DB4A6C"/>
    <w:rsid w:val="00DB6969"/>
    <w:rsid w:val="00DB7E12"/>
    <w:rsid w:val="00DC1050"/>
    <w:rsid w:val="00DC22D9"/>
    <w:rsid w:val="00DC2679"/>
    <w:rsid w:val="00DC3F87"/>
    <w:rsid w:val="00DD2493"/>
    <w:rsid w:val="00DD42A6"/>
    <w:rsid w:val="00DD50C8"/>
    <w:rsid w:val="00DD56D0"/>
    <w:rsid w:val="00DE1044"/>
    <w:rsid w:val="00DE23F1"/>
    <w:rsid w:val="00DE339F"/>
    <w:rsid w:val="00DE5714"/>
    <w:rsid w:val="00DE70E4"/>
    <w:rsid w:val="00DE7843"/>
    <w:rsid w:val="00DF24D2"/>
    <w:rsid w:val="00DF3087"/>
    <w:rsid w:val="00DF50EF"/>
    <w:rsid w:val="00DF5DB0"/>
    <w:rsid w:val="00DF6CE6"/>
    <w:rsid w:val="00E01B9A"/>
    <w:rsid w:val="00E0205D"/>
    <w:rsid w:val="00E04CB5"/>
    <w:rsid w:val="00E05038"/>
    <w:rsid w:val="00E063FA"/>
    <w:rsid w:val="00E07FD1"/>
    <w:rsid w:val="00E10089"/>
    <w:rsid w:val="00E103DE"/>
    <w:rsid w:val="00E10738"/>
    <w:rsid w:val="00E11546"/>
    <w:rsid w:val="00E13537"/>
    <w:rsid w:val="00E23CB8"/>
    <w:rsid w:val="00E30C34"/>
    <w:rsid w:val="00E32654"/>
    <w:rsid w:val="00E3361A"/>
    <w:rsid w:val="00E37234"/>
    <w:rsid w:val="00E37499"/>
    <w:rsid w:val="00E415E5"/>
    <w:rsid w:val="00E41803"/>
    <w:rsid w:val="00E4719C"/>
    <w:rsid w:val="00E50186"/>
    <w:rsid w:val="00E507AB"/>
    <w:rsid w:val="00E50CE4"/>
    <w:rsid w:val="00E50DDB"/>
    <w:rsid w:val="00E51F2E"/>
    <w:rsid w:val="00E53FED"/>
    <w:rsid w:val="00E553D0"/>
    <w:rsid w:val="00E562AC"/>
    <w:rsid w:val="00E60FB8"/>
    <w:rsid w:val="00E62172"/>
    <w:rsid w:val="00E65080"/>
    <w:rsid w:val="00E655EE"/>
    <w:rsid w:val="00E65F45"/>
    <w:rsid w:val="00E66D2E"/>
    <w:rsid w:val="00E701D2"/>
    <w:rsid w:val="00E714C5"/>
    <w:rsid w:val="00E71B7E"/>
    <w:rsid w:val="00E71E48"/>
    <w:rsid w:val="00E7279C"/>
    <w:rsid w:val="00E72AF4"/>
    <w:rsid w:val="00E762FC"/>
    <w:rsid w:val="00E81373"/>
    <w:rsid w:val="00E8309A"/>
    <w:rsid w:val="00E8343C"/>
    <w:rsid w:val="00E84A32"/>
    <w:rsid w:val="00E86107"/>
    <w:rsid w:val="00E90350"/>
    <w:rsid w:val="00E90E0C"/>
    <w:rsid w:val="00E92826"/>
    <w:rsid w:val="00E92E1B"/>
    <w:rsid w:val="00E934D5"/>
    <w:rsid w:val="00E93AA2"/>
    <w:rsid w:val="00E9401B"/>
    <w:rsid w:val="00E94853"/>
    <w:rsid w:val="00E94EB6"/>
    <w:rsid w:val="00E9781C"/>
    <w:rsid w:val="00EA3E5F"/>
    <w:rsid w:val="00EA5230"/>
    <w:rsid w:val="00EA5C68"/>
    <w:rsid w:val="00EA6622"/>
    <w:rsid w:val="00EA6FCB"/>
    <w:rsid w:val="00EA7003"/>
    <w:rsid w:val="00EB34DF"/>
    <w:rsid w:val="00EB3E03"/>
    <w:rsid w:val="00EB4CDC"/>
    <w:rsid w:val="00EB5C65"/>
    <w:rsid w:val="00EC2CA5"/>
    <w:rsid w:val="00EC333E"/>
    <w:rsid w:val="00EC5188"/>
    <w:rsid w:val="00ED07BE"/>
    <w:rsid w:val="00ED1375"/>
    <w:rsid w:val="00ED1FAC"/>
    <w:rsid w:val="00ED26E1"/>
    <w:rsid w:val="00ED3AB4"/>
    <w:rsid w:val="00ED65A4"/>
    <w:rsid w:val="00ED7489"/>
    <w:rsid w:val="00ED76C1"/>
    <w:rsid w:val="00EE0766"/>
    <w:rsid w:val="00EE2E85"/>
    <w:rsid w:val="00EE3652"/>
    <w:rsid w:val="00EE4233"/>
    <w:rsid w:val="00EE53DB"/>
    <w:rsid w:val="00EE62CE"/>
    <w:rsid w:val="00EE6B53"/>
    <w:rsid w:val="00EE7D90"/>
    <w:rsid w:val="00EF657C"/>
    <w:rsid w:val="00EF7163"/>
    <w:rsid w:val="00F00403"/>
    <w:rsid w:val="00F10425"/>
    <w:rsid w:val="00F120B6"/>
    <w:rsid w:val="00F136F7"/>
    <w:rsid w:val="00F149C2"/>
    <w:rsid w:val="00F1725A"/>
    <w:rsid w:val="00F17262"/>
    <w:rsid w:val="00F21EFC"/>
    <w:rsid w:val="00F22D5F"/>
    <w:rsid w:val="00F22DE5"/>
    <w:rsid w:val="00F300EF"/>
    <w:rsid w:val="00F33CDA"/>
    <w:rsid w:val="00F41D49"/>
    <w:rsid w:val="00F4204E"/>
    <w:rsid w:val="00F422AC"/>
    <w:rsid w:val="00F42F6E"/>
    <w:rsid w:val="00F450D8"/>
    <w:rsid w:val="00F46C9D"/>
    <w:rsid w:val="00F47AB5"/>
    <w:rsid w:val="00F47CA4"/>
    <w:rsid w:val="00F53F7B"/>
    <w:rsid w:val="00F54251"/>
    <w:rsid w:val="00F54986"/>
    <w:rsid w:val="00F57C40"/>
    <w:rsid w:val="00F57E88"/>
    <w:rsid w:val="00F57F0B"/>
    <w:rsid w:val="00F61969"/>
    <w:rsid w:val="00F619D0"/>
    <w:rsid w:val="00F61B80"/>
    <w:rsid w:val="00F63D76"/>
    <w:rsid w:val="00F65419"/>
    <w:rsid w:val="00F659A3"/>
    <w:rsid w:val="00F67C6D"/>
    <w:rsid w:val="00F67EDA"/>
    <w:rsid w:val="00F702AF"/>
    <w:rsid w:val="00F70F6E"/>
    <w:rsid w:val="00F75120"/>
    <w:rsid w:val="00F75656"/>
    <w:rsid w:val="00F76928"/>
    <w:rsid w:val="00F76EBB"/>
    <w:rsid w:val="00F76F7E"/>
    <w:rsid w:val="00F80AE9"/>
    <w:rsid w:val="00F80EE5"/>
    <w:rsid w:val="00F83B51"/>
    <w:rsid w:val="00F8469D"/>
    <w:rsid w:val="00F85100"/>
    <w:rsid w:val="00F85772"/>
    <w:rsid w:val="00F85F5C"/>
    <w:rsid w:val="00F903C4"/>
    <w:rsid w:val="00F91799"/>
    <w:rsid w:val="00F92D48"/>
    <w:rsid w:val="00F94A77"/>
    <w:rsid w:val="00F9601F"/>
    <w:rsid w:val="00F9662A"/>
    <w:rsid w:val="00FA01F5"/>
    <w:rsid w:val="00FA1AEA"/>
    <w:rsid w:val="00FA5D69"/>
    <w:rsid w:val="00FA6D1C"/>
    <w:rsid w:val="00FB119E"/>
    <w:rsid w:val="00FB41A0"/>
    <w:rsid w:val="00FB5652"/>
    <w:rsid w:val="00FB59DD"/>
    <w:rsid w:val="00FB7712"/>
    <w:rsid w:val="00FC26D1"/>
    <w:rsid w:val="00FC3AD7"/>
    <w:rsid w:val="00FC3B46"/>
    <w:rsid w:val="00FC5F13"/>
    <w:rsid w:val="00FC64E1"/>
    <w:rsid w:val="00FD07F6"/>
    <w:rsid w:val="00FD2566"/>
    <w:rsid w:val="00FD5C0D"/>
    <w:rsid w:val="00FD6353"/>
    <w:rsid w:val="00FD7B50"/>
    <w:rsid w:val="00FD7DA9"/>
    <w:rsid w:val="00FE1244"/>
    <w:rsid w:val="00FE17E2"/>
    <w:rsid w:val="00FE3636"/>
    <w:rsid w:val="00FE4D59"/>
    <w:rsid w:val="00FE5860"/>
    <w:rsid w:val="00FE6962"/>
    <w:rsid w:val="00FE742B"/>
    <w:rsid w:val="00FF03C7"/>
    <w:rsid w:val="00FF0EBD"/>
    <w:rsid w:val="00FF27ED"/>
    <w:rsid w:val="00FF35FD"/>
    <w:rsid w:val="00FF4122"/>
    <w:rsid w:val="00FF4171"/>
    <w:rsid w:val="00FF4CEE"/>
    <w:rsid w:val="00FF581A"/>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AAE7"/>
  <w15:chartTrackingRefBased/>
  <w15:docId w15:val="{C2959DD8-92E5-4685-B43C-E644193D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B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0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823"/>
    <w:rPr>
      <w:color w:val="808080"/>
    </w:rPr>
  </w:style>
  <w:style w:type="paragraph" w:styleId="NormalWeb">
    <w:name w:val="Normal (Web)"/>
    <w:basedOn w:val="Normal"/>
    <w:uiPriority w:val="99"/>
    <w:unhideWhenUsed/>
    <w:rsid w:val="00974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0AE9"/>
    <w:rPr>
      <w:color w:val="0000FF"/>
      <w:u w:val="single"/>
    </w:rPr>
  </w:style>
  <w:style w:type="character" w:styleId="HTMLCite">
    <w:name w:val="HTML Cite"/>
    <w:basedOn w:val="DefaultParagraphFont"/>
    <w:uiPriority w:val="99"/>
    <w:semiHidden/>
    <w:unhideWhenUsed/>
    <w:rsid w:val="008C5CA1"/>
    <w:rPr>
      <w:i/>
      <w:iCs/>
    </w:rPr>
  </w:style>
  <w:style w:type="character" w:customStyle="1" w:styleId="mi">
    <w:name w:val="mi"/>
    <w:basedOn w:val="DefaultParagraphFont"/>
    <w:rsid w:val="00947B68"/>
  </w:style>
  <w:style w:type="character" w:customStyle="1" w:styleId="mjxassistivemathml">
    <w:name w:val="mjx_assistive_mathml"/>
    <w:basedOn w:val="DefaultParagraphFont"/>
    <w:rsid w:val="00947B68"/>
  </w:style>
  <w:style w:type="paragraph" w:styleId="ListParagraph">
    <w:name w:val="List Paragraph"/>
    <w:basedOn w:val="Normal"/>
    <w:uiPriority w:val="34"/>
    <w:qFormat/>
    <w:rsid w:val="00667689"/>
    <w:pPr>
      <w:ind w:left="720"/>
      <w:contextualSpacing/>
    </w:pPr>
  </w:style>
  <w:style w:type="paragraph" w:customStyle="1" w:styleId="citation">
    <w:name w:val="citation"/>
    <w:basedOn w:val="Normal"/>
    <w:rsid w:val="00154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er">
    <w:name w:val="smaller"/>
    <w:basedOn w:val="DefaultParagraphFont"/>
    <w:rsid w:val="002C0A90"/>
  </w:style>
  <w:style w:type="character" w:customStyle="1" w:styleId="Heading1Char">
    <w:name w:val="Heading 1 Char"/>
    <w:basedOn w:val="DefaultParagraphFont"/>
    <w:link w:val="Heading1"/>
    <w:uiPriority w:val="9"/>
    <w:rsid w:val="00F83B51"/>
    <w:rPr>
      <w:rFonts w:ascii="Times New Roman" w:eastAsia="Times New Roman" w:hAnsi="Times New Roman" w:cs="Times New Roman"/>
      <w:b/>
      <w:bCs/>
      <w:kern w:val="36"/>
      <w:sz w:val="48"/>
      <w:szCs w:val="48"/>
    </w:rPr>
  </w:style>
  <w:style w:type="character" w:customStyle="1" w:styleId="col-xs-10">
    <w:name w:val="col-xs-10"/>
    <w:basedOn w:val="DefaultParagraphFont"/>
    <w:rsid w:val="00F83B51"/>
  </w:style>
  <w:style w:type="character" w:styleId="Strong">
    <w:name w:val="Strong"/>
    <w:basedOn w:val="DefaultParagraphFont"/>
    <w:uiPriority w:val="22"/>
    <w:qFormat/>
    <w:rsid w:val="002001B7"/>
    <w:rPr>
      <w:b/>
      <w:bCs/>
    </w:rPr>
  </w:style>
  <w:style w:type="character" w:styleId="Emphasis">
    <w:name w:val="Emphasis"/>
    <w:basedOn w:val="DefaultParagraphFont"/>
    <w:uiPriority w:val="20"/>
    <w:qFormat/>
    <w:rsid w:val="002001B7"/>
    <w:rPr>
      <w:i/>
      <w:iCs/>
    </w:rPr>
  </w:style>
  <w:style w:type="paragraph" w:styleId="Caption">
    <w:name w:val="caption"/>
    <w:basedOn w:val="Normal"/>
    <w:next w:val="Normal"/>
    <w:uiPriority w:val="35"/>
    <w:unhideWhenUsed/>
    <w:qFormat/>
    <w:rsid w:val="00852C7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E6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3F5"/>
    <w:rPr>
      <w:rFonts w:ascii="Courier New" w:eastAsia="Times New Roman" w:hAnsi="Courier New" w:cs="Courier New"/>
      <w:sz w:val="20"/>
      <w:szCs w:val="20"/>
    </w:rPr>
  </w:style>
  <w:style w:type="table" w:styleId="PlainTable5">
    <w:name w:val="Plain Table 5"/>
    <w:basedOn w:val="TableNormal"/>
    <w:uiPriority w:val="45"/>
    <w:rsid w:val="00E51F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2D06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6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765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E1F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1FC1"/>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492C91"/>
    <w:rPr>
      <w:color w:val="605E5C"/>
      <w:shd w:val="clear" w:color="auto" w:fill="E1DFDD"/>
    </w:rPr>
  </w:style>
  <w:style w:type="character" w:styleId="CommentReference">
    <w:name w:val="annotation reference"/>
    <w:basedOn w:val="DefaultParagraphFont"/>
    <w:uiPriority w:val="99"/>
    <w:semiHidden/>
    <w:unhideWhenUsed/>
    <w:rsid w:val="001A7572"/>
    <w:rPr>
      <w:sz w:val="16"/>
      <w:szCs w:val="16"/>
    </w:rPr>
  </w:style>
  <w:style w:type="paragraph" w:styleId="CommentText">
    <w:name w:val="annotation text"/>
    <w:basedOn w:val="Normal"/>
    <w:link w:val="CommentTextChar"/>
    <w:uiPriority w:val="99"/>
    <w:unhideWhenUsed/>
    <w:rsid w:val="001A7572"/>
    <w:pPr>
      <w:spacing w:line="240" w:lineRule="auto"/>
    </w:pPr>
    <w:rPr>
      <w:sz w:val="20"/>
      <w:szCs w:val="20"/>
    </w:rPr>
  </w:style>
  <w:style w:type="character" w:customStyle="1" w:styleId="CommentTextChar">
    <w:name w:val="Comment Text Char"/>
    <w:basedOn w:val="DefaultParagraphFont"/>
    <w:link w:val="CommentText"/>
    <w:uiPriority w:val="99"/>
    <w:rsid w:val="001A7572"/>
    <w:rPr>
      <w:sz w:val="20"/>
      <w:szCs w:val="20"/>
    </w:rPr>
  </w:style>
  <w:style w:type="paragraph" w:styleId="CommentSubject">
    <w:name w:val="annotation subject"/>
    <w:basedOn w:val="CommentText"/>
    <w:next w:val="CommentText"/>
    <w:link w:val="CommentSubjectChar"/>
    <w:uiPriority w:val="99"/>
    <w:semiHidden/>
    <w:unhideWhenUsed/>
    <w:rsid w:val="001A7572"/>
    <w:rPr>
      <w:b/>
      <w:bCs/>
    </w:rPr>
  </w:style>
  <w:style w:type="character" w:customStyle="1" w:styleId="CommentSubjectChar">
    <w:name w:val="Comment Subject Char"/>
    <w:basedOn w:val="CommentTextChar"/>
    <w:link w:val="CommentSubject"/>
    <w:uiPriority w:val="99"/>
    <w:semiHidden/>
    <w:rsid w:val="001A7572"/>
    <w:rPr>
      <w:b/>
      <w:bCs/>
      <w:sz w:val="20"/>
      <w:szCs w:val="20"/>
    </w:rPr>
  </w:style>
  <w:style w:type="character" w:styleId="SubtleEmphasis">
    <w:name w:val="Subtle Emphasis"/>
    <w:basedOn w:val="DefaultParagraphFont"/>
    <w:uiPriority w:val="19"/>
    <w:qFormat/>
    <w:rsid w:val="00AD78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854">
      <w:bodyDiv w:val="1"/>
      <w:marLeft w:val="0"/>
      <w:marRight w:val="0"/>
      <w:marTop w:val="0"/>
      <w:marBottom w:val="0"/>
      <w:divBdr>
        <w:top w:val="none" w:sz="0" w:space="0" w:color="auto"/>
        <w:left w:val="none" w:sz="0" w:space="0" w:color="auto"/>
        <w:bottom w:val="none" w:sz="0" w:space="0" w:color="auto"/>
        <w:right w:val="none" w:sz="0" w:space="0" w:color="auto"/>
      </w:divBdr>
      <w:divsChild>
        <w:div w:id="1912496922">
          <w:marLeft w:val="0"/>
          <w:marRight w:val="0"/>
          <w:marTop w:val="0"/>
          <w:marBottom w:val="0"/>
          <w:divBdr>
            <w:top w:val="none" w:sz="0" w:space="0" w:color="auto"/>
            <w:left w:val="none" w:sz="0" w:space="0" w:color="auto"/>
            <w:bottom w:val="none" w:sz="0" w:space="0" w:color="auto"/>
            <w:right w:val="none" w:sz="0" w:space="0" w:color="auto"/>
          </w:divBdr>
          <w:divsChild>
            <w:div w:id="1827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086">
      <w:bodyDiv w:val="1"/>
      <w:marLeft w:val="0"/>
      <w:marRight w:val="0"/>
      <w:marTop w:val="0"/>
      <w:marBottom w:val="0"/>
      <w:divBdr>
        <w:top w:val="none" w:sz="0" w:space="0" w:color="auto"/>
        <w:left w:val="none" w:sz="0" w:space="0" w:color="auto"/>
        <w:bottom w:val="none" w:sz="0" w:space="0" w:color="auto"/>
        <w:right w:val="none" w:sz="0" w:space="0" w:color="auto"/>
      </w:divBdr>
    </w:div>
    <w:div w:id="166944720">
      <w:bodyDiv w:val="1"/>
      <w:marLeft w:val="0"/>
      <w:marRight w:val="0"/>
      <w:marTop w:val="0"/>
      <w:marBottom w:val="0"/>
      <w:divBdr>
        <w:top w:val="none" w:sz="0" w:space="0" w:color="auto"/>
        <w:left w:val="none" w:sz="0" w:space="0" w:color="auto"/>
        <w:bottom w:val="none" w:sz="0" w:space="0" w:color="auto"/>
        <w:right w:val="none" w:sz="0" w:space="0" w:color="auto"/>
      </w:divBdr>
    </w:div>
    <w:div w:id="311063275">
      <w:bodyDiv w:val="1"/>
      <w:marLeft w:val="0"/>
      <w:marRight w:val="0"/>
      <w:marTop w:val="0"/>
      <w:marBottom w:val="0"/>
      <w:divBdr>
        <w:top w:val="none" w:sz="0" w:space="0" w:color="auto"/>
        <w:left w:val="none" w:sz="0" w:space="0" w:color="auto"/>
        <w:bottom w:val="none" w:sz="0" w:space="0" w:color="auto"/>
        <w:right w:val="none" w:sz="0" w:space="0" w:color="auto"/>
      </w:divBdr>
    </w:div>
    <w:div w:id="346298990">
      <w:bodyDiv w:val="1"/>
      <w:marLeft w:val="0"/>
      <w:marRight w:val="0"/>
      <w:marTop w:val="0"/>
      <w:marBottom w:val="0"/>
      <w:divBdr>
        <w:top w:val="none" w:sz="0" w:space="0" w:color="auto"/>
        <w:left w:val="none" w:sz="0" w:space="0" w:color="auto"/>
        <w:bottom w:val="none" w:sz="0" w:space="0" w:color="auto"/>
        <w:right w:val="none" w:sz="0" w:space="0" w:color="auto"/>
      </w:divBdr>
    </w:div>
    <w:div w:id="350453312">
      <w:bodyDiv w:val="1"/>
      <w:marLeft w:val="0"/>
      <w:marRight w:val="0"/>
      <w:marTop w:val="0"/>
      <w:marBottom w:val="0"/>
      <w:divBdr>
        <w:top w:val="none" w:sz="0" w:space="0" w:color="auto"/>
        <w:left w:val="none" w:sz="0" w:space="0" w:color="auto"/>
        <w:bottom w:val="none" w:sz="0" w:space="0" w:color="auto"/>
        <w:right w:val="none" w:sz="0" w:space="0" w:color="auto"/>
      </w:divBdr>
    </w:div>
    <w:div w:id="366104102">
      <w:bodyDiv w:val="1"/>
      <w:marLeft w:val="0"/>
      <w:marRight w:val="0"/>
      <w:marTop w:val="0"/>
      <w:marBottom w:val="0"/>
      <w:divBdr>
        <w:top w:val="none" w:sz="0" w:space="0" w:color="auto"/>
        <w:left w:val="none" w:sz="0" w:space="0" w:color="auto"/>
        <w:bottom w:val="none" w:sz="0" w:space="0" w:color="auto"/>
        <w:right w:val="none" w:sz="0" w:space="0" w:color="auto"/>
      </w:divBdr>
    </w:div>
    <w:div w:id="378631637">
      <w:bodyDiv w:val="1"/>
      <w:marLeft w:val="0"/>
      <w:marRight w:val="0"/>
      <w:marTop w:val="0"/>
      <w:marBottom w:val="0"/>
      <w:divBdr>
        <w:top w:val="none" w:sz="0" w:space="0" w:color="auto"/>
        <w:left w:val="none" w:sz="0" w:space="0" w:color="auto"/>
        <w:bottom w:val="none" w:sz="0" w:space="0" w:color="auto"/>
        <w:right w:val="none" w:sz="0" w:space="0" w:color="auto"/>
      </w:divBdr>
      <w:divsChild>
        <w:div w:id="1078595798">
          <w:marLeft w:val="0"/>
          <w:marRight w:val="0"/>
          <w:marTop w:val="0"/>
          <w:marBottom w:val="0"/>
          <w:divBdr>
            <w:top w:val="none" w:sz="0" w:space="0" w:color="auto"/>
            <w:left w:val="none" w:sz="0" w:space="0" w:color="auto"/>
            <w:bottom w:val="none" w:sz="0" w:space="0" w:color="auto"/>
            <w:right w:val="none" w:sz="0" w:space="0" w:color="auto"/>
          </w:divBdr>
          <w:divsChild>
            <w:div w:id="1677003979">
              <w:marLeft w:val="0"/>
              <w:marRight w:val="0"/>
              <w:marTop w:val="0"/>
              <w:marBottom w:val="0"/>
              <w:divBdr>
                <w:top w:val="none" w:sz="0" w:space="0" w:color="auto"/>
                <w:left w:val="none" w:sz="0" w:space="0" w:color="auto"/>
                <w:bottom w:val="none" w:sz="0" w:space="0" w:color="auto"/>
                <w:right w:val="none" w:sz="0" w:space="0" w:color="auto"/>
              </w:divBdr>
              <w:divsChild>
                <w:div w:id="475537396">
                  <w:marLeft w:val="0"/>
                  <w:marRight w:val="0"/>
                  <w:marTop w:val="0"/>
                  <w:marBottom w:val="0"/>
                  <w:divBdr>
                    <w:top w:val="none" w:sz="0" w:space="0" w:color="auto"/>
                    <w:left w:val="none" w:sz="0" w:space="0" w:color="auto"/>
                    <w:bottom w:val="none" w:sz="0" w:space="0" w:color="auto"/>
                    <w:right w:val="none" w:sz="0" w:space="0" w:color="auto"/>
                  </w:divBdr>
                  <w:divsChild>
                    <w:div w:id="1388991101">
                      <w:marLeft w:val="0"/>
                      <w:marRight w:val="0"/>
                      <w:marTop w:val="0"/>
                      <w:marBottom w:val="0"/>
                      <w:divBdr>
                        <w:top w:val="none" w:sz="0" w:space="0" w:color="auto"/>
                        <w:left w:val="none" w:sz="0" w:space="0" w:color="auto"/>
                        <w:bottom w:val="none" w:sz="0" w:space="0" w:color="auto"/>
                        <w:right w:val="none" w:sz="0" w:space="0" w:color="auto"/>
                      </w:divBdr>
                      <w:divsChild>
                        <w:div w:id="472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679356">
      <w:bodyDiv w:val="1"/>
      <w:marLeft w:val="0"/>
      <w:marRight w:val="0"/>
      <w:marTop w:val="0"/>
      <w:marBottom w:val="0"/>
      <w:divBdr>
        <w:top w:val="none" w:sz="0" w:space="0" w:color="auto"/>
        <w:left w:val="none" w:sz="0" w:space="0" w:color="auto"/>
        <w:bottom w:val="none" w:sz="0" w:space="0" w:color="auto"/>
        <w:right w:val="none" w:sz="0" w:space="0" w:color="auto"/>
      </w:divBdr>
    </w:div>
    <w:div w:id="442379597">
      <w:bodyDiv w:val="1"/>
      <w:marLeft w:val="0"/>
      <w:marRight w:val="0"/>
      <w:marTop w:val="0"/>
      <w:marBottom w:val="0"/>
      <w:divBdr>
        <w:top w:val="none" w:sz="0" w:space="0" w:color="auto"/>
        <w:left w:val="none" w:sz="0" w:space="0" w:color="auto"/>
        <w:bottom w:val="none" w:sz="0" w:space="0" w:color="auto"/>
        <w:right w:val="none" w:sz="0" w:space="0" w:color="auto"/>
      </w:divBdr>
    </w:div>
    <w:div w:id="460928118">
      <w:bodyDiv w:val="1"/>
      <w:marLeft w:val="0"/>
      <w:marRight w:val="0"/>
      <w:marTop w:val="0"/>
      <w:marBottom w:val="0"/>
      <w:divBdr>
        <w:top w:val="none" w:sz="0" w:space="0" w:color="auto"/>
        <w:left w:val="none" w:sz="0" w:space="0" w:color="auto"/>
        <w:bottom w:val="none" w:sz="0" w:space="0" w:color="auto"/>
        <w:right w:val="none" w:sz="0" w:space="0" w:color="auto"/>
      </w:divBdr>
    </w:div>
    <w:div w:id="522323436">
      <w:bodyDiv w:val="1"/>
      <w:marLeft w:val="0"/>
      <w:marRight w:val="0"/>
      <w:marTop w:val="0"/>
      <w:marBottom w:val="0"/>
      <w:divBdr>
        <w:top w:val="none" w:sz="0" w:space="0" w:color="auto"/>
        <w:left w:val="none" w:sz="0" w:space="0" w:color="auto"/>
        <w:bottom w:val="none" w:sz="0" w:space="0" w:color="auto"/>
        <w:right w:val="none" w:sz="0" w:space="0" w:color="auto"/>
      </w:divBdr>
    </w:div>
    <w:div w:id="537592899">
      <w:bodyDiv w:val="1"/>
      <w:marLeft w:val="0"/>
      <w:marRight w:val="0"/>
      <w:marTop w:val="0"/>
      <w:marBottom w:val="0"/>
      <w:divBdr>
        <w:top w:val="none" w:sz="0" w:space="0" w:color="auto"/>
        <w:left w:val="none" w:sz="0" w:space="0" w:color="auto"/>
        <w:bottom w:val="none" w:sz="0" w:space="0" w:color="auto"/>
        <w:right w:val="none" w:sz="0" w:space="0" w:color="auto"/>
      </w:divBdr>
    </w:div>
    <w:div w:id="689525306">
      <w:bodyDiv w:val="1"/>
      <w:marLeft w:val="0"/>
      <w:marRight w:val="0"/>
      <w:marTop w:val="0"/>
      <w:marBottom w:val="0"/>
      <w:divBdr>
        <w:top w:val="none" w:sz="0" w:space="0" w:color="auto"/>
        <w:left w:val="none" w:sz="0" w:space="0" w:color="auto"/>
        <w:bottom w:val="none" w:sz="0" w:space="0" w:color="auto"/>
        <w:right w:val="none" w:sz="0" w:space="0" w:color="auto"/>
      </w:divBdr>
    </w:div>
    <w:div w:id="695498430">
      <w:bodyDiv w:val="1"/>
      <w:marLeft w:val="0"/>
      <w:marRight w:val="0"/>
      <w:marTop w:val="0"/>
      <w:marBottom w:val="0"/>
      <w:divBdr>
        <w:top w:val="none" w:sz="0" w:space="0" w:color="auto"/>
        <w:left w:val="none" w:sz="0" w:space="0" w:color="auto"/>
        <w:bottom w:val="none" w:sz="0" w:space="0" w:color="auto"/>
        <w:right w:val="none" w:sz="0" w:space="0" w:color="auto"/>
      </w:divBdr>
    </w:div>
    <w:div w:id="703092247">
      <w:bodyDiv w:val="1"/>
      <w:marLeft w:val="0"/>
      <w:marRight w:val="0"/>
      <w:marTop w:val="0"/>
      <w:marBottom w:val="0"/>
      <w:divBdr>
        <w:top w:val="none" w:sz="0" w:space="0" w:color="auto"/>
        <w:left w:val="none" w:sz="0" w:space="0" w:color="auto"/>
        <w:bottom w:val="none" w:sz="0" w:space="0" w:color="auto"/>
        <w:right w:val="none" w:sz="0" w:space="0" w:color="auto"/>
      </w:divBdr>
    </w:div>
    <w:div w:id="764417659">
      <w:bodyDiv w:val="1"/>
      <w:marLeft w:val="0"/>
      <w:marRight w:val="0"/>
      <w:marTop w:val="0"/>
      <w:marBottom w:val="0"/>
      <w:divBdr>
        <w:top w:val="none" w:sz="0" w:space="0" w:color="auto"/>
        <w:left w:val="none" w:sz="0" w:space="0" w:color="auto"/>
        <w:bottom w:val="none" w:sz="0" w:space="0" w:color="auto"/>
        <w:right w:val="none" w:sz="0" w:space="0" w:color="auto"/>
      </w:divBdr>
    </w:div>
    <w:div w:id="923152576">
      <w:bodyDiv w:val="1"/>
      <w:marLeft w:val="0"/>
      <w:marRight w:val="0"/>
      <w:marTop w:val="0"/>
      <w:marBottom w:val="0"/>
      <w:divBdr>
        <w:top w:val="none" w:sz="0" w:space="0" w:color="auto"/>
        <w:left w:val="none" w:sz="0" w:space="0" w:color="auto"/>
        <w:bottom w:val="none" w:sz="0" w:space="0" w:color="auto"/>
        <w:right w:val="none" w:sz="0" w:space="0" w:color="auto"/>
      </w:divBdr>
    </w:div>
    <w:div w:id="951595321">
      <w:bodyDiv w:val="1"/>
      <w:marLeft w:val="0"/>
      <w:marRight w:val="0"/>
      <w:marTop w:val="0"/>
      <w:marBottom w:val="0"/>
      <w:divBdr>
        <w:top w:val="none" w:sz="0" w:space="0" w:color="auto"/>
        <w:left w:val="none" w:sz="0" w:space="0" w:color="auto"/>
        <w:bottom w:val="none" w:sz="0" w:space="0" w:color="auto"/>
        <w:right w:val="none" w:sz="0" w:space="0" w:color="auto"/>
      </w:divBdr>
    </w:div>
    <w:div w:id="996148018">
      <w:bodyDiv w:val="1"/>
      <w:marLeft w:val="0"/>
      <w:marRight w:val="0"/>
      <w:marTop w:val="0"/>
      <w:marBottom w:val="0"/>
      <w:divBdr>
        <w:top w:val="none" w:sz="0" w:space="0" w:color="auto"/>
        <w:left w:val="none" w:sz="0" w:space="0" w:color="auto"/>
        <w:bottom w:val="none" w:sz="0" w:space="0" w:color="auto"/>
        <w:right w:val="none" w:sz="0" w:space="0" w:color="auto"/>
      </w:divBdr>
    </w:div>
    <w:div w:id="1021207168">
      <w:bodyDiv w:val="1"/>
      <w:marLeft w:val="0"/>
      <w:marRight w:val="0"/>
      <w:marTop w:val="0"/>
      <w:marBottom w:val="0"/>
      <w:divBdr>
        <w:top w:val="none" w:sz="0" w:space="0" w:color="auto"/>
        <w:left w:val="none" w:sz="0" w:space="0" w:color="auto"/>
        <w:bottom w:val="none" w:sz="0" w:space="0" w:color="auto"/>
        <w:right w:val="none" w:sz="0" w:space="0" w:color="auto"/>
      </w:divBdr>
    </w:div>
    <w:div w:id="1056275037">
      <w:bodyDiv w:val="1"/>
      <w:marLeft w:val="0"/>
      <w:marRight w:val="0"/>
      <w:marTop w:val="0"/>
      <w:marBottom w:val="0"/>
      <w:divBdr>
        <w:top w:val="none" w:sz="0" w:space="0" w:color="auto"/>
        <w:left w:val="none" w:sz="0" w:space="0" w:color="auto"/>
        <w:bottom w:val="none" w:sz="0" w:space="0" w:color="auto"/>
        <w:right w:val="none" w:sz="0" w:space="0" w:color="auto"/>
      </w:divBdr>
    </w:div>
    <w:div w:id="1059748075">
      <w:bodyDiv w:val="1"/>
      <w:marLeft w:val="0"/>
      <w:marRight w:val="0"/>
      <w:marTop w:val="0"/>
      <w:marBottom w:val="0"/>
      <w:divBdr>
        <w:top w:val="none" w:sz="0" w:space="0" w:color="auto"/>
        <w:left w:val="none" w:sz="0" w:space="0" w:color="auto"/>
        <w:bottom w:val="none" w:sz="0" w:space="0" w:color="auto"/>
        <w:right w:val="none" w:sz="0" w:space="0" w:color="auto"/>
      </w:divBdr>
    </w:div>
    <w:div w:id="1076515445">
      <w:bodyDiv w:val="1"/>
      <w:marLeft w:val="0"/>
      <w:marRight w:val="0"/>
      <w:marTop w:val="0"/>
      <w:marBottom w:val="0"/>
      <w:divBdr>
        <w:top w:val="none" w:sz="0" w:space="0" w:color="auto"/>
        <w:left w:val="none" w:sz="0" w:space="0" w:color="auto"/>
        <w:bottom w:val="none" w:sz="0" w:space="0" w:color="auto"/>
        <w:right w:val="none" w:sz="0" w:space="0" w:color="auto"/>
      </w:divBdr>
    </w:div>
    <w:div w:id="1132595210">
      <w:bodyDiv w:val="1"/>
      <w:marLeft w:val="0"/>
      <w:marRight w:val="0"/>
      <w:marTop w:val="0"/>
      <w:marBottom w:val="0"/>
      <w:divBdr>
        <w:top w:val="none" w:sz="0" w:space="0" w:color="auto"/>
        <w:left w:val="none" w:sz="0" w:space="0" w:color="auto"/>
        <w:bottom w:val="none" w:sz="0" w:space="0" w:color="auto"/>
        <w:right w:val="none" w:sz="0" w:space="0" w:color="auto"/>
      </w:divBdr>
    </w:div>
    <w:div w:id="1255094480">
      <w:bodyDiv w:val="1"/>
      <w:marLeft w:val="0"/>
      <w:marRight w:val="0"/>
      <w:marTop w:val="0"/>
      <w:marBottom w:val="0"/>
      <w:divBdr>
        <w:top w:val="none" w:sz="0" w:space="0" w:color="auto"/>
        <w:left w:val="none" w:sz="0" w:space="0" w:color="auto"/>
        <w:bottom w:val="none" w:sz="0" w:space="0" w:color="auto"/>
        <w:right w:val="none" w:sz="0" w:space="0" w:color="auto"/>
      </w:divBdr>
    </w:div>
    <w:div w:id="1259827337">
      <w:bodyDiv w:val="1"/>
      <w:marLeft w:val="0"/>
      <w:marRight w:val="0"/>
      <w:marTop w:val="0"/>
      <w:marBottom w:val="0"/>
      <w:divBdr>
        <w:top w:val="none" w:sz="0" w:space="0" w:color="auto"/>
        <w:left w:val="none" w:sz="0" w:space="0" w:color="auto"/>
        <w:bottom w:val="none" w:sz="0" w:space="0" w:color="auto"/>
        <w:right w:val="none" w:sz="0" w:space="0" w:color="auto"/>
      </w:divBdr>
    </w:div>
    <w:div w:id="1314869384">
      <w:bodyDiv w:val="1"/>
      <w:marLeft w:val="0"/>
      <w:marRight w:val="0"/>
      <w:marTop w:val="0"/>
      <w:marBottom w:val="0"/>
      <w:divBdr>
        <w:top w:val="none" w:sz="0" w:space="0" w:color="auto"/>
        <w:left w:val="none" w:sz="0" w:space="0" w:color="auto"/>
        <w:bottom w:val="none" w:sz="0" w:space="0" w:color="auto"/>
        <w:right w:val="none" w:sz="0" w:space="0" w:color="auto"/>
      </w:divBdr>
    </w:div>
    <w:div w:id="1416433538">
      <w:bodyDiv w:val="1"/>
      <w:marLeft w:val="0"/>
      <w:marRight w:val="0"/>
      <w:marTop w:val="0"/>
      <w:marBottom w:val="0"/>
      <w:divBdr>
        <w:top w:val="none" w:sz="0" w:space="0" w:color="auto"/>
        <w:left w:val="none" w:sz="0" w:space="0" w:color="auto"/>
        <w:bottom w:val="none" w:sz="0" w:space="0" w:color="auto"/>
        <w:right w:val="none" w:sz="0" w:space="0" w:color="auto"/>
      </w:divBdr>
    </w:div>
    <w:div w:id="1449932403">
      <w:bodyDiv w:val="1"/>
      <w:marLeft w:val="0"/>
      <w:marRight w:val="0"/>
      <w:marTop w:val="0"/>
      <w:marBottom w:val="0"/>
      <w:divBdr>
        <w:top w:val="none" w:sz="0" w:space="0" w:color="auto"/>
        <w:left w:val="none" w:sz="0" w:space="0" w:color="auto"/>
        <w:bottom w:val="none" w:sz="0" w:space="0" w:color="auto"/>
        <w:right w:val="none" w:sz="0" w:space="0" w:color="auto"/>
      </w:divBdr>
    </w:div>
    <w:div w:id="1468352023">
      <w:bodyDiv w:val="1"/>
      <w:marLeft w:val="0"/>
      <w:marRight w:val="0"/>
      <w:marTop w:val="0"/>
      <w:marBottom w:val="0"/>
      <w:divBdr>
        <w:top w:val="none" w:sz="0" w:space="0" w:color="auto"/>
        <w:left w:val="none" w:sz="0" w:space="0" w:color="auto"/>
        <w:bottom w:val="none" w:sz="0" w:space="0" w:color="auto"/>
        <w:right w:val="none" w:sz="0" w:space="0" w:color="auto"/>
      </w:divBdr>
    </w:div>
    <w:div w:id="1566334554">
      <w:bodyDiv w:val="1"/>
      <w:marLeft w:val="0"/>
      <w:marRight w:val="0"/>
      <w:marTop w:val="0"/>
      <w:marBottom w:val="0"/>
      <w:divBdr>
        <w:top w:val="none" w:sz="0" w:space="0" w:color="auto"/>
        <w:left w:val="none" w:sz="0" w:space="0" w:color="auto"/>
        <w:bottom w:val="none" w:sz="0" w:space="0" w:color="auto"/>
        <w:right w:val="none" w:sz="0" w:space="0" w:color="auto"/>
      </w:divBdr>
    </w:div>
    <w:div w:id="1617105606">
      <w:bodyDiv w:val="1"/>
      <w:marLeft w:val="0"/>
      <w:marRight w:val="0"/>
      <w:marTop w:val="0"/>
      <w:marBottom w:val="0"/>
      <w:divBdr>
        <w:top w:val="none" w:sz="0" w:space="0" w:color="auto"/>
        <w:left w:val="none" w:sz="0" w:space="0" w:color="auto"/>
        <w:bottom w:val="none" w:sz="0" w:space="0" w:color="auto"/>
        <w:right w:val="none" w:sz="0" w:space="0" w:color="auto"/>
      </w:divBdr>
    </w:div>
    <w:div w:id="1632175291">
      <w:bodyDiv w:val="1"/>
      <w:marLeft w:val="0"/>
      <w:marRight w:val="0"/>
      <w:marTop w:val="0"/>
      <w:marBottom w:val="0"/>
      <w:divBdr>
        <w:top w:val="none" w:sz="0" w:space="0" w:color="auto"/>
        <w:left w:val="none" w:sz="0" w:space="0" w:color="auto"/>
        <w:bottom w:val="none" w:sz="0" w:space="0" w:color="auto"/>
        <w:right w:val="none" w:sz="0" w:space="0" w:color="auto"/>
      </w:divBdr>
    </w:div>
    <w:div w:id="1652716085">
      <w:bodyDiv w:val="1"/>
      <w:marLeft w:val="0"/>
      <w:marRight w:val="0"/>
      <w:marTop w:val="0"/>
      <w:marBottom w:val="0"/>
      <w:divBdr>
        <w:top w:val="none" w:sz="0" w:space="0" w:color="auto"/>
        <w:left w:val="none" w:sz="0" w:space="0" w:color="auto"/>
        <w:bottom w:val="none" w:sz="0" w:space="0" w:color="auto"/>
        <w:right w:val="none" w:sz="0" w:space="0" w:color="auto"/>
      </w:divBdr>
    </w:div>
    <w:div w:id="1673756472">
      <w:bodyDiv w:val="1"/>
      <w:marLeft w:val="0"/>
      <w:marRight w:val="0"/>
      <w:marTop w:val="0"/>
      <w:marBottom w:val="0"/>
      <w:divBdr>
        <w:top w:val="none" w:sz="0" w:space="0" w:color="auto"/>
        <w:left w:val="none" w:sz="0" w:space="0" w:color="auto"/>
        <w:bottom w:val="none" w:sz="0" w:space="0" w:color="auto"/>
        <w:right w:val="none" w:sz="0" w:space="0" w:color="auto"/>
      </w:divBdr>
    </w:div>
    <w:div w:id="1685328783">
      <w:bodyDiv w:val="1"/>
      <w:marLeft w:val="0"/>
      <w:marRight w:val="0"/>
      <w:marTop w:val="0"/>
      <w:marBottom w:val="0"/>
      <w:divBdr>
        <w:top w:val="none" w:sz="0" w:space="0" w:color="auto"/>
        <w:left w:val="none" w:sz="0" w:space="0" w:color="auto"/>
        <w:bottom w:val="none" w:sz="0" w:space="0" w:color="auto"/>
        <w:right w:val="none" w:sz="0" w:space="0" w:color="auto"/>
      </w:divBdr>
    </w:div>
    <w:div w:id="1741826842">
      <w:bodyDiv w:val="1"/>
      <w:marLeft w:val="0"/>
      <w:marRight w:val="0"/>
      <w:marTop w:val="0"/>
      <w:marBottom w:val="0"/>
      <w:divBdr>
        <w:top w:val="none" w:sz="0" w:space="0" w:color="auto"/>
        <w:left w:val="none" w:sz="0" w:space="0" w:color="auto"/>
        <w:bottom w:val="none" w:sz="0" w:space="0" w:color="auto"/>
        <w:right w:val="none" w:sz="0" w:space="0" w:color="auto"/>
      </w:divBdr>
    </w:div>
    <w:div w:id="1851868834">
      <w:bodyDiv w:val="1"/>
      <w:marLeft w:val="0"/>
      <w:marRight w:val="0"/>
      <w:marTop w:val="0"/>
      <w:marBottom w:val="0"/>
      <w:divBdr>
        <w:top w:val="none" w:sz="0" w:space="0" w:color="auto"/>
        <w:left w:val="none" w:sz="0" w:space="0" w:color="auto"/>
        <w:bottom w:val="none" w:sz="0" w:space="0" w:color="auto"/>
        <w:right w:val="none" w:sz="0" w:space="0" w:color="auto"/>
      </w:divBdr>
    </w:div>
    <w:div w:id="1936790566">
      <w:bodyDiv w:val="1"/>
      <w:marLeft w:val="0"/>
      <w:marRight w:val="0"/>
      <w:marTop w:val="0"/>
      <w:marBottom w:val="0"/>
      <w:divBdr>
        <w:top w:val="none" w:sz="0" w:space="0" w:color="auto"/>
        <w:left w:val="none" w:sz="0" w:space="0" w:color="auto"/>
        <w:bottom w:val="none" w:sz="0" w:space="0" w:color="auto"/>
        <w:right w:val="none" w:sz="0" w:space="0" w:color="auto"/>
      </w:divBdr>
    </w:div>
    <w:div w:id="2044864782">
      <w:bodyDiv w:val="1"/>
      <w:marLeft w:val="0"/>
      <w:marRight w:val="0"/>
      <w:marTop w:val="0"/>
      <w:marBottom w:val="0"/>
      <w:divBdr>
        <w:top w:val="none" w:sz="0" w:space="0" w:color="auto"/>
        <w:left w:val="none" w:sz="0" w:space="0" w:color="auto"/>
        <w:bottom w:val="none" w:sz="0" w:space="0" w:color="auto"/>
        <w:right w:val="none" w:sz="0" w:space="0" w:color="auto"/>
      </w:divBdr>
    </w:div>
    <w:div w:id="2090761447">
      <w:bodyDiv w:val="1"/>
      <w:marLeft w:val="0"/>
      <w:marRight w:val="0"/>
      <w:marTop w:val="0"/>
      <w:marBottom w:val="0"/>
      <w:divBdr>
        <w:top w:val="none" w:sz="0" w:space="0" w:color="auto"/>
        <w:left w:val="none" w:sz="0" w:space="0" w:color="auto"/>
        <w:bottom w:val="none" w:sz="0" w:space="0" w:color="auto"/>
        <w:right w:val="none" w:sz="0" w:space="0" w:color="auto"/>
      </w:divBdr>
    </w:div>
    <w:div w:id="2111193526">
      <w:bodyDiv w:val="1"/>
      <w:marLeft w:val="0"/>
      <w:marRight w:val="0"/>
      <w:marTop w:val="0"/>
      <w:marBottom w:val="0"/>
      <w:divBdr>
        <w:top w:val="none" w:sz="0" w:space="0" w:color="auto"/>
        <w:left w:val="none" w:sz="0" w:space="0" w:color="auto"/>
        <w:bottom w:val="none" w:sz="0" w:space="0" w:color="auto"/>
        <w:right w:val="none" w:sz="0" w:space="0" w:color="auto"/>
      </w:divBdr>
    </w:div>
    <w:div w:id="2113084959">
      <w:bodyDiv w:val="1"/>
      <w:marLeft w:val="0"/>
      <w:marRight w:val="0"/>
      <w:marTop w:val="0"/>
      <w:marBottom w:val="0"/>
      <w:divBdr>
        <w:top w:val="none" w:sz="0" w:space="0" w:color="auto"/>
        <w:left w:val="none" w:sz="0" w:space="0" w:color="auto"/>
        <w:bottom w:val="none" w:sz="0" w:space="0" w:color="auto"/>
        <w:right w:val="none" w:sz="0" w:space="0" w:color="auto"/>
      </w:divBdr>
    </w:div>
    <w:div w:id="21306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307%2F2325486" TargetMode="External"/><Relationship Id="rId18" Type="http://schemas.openxmlformats.org/officeDocument/2006/relationships/hyperlink" Target="https://en.wikipedia.org/wiki/University_of_St_Andre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oi_(identifier)" TargetMode="External"/><Relationship Id="rId17" Type="http://schemas.openxmlformats.org/officeDocument/2006/relationships/hyperlink" Target="https://en.wikipedia.org/wiki/MacTutor_History_of_Mathematics_archive" TargetMode="External"/><Relationship Id="rId2" Type="http://schemas.openxmlformats.org/officeDocument/2006/relationships/numbering" Target="numbering.xml"/><Relationship Id="rId16" Type="http://schemas.openxmlformats.org/officeDocument/2006/relationships/hyperlink" Target="https://mathshistory.st-andrews.ac.uk/Biographies/Bachel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usinessinsider.com/warren-buffett-on-efficient-market-hypothesis-2010-12" TargetMode="External"/><Relationship Id="rId5" Type="http://schemas.openxmlformats.org/officeDocument/2006/relationships/webSettings" Target="webSettings.xml"/><Relationship Id="rId15" Type="http://schemas.openxmlformats.org/officeDocument/2006/relationships/hyperlink" Target="https://en.wikipedia.org/wiki/Edmund_F._Roberts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John_J._O%27Connor_(mathematic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08F0-E158-4C39-860F-E0423317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13716</TotalTime>
  <Pages>15</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Johnson</dc:creator>
  <cp:keywords/>
  <dc:description/>
  <cp:lastModifiedBy>Zach Johnson</cp:lastModifiedBy>
  <cp:revision>1384</cp:revision>
  <dcterms:created xsi:type="dcterms:W3CDTF">2022-11-27T13:11:00Z</dcterms:created>
  <dcterms:modified xsi:type="dcterms:W3CDTF">2022-12-08T17:46:00Z</dcterms:modified>
</cp:coreProperties>
</file>