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AE" w:rsidRPr="00B518A7" w:rsidRDefault="003C3BAE" w:rsidP="00B518A7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Single Best Answer</w:t>
      </w:r>
    </w:p>
    <w:p w:rsidR="003C3BAE" w:rsidRPr="00B518A7" w:rsidRDefault="003C3BAE" w:rsidP="00B518A7">
      <w:pPr>
        <w:spacing w:after="0" w:line="240" w:lineRule="auto"/>
        <w:rPr>
          <w:rFonts w:ascii="Calibri" w:hAnsi="Calibri"/>
          <w:color w:val="0000FF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4"/>
        <w:gridCol w:w="2345"/>
        <w:gridCol w:w="2344"/>
        <w:gridCol w:w="2345"/>
      </w:tblGrid>
      <w:tr w:rsidR="003C3BAE" w:rsidRPr="00913580" w:rsidTr="00913580">
        <w:tc>
          <w:tcPr>
            <w:tcW w:w="4689" w:type="dxa"/>
            <w:gridSpan w:val="2"/>
          </w:tcPr>
          <w:p w:rsidR="003C3BAE" w:rsidRPr="00913580" w:rsidRDefault="003C3BAE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Teaching Block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 xml:space="preserve">Emergency </w:t>
            </w:r>
            <w:r w:rsidRPr="00913580">
              <w:rPr>
                <w:rFonts w:ascii="Calibri" w:hAnsi="Calibri"/>
                <w:noProof/>
                <w:color w:val="0000FF"/>
              </w:rPr>
              <w:t>Medicine</w:t>
            </w:r>
            <w:r>
              <w:rPr>
                <w:rFonts w:ascii="Calibri" w:hAnsi="Calibri"/>
                <w:noProof/>
                <w:color w:val="0000FF"/>
              </w:rPr>
              <w:t xml:space="preserve"> and Critical Care</w:t>
            </w:r>
          </w:p>
        </w:tc>
        <w:tc>
          <w:tcPr>
            <w:tcW w:w="4689" w:type="dxa"/>
            <w:gridSpan w:val="2"/>
          </w:tcPr>
          <w:p w:rsidR="003C3BAE" w:rsidRPr="00913580" w:rsidRDefault="003C3BAE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Teaching Topic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>
              <w:rPr>
                <w:rFonts w:ascii="Calibri" w:hAnsi="Calibri"/>
                <w:noProof/>
                <w:color w:val="0000FF"/>
              </w:rPr>
              <w:t>Emergency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 Medicine</w:t>
            </w:r>
          </w:p>
        </w:tc>
      </w:tr>
      <w:tr w:rsidR="003C3BAE" w:rsidRPr="00913580" w:rsidTr="00913580">
        <w:tc>
          <w:tcPr>
            <w:tcW w:w="4689" w:type="dxa"/>
            <w:gridSpan w:val="2"/>
          </w:tcPr>
          <w:p w:rsidR="003C3BAE" w:rsidRPr="00913580" w:rsidRDefault="003C3BAE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Presenting Complaint and Common Conditions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</w:p>
          <w:p w:rsidR="003C3BAE" w:rsidRPr="00D018FF" w:rsidRDefault="003C3BAE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D018FF">
              <w:rPr>
                <w:rFonts w:ascii="Calibri" w:hAnsi="Calibri"/>
                <w:noProof/>
                <w:color w:val="0000FF"/>
              </w:rPr>
              <w:t>Life-threatening circulation presentations including hypertensive emergencies</w:t>
            </w:r>
          </w:p>
        </w:tc>
        <w:tc>
          <w:tcPr>
            <w:tcW w:w="4689" w:type="dxa"/>
            <w:gridSpan w:val="2"/>
          </w:tcPr>
          <w:p w:rsidR="003C3BAE" w:rsidRPr="00FB1BBE" w:rsidRDefault="003C3BAE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Fundamental Unit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 w:rsidRPr="00FB1BBE">
              <w:rPr>
                <w:rFonts w:ascii="Calibri" w:hAnsi="Calibri"/>
                <w:noProof/>
                <w:color w:val="0000FF"/>
              </w:rPr>
              <w:t>ICF1 interpret Hx, examination and MSE</w:t>
            </w:r>
          </w:p>
        </w:tc>
      </w:tr>
      <w:tr w:rsidR="003C3BAE" w:rsidRPr="00913580" w:rsidTr="00913580">
        <w:tc>
          <w:tcPr>
            <w:tcW w:w="2344" w:type="dxa"/>
          </w:tcPr>
          <w:p w:rsidR="003C3BAE" w:rsidRPr="00913580" w:rsidRDefault="003C3BAE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Author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noProof/>
                <w:color w:val="0000FF"/>
              </w:rPr>
              <w:t>Phua Dong Haur</w:t>
            </w:r>
          </w:p>
        </w:tc>
        <w:tc>
          <w:tcPr>
            <w:tcW w:w="2345" w:type="dxa"/>
          </w:tcPr>
          <w:p w:rsidR="003C3BAE" w:rsidRPr="00913580" w:rsidRDefault="003C3BAE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Complexity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  <w:r w:rsidR="00A902EA">
              <w:rPr>
                <w:rFonts w:ascii="Calibri" w:hAnsi="Calibri"/>
                <w:noProof/>
                <w:color w:val="0000FF"/>
              </w:rPr>
              <w:t>1</w:t>
            </w:r>
          </w:p>
        </w:tc>
        <w:tc>
          <w:tcPr>
            <w:tcW w:w="2344" w:type="dxa"/>
          </w:tcPr>
          <w:p w:rsidR="003C3BAE" w:rsidRPr="00913580" w:rsidRDefault="003C3BAE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Resource Needed </w:t>
            </w:r>
            <w:r w:rsidRPr="00913580">
              <w:rPr>
                <w:rFonts w:ascii="Calibri" w:hAnsi="Calibri"/>
                <w:color w:val="0000FF"/>
              </w:rPr>
              <w:t xml:space="preserve">- </w:t>
            </w:r>
            <w:r w:rsidRPr="00913580">
              <w:rPr>
                <w:rFonts w:ascii="Calibri" w:hAnsi="Calibri"/>
                <w:noProof/>
                <w:color w:val="0000FF"/>
              </w:rPr>
              <w:t>Nil</w:t>
            </w:r>
          </w:p>
        </w:tc>
        <w:tc>
          <w:tcPr>
            <w:tcW w:w="2345" w:type="dxa"/>
          </w:tcPr>
          <w:p w:rsidR="003C3BAE" w:rsidRPr="00913580" w:rsidRDefault="003C3BAE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Style w:val="PlaceholderText"/>
                <w:rFonts w:ascii="Calibri" w:hAnsi="Calibri"/>
                <w:color w:val="0000FF"/>
              </w:rPr>
              <w:t>Choose an item.</w:t>
            </w:r>
          </w:p>
        </w:tc>
      </w:tr>
    </w:tbl>
    <w:p w:rsidR="003C3BAE" w:rsidRPr="00B518A7" w:rsidRDefault="003C3BAE" w:rsidP="00B518A7">
      <w:pPr>
        <w:spacing w:after="0" w:line="240" w:lineRule="auto"/>
        <w:rPr>
          <w:rFonts w:ascii="Calibri" w:hAnsi="Calibri"/>
          <w:b/>
          <w:color w:val="0000FF"/>
        </w:rPr>
      </w:pPr>
    </w:p>
    <w:tbl>
      <w:tblPr>
        <w:tblW w:w="9322" w:type="dxa"/>
        <w:tblLook w:val="00A0" w:firstRow="1" w:lastRow="0" w:firstColumn="1" w:lastColumn="0" w:noHBand="0" w:noVBand="0"/>
      </w:tblPr>
      <w:tblGrid>
        <w:gridCol w:w="1809"/>
        <w:gridCol w:w="485"/>
        <w:gridCol w:w="7028"/>
      </w:tblGrid>
      <w:tr w:rsidR="003C3BAE" w:rsidRPr="00913580" w:rsidTr="00913580">
        <w:tc>
          <w:tcPr>
            <w:tcW w:w="1809" w:type="dxa"/>
          </w:tcPr>
          <w:p w:rsidR="003C3BAE" w:rsidRPr="00913580" w:rsidRDefault="003D47E0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noProof/>
                <w:color w:val="0000FF"/>
              </w:rPr>
              <w:t>EM</w:t>
            </w:r>
            <w:r w:rsidR="003C3BAE" w:rsidRPr="00913580">
              <w:rPr>
                <w:rFonts w:ascii="Calibri" w:hAnsi="Calibri"/>
                <w:color w:val="0000FF"/>
              </w:rPr>
              <w:t>:</w:t>
            </w:r>
          </w:p>
        </w:tc>
        <w:tc>
          <w:tcPr>
            <w:tcW w:w="7513" w:type="dxa"/>
            <w:gridSpan w:val="2"/>
          </w:tcPr>
          <w:p w:rsidR="003D47E0" w:rsidRDefault="003C3BAE" w:rsidP="003D47E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 xml:space="preserve">A </w:t>
            </w:r>
            <w:r w:rsidR="003D47E0">
              <w:rPr>
                <w:rFonts w:ascii="Calibri" w:hAnsi="Calibri"/>
                <w:color w:val="0000FF"/>
              </w:rPr>
              <w:t>69</w:t>
            </w:r>
            <w:r w:rsidRPr="00913580">
              <w:rPr>
                <w:rFonts w:ascii="Calibri" w:hAnsi="Calibri"/>
                <w:color w:val="0000FF"/>
              </w:rPr>
              <w:t xml:space="preserve">-year old man </w:t>
            </w:r>
            <w:r w:rsidR="003D47E0">
              <w:rPr>
                <w:rFonts w:ascii="Calibri" w:hAnsi="Calibri"/>
                <w:color w:val="0000FF"/>
              </w:rPr>
              <w:t xml:space="preserve">with past history of </w:t>
            </w:r>
            <w:r w:rsidR="00A902EA">
              <w:rPr>
                <w:rFonts w:ascii="Calibri" w:hAnsi="Calibri"/>
                <w:color w:val="0000FF"/>
              </w:rPr>
              <w:t>hypertension</w:t>
            </w:r>
            <w:r w:rsidR="003D47E0">
              <w:rPr>
                <w:rFonts w:ascii="Calibri" w:hAnsi="Calibri"/>
                <w:color w:val="0000FF"/>
              </w:rPr>
              <w:t xml:space="preserve">, </w:t>
            </w:r>
            <w:r w:rsidR="00A902EA">
              <w:rPr>
                <w:rFonts w:ascii="Calibri" w:hAnsi="Calibri"/>
                <w:color w:val="0000FF"/>
              </w:rPr>
              <w:t>chronic</w:t>
            </w:r>
            <w:r w:rsidR="003D47E0">
              <w:rPr>
                <w:rFonts w:ascii="Calibri" w:hAnsi="Calibri"/>
                <w:color w:val="0000FF"/>
              </w:rPr>
              <w:t xml:space="preserve"> smoking and </w:t>
            </w:r>
            <w:r w:rsidR="00A902EA">
              <w:rPr>
                <w:rFonts w:ascii="Calibri" w:hAnsi="Calibri"/>
                <w:color w:val="0000FF"/>
              </w:rPr>
              <w:t>dyslipidaemia</w:t>
            </w:r>
            <w:r w:rsidR="003D47E0">
              <w:rPr>
                <w:rFonts w:ascii="Calibri" w:hAnsi="Calibri"/>
                <w:color w:val="0000FF"/>
              </w:rPr>
              <w:t xml:space="preserve"> complained of sudden onset of left flank pain radiating to the </w:t>
            </w:r>
            <w:proofErr w:type="spellStart"/>
            <w:r w:rsidR="003D47E0">
              <w:rPr>
                <w:rFonts w:ascii="Calibri" w:hAnsi="Calibri"/>
                <w:color w:val="0000FF"/>
              </w:rPr>
              <w:t>para</w:t>
            </w:r>
            <w:proofErr w:type="spellEnd"/>
            <w:r w:rsidR="00A902EA">
              <w:rPr>
                <w:rFonts w:ascii="Calibri" w:hAnsi="Calibri"/>
                <w:color w:val="0000FF"/>
              </w:rPr>
              <w:t>-umbili</w:t>
            </w:r>
            <w:r w:rsidR="003D47E0">
              <w:rPr>
                <w:rFonts w:ascii="Calibri" w:hAnsi="Calibri"/>
                <w:color w:val="0000FF"/>
              </w:rPr>
              <w:t>cal region that started about 2 hours before consultation. The pain was so severe he had multiple episodes of near syncope and diaphoresis. He also had urges of bowel movement</w:t>
            </w:r>
            <w:r w:rsidR="00A902EA">
              <w:rPr>
                <w:rFonts w:ascii="Calibri" w:hAnsi="Calibri"/>
                <w:color w:val="0000FF"/>
              </w:rPr>
              <w:t>, but no urinary complains</w:t>
            </w:r>
            <w:r w:rsidR="003D47E0">
              <w:rPr>
                <w:rFonts w:ascii="Calibri" w:hAnsi="Calibri"/>
                <w:color w:val="0000FF"/>
              </w:rPr>
              <w:t xml:space="preserve">. He had nausea and 2 episode of vomiting undigested food. </w:t>
            </w:r>
          </w:p>
          <w:p w:rsidR="003D47E0" w:rsidRDefault="003D47E0" w:rsidP="003D47E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  <w:p w:rsidR="003C3BAE" w:rsidRDefault="003D47E0" w:rsidP="00A902EA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Physical examination</w:t>
            </w:r>
            <w:r w:rsidR="00A902EA">
              <w:rPr>
                <w:rFonts w:ascii="Calibri" w:hAnsi="Calibri"/>
                <w:color w:val="0000FF"/>
              </w:rPr>
              <w:t xml:space="preserve"> revealed an anxious looking gentleman who appeared uncomfortable and pale. Urine dipstick examination was also positive for microscopic haematuria. </w:t>
            </w:r>
          </w:p>
          <w:p w:rsidR="00A902EA" w:rsidRDefault="00A902EA" w:rsidP="00A902EA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  <w:p w:rsidR="00A902EA" w:rsidRPr="00913580" w:rsidRDefault="00A902EA" w:rsidP="00A902EA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What is the diagnosis that should be considered?</w:t>
            </w:r>
          </w:p>
        </w:tc>
      </w:tr>
      <w:tr w:rsidR="003C3BAE" w:rsidRPr="00913580" w:rsidTr="00913580">
        <w:tc>
          <w:tcPr>
            <w:tcW w:w="9322" w:type="dxa"/>
            <w:gridSpan w:val="3"/>
          </w:tcPr>
          <w:p w:rsidR="003C3BAE" w:rsidRPr="00913580" w:rsidRDefault="003C3BAE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</w:p>
        </w:tc>
      </w:tr>
      <w:tr w:rsidR="003C3BAE" w:rsidRPr="00913580" w:rsidTr="00913580">
        <w:tc>
          <w:tcPr>
            <w:tcW w:w="1809" w:type="dxa"/>
          </w:tcPr>
          <w:p w:rsidR="003C3BAE" w:rsidRPr="00913580" w:rsidRDefault="003C3BAE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C3BAE" w:rsidRPr="00913580" w:rsidRDefault="003C3BAE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(A)</w:t>
            </w:r>
          </w:p>
        </w:tc>
        <w:tc>
          <w:tcPr>
            <w:tcW w:w="7028" w:type="dxa"/>
          </w:tcPr>
          <w:p w:rsidR="003C3BAE" w:rsidRPr="00913580" w:rsidRDefault="00A902EA" w:rsidP="00A902EA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Leaking abdominal</w:t>
            </w:r>
            <w:r w:rsidR="009E1F0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>aneurysm</w:t>
            </w:r>
          </w:p>
        </w:tc>
      </w:tr>
      <w:tr w:rsidR="003C3BAE" w:rsidRPr="00913580" w:rsidTr="00913580">
        <w:tc>
          <w:tcPr>
            <w:tcW w:w="1809" w:type="dxa"/>
          </w:tcPr>
          <w:p w:rsidR="003C3BAE" w:rsidRPr="00913580" w:rsidRDefault="003C3BAE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C3BAE" w:rsidRPr="00913580" w:rsidRDefault="003C3BAE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(B)</w:t>
            </w:r>
          </w:p>
        </w:tc>
        <w:tc>
          <w:tcPr>
            <w:tcW w:w="7028" w:type="dxa"/>
          </w:tcPr>
          <w:p w:rsidR="003C3BAE" w:rsidRPr="00913580" w:rsidRDefault="009E1F00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Left r</w:t>
            </w:r>
            <w:r w:rsidR="00A902EA">
              <w:rPr>
                <w:rFonts w:ascii="Calibri" w:hAnsi="Calibri"/>
                <w:color w:val="0000FF"/>
              </w:rPr>
              <w:t>enal colic</w:t>
            </w:r>
          </w:p>
        </w:tc>
      </w:tr>
      <w:tr w:rsidR="003C3BAE" w:rsidRPr="00913580" w:rsidTr="00913580">
        <w:tc>
          <w:tcPr>
            <w:tcW w:w="1809" w:type="dxa"/>
          </w:tcPr>
          <w:p w:rsidR="003C3BAE" w:rsidRPr="00913580" w:rsidRDefault="003C3BAE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C3BAE" w:rsidRPr="00913580" w:rsidRDefault="003C3BAE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(C)</w:t>
            </w:r>
          </w:p>
        </w:tc>
        <w:tc>
          <w:tcPr>
            <w:tcW w:w="7028" w:type="dxa"/>
          </w:tcPr>
          <w:p w:rsidR="003C3BAE" w:rsidRPr="00913580" w:rsidRDefault="009E1F00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Acute d</w:t>
            </w:r>
            <w:r w:rsidR="00A902EA">
              <w:rPr>
                <w:rFonts w:ascii="Calibri" w:hAnsi="Calibri"/>
                <w:color w:val="0000FF"/>
              </w:rPr>
              <w:t>iverticulitis</w:t>
            </w:r>
          </w:p>
        </w:tc>
      </w:tr>
      <w:tr w:rsidR="003C3BAE" w:rsidRPr="00913580" w:rsidTr="00913580">
        <w:tc>
          <w:tcPr>
            <w:tcW w:w="1809" w:type="dxa"/>
          </w:tcPr>
          <w:p w:rsidR="003C3BAE" w:rsidRPr="00913580" w:rsidRDefault="003C3BAE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C3BAE" w:rsidRPr="00913580" w:rsidRDefault="003C3BAE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(D)</w:t>
            </w:r>
          </w:p>
        </w:tc>
        <w:tc>
          <w:tcPr>
            <w:tcW w:w="7028" w:type="dxa"/>
          </w:tcPr>
          <w:p w:rsidR="003C3BAE" w:rsidRPr="00913580" w:rsidRDefault="009E1F00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 xml:space="preserve">Acute </w:t>
            </w:r>
            <w:bookmarkStart w:id="0" w:name="_GoBack"/>
            <w:bookmarkEnd w:id="0"/>
            <w:r w:rsidR="00A902EA">
              <w:rPr>
                <w:rFonts w:ascii="Calibri" w:hAnsi="Calibri"/>
                <w:color w:val="0000FF"/>
              </w:rPr>
              <w:t>ancreatitis</w:t>
            </w:r>
          </w:p>
        </w:tc>
      </w:tr>
      <w:tr w:rsidR="003C3BAE" w:rsidRPr="00913580" w:rsidTr="00913580">
        <w:tc>
          <w:tcPr>
            <w:tcW w:w="1809" w:type="dxa"/>
          </w:tcPr>
          <w:p w:rsidR="003C3BAE" w:rsidRPr="00913580" w:rsidRDefault="003C3BAE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C3BAE" w:rsidRPr="00913580" w:rsidRDefault="003C3BAE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(E)</w:t>
            </w:r>
          </w:p>
        </w:tc>
        <w:tc>
          <w:tcPr>
            <w:tcW w:w="7028" w:type="dxa"/>
          </w:tcPr>
          <w:p w:rsidR="003C3BAE" w:rsidRPr="00913580" w:rsidRDefault="00A902EA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Intestinal obstruction</w:t>
            </w:r>
          </w:p>
        </w:tc>
      </w:tr>
    </w:tbl>
    <w:p w:rsidR="003C3BAE" w:rsidRPr="00B518A7" w:rsidRDefault="003C3BAE" w:rsidP="00B518A7">
      <w:pPr>
        <w:spacing w:after="0" w:line="240" w:lineRule="auto"/>
        <w:rPr>
          <w:rFonts w:ascii="Calibri" w:hAnsi="Calibri"/>
        </w:rPr>
      </w:pPr>
    </w:p>
    <w:p w:rsidR="003C3BAE" w:rsidRPr="00B518A7" w:rsidRDefault="003C3BAE" w:rsidP="00B518A7">
      <w:pPr>
        <w:spacing w:after="0" w:line="240" w:lineRule="auto"/>
        <w:rPr>
          <w:rFonts w:ascii="Calibri" w:hAnsi="Calibri"/>
          <w:b/>
          <w:color w:val="FF0000"/>
        </w:rPr>
      </w:pPr>
      <w:r w:rsidRPr="00B518A7">
        <w:rPr>
          <w:rFonts w:ascii="Calibri" w:hAnsi="Calibri"/>
          <w:b/>
          <w:color w:val="FF0000"/>
        </w:rPr>
        <w:t xml:space="preserve">Correct Response: </w:t>
      </w:r>
      <w:r w:rsidR="00A902EA">
        <w:rPr>
          <w:rFonts w:ascii="Calibri" w:hAnsi="Calibri"/>
          <w:b/>
          <w:noProof/>
          <w:color w:val="FF0000"/>
        </w:rPr>
        <w:t>A</w:t>
      </w:r>
    </w:p>
    <w:sectPr w:rsidR="003C3BAE" w:rsidRPr="00B518A7" w:rsidSect="00E24E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8A7"/>
    <w:rsid w:val="002E48DA"/>
    <w:rsid w:val="002F61DA"/>
    <w:rsid w:val="003C3BAE"/>
    <w:rsid w:val="003D47E0"/>
    <w:rsid w:val="003F0803"/>
    <w:rsid w:val="004B44E6"/>
    <w:rsid w:val="00597572"/>
    <w:rsid w:val="007517FA"/>
    <w:rsid w:val="00913580"/>
    <w:rsid w:val="009D2CDF"/>
    <w:rsid w:val="009E1F00"/>
    <w:rsid w:val="00A902EA"/>
    <w:rsid w:val="00B518A7"/>
    <w:rsid w:val="00B51D42"/>
    <w:rsid w:val="00B52518"/>
    <w:rsid w:val="00B64303"/>
    <w:rsid w:val="00C83D52"/>
    <w:rsid w:val="00D018FF"/>
    <w:rsid w:val="00E24EB3"/>
    <w:rsid w:val="00F54AFD"/>
    <w:rsid w:val="00FB1BBE"/>
    <w:rsid w:val="00F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??" w:hAnsi="Arial" w:cs="Cambria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A7"/>
    <w:pPr>
      <w:spacing w:after="200" w:line="276" w:lineRule="auto"/>
    </w:pPr>
    <w:rPr>
      <w:rFonts w:ascii="Cambria" w:hAnsi="Cambria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2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52518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B518A7"/>
    <w:rPr>
      <w:rFonts w:ascii="Cambria" w:hAnsi="Cambria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B518A7"/>
    <w:rPr>
      <w:rFonts w:cs="Times New Roman"/>
      <w:color w:val="808080"/>
    </w:rPr>
  </w:style>
  <w:style w:type="character" w:styleId="CommentReference">
    <w:name w:val="annotation reference"/>
    <w:uiPriority w:val="99"/>
    <w:semiHidden/>
    <w:rsid w:val="009D2CDF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2C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9D2CDF"/>
    <w:rPr>
      <w:rFonts w:ascii="Cambria" w:hAnsi="Cambria" w:cs="Times New Roman"/>
      <w:sz w:val="24"/>
      <w:szCs w:val="24"/>
      <w:lang w:val="en-SG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2CD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9D2CDF"/>
    <w:rPr>
      <w:rFonts w:ascii="Cambria" w:hAnsi="Cambria" w:cs="Times New Roman"/>
      <w:b/>
      <w:bCs/>
      <w:sz w:val="24"/>
      <w:szCs w:val="24"/>
      <w:lang w:val="en-SG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2268-1402-40BA-9D2E-2DCDCBBE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Best Answer</vt:lpstr>
    </vt:vector>
  </TitlesOfParts>
  <Company>Tan Tock Seng Hospital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Best Answer</dc:title>
  <dc:subject/>
  <dc:creator>Kum Ying Tham</dc:creator>
  <cp:keywords/>
  <dc:description/>
  <cp:lastModifiedBy>DH</cp:lastModifiedBy>
  <cp:revision>4</cp:revision>
  <dcterms:created xsi:type="dcterms:W3CDTF">2016-08-16T16:34:00Z</dcterms:created>
  <dcterms:modified xsi:type="dcterms:W3CDTF">2016-08-18T16:34:00Z</dcterms:modified>
</cp:coreProperties>
</file>