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595959"/>
          <w:sz w:val="20"/>
          <w:szCs w:val="20"/>
        </w:rPr>
        <w:t xml:space="preserve">NIMBUS HEALTH — SECURITY OPERATIONS</w:t>
      </w:r>
    </w:p>
    <w:p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 xml:space="preserve">Threat Hunt Incident Report</w:t>
      </w:r>
    </w:p>
    <w:p>
      <w:pPr>
        <w:spacing w:after="300"/>
        <w:jc w:val="center"/>
      </w:pPr>
      <w:r>
        <w:rPr>
          <w:i/>
          <w:iCs/>
          <w:color w:val="595959"/>
          <w:sz w:val="24"/>
          <w:szCs w:val="24"/>
        </w:rPr>
        <w:t xml:space="preserve">Compromised Credential Use — Billing &amp; HR Data Access</w:t>
      </w:r>
    </w:p>
    <w:p>
      <w:pPr>
        <w:spacing w:after="80"/>
      </w:pPr>
      <w:r>
        <w:rPr>
          <w:b/>
          <w:bCs/>
        </w:rPr>
        <w:t xml:space="preserve">Case Reference: </w:t>
      </w:r>
      <w:r>
        <w:t xml:space="preserve">NH-2026-0311-JMORRIS</w:t>
      </w:r>
    </w:p>
    <w:p>
      <w:pPr>
        <w:spacing w:after="80"/>
      </w:pPr>
      <w:r>
        <w:rPr>
          <w:b/>
          <w:bCs/>
        </w:rPr>
        <w:t xml:space="preserve">Investigation Window: </w:t>
      </w:r>
      <w:r>
        <w:t xml:space="preserve">March 11, 2026 – Present</w:t>
      </w:r>
    </w:p>
    <w:p>
      <w:pPr>
        <w:spacing w:after="80"/>
      </w:pPr>
      <w:r>
        <w:rPr>
          <w:b/>
          <w:bCs/>
        </w:rPr>
        <w:t xml:space="preserve">Primary Account of Interest: </w:t>
      </w:r>
      <w:r>
        <w:t xml:space="preserve">j.morris</w:t>
      </w:r>
    </w:p>
    <w:p>
      <w:pPr>
        <w:spacing w:after="80"/>
      </w:pPr>
      <w:r>
        <w:rPr>
          <w:b/>
          <w:bCs/>
        </w:rPr>
        <w:t xml:space="preserve">Affected Systems: </w:t>
      </w:r>
      <w:r>
        <w:t xml:space="preserve">Billing workstation (10.1.0.207), nh-fs-01.corp.nimbushealth.com, nh-wks-it-01.corp.nimbushealth.com</w:t>
      </w:r>
    </w:p>
    <w:p>
      <w:pPr>
        <w:spacing w:after="80"/>
      </w:pPr>
      <w:r>
        <w:rPr>
          <w:b/>
          <w:bCs/>
        </w:rPr>
        <w:t xml:space="preserve">Classification: </w:t>
      </w:r>
      <w:r>
        <w:t xml:space="preserve">Confirmed unauthorized access — Valid Accounts (MITRE T1078 / T1078.002)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1. Executive Summary</w:t>
      </w:r>
    </w:p>
    <w:p>
      <w:pPr>
        <w:spacing w:after="160" w:line="276"/>
      </w:pPr>
      <w:r>
        <w:t xml:space="preserve">Threat hunting activity identified unauthorized use of valid domain credentials belonging to j.morris, a billing analyst, to access systems and data well outside that role's normal scope. The activity began with a successful RemoteInteractive logon from an external IP address (193.36.225.245, geolocated to Los Angeles) with no preceding failed attempts, followed by a structured reconnaissance sequence, lateral movement into the file server and an IT workstation, and access to both fraudulent billing data and HR/payroll records. Material appears to have been assembled for a follow-on spearphishing or privilege-escalation attempt against a second employee, d.patel.</w:t>
      </w:r>
    </w:p>
    <w:p>
      <w:pPr>
        <w:spacing w:after="160" w:line="276"/>
      </w:pPr>
      <w:r>
        <w:t xml:space="preserve">No malware, dropped payloads, exploit activity, or persistence mechanisms were identified on any involved host. All actions were carried out using native, signed Windows utilities (whoami, net, arp, nslookup), consistent with a live human operator working interactively rather than automated tooling.</w:t>
      </w:r>
    </w:p>
    <w:p>
      <w:pPr>
        <w:spacing w:after="160" w:line="276"/>
      </w:pPr>
      <w:r>
        <w:t xml:space="preserve">This activity is assessed with high confidence as valid-account abuse (MITRE ATT&amp;CK T1078 / T1078.002). The identity and origin of the operator — whether an external party using stolen credentials, or an internal party misusing j.morris's account — could not be conclusively determined from available telemetry and is discussed in Section 4.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2. Timeline of Activity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5900"/>
        <w:gridCol w:w="1700"/>
      </w:tblGrid>
      <w:tr>
        <w:trPr>
          <w:tblHeader/>
        </w:trPr>
        <w:tc>
          <w:tcPr>
            <w:tcW w:type="dxa" w:w="17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Date/Time (approx.)</w:t>
            </w:r>
          </w:p>
        </w:tc>
        <w:tc>
          <w:tcPr>
            <w:tcW w:type="dxa" w:w="5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Event</w:t>
            </w:r>
          </w:p>
        </w:tc>
        <w:tc>
          <w:tcPr>
            <w:tcW w:type="dxa" w:w="17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MITRE ATT&amp;CK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Successful RemoteInteractive logon as j.morris from external IP 193.36.225.245 (Los Angeles). No failed attempts preceded success; account does not normally use remote/hybrid logon.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T1078 / T1078.002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Burst of native recon commands: whoami, hostname, net use, net view, net view \\NH-FS-01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T1033, T1135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Wide domain sweep: "net.exe" view /domain:nimbus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T1018, T1135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Subnet mapping: arp -a (neighbor table) and nslookup walking the 10.1.0.x range, identifying the file server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T1016, T1018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approved_pending_invoice_INV-664215_20260310.txt created by j.morris, staged in Accepted/Approved billing folder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T1005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review_audit_20260311.txt modified by j.morris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T1005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temp_payroll_review_jmorris_20260311.txt.txt: payroll data pulled from Payroll folder, moved into Billing folder and disguised as a billing exception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T1005, T1074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10-11,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quarterly_awards_shortlist_20260310.txt (HR data) accessed/exfiltrated as part of a broader sweep of HR content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T1005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Lateral movement via RemoteInteractive logons, sourced from billing workstation (10.1.0.207), to nh-fs-01.corp.nimbushealth.com and nh-wks-it-01.corp.nimbushealth.com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T1021.001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whoami /groups executed on NH-FS-01 to enumerate group membership / access level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T1069.001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net.exe share executed on NH-FS-01 to enumerate locally hosted SMB shares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T1135</w:t>
            </w:r>
          </w:p>
        </w:tc>
      </w:tr>
      <w:tr>
        <w:trPr>
          <w:tblHeader w:val="false"/>
        </w:trPr>
        <w:tc>
          <w:tcPr>
            <w:tcW w:type="dxa" w:w="17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Mar 11, 2026</w:t>
            </w:r>
          </w:p>
        </w:tc>
        <w:tc>
          <w:tcPr>
            <w:tcW w:type="dxa" w:w="59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payroll_review_dpatel_20260311.txt created — payroll/HR material assembled, apparently to support a targeted spearphishing / privilege-escalation attempt against d.patel</w:t>
            </w:r>
          </w:p>
        </w:tc>
        <w:tc>
          <w:tcPr>
            <w:tcW w:type="dxa" w:w="17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T1005, T1566 (staging)</w:t>
            </w:r>
          </w:p>
        </w:tc>
      </w:tr>
      <w:tr>
        <w:trPr>
          <w:tblHeader w:val="false"/>
        </w:trPr>
        <w:tc>
          <w:tcPr>
            <w:tcW w:type="dxa" w:w="1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Ongoing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malware, dropped payloads, or persistence mechanisms (scheduled tasks, run keys, services, WMI subscriptions) identified on any involved host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N/A — negative finding</w:t>
            </w:r>
          </w:p>
        </w:tc>
      </w:tr>
    </w:tbl>
    <w:p>
      <w:pPr>
        <w:pStyle w:val="Heading1"/>
        <w:spacing w:after="140" w:before="280"/>
      </w:pPr>
      <w:r>
        <w:rPr>
          <w:b/>
          <w:bCs/>
          <w:color w:val="1F3864"/>
        </w:rPr>
        <w:t xml:space="preserve">3. MITRE ATT&amp;CK Mapping — T1078 (Valid Accounts)</w:t>
      </w:r>
    </w:p>
    <w:p>
      <w:pPr>
        <w:spacing w:after="160" w:line="276"/>
      </w:pPr>
      <w:r>
        <w:t xml:space="preserve">The activity in this hunt is centrally characterized by MITRE ATT&amp;CK technique T1078 (Valid Accounts), specifically sub-technique T1078.002 (Domain Accounts), given the affected account operates within the corp.nimbushealth.com domain.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T1078 spans multiple tactics — Initial Access, Persistence, and Defense Evasion — because a stolen valid account inherently provides all three: it grants entry, requires no additional persistence mechanism, and evades signature- or exploit-based detection.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This directly explains Flag 15: no separate persistence artifacts (scheduled tasks, run keys, services) were needed or found. The compromised account itself served as the attacker's durable access.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absence of malware, combined with the use of built-in, signed Windows tools throughout (whoami, net, arp, nslookup), is the expected signature of T1078-based intrusions and is why this activity evaded automated, signature-based detection.</w:t>
      </w:r>
    </w:p>
    <w:p>
      <w:pPr>
        <w:spacing w:after="160" w:line="276"/>
      </w:pPr>
      <w:r>
        <w:t xml:space="preserve">Supporting/related techniques identified during the hunt: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T1033 – System Owner/User Discovery (whoami, hostname)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T1069 / T1069.001 – Permission Groups Discovery: Local Groups (whoami /groups on NH-FS-01)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T1016 – System Network Configuration Discovery (arp -a)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T1018 – Remote System Discovery (nslookup subnet walk, net view /domain)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T1135 – Network Share Discovery (net view, net share)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T1021.001 – Remote Services: Remote Desktop Protocol (lateral movement to NH-FS-01 and NH-WKS-IT-01)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T1005 – Data from Local System (billing invoice staging; payroll and HR file access)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4. Attribution Assessment</w:t>
      </w:r>
    </w:p>
    <w:p>
      <w:pPr>
        <w:spacing w:after="160" w:line="276"/>
      </w:pPr>
      <w:r>
        <w:rPr>
          <w:b/>
          <w:bCs/>
        </w:rPr>
        <w:t xml:space="preserve">The following factors are confirmed by direct evidence: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live human operator drove this activity interactively — not automated malware — based on native tool usage and human-paced command sequencing.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account used valid, functioning credentials for j.morris; there is no indication of brute-force or credential-guessing activity (no elevated failed-login counts preceded the successful logon).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RemoteInteractive logon modality is not part of j.morris's normal working pattern — remote or hybrid work is not an assumed part of this role's day-to-day, making any RemoteInteractive session for this account inherently anomalous, independent of geography.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systems accessed (file server, IT workstation) are adjacent to but outside j.morris's normal job function as a billing analyst, and the operator needed to actively discover hostnames, permissions, and available shares — behavior inconsistent with routine, authorized use by the account's normal user.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malware installation, exploit activity, or email/mailbox compromise indicators (phishing clicks, malicious mail rules, anomalous OAuth grants) were found on any monitored asset tied to this account.</w:t>
      </w:r>
    </w:p>
    <w:p>
      <w:pPr>
        <w:spacing w:after="160" w:line="276"/>
      </w:pPr>
      <w:r>
        <w:rPr>
          <w:b/>
          <w:bCs/>
        </w:rPr>
        <w:t xml:space="preserve">What this does and does not establish:</w:t>
      </w:r>
    </w:p>
    <w:p>
      <w:pPr>
        <w:spacing w:after="160" w:line="276"/>
      </w:pPr>
      <w:r>
        <w:t xml:space="preserve">The absence of on-network malware or email-compromise indicators does not rule out credential theft — it indicates the initial compromise likely occurred outside the organization's monitored environment. Common mechanisms consistent with this evidence include third-party credential exposure (e.g., password reuse from an unrelated external breach) or off-network phishing (e.g., a personal device or personal account not covered by corporate monitoring). The specific initial access vector could not be conclusively determined from available telemetry.</w:t>
      </w:r>
    </w:p>
    <w:p>
      <w:pPr>
        <w:spacing w:after="160" w:line="276"/>
      </w:pPr>
      <w:r>
        <w:t xml:space="preserve">Separately, the identity of the operator behind the keyboard — an external threat actor using stolen credentials, versus a different internal party misusing j.morris's account — remains unresolved. The external origin IP (Los Angeles) is evidence consistent with, though not exclusive to, an external actor; internal misuse via VPN, proxy, or remote-access infrastructure cannot be fully excluded without additional corroborating evidence (e.g., known VPN/proxy associations for that IP, or HR/badge/travel records placing j.morris elsewhere at the time).</w:t>
      </w:r>
    </w:p>
    <w:p>
      <w:pPr>
        <w:spacing w:after="160" w:line="276"/>
      </w:pPr>
      <w:r>
        <w:rPr>
          <w:b w:val="false"/>
          <w:bCs w:val="false"/>
        </w:rPr>
        <w:t xml:space="preserve">Recommended classification for reporting purposes: “Confirmed compromised-credential intrusion (T1078/T1078.002); initial access vector outside monitored environment; operator identity unresolved.” This is deliberately more precise than either “curious employee with leftover access” (not supported — the evidence shows deliberate reconnaissance, concealment, and staged data theft, not accidental access) or an unqualified “insider threat” finding (not fully supported — the anomalous logon modality and external IP are equally consistent with a genuinely external actor).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5. Gaps Identified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alert fired on a RemoteInteractive logon from an unrecognized external IP for an account with no remote-work profile — this should be a high-fidelity detection signal.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alert fired on lateral movement (RDP) from a billing workstation to a file server and IT workstation — an atypical cross-functional access pattern.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DLP or alerting coverage on payroll/HR data being moved into an unrelated business share (Billing) under a disguised filename.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alerting on sequential native-tool recon bursts (whoami, net, arp, nslookup) executed by a single account in a short time window.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SMB-level file event visibility on NH-FS-01 required additional query tuning during this hunt, suggesting file-share auditing configuration should be reviewed for completeness.</w:t>
      </w: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6. Recommendations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100"/>
        <w:gridCol w:w="1150"/>
      </w:tblGrid>
      <w:tr>
        <w:trPr>
          <w:tblHeader/>
        </w:trPr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6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  <w:tc>
          <w:tcPr>
            <w:tcW w:type="dxa" w:w="115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Detection Engineering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Sentinel analytics rule: alert on RemoteInteractive/RDP logon from a first-seen or rare geo-IP for finance, HR, or billing-scoped accounts</w:t>
            </w:r>
          </w:p>
        </w:tc>
        <w:tc>
          <w:tcPr>
            <w:tcW w:type="dxa" w:w="1150"/>
            <w:shd w:fill="FDE9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Detection Engineering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Sentinel analytics rule: alert on RDP/lateral movement from a billing- or finance-role workstation to file servers or IT-admin workstations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Detection Engineering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Sentinel analytics rule: alert on sequential recon command bursts (whoami, net, arp, nslookup) from one account/device within a short window</w:t>
            </w:r>
          </w:p>
        </w:tc>
        <w:tc>
          <w:tcPr>
            <w:tcW w:type="dxa" w:w="1150"/>
            <w:shd w:fill="FDE9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Detection Engineering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Sentinel analytics rule: alert when a file is created in a sensitive share (e.g., Payroll) and a similarly-timed file appears in a different share (e.g., Billing) under a renamed or disguised filename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Detection Engineering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File-hash lineage watch on the Billing "Approved" folder to flag content-identical files entering under different filenames/accounts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Threat Monitoring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 SMB-level file auditing is fully enabled on NH-FS-01 and other file servers hosting sensitive shares (visibility gaps encountered during this hunt)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Threat Monitoring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Implement conditional access / impossible-travel policies for finance, billing, and HR-adjacent accounts</w:t>
            </w:r>
          </w:p>
        </w:tc>
        <w:tc>
          <w:tcPr>
            <w:tcW w:type="dxa" w:w="1150"/>
            <w:shd w:fill="FDE9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Threat Monitoring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Require MFA step-up or secondary approval for access to the billing Approved folder regardless of account trust level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Awareness &amp; Training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Credential hygiene and phishing-recognition training, prioritized for billing/finance and HR-adjacent staff</w:t>
            </w:r>
          </w:p>
        </w:tc>
        <w:tc>
          <w:tcPr>
            <w:tcW w:type="dxa" w:w="1150"/>
            <w:shd w:fill="FDE9E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</w:t>
            </w:r>
          </w:p>
        </w:tc>
      </w:tr>
      <w:tr>
        <w:trPr>
          <w:tblHeader w:val="false"/>
        </w:trPr>
        <w:tc>
          <w:tcPr>
            <w:tcW w:type="dxa" w:w="2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Awareness &amp; Training</w:t>
            </w:r>
          </w:p>
        </w:tc>
        <w:tc>
          <w:tcPr>
            <w:tcW w:type="dxa" w:w="61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Targeted awareness module: legitimate-looking internal HR/payroll references in a message are not proof of authenticity</w:t>
            </w:r>
          </w:p>
        </w:tc>
        <w:tc>
          <w:tcPr>
            <w:tcW w:type="dxa" w:w="115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Awareness &amp; Training</w:t>
            </w:r>
          </w:p>
        </w:tc>
        <w:tc>
          <w:tcPr>
            <w:tcW w:type="dxa" w:w="6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Reinforce escalation habits: unusual approval requests or file movement should be reported even when apparently originating from a known colleague's account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Medium</w:t>
            </w:r>
          </w:p>
        </w:tc>
      </w:tr>
    </w:tbl>
    <w:p>
      <w:pPr>
        <w:spacing w:before="200"/>
      </w:pPr>
    </w:p>
    <w:p>
      <w:pPr>
        <w:pStyle w:val="Heading1"/>
        <w:spacing w:after="140" w:before="280"/>
      </w:pPr>
      <w:r>
        <w:rPr>
          <w:b/>
          <w:bCs/>
          <w:color w:val="1F3864"/>
        </w:rPr>
        <w:t xml:space="preserve">7. Immediate Containment 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Force credential reset and MFA re-enrollment for j.morris's account.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d.patel's account and mailbox for any inbound spearphishing content that may have already been delivered using the staged payroll/HR material.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Verify payment status of invoice INV-664215; initiate recovery if payment has already been issued.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Conduct a full scope review of all HR/payroll data accessed during the investigation window to determine breach notification obligations if PII was exfiltrated.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Review and, if warranted, suspend any other accounts showing similar first-seen-geo RemoteInteractive logons in the same time window.</w:t>
      </w:r>
    </w:p>
    <w:p>
      <w:pPr>
        <w:pBdr>
          <w:top w:val="single" w:color="BFBFBF" w:sz="6"/>
        </w:pBdr>
        <w:spacing w:before="400"/>
      </w:pPr>
      <w:r>
        <w:rPr>
          <w:i/>
          <w:iCs/>
          <w:color w:val="595959"/>
          <w:sz w:val="20"/>
          <w:szCs w:val="20"/>
        </w:rPr>
        <w:t xml:space="preserve">Prepared by: Security Operations — Threat Hunt Team</w:t>
      </w:r>
    </w:p>
    <w:p>
      <w:r>
        <w:rPr>
          <w:i/>
          <w:iCs/>
          <w:color w:val="595959"/>
          <w:sz w:val="20"/>
          <w:szCs w:val="20"/>
        </w:rPr>
        <w:t xml:space="preserve">Report Date: July 17,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2026-07-18T01:05:17.017Z</dcterms:created>
  <dcterms:modified xsi:type="dcterms:W3CDTF">2026-07-18T01:05:17.038Z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