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00" w:after="300"/>
      </w:pPr>
      <w:r>
        <w:t>Lattice DRTOS Architecture White Paper</w:t>
      </w:r>
    </w:p>
    <w:p>
      <w:pPr>
        <w:pStyle w:val="Subtitle"/>
      </w:pPr>
      <w:r>
        <w:t>Distributed kernel execution and adaptive peer connectivity</w:t>
      </w:r>
    </w:p>
    <w:p>
      <w:pPr>
        <w:spacing w:after="560"/>
      </w:pPr>
      <w:r>
        <w:rPr>
          <w:rFonts w:ascii="Liberation Sans" w:hAnsi="Liberation Sans"/>
          <w:sz w:val="22"/>
        </w:rPr>
        <w:t>Architecture edition 20 October 2026</w:t>
        <w:br/>
        <w:t/>
      </w:r>
    </w:p>
    <w:p>
      <w:pPr>
        <w:pStyle w:val="Heading2"/>
      </w:pPr>
      <w:r>
        <w:t>Abstract</w:t>
      </w:r>
    </w:p>
    <w:p>
      <w:r>
        <w:t>Lattice DRTOS is a distributed real-time operating-system substrate in which peripheral state, executable relationships, and execution are resident at the nodes that own them. A program is embedded as directed bindings between exposed attributes and mutation handles. Registered changes activate dependent programs; evaluation advances through local predicates; successful paths reach local mutation functions. Each driver remains responsible for reconciling its own physical peripheral.</w:t>
      </w:r>
    </w:p>
    <w:p>
      <w:r>
        <w:t>The kernel is distributed across peers. A compiler and installation delegate is a specialized peer, not a runtime router or centralized executor. A common acknowledged transport carries activation, evaluation, mutation, and safety traffic. Bounded relay slots allow useful paths to become resident and preferred, while broadcast supports discovery and repair. Safety dependencies can require health messages only while a protected state remains open.</w:t>
      </w:r>
    </w:p>
    <w:p>
      <w:r>
        <w:t>This paper defines the architecture for the complete system and the obligations its implementation must satisfy. It incorporates admission, continual refinement, durable reconstruction, live program replacement, and explicit fault behavior from the outset. It separates architectural commitments from the remaining protocol proofs, resource bounds, and hardware-specific contracts required for a production implementation.</w:t>
      </w:r>
    </w:p>
    <w:p>
      <w:r>
        <w:br w:type="page"/>
      </w:r>
    </w:p>
    <w:p>
      <w:bookmarkStart w:id="1" w:name="contents"/>
      <w:pPr>
        <w:pStyle w:val="Heading1"/>
        <w:spacing w:before="0"/>
      </w:pPr>
      <w:r>
        <w:t>Contents</w:t>
      </w:r>
      <w:bookmarkEnd w:id="1"/>
    </w:p>
    <w:p>
      <w:pPr>
        <w:pStyle w:val="TOCEntry"/>
        <w:tabs>
          <w:tab w:pos="9504" w:val="right"/>
        </w:tabs>
      </w:pPr>
      <w:hyperlink w:anchor="section_1">
        <w:r>
          <w:rPr>
            <w:color w:val="000000"/>
            <w:sz w:val="22"/>
          </w:rPr>
          <w:t>1  Purpose and architectural contract</w:t>
        </w:r>
      </w:hyperlink>
      <w:r>
        <w:tab/>
        <w:t>3</w:t>
      </w:r>
    </w:p>
    <w:p>
      <w:pPr>
        <w:pStyle w:val="TOCEntry"/>
        <w:tabs>
          <w:tab w:pos="9504" w:val="right"/>
        </w:tabs>
      </w:pPr>
      <w:hyperlink w:anchor="section_2">
        <w:r>
          <w:rPr>
            <w:color w:val="000000"/>
            <w:sz w:val="22"/>
          </w:rPr>
          <w:t>2  The distributed kernel and its nodes</w:t>
        </w:r>
      </w:hyperlink>
      <w:r>
        <w:tab/>
        <w:t>4</w:t>
      </w:r>
    </w:p>
    <w:p>
      <w:pPr>
        <w:pStyle w:val="TOCEntry"/>
        <w:tabs>
          <w:tab w:pos="9504" w:val="right"/>
        </w:tabs>
      </w:pPr>
      <w:hyperlink w:anchor="section_3">
        <w:r>
          <w:rPr>
            <w:color w:val="000000"/>
            <w:sz w:val="22"/>
          </w:rPr>
          <w:t>3  References and resident graph structure</w:t>
        </w:r>
      </w:hyperlink>
      <w:r>
        <w:tab/>
        <w:t>5</w:t>
      </w:r>
    </w:p>
    <w:p>
      <w:pPr>
        <w:pStyle w:val="TOCEntry"/>
        <w:tabs>
          <w:tab w:pos="9504" w:val="right"/>
        </w:tabs>
      </w:pPr>
      <w:hyperlink w:anchor="section_4">
        <w:r>
          <w:rPr>
            <w:color w:val="000000"/>
            <w:sz w:val="22"/>
          </w:rPr>
          <w:t>4  The common IR and peripheral semantics</w:t>
        </w:r>
      </w:hyperlink>
      <w:r>
        <w:tab/>
        <w:t>6</w:t>
      </w:r>
    </w:p>
    <w:p>
      <w:pPr>
        <w:pStyle w:val="TOCEntry"/>
        <w:tabs>
          <w:tab w:pos="9504" w:val="right"/>
        </w:tabs>
      </w:pPr>
      <w:hyperlink w:anchor="section_5">
        <w:r>
          <w:rPr>
            <w:color w:val="000000"/>
            <w:sz w:val="22"/>
          </w:rPr>
          <w:t>5  Change activation and distributed execution</w:t>
        </w:r>
      </w:hyperlink>
      <w:r>
        <w:tab/>
        <w:t>7</w:t>
      </w:r>
    </w:p>
    <w:p>
      <w:pPr>
        <w:pStyle w:val="TOCEntry"/>
        <w:tabs>
          <w:tab w:pos="9504" w:val="right"/>
        </w:tabs>
      </w:pPr>
      <w:hyperlink w:anchor="section_6">
        <w:r>
          <w:rPr>
            <w:color w:val="000000"/>
            <w:sz w:val="22"/>
          </w:rPr>
          <w:t>6  A common peer delivery protocol</w:t>
        </w:r>
      </w:hyperlink>
      <w:r>
        <w:tab/>
        <w:t>9</w:t>
      </w:r>
    </w:p>
    <w:p>
      <w:pPr>
        <w:pStyle w:val="TOCEntry"/>
        <w:tabs>
          <w:tab w:pos="9504" w:val="right"/>
        </w:tabs>
      </w:pPr>
      <w:hyperlink w:anchor="section_7">
        <w:r>
          <w:rPr>
            <w:color w:val="000000"/>
            <w:sz w:val="22"/>
          </w:rPr>
          <w:t>7  Adaptive relay bindings and bounded routing state</w:t>
        </w:r>
      </w:hyperlink>
      <w:r>
        <w:tab/>
        <w:t>11</w:t>
      </w:r>
    </w:p>
    <w:p>
      <w:pPr>
        <w:pStyle w:val="TOCEntry"/>
        <w:tabs>
          <w:tab w:pos="9504" w:val="right"/>
        </w:tabs>
      </w:pPr>
      <w:hyperlink w:anchor="section_8">
        <w:r>
          <w:rPr>
            <w:color w:val="000000"/>
            <w:sz w:val="22"/>
          </w:rPr>
          <w:t>8  Safety invariants and conditional watchdogs</w:t>
        </w:r>
      </w:hyperlink>
      <w:r>
        <w:tab/>
        <w:t>12</w:t>
      </w:r>
    </w:p>
    <w:p>
      <w:pPr>
        <w:pStyle w:val="TOCEntry"/>
        <w:tabs>
          <w:tab w:pos="9504" w:val="right"/>
        </w:tabs>
      </w:pPr>
      <w:hyperlink w:anchor="section_9">
        <w:r>
          <w:rPr>
            <w:color w:val="000000"/>
            <w:sz w:val="22"/>
          </w:rPr>
          <w:t>9  Installation replacement and enablement</w:t>
        </w:r>
      </w:hyperlink>
      <w:r>
        <w:tab/>
        <w:t>13</w:t>
      </w:r>
    </w:p>
    <w:p>
      <w:pPr>
        <w:pStyle w:val="TOCEntry"/>
        <w:tabs>
          <w:tab w:pos="9504" w:val="right"/>
        </w:tabs>
      </w:pPr>
      <w:hyperlink w:anchor="section_10">
        <w:r>
          <w:rPr>
            <w:color w:val="000000"/>
            <w:sz w:val="22"/>
          </w:rPr>
          <w:t>10  Persistence reconstruction and recovery</w:t>
        </w:r>
      </w:hyperlink>
      <w:r>
        <w:tab/>
        <w:t>15</w:t>
      </w:r>
    </w:p>
    <w:p>
      <w:pPr>
        <w:pStyle w:val="TOCEntry"/>
        <w:tabs>
          <w:tab w:pos="9504" w:val="right"/>
        </w:tabs>
      </w:pPr>
      <w:hyperlink w:anchor="section_11">
        <w:r>
          <w:rPr>
            <w:color w:val="000000"/>
            <w:sz w:val="22"/>
          </w:rPr>
          <w:t>11  Synthesis admission and continual refinement</w:t>
        </w:r>
      </w:hyperlink>
      <w:r>
        <w:tab/>
        <w:t>16</w:t>
      </w:r>
    </w:p>
    <w:p>
      <w:pPr>
        <w:pStyle w:val="TOCEntry"/>
        <w:tabs>
          <w:tab w:pos="9504" w:val="right"/>
        </w:tabs>
      </w:pPr>
      <w:hyperlink w:anchor="section_12">
        <w:r>
          <w:rPr>
            <w:color w:val="000000"/>
            <w:sz w:val="22"/>
          </w:rPr>
          <w:t>12  Time resources and execution bounds</w:t>
        </w:r>
      </w:hyperlink>
      <w:r>
        <w:tab/>
        <w:t>17</w:t>
      </w:r>
    </w:p>
    <w:p>
      <w:pPr>
        <w:pStyle w:val="TOCEntry"/>
        <w:tabs>
          <w:tab w:pos="9504" w:val="right"/>
        </w:tabs>
      </w:pPr>
      <w:hyperlink w:anchor="section_13">
        <w:r>
          <w:rPr>
            <w:color w:val="000000"/>
            <w:sz w:val="22"/>
          </w:rPr>
          <w:t>13  Trust authorization and operational boundaries</w:t>
        </w:r>
      </w:hyperlink>
      <w:r>
        <w:tab/>
        <w:t>18</w:t>
      </w:r>
    </w:p>
    <w:p>
      <w:pPr>
        <w:pStyle w:val="TOCEntry"/>
        <w:tabs>
          <w:tab w:pos="9504" w:val="right"/>
        </w:tabs>
      </w:pPr>
      <w:hyperlink w:anchor="section_14">
        <w:r>
          <w:rPr>
            <w:color w:val="000000"/>
            <w:sz w:val="22"/>
          </w:rPr>
          <w:t>14  Implementation obligations and verification</w:t>
        </w:r>
      </w:hyperlink>
      <w:r>
        <w:tab/>
        <w:t>19</w:t>
      </w:r>
    </w:p>
    <w:p>
      <w:pPr>
        <w:pStyle w:val="TOCEntry"/>
        <w:tabs>
          <w:tab w:pos="9504" w:val="right"/>
        </w:tabs>
      </w:pPr>
      <w:hyperlink w:anchor="section_15">
        <w:r>
          <w:rPr>
            <w:color w:val="000000"/>
            <w:sz w:val="22"/>
          </w:rPr>
          <w:t>15  Verification scenarios</w:t>
        </w:r>
      </w:hyperlink>
      <w:r>
        <w:tab/>
        <w:t>20</w:t>
      </w:r>
    </w:p>
    <w:p>
      <w:pPr>
        <w:pStyle w:val="TOCEntry"/>
        <w:tabs>
          <w:tab w:pos="9504" w:val="right"/>
        </w:tabs>
      </w:pPr>
      <w:hyperlink w:anchor="section_16">
        <w:r>
          <w:rPr>
            <w:color w:val="000000"/>
            <w:sz w:val="22"/>
          </w:rPr>
          <w:t>16  Research foundations and interpretation</w:t>
        </w:r>
      </w:hyperlink>
      <w:r>
        <w:tab/>
        <w:t>22</w:t>
      </w:r>
    </w:p>
    <w:p>
      <w:pPr>
        <w:pStyle w:val="Heading2"/>
      </w:pPr>
      <w:r>
        <w:t>Reading the contract</w:t>
      </w:r>
    </w:p>
    <w:p>
      <w:r>
        <w:t>Sections 1 through 13 define the architecture and its operational boundaries. Section 14 identifies the remaining implementation obligations. Section 15 states acceptance scenarios. Section 16 identifies relevant research and the limits of what it establishes.</w:t>
      </w:r>
    </w:p>
    <w:p>
      <w:r>
        <w:br w:type="page"/>
      </w:r>
    </w:p>
    <w:p>
      <w:bookmarkStart w:id="2" w:name="section_1"/>
      <w:pPr>
        <w:pStyle w:val="Heading1"/>
        <w:spacing w:before="0"/>
      </w:pPr>
      <w:r>
        <w:t>1  Purpose and architectural contract</w:t>
      </w:r>
      <w:bookmarkEnd w:id="2"/>
    </w:p>
    <w:p>
      <w:pPr>
        <w:keepLines/>
      </w:pPr>
      <w:r>
        <w:t>The objective is a general substrate for distributed physical computation. A home, industrial assembly, instrument network, or machine hosting a language model supplies a particular collection of peripherals and definitions. None changes the fundamental ownership or execution model. A touchscreen, compiler host, scheduler, and actuator are distinguishable by their exposed capabilities, not by exceptions to the peripheral interface.</w:t>
      </w:r>
    </w:p>
    <w:p>
      <w:r>
        <w:t>The implementation is to realize the full architecture. Hardware bring-up and integration may proceed in stages, but each stage implements a permanent component against the complete contracts. Jarvis is a separate application and implementation context; it is not the DRTOS specification, a required intermediate layer, or a proof-of-concept gate. No particular domestic peripheral defines the scope of this system.</w:t>
      </w:r>
    </w:p>
    <w:p>
      <w:pPr>
        <w:pStyle w:val="Heading2"/>
      </w:pPr>
      <w:r>
        <w:t>Status of the specification</w:t>
      </w:r>
    </w:p>
    <w:p>
      <w:r>
        <w:t>Architectural requirements in this paper record the agreed model. Proposed mechanisms are identified where the architecture needs a concrete implementation contract that has not yet been selected. Open obligations are not optional future features: they identify the remaining decisions or proofs required to make the stated architecture dependable. External research supplies useful techniques and limits, not a proof of this particular composition.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Requirement</w:t>
            </w:r>
          </w:p>
        </w:tc>
        <w:tc>
          <w:tcPr>
            <w:tcW w:type="dxa" w:w="6739"/>
            <w:vAlign w:val="center"/>
            <w:shd w:fill="E9EDF0"/>
          </w:tcPr>
          <w:p>
            <w:pPr>
              <w:pStyle w:val="TableText"/>
              <w:keepNext/>
            </w:pPr>
            <w:r>
              <w:rPr>
                <w:b/>
              </w:rPr>
              <w:t>Architectural consequence</w:t>
            </w:r>
          </w:p>
        </w:tc>
      </w:tr>
      <w:tr>
        <w:trPr>
          <w:cantSplit/>
        </w:trPr>
        <w:tc>
          <w:tcPr>
            <w:tcW w:type="dxa" w:w="2909"/>
            <w:vAlign w:val="center"/>
            <w:shd w:fill="FFFFFF"/>
          </w:tcPr>
          <w:p>
            <w:pPr>
              <w:pStyle w:val="TableText"/>
              <w:keepNext w:val="0"/>
            </w:pPr>
            <w:r>
              <w:rPr>
                <w:b w:val="0"/>
              </w:rPr>
              <w:t>Local ownership</w:t>
            </w:r>
          </w:p>
        </w:tc>
        <w:tc>
          <w:tcPr>
            <w:tcW w:type="dxa" w:w="6739"/>
            <w:vAlign w:val="center"/>
            <w:shd w:fill="FFFFFF"/>
          </w:tcPr>
          <w:p>
            <w:pPr>
              <w:pStyle w:val="TableText"/>
              <w:keepNext w:val="0"/>
            </w:pPr>
            <w:r>
              <w:rPr>
                <w:b w:val="0"/>
              </w:rPr>
              <w:t>A node owns its state and driver. Ordinary execution does not require a replicated image of other nodes or of the entire system.</w:t>
            </w:r>
          </w:p>
        </w:tc>
      </w:tr>
      <w:tr>
        <w:trPr>
          <w:cantSplit/>
        </w:trPr>
        <w:tc>
          <w:tcPr>
            <w:tcW w:type="dxa" w:w="2909"/>
            <w:vAlign w:val="center"/>
            <w:shd w:fill="F7F8F9"/>
          </w:tcPr>
          <w:p>
            <w:pPr>
              <w:pStyle w:val="TableText"/>
              <w:keepNext w:val="0"/>
            </w:pPr>
            <w:r>
              <w:rPr>
                <w:b w:val="0"/>
              </w:rPr>
              <w:t>Change delineation</w:t>
            </w:r>
          </w:p>
        </w:tc>
        <w:tc>
          <w:tcPr>
            <w:tcW w:type="dxa" w:w="6739"/>
            <w:vAlign w:val="center"/>
            <w:shd w:fill="F7F8F9"/>
          </w:tcPr>
          <w:p>
            <w:pPr>
              <w:pStyle w:val="TableText"/>
              <w:keepNext w:val="0"/>
            </w:pPr>
            <w:r>
              <w:rPr>
                <w:b w:val="0"/>
              </w:rPr>
              <w:t>A registered change starts dependent evaluation. There is no global polling cycle over every program.</w:t>
            </w:r>
          </w:p>
        </w:tc>
      </w:tr>
      <w:tr>
        <w:trPr>
          <w:cantSplit/>
        </w:trPr>
        <w:tc>
          <w:tcPr>
            <w:tcW w:type="dxa" w:w="2909"/>
            <w:vAlign w:val="center"/>
            <w:shd w:fill="FFFFFF"/>
          </w:tcPr>
          <w:p>
            <w:pPr>
              <w:pStyle w:val="TableText"/>
              <w:keepNext w:val="0"/>
            </w:pPr>
            <w:r>
              <w:rPr>
                <w:b w:val="0"/>
              </w:rPr>
              <w:t>Graph execution</w:t>
            </w:r>
          </w:p>
        </w:tc>
        <w:tc>
          <w:tcPr>
            <w:tcW w:type="dxa" w:w="6739"/>
            <w:vAlign w:val="center"/>
            <w:shd w:fill="FFFFFF"/>
          </w:tcPr>
          <w:p>
            <w:pPr>
              <w:pStyle w:val="TableText"/>
              <w:keepNext w:val="0"/>
            </w:pPr>
            <w:r>
              <w:rPr>
                <w:b w:val="0"/>
              </w:rPr>
              <w:t>Bindings contain the relationships and predicates. Successful traversal reaches mutation handles directly.</w:t>
            </w:r>
          </w:p>
        </w:tc>
      </w:tr>
      <w:tr>
        <w:trPr>
          <w:cantSplit/>
        </w:trPr>
        <w:tc>
          <w:tcPr>
            <w:tcW w:type="dxa" w:w="2909"/>
            <w:vAlign w:val="center"/>
            <w:shd w:fill="F7F8F9"/>
          </w:tcPr>
          <w:p>
            <w:pPr>
              <w:pStyle w:val="TableText"/>
              <w:keepNext w:val="0"/>
            </w:pPr>
            <w:r>
              <w:rPr>
                <w:b w:val="0"/>
              </w:rPr>
              <w:t>Peer operation</w:t>
            </w:r>
          </w:p>
        </w:tc>
        <w:tc>
          <w:tcPr>
            <w:tcW w:type="dxa" w:w="6739"/>
            <w:vAlign w:val="center"/>
            <w:shd w:fill="F7F8F9"/>
          </w:tcPr>
          <w:p>
            <w:pPr>
              <w:pStyle w:val="TableText"/>
              <w:keepNext w:val="0"/>
            </w:pPr>
            <w:r>
              <w:rPr>
                <w:b w:val="0"/>
              </w:rPr>
              <w:t>Execution and forwarding continue through peers without a mandatory router, Internet service, or central executor.</w:t>
            </w:r>
          </w:p>
        </w:tc>
      </w:tr>
      <w:tr>
        <w:trPr>
          <w:cantSplit/>
        </w:trPr>
        <w:tc>
          <w:tcPr>
            <w:tcW w:type="dxa" w:w="2909"/>
            <w:vAlign w:val="center"/>
            <w:shd w:fill="FFFFFF"/>
          </w:tcPr>
          <w:p>
            <w:pPr>
              <w:pStyle w:val="TableText"/>
              <w:keepNext w:val="0"/>
            </w:pPr>
            <w:r>
              <w:rPr>
                <w:b w:val="0"/>
              </w:rPr>
              <w:t>Bounded local resources</w:t>
            </w:r>
          </w:p>
        </w:tc>
        <w:tc>
          <w:tcPr>
            <w:tcW w:type="dxa" w:w="6739"/>
            <w:vAlign w:val="center"/>
            <w:shd w:fill="FFFFFF"/>
          </w:tcPr>
          <w:p>
            <w:pPr>
              <w:pStyle w:val="TableText"/>
              <w:keepNext w:val="0"/>
            </w:pPr>
            <w:r>
              <w:rPr>
                <w:b w:val="0"/>
              </w:rPr>
              <w:t>Kernel traffic uses fixed pools and ring buffers. Relay placement and overload behavior must respect explicit capacity.</w:t>
            </w:r>
          </w:p>
        </w:tc>
      </w:tr>
      <w:tr>
        <w:trPr>
          <w:cantSplit/>
        </w:trPr>
        <w:tc>
          <w:tcPr>
            <w:tcW w:type="dxa" w:w="2909"/>
            <w:vAlign w:val="center"/>
            <w:shd w:fill="F7F8F9"/>
          </w:tcPr>
          <w:p>
            <w:pPr>
              <w:pStyle w:val="TableText"/>
              <w:keepNext w:val="0"/>
            </w:pPr>
            <w:r>
              <w:rPr>
                <w:b w:val="0"/>
              </w:rPr>
              <w:t>Explicit semantics</w:t>
            </w:r>
          </w:p>
        </w:tc>
        <w:tc>
          <w:tcPr>
            <w:tcW w:type="dxa" w:w="6739"/>
            <w:vAlign w:val="center"/>
            <w:shd w:fill="F7F8F9"/>
          </w:tcPr>
          <w:p>
            <w:pPr>
              <w:pStyle w:val="TableText"/>
              <w:keepNext w:val="0"/>
            </w:pPr>
            <w:r>
              <w:rPr>
                <w:b w:val="0"/>
              </w:rPr>
              <w:t>Safety, arithmetic, lifecycle, and temporal behavior come from declared contracts. The substrate does not infer domain policy.</w:t>
            </w:r>
          </w:p>
        </w:tc>
      </w:tr>
      <w:tr>
        <w:trPr>
          <w:cantSplit/>
        </w:trPr>
        <w:tc>
          <w:tcPr>
            <w:tcW w:type="dxa" w:w="2909"/>
            <w:vAlign w:val="center"/>
            <w:shd w:fill="FFFFFF"/>
          </w:tcPr>
          <w:p>
            <w:pPr>
              <w:pStyle w:val="TableText"/>
              <w:keepNext w:val="0"/>
            </w:pPr>
            <w:r>
              <w:rPr>
                <w:b w:val="0"/>
              </w:rPr>
              <w:t>Independent changes</w:t>
            </w:r>
          </w:p>
        </w:tc>
        <w:tc>
          <w:tcPr>
            <w:tcW w:type="dxa" w:w="6739"/>
            <w:vAlign w:val="center"/>
            <w:shd w:fill="FFFFFF"/>
          </w:tcPr>
          <w:p>
            <w:pPr>
              <w:pStyle w:val="TableText"/>
              <w:keepNext w:val="0"/>
            </w:pPr>
            <w:r>
              <w:rPr>
                <w:b w:val="0"/>
              </w:rPr>
              <w:t>A later ordinary change initiates another traversal. It does not retroactively cancel a decision already propagated.</w:t>
            </w:r>
          </w:p>
        </w:tc>
      </w:tr>
      <w:tr>
        <w:trPr>
          <w:cantSplit/>
        </w:trPr>
        <w:tc>
          <w:tcPr>
            <w:tcW w:type="dxa" w:w="2909"/>
            <w:vAlign w:val="center"/>
            <w:shd w:fill="F7F8F9"/>
          </w:tcPr>
          <w:p>
            <w:pPr>
              <w:pStyle w:val="TableText"/>
              <w:keepNext w:val="0"/>
            </w:pPr>
            <w:r>
              <w:rPr>
                <w:b w:val="0"/>
              </w:rPr>
              <w:t>Complete implementation scope</w:t>
            </w:r>
          </w:p>
        </w:tc>
        <w:tc>
          <w:tcPr>
            <w:tcW w:type="dxa" w:w="6739"/>
            <w:vAlign w:val="center"/>
            <w:shd w:fill="F7F8F9"/>
          </w:tcPr>
          <w:p>
            <w:pPr>
              <w:pStyle w:val="TableText"/>
              <w:keepNext w:val="0"/>
            </w:pPr>
            <w:r>
              <w:rPr>
                <w:b w:val="0"/>
              </w:rPr>
              <w:t>Persistence, replacement, faults, and verification belong to the implementation baseline, not a later rewrite.</w:t>
            </w:r>
          </w:p>
        </w:tc>
      </w:tr>
    </w:tbl>
    <w:p>
      <w:pPr>
        <w:spacing w:after="60" w:before="0" w:line="240" w:lineRule="auto"/>
      </w:pPr>
      <w:r>
        <w:rPr>
          <w:sz w:val="4"/>
        </w:rPr>
      </w:r>
    </w:p>
    <w:p>
      <w:r>
        <w:t>Lattice is neither an entity-component system nor a virtual machine that maintains a second version of the physical world. Its IR and execution machinery describe and traverse relationships among existing state locations and available operations. Local schedulers and communication buffers remain necessary implementation mechanisms; they do not create a central queue of successfully evaluated mutation tails.</w:t>
      </w:r>
    </w:p>
    <w:p>
      <w:bookmarkStart w:id="3" w:name="section_2"/>
      <w:pPr>
        <w:pStyle w:val="Heading1"/>
      </w:pPr>
      <w:r>
        <w:t>2  The distributed kernel and its nodes</w:t>
      </w:r>
      <w:bookmarkEnd w:id="3"/>
    </w:p>
    <w:p>
      <w:pPr>
        <w:keepLines/>
      </w:pPr>
      <w:r>
        <w:t>A node consists of local kernel facilities, one or more driver surfaces, resident graph bindings, and communication endpoints. Its state may be the registers of a directly attached component, the driver-maintained observed surface of a foreign machine, or the internal state of a software peripheral. Driver placement follows the peripheral rather than assuming that every driver lives at an orchestrator.</w:t>
      </w:r>
    </w:p>
    <w:p>
      <w:r>
        <w:t>The local kernel handles interrupts, bounded task execution, local timers, binding dispatch, communication, installation, and fault response. The distributed kernel is the composition of those local mechanisms and their protocol. There is no additional machine that must possess the full current state in order for a predicate or mutation to execute.</w:t>
      </w:r>
    </w:p>
    <w:p>
      <w:pPr>
        <w:keepNext/>
        <w:spacing w:before="100" w:after="60"/>
        <w:jc w:val="center"/>
      </w:pPr>
      <w:r>
        <w:drawing>
          <wp:inline xmlns:a="http://schemas.openxmlformats.org/drawingml/2006/main" xmlns:pic="http://schemas.openxmlformats.org/drawingml/2006/picture">
            <wp:extent cx="6035040" cy="3154680"/>
            <wp:docPr id="1" name="Picture 1" descr="Node ownership and cross-node bindings. Each node retains its own state and executable fragments. A compiler peer installs relationships without becoming their runtime forwarding path."/>
            <wp:cNvGraphicFramePr>
              <a:graphicFrameLocks noChangeAspect="1"/>
            </wp:cNvGraphicFramePr>
            <a:graphic>
              <a:graphicData uri="http://schemas.openxmlformats.org/drawingml/2006/picture">
                <pic:pic>
                  <pic:nvPicPr>
                    <pic:cNvPr id="0" name="ownership.png"/>
                    <pic:cNvPicPr/>
                  </pic:nvPicPr>
                  <pic:blipFill>
                    <a:blip r:embed="rId10"/>
                    <a:stretch>
                      <a:fillRect/>
                    </a:stretch>
                  </pic:blipFill>
                  <pic:spPr>
                    <a:xfrm>
                      <a:off x="0" y="0"/>
                      <a:ext cx="6035040" cy="3154680"/>
                    </a:xfrm>
                    <a:prstGeom prst="rect"/>
                  </pic:spPr>
                </pic:pic>
              </a:graphicData>
            </a:graphic>
          </wp:inline>
        </w:drawing>
      </w:r>
    </w:p>
    <w:p>
      <w:pPr>
        <w:pStyle w:val="CaptionText"/>
      </w:pPr>
      <w:r>
        <w:t>Figure 1. Node ownership and cross-node bindings. Each node retains its own state and executable fragments. A compiler peer installs relationships without becoming their runtime forwarding path.</w:t>
      </w:r>
    </w:p>
    <w:p>
      <w:pPr>
        <w:pStyle w:val="Heading2"/>
      </w:pPr>
      <w:r>
        <w:t>The compiler and delegate peer</w:t>
      </w:r>
    </w:p>
    <w:p>
      <w:r>
        <w:t>A specialized peer may host the IR toolchain, solver, optimizer, persistent source definitions, and installation delegate. It can hold the model of an entire program and the definitions needed to establish admission. That is different from maintaining a continuously reconciled copy of every peripheral register. Once installed, resident programs execute through their own bindings; ordinary execution must not require the compiler peer to relay each activation or approve each action.</w:t>
      </w:r>
    </w:p>
    <w:p>
      <w:r>
        <w:t>Deployment may send addressed fragments or broadcast a compiled installation package whose relevant fragments are selected by their intended owners. Both mechanisms must establish the same installation and compatibility evidence. Replication or migration of the compiler role is possible, but its coordination protocol has not been selected. Compiler unavailability prevents work that requires that service, such as a new admission; it does not by itself invalidate an already installed program.</w:t>
      </w:r>
    </w:p>
    <w:p>
      <w:pPr>
        <w:pStyle w:val="Heading2"/>
      </w:pPr>
      <w:r>
        <w:t>Local driver responsibility</w:t>
      </w:r>
    </w:p>
    <w:p>
      <w:r>
        <w:t>A driver exposes typed state references, callable mutation handles, transition semantics, safety declarations, and change or error signals through a common interface. It is a thin, deliberately implemented encapsulation of the peripheral. It registers observed state changes only after its exposed state reflects the observation. It does not announce a desired result as though that result had already occurred.</w:t>
      </w:r>
    </w:p>
    <w:p>
      <w:r>
        <w:t>Invoking a mutation registers the desired change with that driver. The driver then attempts to realize and observe the result using its peripheral protocol. An observed state transition raises the ordinary change signal; inability to effect or observe the requested change raises the declared error. The evaluator does not repeatedly audit the driver after invocation. Other evaluations occur when another dependency changes or an explicitly authored trigger fires.</w:t>
      </w:r>
    </w:p>
    <w:p>
      <w:r>
        <w:t>Matter is one possible local peripheral protocol. It is not the inter-node language of the distributed kernel. A node can expose a Matter operation through its typed IR binding while another node exposes a GPIO operation, a motion controller, or a software function through the same architectural interface.</w:t>
      </w:r>
    </w:p>
    <w:p>
      <w:bookmarkStart w:id="4" w:name="section_3"/>
      <w:pPr>
        <w:pStyle w:val="Heading1"/>
      </w:pPr>
      <w:r>
        <w:t>3  References and resident graph structure</w:t>
      </w:r>
      <w:bookmarkEnd w:id="4"/>
    </w:p>
    <w:p>
      <w:pPr>
        <w:keepLines/>
      </w:pPr>
      <w:r>
        <w:t>A binding is an attachment to an already existing state location, operation, or relay slot. The graph stores the relationships among those attachments. Enumeration reveals the surface and makes its bindings available; it does not manufacture a second object model of the peripheral.</w:t>
      </w:r>
    </w:p>
    <w:p>
      <w:r>
        <w:t>Within a node, an attachment can resolve to a direct memory reference or function pointer. Across nodes, a reference must identify an owning peer and a binding within that peer. A foreign address is never dereferenced as local RAM. This distinction is an addressing requirement of separated machines, not a requirement for a registry of copied peripheral entities.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Resident information</w:t>
            </w:r>
          </w:p>
        </w:tc>
        <w:tc>
          <w:tcPr>
            <w:tcW w:type="dxa" w:w="6739"/>
            <w:vAlign w:val="center"/>
            <w:shd w:fill="E9EDF0"/>
          </w:tcPr>
          <w:p>
            <w:pPr>
              <w:pStyle w:val="TableText"/>
              <w:keepNext/>
            </w:pPr>
            <w:r>
              <w:rPr>
                <w:b/>
              </w:rPr>
              <w:t>Purpose</w:t>
            </w:r>
          </w:p>
        </w:tc>
      </w:tr>
      <w:tr>
        <w:trPr>
          <w:cantSplit/>
        </w:trPr>
        <w:tc>
          <w:tcPr>
            <w:tcW w:type="dxa" w:w="2909"/>
            <w:vAlign w:val="center"/>
            <w:shd w:fill="FFFFFF"/>
          </w:tcPr>
          <w:p>
            <w:pPr>
              <w:pStyle w:val="TableText"/>
              <w:keepNext w:val="0"/>
            </w:pPr>
            <w:r>
              <w:rPr>
                <w:b w:val="0"/>
              </w:rPr>
              <w:t>Local attribute or mutation reference</w:t>
            </w:r>
          </w:p>
        </w:tc>
        <w:tc>
          <w:tcPr>
            <w:tcW w:type="dxa" w:w="6739"/>
            <w:vAlign w:val="center"/>
            <w:shd w:fill="FFFFFF"/>
          </w:tcPr>
          <w:p>
            <w:pPr>
              <w:pStyle w:val="TableText"/>
              <w:keepNext w:val="0"/>
            </w:pPr>
            <w:r>
              <w:rPr>
                <w:b w:val="0"/>
              </w:rPr>
              <w:t>Connect an edge to the state or callable handle already owned by the node.</w:t>
            </w:r>
          </w:p>
        </w:tc>
      </w:tr>
      <w:tr>
        <w:trPr>
          <w:cantSplit/>
        </w:trPr>
        <w:tc>
          <w:tcPr>
            <w:tcW w:type="dxa" w:w="2909"/>
            <w:vAlign w:val="center"/>
            <w:shd w:fill="F7F8F9"/>
          </w:tcPr>
          <w:p>
            <w:pPr>
              <w:pStyle w:val="TableText"/>
              <w:keepNext w:val="0"/>
            </w:pPr>
            <w:r>
              <w:rPr>
                <w:b w:val="0"/>
              </w:rPr>
              <w:t>Local predicate and value operations</w:t>
            </w:r>
          </w:p>
        </w:tc>
        <w:tc>
          <w:tcPr>
            <w:tcW w:type="dxa" w:w="6739"/>
            <w:vAlign w:val="center"/>
            <w:shd w:fill="F7F8F9"/>
          </w:tcPr>
          <w:p>
            <w:pPr>
              <w:pStyle w:val="TableText"/>
              <w:keepNext w:val="0"/>
            </w:pPr>
            <w:r>
              <w:rPr>
                <w:b w:val="0"/>
              </w:rPr>
              <w:t>Define the local test, value transfer, branch, or invocation associated with the binding.</w:t>
            </w:r>
          </w:p>
        </w:tc>
      </w:tr>
      <w:tr>
        <w:trPr>
          <w:cantSplit/>
        </w:trPr>
        <w:tc>
          <w:tcPr>
            <w:tcW w:type="dxa" w:w="2909"/>
            <w:vAlign w:val="center"/>
            <w:shd w:fill="FFFFFF"/>
          </w:tcPr>
          <w:p>
            <w:pPr>
              <w:pStyle w:val="TableText"/>
              <w:keepNext w:val="0"/>
            </w:pPr>
            <w:r>
              <w:rPr>
                <w:b w:val="0"/>
              </w:rPr>
              <w:t>Directed neighbor references</w:t>
            </w:r>
          </w:p>
        </w:tc>
        <w:tc>
          <w:tcPr>
            <w:tcW w:type="dxa" w:w="6739"/>
            <w:vAlign w:val="center"/>
            <w:shd w:fill="FFFFFF"/>
          </w:tcPr>
          <w:p>
            <w:pPr>
              <w:pStyle w:val="TableText"/>
              <w:keepNext w:val="0"/>
            </w:pPr>
            <w:r>
              <w:rPr>
                <w:b w:val="0"/>
              </w:rPr>
              <w:t>Identify the next semantic binding and the upstream activation relationship toward a program head.</w:t>
            </w:r>
          </w:p>
        </w:tc>
      </w:tr>
      <w:tr>
        <w:trPr>
          <w:cantSplit/>
        </w:trPr>
        <w:tc>
          <w:tcPr>
            <w:tcW w:type="dxa" w:w="2909"/>
            <w:vAlign w:val="center"/>
            <w:shd w:fill="F7F8F9"/>
          </w:tcPr>
          <w:p>
            <w:pPr>
              <w:pStyle w:val="TableText"/>
              <w:keepNext w:val="0"/>
            </w:pPr>
            <w:r>
              <w:rPr>
                <w:b w:val="0"/>
              </w:rPr>
              <w:t>Program revision association</w:t>
            </w:r>
          </w:p>
        </w:tc>
        <w:tc>
          <w:tcPr>
            <w:tcW w:type="dxa" w:w="6739"/>
            <w:vAlign w:val="center"/>
            <w:shd w:fill="F7F8F9"/>
          </w:tcPr>
          <w:p>
            <w:pPr>
              <w:pStyle w:val="TableText"/>
              <w:keepNext w:val="0"/>
            </w:pPr>
            <w:r>
              <w:rPr>
                <w:b w:val="0"/>
              </w:rPr>
              <w:t>Keep each admitted traversal on compatible installed fragments during replacement.</w:t>
            </w:r>
          </w:p>
        </w:tc>
      </w:tr>
      <w:tr>
        <w:trPr>
          <w:cantSplit/>
        </w:trPr>
        <w:tc>
          <w:tcPr>
            <w:tcW w:type="dxa" w:w="2909"/>
            <w:vAlign w:val="center"/>
            <w:shd w:fill="FFFFFF"/>
          </w:tcPr>
          <w:p>
            <w:pPr>
              <w:pStyle w:val="TableText"/>
              <w:keepNext w:val="0"/>
            </w:pPr>
            <w:r>
              <w:rPr>
                <w:b w:val="0"/>
              </w:rPr>
              <w:t>Optional relay binding</w:t>
            </w:r>
          </w:p>
        </w:tc>
        <w:tc>
          <w:tcPr>
            <w:tcW w:type="dxa" w:w="6739"/>
            <w:vAlign w:val="center"/>
            <w:shd w:fill="FFFFFF"/>
          </w:tcPr>
          <w:p>
            <w:pPr>
              <w:pStyle w:val="TableText"/>
              <w:keepNext w:val="0"/>
            </w:pPr>
            <w:r>
              <w:rPr>
                <w:b w:val="0"/>
              </w:rPr>
              <w:t>Represent an established communication path without changing the program predicate.</w:t>
            </w:r>
          </w:p>
        </w:tc>
      </w:tr>
      <w:tr>
        <w:trPr>
          <w:cantSplit/>
        </w:trPr>
        <w:tc>
          <w:tcPr>
            <w:tcW w:type="dxa" w:w="2909"/>
            <w:vAlign w:val="center"/>
            <w:shd w:fill="F7F8F9"/>
          </w:tcPr>
          <w:p>
            <w:pPr>
              <w:pStyle w:val="TableText"/>
              <w:keepNext w:val="0"/>
            </w:pPr>
            <w:r>
              <w:rPr>
                <w:b w:val="0"/>
              </w:rPr>
              <w:t>Optional safety and watchdog slot</w:t>
            </w:r>
          </w:p>
        </w:tc>
        <w:tc>
          <w:tcPr>
            <w:tcW w:type="dxa" w:w="6739"/>
            <w:vAlign w:val="center"/>
            <w:shd w:fill="F7F8F9"/>
          </w:tcPr>
          <w:p>
            <w:pPr>
              <w:pStyle w:val="TableText"/>
              <w:keepNext w:val="0"/>
            </w:pPr>
            <w:r>
              <w:rPr>
                <w:b w:val="0"/>
              </w:rPr>
              <w:t>Declare fault behavior and retain the bounded state needed while a protected condition is open.</w:t>
            </w:r>
          </w:p>
        </w:tc>
      </w:tr>
      <w:tr>
        <w:trPr>
          <w:cantSplit/>
        </w:trPr>
        <w:tc>
          <w:tcPr>
            <w:tcW w:type="dxa" w:w="2909"/>
            <w:vAlign w:val="center"/>
            <w:shd w:fill="FFFFFF"/>
          </w:tcPr>
          <w:p>
            <w:pPr>
              <w:pStyle w:val="TableText"/>
              <w:keepNext w:val="0"/>
            </w:pPr>
            <w:r>
              <w:rPr>
                <w:b w:val="0"/>
              </w:rPr>
              <w:t>Head enablement</w:t>
            </w:r>
          </w:p>
        </w:tc>
        <w:tc>
          <w:tcPr>
            <w:tcW w:type="dxa" w:w="6739"/>
            <w:vAlign w:val="center"/>
            <w:shd w:fill="FFFFFF"/>
          </w:tcPr>
          <w:p>
            <w:pPr>
              <w:pStyle w:val="TableText"/>
              <w:keepNext w:val="0"/>
            </w:pPr>
            <w:r>
              <w:rPr>
                <w:b w:val="0"/>
              </w:rPr>
              <w:t>Make admission eligibility resident in the graph rather than an external AutomationID lookup table.</w:t>
            </w:r>
          </w:p>
        </w:tc>
      </w:tr>
    </w:tbl>
    <w:p>
      <w:pPr>
        <w:spacing w:after="60" w:before="0" w:line="240" w:lineRule="auto"/>
      </w:pPr>
      <w:r>
        <w:rPr>
          <w:sz w:val="4"/>
        </w:rPr>
      </w:r>
    </w:p>
    <w:p>
      <w:r>
        <w:t>These are logical requirements, not a demand for heap-allocated objects or one large structure at every attachment. Concrete layouts may use fixed arrays, compact indices, unions, and references to shared immutable definitions. An attribute participating in several programs retains the corresponding relationships; no single node has to store the complete executable.</w:t>
      </w:r>
    </w:p>
    <w:p>
      <w:pPr>
        <w:pStyle w:val="Heading2"/>
      </w:pPr>
      <w:r>
        <w:t>Semantic and communication paths</w:t>
      </w:r>
    </w:p>
    <w:p>
      <w:r>
        <w:t>A semantic edge connects the program bindings whose relationship matters to evaluation. A communication path may include additional relay bindings that carry the activation between them. Removing relay-only vertices from a path must recover the same semantic relationship. A relay must not silently become an extra predicate, alter a retained operand, or substitute for an unavailable state owner.</w:t>
      </w:r>
    </w:p>
    <w:p>
      <w:r>
        <w:t>The graph can contain branches and multiple dependencies even when one particular traversal is serial. Each node therefore needs explicit directional references for the edges it owns. An XOR-linked representation is an optional local packing technique, not the semantic definition of the graph or a promise that raw pointers can cross machines. Its suitability depends on branching, reconstruction, and the required direction of traversal.</w:t>
      </w:r>
    </w:p>
    <w:p>
      <w:pPr>
        <w:pStyle w:val="Heading2"/>
      </w:pPr>
      <w:r>
        <w:t>Durable identity and runtime address</w:t>
      </w:r>
    </w:p>
    <w:p>
      <w:r>
        <w:t>A saved memory reference can serve as an identity after shutdown. On reconstruction, manual graph traversal establishes the correspondence between saved identities and new local addresses and fixes each relationship. A multi-node reference adds the owning node's identity to this reconstruction domain. Boot, replacement, and slot reuse must distinguish a new binding incarnation from delayed traffic for its previous occupant. The compact encoding and reuse bounds remain an ABI obligation.</w:t>
      </w:r>
    </w:p>
    <w:p>
      <w:bookmarkStart w:id="5" w:name="section_4"/>
      <w:pPr>
        <w:pStyle w:val="Heading1"/>
      </w:pPr>
      <w:r>
        <w:t>4  The common IR and peripheral semantics</w:t>
      </w:r>
      <w:bookmarkEnd w:id="5"/>
    </w:p>
    <w:p>
      <w:pPr>
        <w:keepLines/>
      </w:pPr>
      <w:r>
        <w:t>The common intermediate representation (IR) defines typed state, arithmetic, comparisons, Boolean composition, operation effects, and invariants. Appliance implementors supply the mathematical meaning of their native state and functions, not the automations that will later use them. Compilation connects owner-local predicates, value calculations and native mutation endpoints through resident graph edges. Definitions supplied after firmware compilation select and bind the kernel's native primitives; they do not require a firmware-authored Rust evaluator for each automation. The common IR is not an interpreter hosted on every vertex. The concrete resident-record and loading ABI still requires design.</w:t>
      </w:r>
    </w:p>
    <w:p>
      <w:r>
        <w:t>Definitions are composed from the language's primitives rather than added as new domain-specific opcodes. Duration, duty fraction, warmth, illumination preference, or a learned intent score belongs in definitions authored using the IR. A reusable duration definition receives the relevant scope; separate compiler features for television duration and diffuser duration would violate that abstraction. Definitions are submitted as typed structured data or compiled artifacts, not strings that the kernel reparses as ad hoc source.</w:t>
      </w:r>
    </w:p>
    <w:p>
      <w:r>
        <w:t>There is no privileged tablet SDK. A tablet is an ordinary peripheral with a relatively broad surface. An authenticated binding can connect a user action directly to an authorized mutation handle. A language model may contribute structured intent definitions through the same mechanism. Authentication, admission, and safety still apply to those contributions; a natural-language interpretation does not become an unchecked executable.</w:t>
      </w:r>
    </w:p>
    <w:p>
      <w:pPr>
        <w:pStyle w:val="Heading2"/>
      </w:pPr>
      <w:r>
        <w:t>Multiple effects from one invocation</w:t>
      </w:r>
    </w:p>
    <w:p>
      <w:r>
        <w:t>One function can affect several attributes. Its semantic mapping must express a joint transition relation over the affected state, with all per-attribute effect definitions referring to the appropriate common input state and command arguments. A tuple of references to per-attribute transition definitions is a suitable compositional representation if the mapping also preserves their coupling, execution guards, and which unaffected attributes remain unchanged.</w:t>
      </w:r>
    </w:p>
    <w:p>
      <w:r>
        <w:t>For example, a command that changes both power and level must not be modeled as two independently selectable effects. The solver chooses the command once and reasons over its complete declared transition. That mathematical relation does not imply an atomic physical transition or simultaneous reports from the device. Delays, guards, failure outcomes, and observation behavior are part of the supplied model where relevant. The driver still owns actual convergence.</w:t>
      </w:r>
    </w:p>
    <w:p>
      <w:pPr>
        <w:pStyle w:val="Heading2"/>
      </w:pPr>
      <w:r>
        <w:t>Portable arithmetic</w:t>
      </w:r>
    </w:p>
    <w:p>
      <w:r>
        <w:t>Numeric widths belong to the IR and are independent of the host machine. Addition, subtraction, and multiplication wrap at the declared width. Signed values use two's-complement interpretation. Checking, saturation, fixed-point scaling, wider intermediates, and alternative rounding are authored explicitly when required. These are retained language decisions, not unspecified host-language behavior.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Division case</w:t>
            </w:r>
          </w:p>
        </w:tc>
        <w:tc>
          <w:tcPr>
            <w:tcW w:type="dxa" w:w="6739"/>
            <w:vAlign w:val="center"/>
            <w:shd w:fill="E9EDF0"/>
          </w:tcPr>
          <w:p>
            <w:pPr>
              <w:pStyle w:val="TableText"/>
              <w:keepNext/>
            </w:pPr>
            <w:r>
              <w:rPr>
                <w:b/>
              </w:rPr>
              <w:t>Required result at width N</w:t>
            </w:r>
          </w:p>
        </w:tc>
      </w:tr>
      <w:tr>
        <w:trPr>
          <w:cantSplit/>
        </w:trPr>
        <w:tc>
          <w:tcPr>
            <w:tcW w:type="dxa" w:w="2909"/>
            <w:vAlign w:val="center"/>
            <w:shd w:fill="FFFFFF"/>
          </w:tcPr>
          <w:p>
            <w:pPr>
              <w:pStyle w:val="TableText"/>
              <w:keepNext w:val="0"/>
            </w:pPr>
            <w:r>
              <w:rPr>
                <w:b w:val="0"/>
              </w:rPr>
              <w:t>Ordinary division</w:t>
            </w:r>
          </w:p>
        </w:tc>
        <w:tc>
          <w:tcPr>
            <w:tcW w:type="dxa" w:w="6739"/>
            <w:vAlign w:val="center"/>
            <w:shd w:fill="FFFFFF"/>
          </w:tcPr>
          <w:p>
            <w:pPr>
              <w:pStyle w:val="TableText"/>
              <w:keepNext w:val="0"/>
            </w:pPr>
            <w:r>
              <w:rPr>
                <w:b w:val="0"/>
              </w:rPr>
              <w:t>Quotient rounded toward zero; a nonzero signed remainder has the dividend's sign.</w:t>
            </w:r>
          </w:p>
        </w:tc>
      </w:tr>
      <w:tr>
        <w:trPr>
          <w:cantSplit/>
        </w:trPr>
        <w:tc>
          <w:tcPr>
            <w:tcW w:type="dxa" w:w="2909"/>
            <w:vAlign w:val="center"/>
            <w:shd w:fill="F7F8F9"/>
          </w:tcPr>
          <w:p>
            <w:pPr>
              <w:pStyle w:val="TableText"/>
              <w:keepNext w:val="0"/>
            </w:pPr>
            <w:r>
              <w:rPr>
                <w:b w:val="0"/>
              </w:rPr>
              <w:t>Zero divisor</w:t>
            </w:r>
          </w:p>
        </w:tc>
        <w:tc>
          <w:tcPr>
            <w:tcW w:type="dxa" w:w="6739"/>
            <w:vAlign w:val="center"/>
            <w:shd w:fill="F7F8F9"/>
          </w:tcPr>
          <w:p>
            <w:pPr>
              <w:pStyle w:val="TableText"/>
              <w:keepNext w:val="0"/>
            </w:pPr>
            <w:r>
              <w:rPr>
                <w:b w:val="0"/>
              </w:rPr>
              <w:t>Quotient has all N bits set; remainder is the original dividend.</w:t>
            </w:r>
          </w:p>
        </w:tc>
      </w:tr>
      <w:tr>
        <w:trPr>
          <w:cantSplit/>
        </w:trPr>
        <w:tc>
          <w:tcPr>
            <w:tcW w:type="dxa" w:w="2909"/>
            <w:vAlign w:val="center"/>
            <w:shd w:fill="FFFFFF"/>
          </w:tcPr>
          <w:p>
            <w:pPr>
              <w:pStyle w:val="TableText"/>
              <w:keepNext w:val="0"/>
            </w:pPr>
            <w:r>
              <w:rPr>
                <w:b w:val="0"/>
              </w:rPr>
              <w:t>Signed minimum divided by minus one</w:t>
            </w:r>
          </w:p>
        </w:tc>
        <w:tc>
          <w:tcPr>
            <w:tcW w:type="dxa" w:w="6739"/>
            <w:vAlign w:val="center"/>
            <w:shd w:fill="FFFFFF"/>
          </w:tcPr>
          <w:p>
            <w:pPr>
              <w:pStyle w:val="TableText"/>
              <w:keepNext w:val="0"/>
            </w:pPr>
            <w:r>
              <w:rPr>
                <w:b w:val="0"/>
              </w:rPr>
              <w:t>Quotient is the signed minimum; remainder is zero.</w:t>
            </w:r>
          </w:p>
        </w:tc>
      </w:tr>
    </w:tbl>
    <w:p>
      <w:pPr>
        <w:spacing w:after="60" w:before="0" w:line="240" w:lineRule="auto"/>
      </w:pPr>
      <w:r>
        <w:rPr>
          <w:sz w:val="4"/>
        </w:rPr>
      </w:r>
    </w:p>
    <w:p>
      <w:r>
        <w:t>The solver and target backend must agree on every operation, including exceptional results. Solver defaults and native instruction behavior are not substitutes for the IR contract. The supported widths, shifts, conversion rules, promotions, calling conventions, and binary encoding still require a complete language and ABI specification.</w:t>
      </w:r>
    </w:p>
    <w:p>
      <w:r>
        <w:t>Each admitted traversal has bounded local work. Continuing behavior is expressed through explicit future activations or state-dependent recurrence. The presence of a scheduler does not by itself prove that the total communicating system lacks unbounded computation. The relevant implementation obligations are bounded resources and progress for admitted operations, not an informal claim about Turing completeness.</w:t>
      </w:r>
    </w:p>
    <w:p>
      <w:bookmarkStart w:id="6" w:name="section_5"/>
      <w:pPr>
        <w:pStyle w:val="Heading1"/>
      </w:pPr>
      <w:r>
        <w:t>5  Change activation and distributed execution</w:t>
      </w:r>
      <w:bookmarkEnd w:id="6"/>
    </w:p>
    <w:p>
      <w:pPr>
        <w:keepLines/>
      </w:pPr>
      <w:r>
        <w:t>A registered change identifies the resident dependency relationships affected by that attribute. For each affected program, activation travels upstream along the installed relationships toward its head. A target within direct reach can receive the transmission immediately; otherwise peers relay it. Each logical hop uses the same acknowledged delivery rules. Routing upstream activation is not itself a substitute for the program's forward conditional evaluation.</w:t>
      </w:r>
    </w:p>
    <w:p>
      <w:r>
        <w:t>At the enabled head, an admitted activation begins traversal of the installed program revision. Each visited conditional binding reads the appropriate currently exposed local value and evaluates its predicate. A true result advances to the declared next binding; a false result terminates that path or takes the explicitly authored alternative. Values are discarded once no longer needed. There is no global snapshot assembled before evaluation.</w:t>
      </w:r>
    </w:p>
    <w:p>
      <w:pPr>
        <w:keepNext/>
        <w:spacing w:before="100" w:after="60"/>
        <w:jc w:val="center"/>
      </w:pPr>
      <w:r>
        <w:drawing>
          <wp:inline xmlns:a="http://schemas.openxmlformats.org/drawingml/2006/main" xmlns:pic="http://schemas.openxmlformats.org/drawingml/2006/picture">
            <wp:extent cx="6035040" cy="3337560"/>
            <wp:docPr id="2" name="Picture 2" descr="One change activates a program through its upstream relationships. Forward traversal evaluates the program and reaches its mutation binding only along a successful path. Every hop uses the common delivery protocol."/>
            <wp:cNvGraphicFramePr>
              <a:graphicFrameLocks noChangeAspect="1"/>
            </wp:cNvGraphicFramePr>
            <a:graphic>
              <a:graphicData uri="http://schemas.openxmlformats.org/drawingml/2006/picture">
                <pic:pic>
                  <pic:nvPicPr>
                    <pic:cNvPr id="0" name="traversal.png"/>
                    <pic:cNvPicPr/>
                  </pic:nvPicPr>
                  <pic:blipFill>
                    <a:blip r:embed="rId11"/>
                    <a:stretch>
                      <a:fillRect/>
                    </a:stretch>
                  </pic:blipFill>
                  <pic:spPr>
                    <a:xfrm>
                      <a:off x="0" y="0"/>
                      <a:ext cx="6035040" cy="3337560"/>
                    </a:xfrm>
                    <a:prstGeom prst="rect"/>
                  </pic:spPr>
                </pic:pic>
              </a:graphicData>
            </a:graphic>
          </wp:inline>
        </w:drawing>
      </w:r>
    </w:p>
    <w:p>
      <w:pPr>
        <w:pStyle w:val="CaptionText"/>
      </w:pPr>
      <w:r>
        <w:t>Figure 2. One change activates a program through its upstream relationships. Forward traversal evaluates the program and reaches its mutation binding only along a successful path. Every hop uses the common delivery protocol.</w:t>
      </w:r>
    </w:p>
    <w:p>
      <w:pPr>
        <w:pStyle w:val="Heading2"/>
      </w:pPr>
      <w:r>
        <w:t>The read and write head</w:t>
      </w:r>
    </w:p>
    <w:p>
      <w:r>
        <w:t>The evaluator performs local work along the authored path. An OR branches around its second predicate when the first is true and visits the second when the first is false; an AND reaches the second only after the first is true. The chosen edge carries the Boolean decision, without retaining that decision as another operand. The read/write head carries only values still needed downstream. Each visited owner contributes its local inputs and greedily completes calculations whose inputs have become available; the final input owner sends the most reduced result possible. The mutation owner can pass that result to its native function or finish a calculation requiring its own local state.</w:t>
      </w:r>
    </w:p>
    <w:p>
      <w:r>
        <w:t>The compiler determines the peak live carried values, their widths and byte capacity for the emitted traversal, assigns operand locations and reuses them after their last use. This is neither a universal one-operand limit nor one slot per predicate. For (a - b) * c encountered in that order, one carried location can hold a, then a - b, then (a - b) * c if those intermediates have no later use. Each traversal owns its own working values; overlapping traversals never overwrite one another. Every path reaching an operation must supply its operands, including short-circuit paths. The existing native-call payload limit does not define this head ABI. General concurrent joins require an explicit bounded design and are not implied by serial predicate branching.</w:t>
      </w:r>
    </w:p>
    <w:p>
      <w:pPr>
        <w:pStyle w:val="Heading2"/>
      </w:pPr>
      <w:r>
        <w:t>Mutation and continuation</w:t>
      </w:r>
    </w:p>
    <w:p>
      <w:r>
        <w:t>A successful path reaches a binding to a local mutation handle. The node invokes that function with the computed arguments. There is no central queue holding successful tail pointers while unrelated chains finish. Local processor scheduling or link availability may delay a visit, but a one-condition program does not wait merely because another program has eight conditions.</w:t>
      </w:r>
    </w:p>
    <w:p>
      <w:r>
        <w:t>A mutation can be followed by another directed action edge. The program must specify whether continuation depends on command acceptance, a returned result, or a subsequent observed state change. Receipt of a packet, successful function return, and physical achievement of the desired state are different facts. A physical completion dependency is represented by the relevant observation or declared operation semantics, not inferred from a transport acknowledgement.</w:t>
      </w:r>
    </w:p>
    <w:p>
      <w:r>
        <w:t>As drivers observe resulting state changes, those changes activate their own dependents in the ordinary way. No node needs to know the complete automation to perform its local part. A path reaching its last mutation means that its invocation work has progressed; it is not proof that every physical consequence has already completed.</w:t>
      </w:r>
    </w:p>
    <w:p>
      <w:pPr>
        <w:pStyle w:val="Heading2"/>
      </w:pPr>
      <w:r>
        <w:t>Independent deltas and concurrency</w:t>
      </w:r>
    </w:p>
    <w:p>
      <w:r>
        <w:t>A later change is another valid cause and starts its own dependent traversal, including when that program is already traversing. If it arrives before a predicate is read, the predicate reads the newly exposed local value; if it arrives after the predicate has passed, that decision is not unwound. There is no cancellation, supersession, program-wide atomic execution lock or global barrier waiting for earlier physical effects. Native operations and shared local state retain their ordinary synchronization. Resulting physical observations activate their dependents by the same rule.</w:t>
      </w:r>
    </w:p>
    <w:p>
      <w:r>
        <w:t>Each node serializes access where its local state or mutation interface requires it. Independent paths and independent nodes can execute concurrently. The correctness of a program must not depend on the accidental order in which unrelated paths happen to run; admission and runtime semantics must state any required ordering or interlock.</w:t>
      </w:r>
    </w:p>
    <w:p>
      <w:bookmarkStart w:id="7" w:name="section_6"/>
      <w:pPr>
        <w:pStyle w:val="Heading1"/>
      </w:pPr>
      <w:r>
        <w:t>6  A common peer delivery protocol</w:t>
      </w:r>
      <w:bookmarkEnd w:id="7"/>
    </w:p>
    <w:p>
      <w:pPr>
        <w:keepLines/>
      </w:pPr>
      <w:r>
        <w:t>Broadcast and vector are kernel communication primitives. A broadcast reaches available local recipients and supports discovery, opportunistic forwarding, and repair. A vector addresses a particular binding, possibly through multiple peers. A vector is not a promise of direct radio adjacency. Established relay bindings make its path explicit without requiring the compiler to precompute route permutations.</w:t>
      </w:r>
    </w:p>
    <w:p>
      <w:r>
        <w:t>The same delivery protocol applies to upstream change activation, forward predicate traversal, action traversal, installation control, and safety traffic. Evaluation is not an unreliable exception that may silently disappear after the head receives an activation. Priorities and retry budgets can differ by declared message class without changing what a receipt proves.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Logical message</w:t>
            </w:r>
          </w:p>
        </w:tc>
        <w:tc>
          <w:tcPr>
            <w:tcW w:type="dxa" w:w="6739"/>
            <w:vAlign w:val="center"/>
            <w:shd w:fill="E9EDF0"/>
          </w:tcPr>
          <w:p>
            <w:pPr>
              <w:pStyle w:val="TableText"/>
              <w:keepNext/>
            </w:pPr>
            <w:r>
              <w:rPr>
                <w:b/>
              </w:rPr>
              <w:t>Meaning</w:t>
            </w:r>
          </w:p>
        </w:tc>
      </w:tr>
      <w:tr>
        <w:trPr>
          <w:cantSplit/>
        </w:trPr>
        <w:tc>
          <w:tcPr>
            <w:tcW w:type="dxa" w:w="2909"/>
            <w:vAlign w:val="center"/>
            <w:shd w:fill="FFFFFF"/>
          </w:tcPr>
          <w:p>
            <w:pPr>
              <w:pStyle w:val="TableText"/>
              <w:keepNext w:val="0"/>
            </w:pPr>
            <w:r>
              <w:rPr>
                <w:b w:val="0"/>
              </w:rPr>
              <w:t>DELIVER</w:t>
            </w:r>
          </w:p>
        </w:tc>
        <w:tc>
          <w:tcPr>
            <w:tcW w:type="dxa" w:w="6739"/>
            <w:vAlign w:val="center"/>
            <w:shd w:fill="FFFFFF"/>
          </w:tcPr>
          <w:p>
            <w:pPr>
              <w:pStyle w:val="TableText"/>
              <w:keepNext w:val="0"/>
            </w:pPr>
            <w:r>
              <w:rPr>
                <w:b w:val="0"/>
              </w:rPr>
              <w:t>Addressed work for a target binding and phase, with the traversal identity, revision, bounded payload, and any retained operand.</w:t>
            </w:r>
          </w:p>
        </w:tc>
      </w:tr>
      <w:tr>
        <w:trPr>
          <w:cantSplit/>
        </w:trPr>
        <w:tc>
          <w:tcPr>
            <w:tcW w:type="dxa" w:w="2909"/>
            <w:vAlign w:val="center"/>
            <w:shd w:fill="F7F8F9"/>
          </w:tcPr>
          <w:p>
            <w:pPr>
              <w:pStyle w:val="TableText"/>
              <w:keepNext w:val="0"/>
            </w:pPr>
            <w:r>
              <w:rPr>
                <w:b w:val="0"/>
              </w:rPr>
              <w:t>RECEIVED</w:t>
            </w:r>
          </w:p>
        </w:tc>
        <w:tc>
          <w:tcPr>
            <w:tcW w:type="dxa" w:w="6739"/>
            <w:vAlign w:val="center"/>
            <w:shd w:fill="F7F8F9"/>
          </w:tcPr>
          <w:p>
            <w:pPr>
              <w:pStyle w:val="TableText"/>
              <w:keepNext w:val="0"/>
            </w:pPr>
            <w:r>
              <w:rPr>
                <w:b w:val="0"/>
              </w:rPr>
              <w:t>The named target accepted the specified delivery. Relays may propagate this receipt to suppress outstanding copies.</w:t>
            </w:r>
          </w:p>
        </w:tc>
      </w:tr>
      <w:tr>
        <w:trPr>
          <w:cantSplit/>
        </w:trPr>
        <w:tc>
          <w:tcPr>
            <w:tcW w:type="dxa" w:w="2909"/>
            <w:vAlign w:val="center"/>
            <w:shd w:fill="FFFFFF"/>
          </w:tcPr>
          <w:p>
            <w:pPr>
              <w:pStyle w:val="TableText"/>
              <w:keepNext w:val="0"/>
            </w:pPr>
            <w:r>
              <w:rPr>
                <w:b w:val="0"/>
              </w:rPr>
              <w:t>COMPLETE</w:t>
            </w:r>
          </w:p>
        </w:tc>
        <w:tc>
          <w:tcPr>
            <w:tcW w:type="dxa" w:w="6739"/>
            <w:vAlign w:val="center"/>
            <w:shd w:fill="FFFFFF"/>
          </w:tcPr>
          <w:p>
            <w:pPr>
              <w:pStyle w:val="TableText"/>
              <w:keepNext w:val="0"/>
            </w:pPr>
            <w:r>
              <w:rPr>
                <w:b w:val="0"/>
              </w:rPr>
              <w:t>A declared unit of work has finished, including any child work covered by its accounting contract. This is stronger than receipt.</w:t>
            </w:r>
          </w:p>
        </w:tc>
      </w:tr>
      <w:tr>
        <w:trPr>
          <w:cantSplit/>
        </w:trPr>
        <w:tc>
          <w:tcPr>
            <w:tcW w:type="dxa" w:w="2909"/>
            <w:vAlign w:val="center"/>
            <w:shd w:fill="F7F8F9"/>
          </w:tcPr>
          <w:p>
            <w:pPr>
              <w:pStyle w:val="TableText"/>
              <w:keepNext w:val="0"/>
            </w:pPr>
            <w:r>
              <w:rPr>
                <w:b w:val="0"/>
              </w:rPr>
              <w:t>FAULT</w:t>
            </w:r>
          </w:p>
        </w:tc>
        <w:tc>
          <w:tcPr>
            <w:tcW w:type="dxa" w:w="6739"/>
            <w:vAlign w:val="center"/>
            <w:shd w:fill="F7F8F9"/>
          </w:tcPr>
          <w:p>
            <w:pPr>
              <w:pStyle w:val="TableText"/>
              <w:keepNext w:val="0"/>
            </w:pPr>
            <w:r>
              <w:rPr>
                <w:b w:val="0"/>
              </w:rPr>
              <w:t>A declared execution, availability, resource, or safety condition failed, with the scope and response defined by the binding contract.</w:t>
            </w:r>
          </w:p>
        </w:tc>
      </w:tr>
      <w:tr>
        <w:trPr>
          <w:cantSplit/>
        </w:trPr>
        <w:tc>
          <w:tcPr>
            <w:tcW w:type="dxa" w:w="2909"/>
            <w:vAlign w:val="center"/>
            <w:shd w:fill="FFFFFF"/>
          </w:tcPr>
          <w:p>
            <w:pPr>
              <w:pStyle w:val="TableText"/>
              <w:keepNext w:val="0"/>
            </w:pPr>
            <w:r>
              <w:rPr>
                <w:b w:val="0"/>
              </w:rPr>
              <w:t>HEALTH</w:t>
            </w:r>
          </w:p>
        </w:tc>
        <w:tc>
          <w:tcPr>
            <w:tcW w:type="dxa" w:w="6739"/>
            <w:vAlign w:val="center"/>
            <w:shd w:fill="FFFFFF"/>
          </w:tcPr>
          <w:p>
            <w:pPr>
              <w:pStyle w:val="TableText"/>
              <w:keepNext w:val="0"/>
            </w:pPr>
            <w:r>
              <w:rPr>
                <w:b w:val="0"/>
              </w:rPr>
              <w:t>Fresh evidence for an active safety dependency and protection instance, not merely evidence that a processor is alive.</w:t>
            </w:r>
          </w:p>
        </w:tc>
      </w:tr>
      <w:tr>
        <w:trPr>
          <w:cantSplit/>
        </w:trPr>
        <w:tc>
          <w:tcPr>
            <w:tcW w:type="dxa" w:w="2909"/>
            <w:vAlign w:val="center"/>
            <w:shd w:fill="F7F8F9"/>
          </w:tcPr>
          <w:p>
            <w:pPr>
              <w:pStyle w:val="TableText"/>
              <w:keepNext w:val="0"/>
            </w:pPr>
            <w:r>
              <w:rPr>
                <w:b w:val="0"/>
              </w:rPr>
              <w:t>INSTALL and ACTIVATE</w:t>
            </w:r>
          </w:p>
        </w:tc>
        <w:tc>
          <w:tcPr>
            <w:tcW w:type="dxa" w:w="6739"/>
            <w:vAlign w:val="center"/>
            <w:shd w:fill="F7F8F9"/>
          </w:tcPr>
          <w:p>
            <w:pPr>
              <w:pStyle w:val="TableText"/>
              <w:keepNext w:val="0"/>
            </w:pPr>
            <w:r>
              <w:rPr>
                <w:b w:val="0"/>
              </w:rPr>
              <w:t>Stage and verify a program revision, then change admission eligibility under the installation protocol.</w:t>
            </w:r>
          </w:p>
        </w:tc>
      </w:tr>
    </w:tbl>
    <w:p>
      <w:pPr>
        <w:spacing w:after="60" w:before="0" w:line="240" w:lineRule="auto"/>
      </w:pPr>
      <w:r>
        <w:rPr>
          <w:sz w:val="4"/>
        </w:rPr>
      </w:r>
    </w:p>
    <w:p>
      <w:r>
        <w:t>These names define semantic distinctions, not a frozen packet format or six mandatory wire opcodes. Several may share an envelope or fit in one fixed-size frame. The wire ABI must specify identity, target, message class, revision, payload bounds, authentication, integrity checks, and fragmentation where necessary.</w:t>
      </w:r>
    </w:p>
    <w:p>
      <w:pPr>
        <w:pStyle w:val="Heading2"/>
      </w:pPr>
      <w:r>
        <w:t>Receipts and duplicate suppression</w:t>
      </w:r>
    </w:p>
    <w:p>
      <w:r>
        <w:t>Duplicate suppression is local recognition of a delivery already accepted within the retained identity window. A duplicate need not repeat the predicate or mutation, but can elicit the same receipt so that an earlier lost acknowledgement does not force unnecessary work. Network redundancy suppression is the related process of stopping other copies after learning that the intended target accepted the delivery. A relay's receipt alone does not prove that the semantic target received it.</w:t>
      </w:r>
    </w:p>
    <w:p>
      <w:r>
        <w:t>No network-wide vote or exclusive forwarding authority is required before a recipient progresses. High-priority receipt dissemination can suppress redundant forwarding promptly. Missing receipts must nevertheless have bounded consequences; they cannot justify immortal retry entries. Ring slots, retry limits, identity windows, and eviction are part of the protocol contract, not an unbounded dynamic cache.</w:t>
      </w:r>
    </w:p>
    <w:p>
      <w:r>
        <w:t>The identity must distinguish a new registered change from another copy of the same change and distinguish separate legitimate visits where a graph branches or recurs. Reusing only a program identifier would incorrectly collapse real work. Reusing only a packet identifier without a boot or slot incarnation would allow delayed traffic to address a different object. Exact fields and wrap bounds remain to be specified.</w:t>
      </w:r>
    </w:p>
    <w:p>
      <w:pPr>
        <w:pStyle w:val="Heading2"/>
      </w:pPr>
      <w:r>
        <w:t>Completion and uncertain outcomes</w:t>
      </w:r>
    </w:p>
    <w:p>
      <w:r>
        <w:t>Receipt at the head establishes delivery to that head. It does not prove that all relay traffic is quiet, that the execution has reached its tail, or that the peripheral has reached the desired state. Finite distributed work can use local accounting of spawned work and returned completion signals to establish termination. Dijkstra–Scholten provides a relevant foundation under its stated communication assumptions [1]. Its result must not be claimed for a lossy, rebooting implementation without the additional required protocol.</w:t>
      </w:r>
    </w:p>
    <w:p>
      <w:r>
        <w:t>A target can invoke a function and lose power before its acknowledgement is received. Without durable operation evidence or a suitable operation-specific property, another node cannot infer whether invocation happened [6]. The baseline does not introduce a mutation ledger or promise exactly-once physical effects across arbitrary crashes. The implementation must state its bounded duplicate guarantee and report unresolved outcomes where that guarantee no longer applies. A fresh observation is a fresh change, not evidence that an old request should be replayed.</w:t>
      </w:r>
    </w:p>
    <w:p>
      <w:bookmarkStart w:id="8" w:name="section_7"/>
      <w:pPr>
        <w:pStyle w:val="Heading1"/>
      </w:pPr>
      <w:r>
        <w:t>7  Adaptive relay bindings and bounded routing state</w:t>
      </w:r>
      <w:bookmarkEnd w:id="8"/>
    </w:p>
    <w:p>
      <w:pPr>
        <w:keepLines/>
      </w:pPr>
      <w:r>
        <w:t>Nodes may offer a small fixed pool of relay slots. Three slots per node is the proposed starting capacity for learned relay bindings; it is not a limit on the number of local attributes, semantic edges, or messages in flight, and is not asserted to be optimal for every topology. The capacity is explicit and measurable.</w:t>
      </w:r>
    </w:p>
    <w:p>
      <w:r>
        <w:t>Initially, broadcast and opportunistic relay discover usable paths. Repeated useful traversal supplies evidence about which connections are worth retaining. Preferred paths become resident in relay bindings, so ordinary traffic increasingly follows vectors through established neighbors. Loss of a relay returns the affected path to discovery or repair. Broadcast becomes less prominent as useful connectivity stabilizes; it remains available when that connectivity is insufficient.</w:t>
      </w:r>
    </w:p>
    <w:p>
      <w:pPr>
        <w:pStyle w:val="Heading2"/>
      </w:pPr>
      <w:r>
        <w:t>Weights describe marginal usefulness</w:t>
      </w:r>
    </w:p>
    <w:p>
      <w:r>
        <w:t>A relay weight reflects the benefit of retaining a particular connection under scarce local capacity. Useful evidence includes delivery success, traversal latency, transmissions or energy spent, demand, the quality of alternatives, and replacement cost. The exact formula, quantization, decay, and comparison protocol remain open. Weight is a compact estimate derived from observed use, not a large learned representation or a claim that the network computes a global optimum.</w:t>
      </w:r>
    </w:p>
    <w:p>
      <w:r>
        <w:t>A node retains its most useful bindings. If another available peer can serve a dependency more effectively, traffic can prefer that peer and release the displaced slot once its accepted work has cleared. The relevant value is marginal contribution: a rarely used connection that is the only bridge to a required peer can matter more than another copy of an already excellent route. A local score that ignores alternative reachability can make harmful choices even if its raw success count is high.</w:t>
      </w:r>
    </w:p>
    <w:p>
      <w:r>
        <w:t>Replacement cost and retained evidence should discourage repeated switching between nearly equal choices. The eventual policy must be evaluated for route churn, unfair starvation, loops, and loss of unique bridges. These are properties to establish with the selected weight rule, not reasons to introduce a centralized route owner.</w:t>
      </w:r>
    </w:p>
    <w:p>
      <w:pPr>
        <w:pStyle w:val="Heading2"/>
      </w:pPr>
      <w:r>
        <w:t>Changing a resident path</w:t>
      </w:r>
    </w:p>
    <w:p>
      <w:r>
        <w:t>The implementation must establish that a replacement path is usable before depending on it, direct subsequent traffic through the new binding, and let already accepted work on the old binding finish or reach its declared fault outcome before reusing the slot. This is a local resource transition. It does not require every node to agree on one globally preferred route.</w:t>
      </w:r>
    </w:p>
    <w:p>
      <w:r>
        <w:t>A relay slot is retained path state. A packet-buffer slot is transient delivery state. Evicting a low-value path may be appropriate; erasing a packet after acknowledging responsibility for it is a different operation. The protocol must define what acceptance commits the node to do and how inability to honor that commitment is signaled.</w:t>
      </w:r>
    </w:p>
    <w:p>
      <w:r>
        <w:t>This architecture resembles a neural structure in its local state, conditional propagation, connection seeking, and reinforced pathways. The analogy is useful for the topology. The implementation remains explicit IR, finite storage, messages, and authored safety behavior; biological terminology does not substitute for those contracts. Directed diffusion and dissemination research offer relevant comparisons without dictating the packet or authority model [2, 3].</w:t>
      </w:r>
    </w:p>
    <w:p>
      <w:bookmarkStart w:id="9" w:name="section_8"/>
      <w:pPr>
        <w:pStyle w:val="Heading1"/>
      </w:pPr>
      <w:r>
        <w:t>8  Safety invariants and conditional watchdogs</w:t>
      </w:r>
      <w:bookmarkEnd w:id="9"/>
    </w:p>
    <w:p>
      <w:pPr>
        <w:keepLines/>
      </w:pPr>
      <w:r>
        <w:t>A broken route and a missing semantic dependency are different conditions. Broadcast repair may recover a path to a still available attribute. It cannot supply the value of an attribute whose owner is unavailable. An ordinary conditional does not become true because routing failed. The program must wait, terminate, or follow an explicitly declared alternative. A safety dependency additionally declares the consequence of losing the required observation.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Declared severity</w:t>
            </w:r>
          </w:p>
        </w:tc>
        <w:tc>
          <w:tcPr>
            <w:tcW w:type="dxa" w:w="6739"/>
            <w:vAlign w:val="center"/>
            <w:shd w:fill="E9EDF0"/>
          </w:tcPr>
          <w:p>
            <w:pPr>
              <w:pStyle w:val="TableText"/>
              <w:keepNext/>
            </w:pPr>
            <w:r>
              <w:rPr>
                <w:b/>
              </w:rPr>
              <w:t>Required interpretation</w:t>
            </w:r>
          </w:p>
        </w:tc>
      </w:tr>
      <w:tr>
        <w:trPr>
          <w:cantSplit/>
        </w:trPr>
        <w:tc>
          <w:tcPr>
            <w:tcW w:type="dxa" w:w="2909"/>
            <w:vAlign w:val="center"/>
            <w:shd w:fill="FFFFFF"/>
          </w:tcPr>
          <w:p>
            <w:pPr>
              <w:pStyle w:val="TableText"/>
              <w:keepNext w:val="0"/>
            </w:pPr>
            <w:r>
              <w:rPr>
                <w:b w:val="0"/>
              </w:rPr>
              <w:t>System scope</w:t>
            </w:r>
          </w:p>
        </w:tc>
        <w:tc>
          <w:tcPr>
            <w:tcW w:type="dxa" w:w="6739"/>
            <w:vAlign w:val="center"/>
            <w:shd w:fill="FFFFFF"/>
          </w:tcPr>
          <w:p>
            <w:pPr>
              <w:pStyle w:val="TableText"/>
              <w:keepNext w:val="0"/>
            </w:pPr>
            <w:r>
              <w:rPr>
                <w:b w:val="0"/>
              </w:rPr>
              <w:t>Dispatch the declared emergency response across its intended scope and perform the required local protective action.</w:t>
            </w:r>
          </w:p>
        </w:tc>
      </w:tr>
      <w:tr>
        <w:trPr>
          <w:cantSplit/>
        </w:trPr>
        <w:tc>
          <w:tcPr>
            <w:tcW w:type="dxa" w:w="2909"/>
            <w:vAlign w:val="center"/>
            <w:shd w:fill="F7F8F9"/>
          </w:tcPr>
          <w:p>
            <w:pPr>
              <w:pStyle w:val="TableText"/>
              <w:keepNext w:val="0"/>
            </w:pPr>
            <w:r>
              <w:rPr>
                <w:b w:val="0"/>
              </w:rPr>
              <w:t>Program or device scope</w:t>
            </w:r>
          </w:p>
        </w:tc>
        <w:tc>
          <w:tcPr>
            <w:tcW w:type="dxa" w:w="6739"/>
            <w:vAlign w:val="center"/>
            <w:shd w:fill="F7F8F9"/>
          </w:tcPr>
          <w:p>
            <w:pPr>
              <w:pStyle w:val="TableText"/>
              <w:keepNext w:val="0"/>
            </w:pPr>
            <w:r>
              <w:rPr>
                <w:b w:val="0"/>
              </w:rPr>
              <w:t>Stop or close the affected operation according to its supplied fault definition; preserve unrelated operation where permitted.</w:t>
            </w:r>
          </w:p>
        </w:tc>
      </w:tr>
      <w:tr>
        <w:trPr>
          <w:cantSplit/>
        </w:trPr>
        <w:tc>
          <w:tcPr>
            <w:tcW w:type="dxa" w:w="2909"/>
            <w:vAlign w:val="center"/>
            <w:shd w:fill="FFFFFF"/>
          </w:tcPr>
          <w:p>
            <w:pPr>
              <w:pStyle w:val="TableText"/>
              <w:keepNext w:val="0"/>
            </w:pPr>
            <w:r>
              <w:rPr>
                <w:b w:val="0"/>
              </w:rPr>
              <w:t>Warning with degraded operation</w:t>
            </w:r>
          </w:p>
        </w:tc>
        <w:tc>
          <w:tcPr>
            <w:tcW w:type="dxa" w:w="6739"/>
            <w:vAlign w:val="center"/>
            <w:shd w:fill="FFFFFF"/>
          </w:tcPr>
          <w:p>
            <w:pPr>
              <w:pStyle w:val="TableText"/>
              <w:keepNext w:val="0"/>
            </w:pPr>
            <w:r>
              <w:rPr>
                <w:b w:val="0"/>
              </w:rPr>
              <w:t>Continue only under an explicitly permitted degraded mode and emit the declared administrator notification.</w:t>
            </w:r>
          </w:p>
        </w:tc>
      </w:tr>
    </w:tbl>
    <w:p>
      <w:pPr>
        <w:spacing w:after="60" w:before="0" w:line="240" w:lineRule="auto"/>
      </w:pPr>
      <w:r>
        <w:rPr>
          <w:sz w:val="4"/>
        </w:rPr>
      </w:r>
    </w:p>
    <w:p>
      <w:r>
        <w:t>The kernel dispatches declared responses. It does not invent a policy after a node disappears. A known false safety predicate is distinct from an unavailable safety observation, and a warning designation must not silently authorize a known violation of a hard invariant. A system-level panic can require continued communication and actuation to reach a safe state; it does not necessarily mean freezing every processor.</w:t>
      </w:r>
    </w:p>
    <w:p>
      <w:pPr>
        <w:pStyle w:val="Heading2"/>
      </w:pPr>
      <w:r>
        <w:t>Protection exists while the state is open</w:t>
      </w:r>
    </w:p>
    <w:p>
      <w:r>
        <w:t>Some invariants matter only while a particular state remains open. Such an invariant edge owns or references a watchdog slot. Entering the protected state activates the health obligation from the safety owner and the local expiration mechanism at the protected node. The exact order must ensure that the state cannot become open without the required protection being established.</w:t>
      </w:r>
    </w:p>
    <w:p>
      <w:r>
        <w:t>Health must attest to the relevant invariant for the current protection instance. A processor-alive message or a delayed health packet from an earlier opening is insufficient. A reported false condition takes the declared violation path; missing health by the local deadline takes the declared unavailability path. Local timers supply the bound. A synchronized wall clock is not required.</w:t>
      </w:r>
    </w:p>
    <w:p>
      <w:r>
        <w:t>As soon as the protected state is observed closed, that protection instance stops requiring health and releases its active watchdog use. There is no arbitrary post-closure heartbeat period. Merely issuing the close command is not closure. If the actuator remains open because the command failed, the safety obligation remains active.</w:t>
      </w:r>
    </w:p>
    <w:p>
      <w:pPr>
        <w:keepNext/>
        <w:spacing w:before="100" w:after="60"/>
        <w:jc w:val="center"/>
      </w:pPr>
      <w:r>
        <w:drawing>
          <wp:inline xmlns:a="http://schemas.openxmlformats.org/drawingml/2006/main" xmlns:pic="http://schemas.openxmlformats.org/drawingml/2006/picture">
            <wp:extent cx="6035040" cy="3246120"/>
            <wp:docPr id="3" name="Picture 3" descr="Conditional protection follows the observed open state. An outstanding close command does not establish closure. A fault response can continue driving closure while protection remains required."/>
            <wp:cNvGraphicFramePr>
              <a:graphicFrameLocks noChangeAspect="1"/>
            </wp:cNvGraphicFramePr>
            <a:graphic>
              <a:graphicData uri="http://schemas.openxmlformats.org/drawingml/2006/picture">
                <pic:pic>
                  <pic:nvPicPr>
                    <pic:cNvPr id="0" name="watchdog.png"/>
                    <pic:cNvPicPr/>
                  </pic:nvPicPr>
                  <pic:blipFill>
                    <a:blip r:embed="rId12"/>
                    <a:stretch>
                      <a:fillRect/>
                    </a:stretch>
                  </pic:blipFill>
                  <pic:spPr>
                    <a:xfrm>
                      <a:off x="0" y="0"/>
                      <a:ext cx="6035040" cy="3246120"/>
                    </a:xfrm>
                    <a:prstGeom prst="rect"/>
                  </pic:spPr>
                </pic:pic>
              </a:graphicData>
            </a:graphic>
          </wp:inline>
        </w:drawing>
      </w:r>
    </w:p>
    <w:p>
      <w:pPr>
        <w:pStyle w:val="CaptionText"/>
      </w:pPr>
      <w:r>
        <w:t>Figure 3. Conditional protection follows the observed open state. An outstanding close command does not establish closure. A fault response can continue driving closure while protection remains required.</w:t>
      </w:r>
    </w:p>
    <w:p>
      <w:pPr>
        <w:pStyle w:val="Heading2"/>
      </w:pPr>
      <w:r>
        <w:t>Distributed fault behavior</w:t>
      </w:r>
    </w:p>
    <w:p>
      <w:r>
        <w:t>A partition can prevent peers from hearing a fault immediately. Each protected node therefore needs the locally executable response declared for lost health. Timeout establishes that the required fresh evidence is unavailable; it is not a perfect proof that a remote node is dead. The distinction follows from the inability to separate arbitrary communication delay from failure without additional bounds [4]. The safety model must include detection and actuation latency; watchdog protection bounds the response to lost evidence rather than making remote failure instantaneous.</w:t>
      </w:r>
    </w:p>
    <w:p>
      <w:r>
        <w:t>Safety obligations can outlive the traversal that opened the state. Program retirement must therefore retain or transfer the active protection binding until closure or an equivalent validated protection handoff. It must not free the watchdog merely because the last predicate traversal ended. How active protection is detached from a retiring program revision without retaining that entire revision is an explicit installation and lifetime obligation.</w:t>
      </w:r>
    </w:p>
    <w:p>
      <w:bookmarkStart w:id="10" w:name="section_9"/>
      <w:pPr>
        <w:pStyle w:val="Heading1"/>
      </w:pPr>
      <w:r>
        <w:t>9  Installation replacement and enablement</w:t>
      </w:r>
      <w:bookmarkEnd w:id="10"/>
    </w:p>
    <w:p>
      <w:pPr>
        <w:keepLines/>
      </w:pPr>
      <w:r>
        <w:t>A program replacement follows firmware-install reasoning: the old revision remains active until the new one is installed and compatibility is established. The delegate stages the new fragments in available fixed storage, obtains installation evidence from their required owners, and only then permits new activations to enter the new revision. Receipt of bytes alone is not proof of a valid installation.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Phase</w:t>
            </w:r>
          </w:p>
        </w:tc>
        <w:tc>
          <w:tcPr>
            <w:tcW w:type="dxa" w:w="6739"/>
            <w:vAlign w:val="center"/>
            <w:shd w:fill="E9EDF0"/>
          </w:tcPr>
          <w:p>
            <w:pPr>
              <w:pStyle w:val="TableText"/>
              <w:keepNext/>
            </w:pPr>
            <w:r>
              <w:rPr>
                <w:b/>
              </w:rPr>
              <w:t>Required behavior</w:t>
            </w:r>
          </w:p>
        </w:tc>
      </w:tr>
      <w:tr>
        <w:trPr>
          <w:cantSplit/>
        </w:trPr>
        <w:tc>
          <w:tcPr>
            <w:tcW w:type="dxa" w:w="2909"/>
            <w:vAlign w:val="center"/>
            <w:shd w:fill="FFFFFF"/>
          </w:tcPr>
          <w:p>
            <w:pPr>
              <w:pStyle w:val="TableText"/>
              <w:keepNext w:val="0"/>
            </w:pPr>
            <w:r>
              <w:rPr>
                <w:b w:val="0"/>
              </w:rPr>
              <w:t>Stage</w:t>
            </w:r>
          </w:p>
        </w:tc>
        <w:tc>
          <w:tcPr>
            <w:tcW w:type="dxa" w:w="6739"/>
            <w:vAlign w:val="center"/>
            <w:shd w:fill="FFFFFF"/>
          </w:tcPr>
          <w:p>
            <w:pPr>
              <w:pStyle w:val="TableText"/>
              <w:keepNext w:val="0"/>
            </w:pPr>
            <w:r>
              <w:rPr>
                <w:b w:val="0"/>
              </w:rPr>
              <w:t>Receive fragments without disturbing active bindings; validate identity, IR, references, capacity, and authorization.</w:t>
            </w:r>
          </w:p>
        </w:tc>
      </w:tr>
      <w:tr>
        <w:trPr>
          <w:cantSplit/>
        </w:trPr>
        <w:tc>
          <w:tcPr>
            <w:tcW w:type="dxa" w:w="2909"/>
            <w:vAlign w:val="center"/>
            <w:shd w:fill="F7F8F9"/>
          </w:tcPr>
          <w:p>
            <w:pPr>
              <w:pStyle w:val="TableText"/>
              <w:keepNext w:val="0"/>
            </w:pPr>
            <w:r>
              <w:rPr>
                <w:b w:val="0"/>
              </w:rPr>
              <w:t>Establish readiness</w:t>
            </w:r>
          </w:p>
        </w:tc>
        <w:tc>
          <w:tcPr>
            <w:tcW w:type="dxa" w:w="6739"/>
            <w:vAlign w:val="center"/>
            <w:shd w:fill="F7F8F9"/>
          </w:tcPr>
          <w:p>
            <w:pPr>
              <w:pStyle w:val="TableText"/>
              <w:keepNext w:val="0"/>
            </w:pPr>
            <w:r>
              <w:rPr>
                <w:b w:val="0"/>
              </w:rPr>
              <w:t>Verify that every required semantic fragment and any required protection mechanism can participate in the new revision.</w:t>
            </w:r>
          </w:p>
        </w:tc>
      </w:tr>
      <w:tr>
        <w:trPr>
          <w:cantSplit/>
        </w:trPr>
        <w:tc>
          <w:tcPr>
            <w:tcW w:type="dxa" w:w="2909"/>
            <w:vAlign w:val="center"/>
            <w:shd w:fill="FFFFFF"/>
          </w:tcPr>
          <w:p>
            <w:pPr>
              <w:pStyle w:val="TableText"/>
              <w:keepNext w:val="0"/>
            </w:pPr>
            <w:r>
              <w:rPr>
                <w:b w:val="0"/>
              </w:rPr>
              <w:t>Switch admission</w:t>
            </w:r>
          </w:p>
        </w:tc>
        <w:tc>
          <w:tcPr>
            <w:tcW w:type="dxa" w:w="6739"/>
            <w:vAlign w:val="center"/>
            <w:shd w:fill="FFFFFF"/>
          </w:tcPr>
          <w:p>
            <w:pPr>
              <w:pStyle w:val="TableText"/>
              <w:keepNext w:val="0"/>
            </w:pPr>
            <w:r>
              <w:rPr>
                <w:b w:val="0"/>
              </w:rPr>
              <w:t>At the program head, admit subsequent activations to the new revision once the installation condition is satisfied.</w:t>
            </w:r>
          </w:p>
        </w:tc>
      </w:tr>
      <w:tr>
        <w:trPr>
          <w:cantSplit/>
        </w:trPr>
        <w:tc>
          <w:tcPr>
            <w:tcW w:type="dxa" w:w="2909"/>
            <w:vAlign w:val="center"/>
            <w:shd w:fill="F7F8F9"/>
          </w:tcPr>
          <w:p>
            <w:pPr>
              <w:pStyle w:val="TableText"/>
              <w:keepNext w:val="0"/>
            </w:pPr>
            <w:r>
              <w:rPr>
                <w:b w:val="0"/>
              </w:rPr>
              <w:t>Drain old work</w:t>
            </w:r>
          </w:p>
        </w:tc>
        <w:tc>
          <w:tcPr>
            <w:tcW w:type="dxa" w:w="6739"/>
            <w:vAlign w:val="center"/>
            <w:shd w:fill="F7F8F9"/>
          </w:tcPr>
          <w:p>
            <w:pPr>
              <w:pStyle w:val="TableText"/>
              <w:keepNext w:val="0"/>
            </w:pPr>
            <w:r>
              <w:rPr>
                <w:b w:val="0"/>
              </w:rPr>
              <w:t>Previously admitted old traversals continue using compatible old fragments and their associated delivery state.</w:t>
            </w:r>
          </w:p>
        </w:tc>
      </w:tr>
      <w:tr>
        <w:trPr>
          <w:cantSplit/>
        </w:trPr>
        <w:tc>
          <w:tcPr>
            <w:tcW w:type="dxa" w:w="2909"/>
            <w:vAlign w:val="center"/>
            <w:shd w:fill="FFFFFF"/>
          </w:tcPr>
          <w:p>
            <w:pPr>
              <w:pStyle w:val="TableText"/>
              <w:keepNext w:val="0"/>
            </w:pPr>
            <w:r>
              <w:rPr>
                <w:b w:val="0"/>
              </w:rPr>
              <w:t>Release old bindings</w:t>
            </w:r>
          </w:p>
        </w:tc>
        <w:tc>
          <w:tcPr>
            <w:tcW w:type="dxa" w:w="6739"/>
            <w:vAlign w:val="center"/>
            <w:shd w:fill="FFFFFF"/>
          </w:tcPr>
          <w:p>
            <w:pPr>
              <w:pStyle w:val="TableText"/>
              <w:keepNext w:val="0"/>
            </w:pPr>
            <w:r>
              <w:rPr>
                <w:b w:val="0"/>
              </w:rPr>
              <w:t>Return each old fragment's storage to the fixed pool as soon as no admitted old work or retained safety obligation can use it.</w:t>
            </w:r>
          </w:p>
        </w:tc>
      </w:tr>
    </w:tbl>
    <w:p>
      <w:pPr>
        <w:spacing w:after="60" w:before="0" w:line="240" w:lineRule="auto"/>
      </w:pPr>
      <w:r>
        <w:rPr>
          <w:sz w:val="4"/>
        </w:rPr>
      </w:r>
    </w:p>
    <w:p>
      <w:r>
        <w:t>A traversal must not evaluate half an old program and half a new one because nodes switched at different moments. Revision selection at admission and compatible references along the path provide the required model. This does not require every node to flip a global clock bit simultaneously. Consistent network-update research is relevant to staging and preserving one configuration per traversal, though its deployment model is not adopted wholesale [5].</w:t>
      </w:r>
    </w:p>
    <w:p>
      <w:pPr>
        <w:keepNext/>
        <w:spacing w:before="100" w:after="60"/>
        <w:jc w:val="center"/>
      </w:pPr>
      <w:r>
        <w:drawing>
          <wp:inline xmlns:a="http://schemas.openxmlformats.org/drawingml/2006/main" xmlns:pic="http://schemas.openxmlformats.org/drawingml/2006/picture">
            <wp:extent cx="6035040" cy="2560320"/>
            <wp:docPr id="4" name="Picture 4" descr="Hard admission cutover with independent draining. The new revision accepts new work while admitted old work finishes. Old storage is released promptly when its actual obligations end."/>
            <wp:cNvGraphicFramePr>
              <a:graphicFrameLocks noChangeAspect="1"/>
            </wp:cNvGraphicFramePr>
            <a:graphic>
              <a:graphicData uri="http://schemas.openxmlformats.org/drawingml/2006/picture">
                <pic:pic>
                  <pic:nvPicPr>
                    <pic:cNvPr id="0" name="replacement.png"/>
                    <pic:cNvPicPr/>
                  </pic:nvPicPr>
                  <pic:blipFill>
                    <a:blip r:embed="rId13"/>
                    <a:stretch>
                      <a:fillRect/>
                    </a:stretch>
                  </pic:blipFill>
                  <pic:spPr>
                    <a:xfrm>
                      <a:off x="0" y="0"/>
                      <a:ext cx="6035040" cy="2560320"/>
                    </a:xfrm>
                    <a:prstGeom prst="rect"/>
                  </pic:spPr>
                </pic:pic>
              </a:graphicData>
            </a:graphic>
          </wp:inline>
        </w:drawing>
      </w:r>
    </w:p>
    <w:p>
      <w:pPr>
        <w:pStyle w:val="CaptionText"/>
      </w:pPr>
      <w:r>
        <w:t>Figure 4. Hard admission cutover with independent draining. The new revision accepts new work while admitted old work finishes. Old storage is released promptly when its actual obligations end.</w:t>
      </w:r>
    </w:p>
    <w:p>
      <w:r>
        <w:t>No historical copy is retained for sentiment or indefinite rollback. A failed staging attempt leaves the incumbent active. Once old work and required protection have cleared, its storage is reusable. Releasing a fixed slot is a lifetime operation; it does not require heap allocation or a general-purpose object reclamation framework.</w:t>
      </w:r>
    </w:p>
    <w:p>
      <w:pPr>
        <w:pStyle w:val="Heading2"/>
      </w:pPr>
      <w:r>
        <w:t>What still needs a protocol</w:t>
      </w:r>
    </w:p>
    <w:p>
      <w:r>
        <w:t>Head relocation, changes to the upstream dependency set, partitions during activation, and a crash between durable commit and admission cutover need explicit rules. A local head-pointer exchange is sufficient only when those surrounding preconditions have actually been established. Likewise, retirement requires evidence that no accepted old delivery can later reference a reused slot. A timeout alone is not proof of drain unless the protocol's delivery and identity bounds make it so.</w:t>
      </w:r>
    </w:p>
    <w:p>
      <w:pPr>
        <w:pStyle w:val="Heading2"/>
      </w:pPr>
      <w:r>
        <w:t>Enablement is part of the graph</w:t>
      </w:r>
    </w:p>
    <w:p>
      <w:r>
        <w:t>The graph should represent a program's enabled or disabled admission state at its head or incoming activation gate. The selected physical layout is still to be fixed, but it must avoid a separate global AutomationID-to-Enabled lookup on every traversal. A disabled program retains its relationships, definition, and place in admission consistency checking; disablement does not remove it from the mathematical system.</w:t>
      </w:r>
    </w:p>
    <w:p>
      <w:r>
        <w:t>Disablement lasts until explicit resume. Resume changes the resident admission state and initiates ordinary evaluation of the currently applicable conditions. Manual mutation remains a direct authorized invocation; it does not imply a timed hold or an automatically inserted expected-starting-state guard. A later legitimate automation activation can change the peripheral again.</w:t>
      </w:r>
    </w:p>
    <w:p>
      <w:r>
        <w:t>The ordering of an explicit disable or delete against an already admitted traversal needs a precise lifecycle contract. Ordinary state-change supersession is excluded regardless of that decision. No lifecycle operation can undo a mutation already registered with a driver, and disabling a program must not erase an active safety obligation while its protected state is still open.</w:t>
      </w:r>
    </w:p>
    <w:p>
      <w:bookmarkStart w:id="11" w:name="section_10"/>
      <w:pPr>
        <w:pStyle w:val="Heading1"/>
      </w:pPr>
      <w:r>
        <w:t>10  Persistence reconstruction and recovery</w:t>
      </w:r>
      <w:bookmarkEnd w:id="11"/>
    </w:p>
    <w:p>
      <w:pPr>
        <w:keepLines/>
      </w:pPr>
      <w:r>
        <w:t>Each node persists the local graph fragments and definitions needed to reconstruct its contribution, including enablement and any retained learning state for which it is responsible. The compiler peer may persist source definitions and installation metadata. Persistence does not require every node to store every program, and it does not imply a log of every mutation or observation.</w:t>
      </w:r>
    </w:p>
    <w:p>
      <w:r>
        <w:t>A valid committed local image must be distinguishable from an interrupted write. The earlier committed-image approach remains a suitable local persistence mechanism; the exact storage format, flash wear policy, checksums, and commit procedure must match the target hardware. A small graph database can be considered later without making one part of the kernel contract.</w:t>
      </w:r>
    </w:p>
    <w:p>
      <w:pPr>
        <w:pStyle w:val="Heading2"/>
      </w:pPr>
      <w:r>
        <w:t>Boot reconstructs relationships</w:t>
      </w:r>
    </w:p>
    <w:p>
      <w:r>
        <w:t>Boot establishes the local driver surface, reconstructs the graph through saved-reference traversal, binds old identities to new addresses, and resolves foreign peer bindings under the current incarnation rules. Execution must not dereference unbound locations. Persisted installation state determines which revision is eligible, while incomplete staging must not masquerade as a complete replacement.</w:t>
      </w:r>
    </w:p>
    <w:p>
      <w:r>
        <w:t>Drivers obtain the current actual peripheral state. They do not recover an old desired state by replaying unfinished mutation requests. Newly observed state then participates in ordinary change propagation. A configured schedule may author recovery behavior for a missed activation, but that is evaluation of a valid current condition, not blind replay of an unconfirmed old command.</w:t>
      </w:r>
    </w:p>
    <w:p>
      <w:pPr>
        <w:pStyle w:val="Heading2"/>
      </w:pPr>
      <w:r>
        <w:t>Recovery while protection may be required</w:t>
      </w:r>
    </w:p>
    <w:p>
      <w:r>
        <w:t>If a peripheral can remain physically open while its controller reboots, boot must establish whether a safety obligation exists before allowing ordinary operation to proceed. The implementation must specify how the driver discovers that state and how the declared protective response operates while required dependencies are unavailable. This is a concrete hardware and driver obligation; a lost RAM watchdog cannot be assumed to imply a closed physical device.</w:t>
      </w:r>
    </w:p>
    <w:p>
      <w:r>
        <w:t>Persisted evidence and its decay anchor form one recoverable unit. A completed checkpoint survives; an interrupted checkpoint falls back to the previous valid one. The system may lose evidence accumulated since that checkpoint. It must not combine an old statistic with an unrelated new decay anchor or claim that post-crash observations are known when they are not.</w:t>
      </w:r>
    </w:p>
    <w:p>
      <w:r>
        <w:t>Distributed installation recovery must reconcile durable fragment readiness with admission state and old-work drainage. Local durable writes alone do not prove a globally complete installation. The necessary peer reconciliation belongs to the installation protocol, without requiring a replicated ledger of ordinary peripheral mutations.</w:t>
      </w:r>
    </w:p>
    <w:p>
      <w:bookmarkStart w:id="12" w:name="section_11"/>
      <w:pPr>
        <w:pStyle w:val="Heading1"/>
      </w:pPr>
      <w:r>
        <w:t>11  Synthesis admission and continual refinement</w:t>
      </w:r>
      <w:bookmarkEnd w:id="12"/>
    </w:p>
    <w:p>
      <w:pPr>
        <w:keepLines/>
      </w:pPr>
      <w:r>
        <w:t>Synthesis combines supplied constraints, driver invariants, transition models, and available levers to construct a candidate executable. Z3 remains the selected initial solver foundation. The compiler must reason over actual IR arithmetic and the supported execution semantics. A proof concerns the supplied models and assumptions; it is not a promise that an incomplete behavioral model describes every physical externality.</w:t>
      </w:r>
    </w:p>
    <w:p>
      <w:r>
        <w:t>Admission rejects a candidate that is inconsistent with the declared system, including conflicting admitted programs that are currently disabled. A budget exhausted without a candidate or an infeasibility proof is unresolved synthesis, not evidence of impossibility. Candidate search, model validation, and admission are distinct outcomes. None authorizes the kernel to make up a runtime supersession policy.</w:t>
      </w:r>
    </w:p>
    <w:p>
      <w:pPr>
        <w:pStyle w:val="Heading2"/>
      </w:pPr>
      <w:r>
        <w:t>Concurrency belongs in the model</w:t>
      </w:r>
    </w:p>
    <w:p>
      <w:r>
        <w:t>Checking only that two desired final states can coexist is insufficient when their intermediate actions can interfere. The admission model must cover the allowed interleavings, command effects, and declared safety dependencies relevant to the emitted program. Where safety requires a condition to hold during an open interval, the execution needs the corresponding interlock or watchdog semantics. A prior predicate read is not evidence that a remote value remains unchanged indefinitely.</w:t>
      </w:r>
    </w:p>
    <w:p>
      <w:pPr>
        <w:pStyle w:val="Heading2"/>
      </w:pPr>
      <w:r>
        <w:t>A hypothesis can improve</w:t>
      </w:r>
    </w:p>
    <w:p>
      <w:r>
        <w:t>The initial selected program is a hypothesis. Observed outcomes and resource use update its evidence from the beginning of operation. During available compute capacity, the refinement service evaluates whether another admissible implementation is preferable. Evidence can change without replacing the executable. Acquisition, statistical modeling, synthesis, and installation may run on different boards or peers; using common evidence does not collapse them into a single loop or special tablet service.</w:t>
      </w:r>
    </w:p>
    <w:p>
      <w:r>
        <w:t>The initial structural cost kernel includes state or register bits, deadline resources, external input predicates, tape or LUT nodes, realized invocation count, and optionally activation-state cardinality. Invocation count is measured over a comparable workload, not merely the number of static command sites. Otherwise an arbitrarily long on/off period could look deceptively cheap while failing the desired behavior.</w:t>
      </w:r>
    </w:p>
    <w:p>
      <w:r>
        <w:t>A later empirical cost estimates consumed resources and probability or consequence of resolution failure under the supplied objective. Replacement has a cost: remaining validation, durable writes, installation, retirement, and actual operational transition. Candidate discovery already completed is a sunk cost. Expected benefit and useful information must justify changing an admissible incumbent. Safe exploration may accept worse immediate efficiency when its expected future decision benefit warrants it; it never waives an invariant.</w:t>
      </w:r>
    </w:p>
    <w:p>
      <w:pPr>
        <w:pStyle w:val="Heading2"/>
      </w:pPr>
      <w:r>
        <w:t>Bounded evidence and lazy decay</w:t>
      </w:r>
    </w:p>
    <w:p>
      <w:r>
        <w:t>The statistical meaning of the evidence must remain explicit. A distribution of system state over time is accumulated from elapsed exposure to that state, not from the number of change messages. A conditional mutation frequency instead needs its declared opportunity or exposure denominator. These are different quantities even when they use the same attributes. Compact accumulators can support both without retaining every observation. Drivers expose the relevant typed learning surface, and inference consumers share those definitions rather than introducing separate tablet-specific and synthesis-specific meanings.</w:t>
      </w:r>
    </w:p>
    <w:p>
      <w:r>
        <w:t>Retain sufficient statistics and model parameters rather than an indefinite history of samples. For an additive evidence accumulator H, lazy exponential aging has the form Hnew = rho × H + contribution, where rho = 2 raised to the power of negative elapsed interval divided by the chosen half-life. A baseline prior can remain separate. Aging occurs when the evidence is read or updated, not through a periodic task that visits every statistic.</w:t>
      </w:r>
    </w:p>
    <w:p>
      <w:r>
        <w:t>Each independently aged group stores one last-aging reference beside its statistics. This is not a timestamp on every register or observation. In a distributed deployment, that reference uses the owning component's declared elapsed-time basis and epoch. Persisting it requires a defined recovery policy when the epoch changes; an unrelated peer's tick cannot simply be substituted. Exact statistical families, context selection, fixed-point implementation, and scalar cost exchange rates remain open.</w:t>
      </w:r>
    </w:p>
    <w:p>
      <w:r>
        <w:t>Learning can improve conditional ordering, command parameters, reusable definitions, or proposed new programs when sufficient evidence exists. It cannot manufacture unobserved physical feedback. A model-derived emission estimate must remain distinguishable from an actual emission measurement. Likewise, correlation can support a hypothesis without establishing occupant intent or causation by itself.</w:t>
      </w:r>
    </w:p>
    <w:p>
      <w:bookmarkStart w:id="13" w:name="section_12"/>
      <w:pPr>
        <w:pStyle w:val="Heading1"/>
      </w:pPr>
      <w:r>
        <w:t>12  Time resources and execution bounds</w:t>
      </w:r>
      <w:bookmarkEnd w:id="13"/>
    </w:p>
    <w:p>
      <w:pPr>
        <w:keepLines/>
      </w:pPr>
      <w:r>
        <w:t>Change is the trigger for system work; a shared wall clock is not a prerequisite for propagation. Nodes still need physical oscillators for local execution, communication, elapsed intervals, retries, and watchdog deadlines. Those local measurements do not establish one globally simultaneous state of the network.</w:t>
      </w:r>
    </w:p>
    <w:p>
      <w:r>
        <w:t>Every vertex kernel supplies the same local commissioned time and calculated solar capabilities. The program binds a time or solar predicate at the evaluation vertex where it belongs in the authored order; neither requires a special clock/solar vertex or a broadcast for every temporal boundary. Commissioning supplies a UTC reference and approximate location. Local elapsed counters and calculated boundaries drive deadline records; an expiry generates an internal delta at its predicate, which follows the normal upstream-to-head activation path. Forward traversal reads that predicate at its normal position. The kernel arms the next relevant deadline rather than repeatedly scanning every program or comparing the clock once per second. These facilities remain to be implemented.</w:t>
      </w:r>
    </w:p>
    <w:p>
      <w:r>
        <w:t>Recurring actions arise from explicit changes or local deadline-generated deltas. Kernel time/solar inputs are distinct from a sensor's qualified physical observations. A saved timestamp cannot measure time spent without power: after loss of counter continuity, time must be reacquired from a suitable peer with a valid reference, a backed RTC or a commissioning client. There is no permanent time master or shared clock-consensus requirement. Local sequence numbers and counters still need bounded wrap and reuse rules.</w:t>
      </w:r>
    </w:p>
    <w:p>
      <w:pPr>
        <w:pStyle w:val="Heading2"/>
      </w:pPr>
      <w:r>
        <w:t>Fixed capacity is part of correctness</w:t>
      </w:r>
    </w:p>
    <w:p>
      <w:r>
        <w:t>Use fixed receive and transmit rings, fixed in-flight delivery slots, fixed installed-binding storage, bounded temporary operands, and the configured relay pool. Capacity accounting is local and concrete. This does not require a general dynamic cache or distributed object allocator.</w:t>
      </w:r>
    </w:p>
    <w:p>
      <w:r>
        <w:t>The full-buffer policy is still a design obligation. An implementation must distinguish work not yet accepted from work it has already acknowledged. Possible mechanisms include upstream retry, reserved critical traffic capacity, explicit rejection, and scoped fault escalation; the final combination must be selected and tested rather than silently assumed. Physical state changes can arrive faster than an overloaded link drains, so backpressure alone cannot make arbitrary arrival rates lossless.</w:t>
      </w:r>
    </w:p>
    <w:p>
      <w:r>
        <w:t>This architecture treats separately registered changes as distinct activations. An implementation that coalesces them under pressure changes that semantic contract and needs explicit authorization in the protocol. Fixed memory is compatible with bounded delivery guarantees; it is not a proof of lossless delivery under unbounded load.</w:t>
      </w:r>
    </w:p>
    <w:p>
      <w:pPr>
        <w:pStyle w:val="Heading2"/>
      </w:pPr>
      <w:r>
        <w:t>Processor and platform choices</w:t>
      </w:r>
    </w:p>
    <w:p>
      <w:r>
        <w:t>The target is a small Rust kernel with local facilities comparable in purpose to an RTOS and with native graph and peer communication primitives. Whether the implementation extends a suitable Rust RTOS base or supplies its own kernel remains a source and target audit decision. A rewrite of all FreeRTOS facilities is not itself an architectural requirement.</w:t>
      </w:r>
    </w:p>
    <w:p>
      <w:r>
        <w:t>Local multiprocessing, threads, interrupt work, and cooperative tasks should be chosen where they simplify correctness or materially improve throughput. Serial evaluation of one path does not require a single-core machine, one global execution thread, or a new operating-system process for each chain. The earlier central-host processor choice does not dictate MCU selection for every peripheral node.</w:t>
      </w:r>
    </w:p>
    <w:p>
      <w:r>
        <w:t>Hard real-time claims require a deployment profile: maximum local execution costs, interrupt interference, admitted activation rates, buffer capacities, link delay and loss bounds, retries, topology assumptions, and safe-state response bounds. Best-effort broadcast repair under arbitrary partition cannot provide a finite successful-delivery deadline. A protected node can still enforce a local deadline for its declared failure response.</w:t>
      </w:r>
    </w:p>
    <w:p>
      <w:bookmarkStart w:id="14" w:name="section_13"/>
      <w:pPr>
        <w:pStyle w:val="Heading1"/>
      </w:pPr>
      <w:r>
        <w:t>13  Trust authorization and operational boundaries</w:t>
      </w:r>
      <w:bookmarkEnd w:id="14"/>
    </w:p>
    <w:p>
      <w:pPr>
        <w:keepLines/>
      </w:pPr>
      <w:r>
        <w:t>Peer-to-peer operation removes the mandatory router, not the need to identify peers and protect mutation capabilities. A node must distinguish authorized installation, authorized direct mutation, ordinary graph traffic, and forged or stale messages. Binding identity is an address; possession of its numeric value alone must not be treated as permission to actuate a device.</w:t>
      </w:r>
    </w:p>
    <w:p>
      <w:r>
        <w:t>The trust-root, enrollment, key storage, authenticated framing, replay bounds, and revocation mechanism remain implementation choices. Their memory and compute costs belong in the resource profile. A deployment without outside Internet access still needs an explicit trust model for connected peers and physical interfaces.</w:t>
      </w:r>
    </w:p>
    <w:p>
      <w:r>
        <w:t>The delegate is authorized to install admitted graph fragments within its granted scope. A tablet or other interface may be granted direct access to selected mutation handles. A learner proposes definitions through the admission path. None acquires unrestricted authority merely because it is a large node or a convenient point of human interaction.</w:t>
      </w:r>
    </w:p>
    <w:p>
      <w:r>
        <w:t>Diagnostics are ordinary exposed surfaces: current fault state, bounded delivery counters, binding capacity, active protection, and installation status. They should make the system inspectable without becoming a mandatory history service. Administrator notification is a directed capability and can be delivered to a tablet or another peer; the kernel is not coupled to one user interface.</w:t>
      </w:r>
    </w:p>
    <w:p>
      <w:bookmarkStart w:id="15" w:name="section_14"/>
      <w:pPr>
        <w:pStyle w:val="Heading1"/>
      </w:pPr>
      <w:r>
        <w:t>14  Implementation obligations and verification</w:t>
      </w:r>
      <w:bookmarkEnd w:id="15"/>
    </w:p>
    <w:p>
      <w:pPr>
        <w:keepLines/>
      </w:pPr>
      <w:r>
        <w:t>The architecture is sufficiently defined to begin a complete implementation. The remaining work is to turn the local and distributed contracts into precise encodings, state transitions, bounded resource rules, and tested guarantees. The obligations below are part of that implementation, not a list of features deferred until after a throwaway proof of concept.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Obligation</w:t>
            </w:r>
          </w:p>
        </w:tc>
        <w:tc>
          <w:tcPr>
            <w:tcW w:type="dxa" w:w="6739"/>
            <w:vAlign w:val="center"/>
            <w:shd w:fill="E9EDF0"/>
          </w:tcPr>
          <w:p>
            <w:pPr>
              <w:pStyle w:val="TableText"/>
              <w:keepNext/>
            </w:pPr>
            <w:r>
              <w:rPr>
                <w:b/>
              </w:rPr>
              <w:t>Required resolution</w:t>
            </w:r>
          </w:p>
        </w:tc>
      </w:tr>
      <w:tr>
        <w:trPr>
          <w:cantSplit/>
        </w:trPr>
        <w:tc>
          <w:tcPr>
            <w:tcW w:type="dxa" w:w="2909"/>
            <w:vAlign w:val="center"/>
            <w:shd w:fill="FFFFFF"/>
          </w:tcPr>
          <w:p>
            <w:pPr>
              <w:pStyle w:val="TableText"/>
              <w:keepNext w:val="0"/>
            </w:pPr>
            <w:r>
              <w:rPr>
                <w:b w:val="0"/>
              </w:rPr>
              <w:t>IR and binding ABI</w:t>
            </w:r>
          </w:p>
        </w:tc>
        <w:tc>
          <w:tcPr>
            <w:tcW w:type="dxa" w:w="6739"/>
            <w:vAlign w:val="center"/>
            <w:shd w:fill="FFFFFF"/>
          </w:tcPr>
          <w:p>
            <w:pPr>
              <w:pStyle w:val="TableText"/>
              <w:keepNext w:val="0"/>
            </w:pPr>
            <w:r>
              <w:rPr>
                <w:b w:val="0"/>
              </w:rPr>
              <w:t>Complete arithmetic, references, branches, retained operand, multi-effect relations, encoding, and target lowering.</w:t>
            </w:r>
          </w:p>
        </w:tc>
      </w:tr>
      <w:tr>
        <w:trPr>
          <w:cantSplit/>
        </w:trPr>
        <w:tc>
          <w:tcPr>
            <w:tcW w:type="dxa" w:w="2909"/>
            <w:vAlign w:val="center"/>
            <w:shd w:fill="F7F8F9"/>
          </w:tcPr>
          <w:p>
            <w:pPr>
              <w:pStyle w:val="TableText"/>
              <w:keepNext w:val="0"/>
            </w:pPr>
            <w:r>
              <w:rPr>
                <w:b w:val="0"/>
              </w:rPr>
              <w:t>Delivery identity</w:t>
            </w:r>
          </w:p>
        </w:tc>
        <w:tc>
          <w:tcPr>
            <w:tcW w:type="dxa" w:w="6739"/>
            <w:vAlign w:val="center"/>
            <w:shd w:fill="F7F8F9"/>
          </w:tcPr>
          <w:p>
            <w:pPr>
              <w:pStyle w:val="TableText"/>
              <w:keepNext w:val="0"/>
            </w:pPr>
            <w:r>
              <w:rPr>
                <w:b w:val="0"/>
              </w:rPr>
              <w:t>Choose incarnation and visit identity, finite duplicate windows, counter wrap bounds, and delayed-message rejection.</w:t>
            </w:r>
          </w:p>
        </w:tc>
      </w:tr>
      <w:tr>
        <w:trPr>
          <w:cantSplit/>
        </w:trPr>
        <w:tc>
          <w:tcPr>
            <w:tcW w:type="dxa" w:w="2909"/>
            <w:vAlign w:val="center"/>
            <w:shd w:fill="FFFFFF"/>
          </w:tcPr>
          <w:p>
            <w:pPr>
              <w:pStyle w:val="TableText"/>
              <w:keepNext w:val="0"/>
            </w:pPr>
            <w:r>
              <w:rPr>
                <w:b w:val="0"/>
              </w:rPr>
              <w:t>Receipt and completion</w:t>
            </w:r>
          </w:p>
        </w:tc>
        <w:tc>
          <w:tcPr>
            <w:tcW w:type="dxa" w:w="6739"/>
            <w:vAlign w:val="center"/>
            <w:shd w:fill="FFFFFF"/>
          </w:tcPr>
          <w:p>
            <w:pPr>
              <w:pStyle w:val="TableText"/>
              <w:keepNext w:val="0"/>
            </w:pPr>
            <w:r>
              <w:rPr>
                <w:b w:val="0"/>
              </w:rPr>
              <w:t>Specify acceptance responsibility, retries, receipt propagation, child-work accounting, and unresolved outcomes.</w:t>
            </w:r>
          </w:p>
        </w:tc>
      </w:tr>
      <w:tr>
        <w:trPr>
          <w:cantSplit/>
        </w:trPr>
        <w:tc>
          <w:tcPr>
            <w:tcW w:type="dxa" w:w="2909"/>
            <w:vAlign w:val="center"/>
            <w:shd w:fill="F7F8F9"/>
          </w:tcPr>
          <w:p>
            <w:pPr>
              <w:pStyle w:val="TableText"/>
              <w:keepNext w:val="0"/>
            </w:pPr>
            <w:r>
              <w:rPr>
                <w:b w:val="0"/>
              </w:rPr>
              <w:t>Bounded overload</w:t>
            </w:r>
          </w:p>
        </w:tc>
        <w:tc>
          <w:tcPr>
            <w:tcW w:type="dxa" w:w="6739"/>
            <w:vAlign w:val="center"/>
            <w:shd w:fill="F7F8F9"/>
          </w:tcPr>
          <w:p>
            <w:pPr>
              <w:pStyle w:val="TableText"/>
              <w:keepNext w:val="0"/>
            </w:pPr>
            <w:r>
              <w:rPr>
                <w:b w:val="0"/>
              </w:rPr>
              <w:t>Select ring capacities, priorities, reserve rules, retry or rejection behavior, and explicit loss or fault reporting.</w:t>
            </w:r>
          </w:p>
        </w:tc>
      </w:tr>
      <w:tr>
        <w:trPr>
          <w:cantSplit/>
        </w:trPr>
        <w:tc>
          <w:tcPr>
            <w:tcW w:type="dxa" w:w="2909"/>
            <w:vAlign w:val="center"/>
            <w:shd w:fill="FFFFFF"/>
          </w:tcPr>
          <w:p>
            <w:pPr>
              <w:pStyle w:val="TableText"/>
              <w:keepNext w:val="0"/>
            </w:pPr>
            <w:r>
              <w:rPr>
                <w:b w:val="0"/>
              </w:rPr>
              <w:t>Relay adaptation</w:t>
            </w:r>
          </w:p>
        </w:tc>
        <w:tc>
          <w:tcPr>
            <w:tcW w:type="dxa" w:w="6739"/>
            <w:vAlign w:val="center"/>
            <w:shd w:fill="FFFFFF"/>
          </w:tcPr>
          <w:p>
            <w:pPr>
              <w:pStyle w:val="TableText"/>
              <w:keepNext w:val="0"/>
            </w:pPr>
            <w:r>
              <w:rPr>
                <w:b w:val="0"/>
              </w:rPr>
              <w:t>Define a compact weight update and replacement rule; establish loop, churn, reachability, and starvation behavior.</w:t>
            </w:r>
          </w:p>
        </w:tc>
      </w:tr>
      <w:tr>
        <w:trPr>
          <w:cantSplit/>
        </w:trPr>
        <w:tc>
          <w:tcPr>
            <w:tcW w:type="dxa" w:w="2909"/>
            <w:vAlign w:val="center"/>
            <w:shd w:fill="F7F8F9"/>
          </w:tcPr>
          <w:p>
            <w:pPr>
              <w:pStyle w:val="TableText"/>
              <w:keepNext w:val="0"/>
            </w:pPr>
            <w:r>
              <w:rPr>
                <w:b w:val="0"/>
              </w:rPr>
              <w:t>Program lifecycle</w:t>
            </w:r>
          </w:p>
        </w:tc>
        <w:tc>
          <w:tcPr>
            <w:tcW w:type="dxa" w:w="6739"/>
            <w:vAlign w:val="center"/>
            <w:shd w:fill="F7F8F9"/>
          </w:tcPr>
          <w:p>
            <w:pPr>
              <w:pStyle w:val="TableText"/>
              <w:keepNext w:val="0"/>
            </w:pPr>
            <w:r>
              <w:rPr>
                <w:b w:val="0"/>
              </w:rPr>
              <w:t>Specify readiness evidence, head and dependency relocation, durable cutover recovery, disable ordering, and prompt safe slot reuse.</w:t>
            </w:r>
          </w:p>
        </w:tc>
      </w:tr>
      <w:tr>
        <w:trPr>
          <w:cantSplit/>
        </w:trPr>
        <w:tc>
          <w:tcPr>
            <w:tcW w:type="dxa" w:w="2909"/>
            <w:vAlign w:val="center"/>
            <w:shd w:fill="FFFFFF"/>
          </w:tcPr>
          <w:p>
            <w:pPr>
              <w:pStyle w:val="TableText"/>
              <w:keepNext w:val="0"/>
            </w:pPr>
            <w:r>
              <w:rPr>
                <w:b w:val="0"/>
              </w:rPr>
              <w:t>Active safety lifetime</w:t>
            </w:r>
          </w:p>
        </w:tc>
        <w:tc>
          <w:tcPr>
            <w:tcW w:type="dxa" w:w="6739"/>
            <w:vAlign w:val="center"/>
            <w:shd w:fill="FFFFFF"/>
          </w:tcPr>
          <w:p>
            <w:pPr>
              <w:pStyle w:val="TableText"/>
              <w:keepNext w:val="0"/>
            </w:pPr>
            <w:r>
              <w:rPr>
                <w:b w:val="0"/>
              </w:rPr>
              <w:t>Define protection-instance freshness, timer bounds, boot protection, shared health sources, and transfer across revision retirement.</w:t>
            </w:r>
          </w:p>
        </w:tc>
      </w:tr>
      <w:tr>
        <w:trPr>
          <w:cantSplit/>
        </w:trPr>
        <w:tc>
          <w:tcPr>
            <w:tcW w:type="dxa" w:w="2909"/>
            <w:vAlign w:val="center"/>
            <w:shd w:fill="F7F8F9"/>
          </w:tcPr>
          <w:p>
            <w:pPr>
              <w:pStyle w:val="TableText"/>
              <w:keepNext w:val="0"/>
            </w:pPr>
            <w:r>
              <w:rPr>
                <w:b w:val="0"/>
              </w:rPr>
              <w:t>Persistent reconstruction</w:t>
            </w:r>
          </w:p>
        </w:tc>
        <w:tc>
          <w:tcPr>
            <w:tcW w:type="dxa" w:w="6739"/>
            <w:vAlign w:val="center"/>
            <w:shd w:fill="F7F8F9"/>
          </w:tcPr>
          <w:p>
            <w:pPr>
              <w:pStyle w:val="TableText"/>
              <w:keepNext w:val="0"/>
            </w:pPr>
            <w:r>
              <w:rPr>
                <w:b w:val="0"/>
              </w:rPr>
              <w:t>Choose local committed-image format, foreign reference rebinding, flash wear policy, and learning epoch recovery.</w:t>
            </w:r>
          </w:p>
        </w:tc>
      </w:tr>
      <w:tr>
        <w:trPr>
          <w:cantSplit/>
        </w:trPr>
        <w:tc>
          <w:tcPr>
            <w:tcW w:type="dxa" w:w="2909"/>
            <w:vAlign w:val="center"/>
            <w:shd w:fill="FFFFFF"/>
          </w:tcPr>
          <w:p>
            <w:pPr>
              <w:pStyle w:val="TableText"/>
              <w:keepNext w:val="0"/>
            </w:pPr>
            <w:r>
              <w:rPr>
                <w:b w:val="0"/>
              </w:rPr>
              <w:t>Admission and refinement</w:t>
            </w:r>
          </w:p>
        </w:tc>
        <w:tc>
          <w:tcPr>
            <w:tcW w:type="dxa" w:w="6739"/>
            <w:vAlign w:val="center"/>
            <w:shd w:fill="FFFFFF"/>
          </w:tcPr>
          <w:p>
            <w:pPr>
              <w:pStyle w:val="TableText"/>
              <w:keepNext w:val="0"/>
            </w:pPr>
            <w:r>
              <w:rPr>
                <w:b w:val="0"/>
              </w:rPr>
              <w:t>Encode supported interleavings, define model completeness limits, choose sufficient statistics, and quantify replacement and information cost.</w:t>
            </w:r>
          </w:p>
        </w:tc>
      </w:tr>
      <w:tr>
        <w:trPr>
          <w:cantSplit/>
        </w:trPr>
        <w:tc>
          <w:tcPr>
            <w:tcW w:type="dxa" w:w="2909"/>
            <w:vAlign w:val="center"/>
            <w:shd w:fill="F7F8F9"/>
          </w:tcPr>
          <w:p>
            <w:pPr>
              <w:pStyle w:val="TableText"/>
              <w:keepNext w:val="0"/>
            </w:pPr>
            <w:r>
              <w:rPr>
                <w:b w:val="0"/>
              </w:rPr>
              <w:t>Target and trust profile</w:t>
            </w:r>
          </w:p>
        </w:tc>
        <w:tc>
          <w:tcPr>
            <w:tcW w:type="dxa" w:w="6739"/>
            <w:vAlign w:val="center"/>
            <w:shd w:fill="F7F8F9"/>
          </w:tcPr>
          <w:p>
            <w:pPr>
              <w:pStyle w:val="TableText"/>
              <w:keepNext w:val="0"/>
            </w:pPr>
            <w:r>
              <w:rPr>
                <w:b w:val="0"/>
              </w:rPr>
              <w:t>Select hardware and kernel base, timing budgets, authenticated communication, enrollment, and authorization.</w:t>
            </w:r>
          </w:p>
        </w:tc>
      </w:tr>
    </w:tbl>
    <w:p>
      <w:pPr>
        <w:spacing w:after="60" w:before="0" w:line="240" w:lineRule="auto"/>
      </w:pPr>
      <w:r>
        <w:rPr>
          <w:sz w:val="4"/>
        </w:rPr>
      </w:r>
    </w:p>
    <w:p>
      <w:pPr>
        <w:pStyle w:val="Heading2"/>
      </w:pPr>
      <w:r>
        <w:t>Properties to establish</w:t>
      </w:r>
    </w:p>
    <w:p>
      <w:r>
        <w:t>Execution integrity requires that each accepted delivery addresses the intended binding incarnation, that an admitted traversal uses one compatible program revision, and that a false predicate cannot reach its success continuation. Transport integrity requires that duplicate handling preserve distinct changes, that accepted work has a defined completion or fault outcome, and that obsolete packets cannot act on a reused slot.</w:t>
      </w:r>
    </w:p>
    <w:p>
      <w:r>
        <w:t>Safety integrity requires that every protected open state have the declared active protection, that lost freshness cause the specified local response within the deployment bound, and that closure or validated transfer be established before releasing that protection. Resource integrity requires that storage remain within configured bounds even under repeated loss, repeated discovery, revision replacement, and restart.</w:t>
      </w:r>
    </w:p>
    <w:p>
      <w:r>
        <w:t>Progress claims must state their assumptions. Under the chosen connectivity, fairness, capacity, and fault bounds, accepted finite work should finish or report its defined failure rather than persist forever. No assumption of bounded packet lifetime, synchronized clocks, or reliable peers may be imported silently into a proof.</w:t>
      </w:r>
    </w:p>
    <w:p>
      <w:pPr>
        <w:pStyle w:val="Heading2"/>
      </w:pPr>
      <w:r>
        <w:t>Build and validate the permanent components</w:t>
      </w:r>
    </w:p>
    <w:p>
      <w:r>
        <w:t>Define the IR and wire contracts, then implement the local binding engine, transport, driver interface, installation machinery, and persistence as the components that will ship. Exercise their composition in deterministic simulation and on the intended hardware. Reuse the same IR lowering, packet processing, and state-transition code where practical so that a simulator validates the implementation rather than a more forgiving parallel model.</w:t>
      </w:r>
    </w:p>
    <w:p>
      <w:r>
        <w:t>Use bounded model exploration for small topologies and failure schedules, property tests for arithmetic and reference handling, fault injection for loss and reboot, and measured load tests for timing and capacity. Integrate adaptive routing and refinement against those fixed contracts. Hardware bring-up is incremental; semantic commitments and failure behavior are not disposable.</w:t>
      </w:r>
    </w:p>
    <w:p>
      <w:bookmarkStart w:id="16" w:name="section_15"/>
      <w:pPr>
        <w:pStyle w:val="Heading1"/>
      </w:pPr>
      <w:r>
        <w:t>15  Verification scenarios</w:t>
      </w:r>
      <w:bookmarkEnd w:id="16"/>
    </w:p>
    <w:p>
      <w:pPr>
        <w:keepLines/>
      </w:pPr>
      <w:r>
        <w:t>The following scenarios define concrete acceptance evidence. They are specified tests, not claims of tests already run. Each must be evaluated against the chosen deployment bounds and the exact protocol once those obligations are resolved.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Scenario</w:t>
            </w:r>
          </w:p>
        </w:tc>
        <w:tc>
          <w:tcPr>
            <w:tcW w:type="dxa" w:w="6739"/>
            <w:vAlign w:val="center"/>
            <w:shd w:fill="E9EDF0"/>
          </w:tcPr>
          <w:p>
            <w:pPr>
              <w:pStyle w:val="TableText"/>
              <w:keepNext/>
            </w:pPr>
            <w:r>
              <w:rPr>
                <w:b/>
              </w:rPr>
              <w:t>Required observation</w:t>
            </w:r>
          </w:p>
        </w:tc>
      </w:tr>
      <w:tr>
        <w:trPr>
          <w:cantSplit/>
        </w:trPr>
        <w:tc>
          <w:tcPr>
            <w:tcW w:type="dxa" w:w="2909"/>
            <w:vAlign w:val="center"/>
            <w:shd w:fill="FFFFFF"/>
          </w:tcPr>
          <w:p>
            <w:pPr>
              <w:pStyle w:val="TableText"/>
              <w:keepNext w:val="0"/>
            </w:pPr>
            <w:r>
              <w:rPr>
                <w:b w:val="0"/>
              </w:rPr>
              <w:t>Change during evaluation</w:t>
            </w:r>
          </w:p>
        </w:tc>
        <w:tc>
          <w:tcPr>
            <w:tcW w:type="dxa" w:w="6739"/>
            <w:vAlign w:val="center"/>
            <w:shd w:fill="FFFFFF"/>
          </w:tcPr>
          <w:p>
            <w:pPr>
              <w:pStyle w:val="TableText"/>
              <w:keepNext w:val="0"/>
            </w:pPr>
            <w:r>
              <w:rPr>
                <w:b w:val="0"/>
              </w:rPr>
              <w:t>A later delta starts independent evaluation. The earlier traversal is not silently cancelled; an unread predicate sees the currently exposed value.</w:t>
            </w:r>
          </w:p>
        </w:tc>
      </w:tr>
      <w:tr>
        <w:trPr>
          <w:cantSplit/>
        </w:trPr>
        <w:tc>
          <w:tcPr>
            <w:tcW w:type="dxa" w:w="2909"/>
            <w:vAlign w:val="center"/>
            <w:shd w:fill="F7F8F9"/>
          </w:tcPr>
          <w:p>
            <w:pPr>
              <w:pStyle w:val="TableText"/>
              <w:keepNext w:val="0"/>
            </w:pPr>
            <w:r>
              <w:rPr>
                <w:b w:val="0"/>
              </w:rPr>
              <w:t>Different chain lengths</w:t>
            </w:r>
          </w:p>
        </w:tc>
        <w:tc>
          <w:tcPr>
            <w:tcW w:type="dxa" w:w="6739"/>
            <w:vAlign w:val="center"/>
            <w:shd w:fill="F7F8F9"/>
          </w:tcPr>
          <w:p>
            <w:pPr>
              <w:pStyle w:val="TableText"/>
              <w:keepNext w:val="0"/>
            </w:pPr>
            <w:r>
              <w:rPr>
                <w:b w:val="0"/>
              </w:rPr>
              <w:t>A short successful path can invoke its tail without waiting for unrelated longer paths.</w:t>
            </w:r>
          </w:p>
        </w:tc>
      </w:tr>
      <w:tr>
        <w:trPr>
          <w:cantSplit/>
        </w:trPr>
        <w:tc>
          <w:tcPr>
            <w:tcW w:type="dxa" w:w="2909"/>
            <w:vAlign w:val="center"/>
            <w:shd w:fill="FFFFFF"/>
          </w:tcPr>
          <w:p>
            <w:pPr>
              <w:pStyle w:val="TableText"/>
              <w:keepNext w:val="0"/>
            </w:pPr>
            <w:r>
              <w:rPr>
                <w:b w:val="0"/>
              </w:rPr>
              <w:t>Cross-edge operand</w:t>
            </w:r>
          </w:p>
        </w:tc>
        <w:tc>
          <w:tcPr>
            <w:tcW w:type="dxa" w:w="6739"/>
            <w:vAlign w:val="center"/>
            <w:shd w:fill="FFFFFF"/>
          </w:tcPr>
          <w:p>
            <w:pPr>
              <w:pStyle w:val="TableText"/>
              <w:keepNext w:val="0"/>
            </w:pPr>
            <w:r>
              <w:rPr>
                <w:b w:val="0"/>
              </w:rPr>
              <w:t>Compiler-sized live values reach their intended downstream operations, with greedy calculation, slot reuse and branch-defined inputs, without a global snapshot or interference between traversals.</w:t>
            </w:r>
          </w:p>
        </w:tc>
      </w:tr>
      <w:tr>
        <w:trPr>
          <w:cantSplit/>
        </w:trPr>
        <w:tc>
          <w:tcPr>
            <w:tcW w:type="dxa" w:w="2909"/>
            <w:vAlign w:val="center"/>
            <w:shd w:fill="F7F8F9"/>
          </w:tcPr>
          <w:p>
            <w:pPr>
              <w:pStyle w:val="TableText"/>
              <w:keepNext w:val="0"/>
            </w:pPr>
            <w:r>
              <w:rPr>
                <w:b w:val="0"/>
              </w:rPr>
              <w:t>Command with multiple effects</w:t>
            </w:r>
          </w:p>
        </w:tc>
        <w:tc>
          <w:tcPr>
            <w:tcW w:type="dxa" w:w="6739"/>
            <w:vAlign w:val="center"/>
            <w:shd w:fill="F7F8F9"/>
          </w:tcPr>
          <w:p>
            <w:pPr>
              <w:pStyle w:val="TableText"/>
              <w:keepNext w:val="0"/>
            </w:pPr>
            <w:r>
              <w:rPr>
                <w:b w:val="0"/>
              </w:rPr>
              <w:t>One chosen invocation preserves the shared guard and coupled attribute transition model; reports may arrive according to the driver semantics.</w:t>
            </w:r>
          </w:p>
        </w:tc>
      </w:tr>
      <w:tr>
        <w:trPr>
          <w:cantSplit/>
        </w:trPr>
        <w:tc>
          <w:tcPr>
            <w:tcW w:type="dxa" w:w="2909"/>
            <w:vAlign w:val="center"/>
            <w:shd w:fill="FFFFFF"/>
          </w:tcPr>
          <w:p>
            <w:pPr>
              <w:pStyle w:val="TableText"/>
              <w:keepNext w:val="0"/>
            </w:pPr>
            <w:r>
              <w:rPr>
                <w:b w:val="0"/>
              </w:rPr>
              <w:t>Lost receipt and duplicate delivery</w:t>
            </w:r>
          </w:p>
        </w:tc>
        <w:tc>
          <w:tcPr>
            <w:tcW w:type="dxa" w:w="6739"/>
            <w:vAlign w:val="center"/>
            <w:shd w:fill="FFFFFF"/>
          </w:tcPr>
          <w:p>
            <w:pPr>
              <w:pStyle w:val="TableText"/>
              <w:keepNext w:val="0"/>
            </w:pPr>
            <w:r>
              <w:rPr>
                <w:b w:val="0"/>
              </w:rPr>
              <w:t>Within the declared identity window, the target repeats receipt without repeating the accepted logical visit.</w:t>
            </w:r>
          </w:p>
        </w:tc>
      </w:tr>
      <w:tr>
        <w:trPr>
          <w:cantSplit/>
        </w:trPr>
        <w:tc>
          <w:tcPr>
            <w:tcW w:type="dxa" w:w="2909"/>
            <w:vAlign w:val="center"/>
            <w:shd w:fill="F7F8F9"/>
          </w:tcPr>
          <w:p>
            <w:pPr>
              <w:pStyle w:val="TableText"/>
              <w:keepNext w:val="0"/>
            </w:pPr>
            <w:r>
              <w:rPr>
                <w:b w:val="0"/>
              </w:rPr>
              <w:t>Restart after invocation before receipt</w:t>
            </w:r>
          </w:p>
        </w:tc>
        <w:tc>
          <w:tcPr>
            <w:tcW w:type="dxa" w:w="6739"/>
            <w:vAlign w:val="center"/>
            <w:shd w:fill="F7F8F9"/>
          </w:tcPr>
          <w:p>
            <w:pPr>
              <w:pStyle w:val="TableText"/>
              <w:keepNext w:val="0"/>
            </w:pPr>
            <w:r>
              <w:rPr>
                <w:b w:val="0"/>
              </w:rPr>
              <w:t>The system does not claim exactly-once completion or blindly replay an uncertain non-idempotent operation.</w:t>
            </w:r>
          </w:p>
        </w:tc>
      </w:tr>
      <w:tr>
        <w:trPr>
          <w:cantSplit/>
        </w:trPr>
        <w:tc>
          <w:tcPr>
            <w:tcW w:type="dxa" w:w="2909"/>
            <w:vAlign w:val="center"/>
            <w:shd w:fill="FFFFFF"/>
          </w:tcPr>
          <w:p>
            <w:pPr>
              <w:pStyle w:val="TableText"/>
              <w:keepNext w:val="0"/>
            </w:pPr>
            <w:r>
              <w:rPr>
                <w:b w:val="0"/>
              </w:rPr>
              <w:t>Relay disappears</w:t>
            </w:r>
          </w:p>
        </w:tc>
        <w:tc>
          <w:tcPr>
            <w:tcW w:type="dxa" w:w="6739"/>
            <w:vAlign w:val="center"/>
            <w:shd w:fill="FFFFFF"/>
          </w:tcPr>
          <w:p>
            <w:pPr>
              <w:pStyle w:val="TableText"/>
              <w:keepNext w:val="0"/>
            </w:pPr>
            <w:r>
              <w:rPr>
                <w:b w:val="0"/>
              </w:rPr>
              <w:t>Repair seeks a path to the same semantic binding; it does not bypass a predicate or substitute a different attribute.</w:t>
            </w:r>
          </w:p>
        </w:tc>
      </w:tr>
      <w:tr>
        <w:trPr>
          <w:cantSplit/>
        </w:trPr>
        <w:tc>
          <w:tcPr>
            <w:tcW w:type="dxa" w:w="2909"/>
            <w:vAlign w:val="center"/>
            <w:shd w:fill="F7F8F9"/>
          </w:tcPr>
          <w:p>
            <w:pPr>
              <w:pStyle w:val="TableText"/>
              <w:keepNext w:val="0"/>
            </w:pPr>
            <w:r>
              <w:rPr>
                <w:b w:val="0"/>
              </w:rPr>
              <w:t>Better relay becomes available</w:t>
            </w:r>
          </w:p>
        </w:tc>
        <w:tc>
          <w:tcPr>
            <w:tcW w:type="dxa" w:w="6739"/>
            <w:vAlign w:val="center"/>
            <w:shd w:fill="F7F8F9"/>
          </w:tcPr>
          <w:p>
            <w:pPr>
              <w:pStyle w:val="TableText"/>
              <w:keepNext w:val="0"/>
            </w:pPr>
            <w:r>
              <w:rPr>
                <w:b w:val="0"/>
              </w:rPr>
              <w:t>Preference can move locally; accepted old work clears before the old slot is reused.</w:t>
            </w:r>
          </w:p>
        </w:tc>
      </w:tr>
      <w:tr>
        <w:trPr>
          <w:cantSplit/>
        </w:trPr>
        <w:tc>
          <w:tcPr>
            <w:tcW w:type="dxa" w:w="2909"/>
            <w:vAlign w:val="center"/>
            <w:shd w:fill="FFFFFF"/>
          </w:tcPr>
          <w:p>
            <w:pPr>
              <w:pStyle w:val="TableText"/>
              <w:keepNext w:val="0"/>
            </w:pPr>
            <w:r>
              <w:rPr>
                <w:b w:val="0"/>
              </w:rPr>
              <w:t>Rings fill under burst load</w:t>
            </w:r>
          </w:p>
        </w:tc>
        <w:tc>
          <w:tcPr>
            <w:tcW w:type="dxa" w:w="6739"/>
            <w:vAlign w:val="center"/>
            <w:shd w:fill="FFFFFF"/>
          </w:tcPr>
          <w:p>
            <w:pPr>
              <w:pStyle w:val="TableText"/>
              <w:keepNext w:val="0"/>
            </w:pPr>
            <w:r>
              <w:rPr>
                <w:b w:val="0"/>
              </w:rPr>
              <w:t>Memory remains bounded and the specified overload outcome is observable. Distinct deltas are not silently collapsed.</w:t>
            </w:r>
          </w:p>
        </w:tc>
      </w:tr>
      <w:tr>
        <w:trPr>
          <w:cantSplit/>
        </w:trPr>
        <w:tc>
          <w:tcPr>
            <w:tcW w:type="dxa" w:w="2909"/>
            <w:vAlign w:val="center"/>
            <w:shd w:fill="F7F8F9"/>
          </w:tcPr>
          <w:p>
            <w:pPr>
              <w:pStyle w:val="TableText"/>
              <w:keepNext w:val="0"/>
            </w:pPr>
            <w:r>
              <w:rPr>
                <w:b w:val="0"/>
              </w:rPr>
              <w:t>Safety source stops reporting while open</w:t>
            </w:r>
          </w:p>
        </w:tc>
        <w:tc>
          <w:tcPr>
            <w:tcW w:type="dxa" w:w="6739"/>
            <w:vAlign w:val="center"/>
            <w:shd w:fill="F7F8F9"/>
          </w:tcPr>
          <w:p>
            <w:pPr>
              <w:pStyle w:val="TableText"/>
              <w:keepNext w:val="0"/>
            </w:pPr>
            <w:r>
              <w:rPr>
                <w:b w:val="0"/>
              </w:rPr>
              <w:t>The protected node takes the declared local response by its watchdog bound, even if the compiler peer is absent.</w:t>
            </w:r>
          </w:p>
        </w:tc>
      </w:tr>
      <w:tr>
        <w:trPr>
          <w:cantSplit/>
        </w:trPr>
        <w:tc>
          <w:tcPr>
            <w:tcW w:type="dxa" w:w="2909"/>
            <w:vAlign w:val="center"/>
            <w:shd w:fill="FFFFFF"/>
          </w:tcPr>
          <w:p>
            <w:pPr>
              <w:pStyle w:val="TableText"/>
              <w:keepNext w:val="0"/>
            </w:pPr>
            <w:r>
              <w:rPr>
                <w:b w:val="0"/>
              </w:rPr>
              <w:t>Close command fails</w:t>
            </w:r>
          </w:p>
        </w:tc>
        <w:tc>
          <w:tcPr>
            <w:tcW w:type="dxa" w:w="6739"/>
            <w:vAlign w:val="center"/>
            <w:shd w:fill="FFFFFF"/>
          </w:tcPr>
          <w:p>
            <w:pPr>
              <w:pStyle w:val="TableText"/>
              <w:keepNext w:val="0"/>
            </w:pPr>
            <w:r>
              <w:rPr>
                <w:b w:val="0"/>
              </w:rPr>
              <w:t>The watchdog remains active while the observed protected state remains open.</w:t>
            </w:r>
          </w:p>
        </w:tc>
      </w:tr>
      <w:tr>
        <w:trPr>
          <w:cantSplit/>
        </w:trPr>
        <w:tc>
          <w:tcPr>
            <w:tcW w:type="dxa" w:w="2909"/>
            <w:vAlign w:val="center"/>
            <w:shd w:fill="F7F8F9"/>
          </w:tcPr>
          <w:p>
            <w:pPr>
              <w:pStyle w:val="TableText"/>
              <w:keepNext w:val="0"/>
            </w:pPr>
            <w:r>
              <w:rPr>
                <w:b w:val="0"/>
              </w:rPr>
              <w:t>Late health from previous opening</w:t>
            </w:r>
          </w:p>
        </w:tc>
        <w:tc>
          <w:tcPr>
            <w:tcW w:type="dxa" w:w="6739"/>
            <w:vAlign w:val="center"/>
            <w:shd w:fill="F7F8F9"/>
          </w:tcPr>
          <w:p>
            <w:pPr>
              <w:pStyle w:val="TableText"/>
              <w:keepNext w:val="0"/>
            </w:pPr>
            <w:r>
              <w:rPr>
                <w:b w:val="0"/>
              </w:rPr>
              <w:t>The stale health packet does not renew the current protection instance.</w:t>
            </w:r>
          </w:p>
        </w:tc>
      </w:tr>
      <w:tr>
        <w:trPr>
          <w:cantSplit/>
        </w:trPr>
        <w:tc>
          <w:tcPr>
            <w:tcW w:type="dxa" w:w="2909"/>
            <w:vAlign w:val="center"/>
            <w:shd w:fill="FFFFFF"/>
          </w:tcPr>
          <w:p>
            <w:pPr>
              <w:pStyle w:val="TableText"/>
              <w:keepNext w:val="0"/>
            </w:pPr>
            <w:r>
              <w:rPr>
                <w:b w:val="0"/>
              </w:rPr>
              <w:t>Protection survives program replacement</w:t>
            </w:r>
          </w:p>
        </w:tc>
        <w:tc>
          <w:tcPr>
            <w:tcW w:type="dxa" w:w="6739"/>
            <w:vAlign w:val="center"/>
            <w:shd w:fill="FFFFFF"/>
          </w:tcPr>
          <w:p>
            <w:pPr>
              <w:pStyle w:val="TableText"/>
              <w:keepNext w:val="0"/>
            </w:pPr>
            <w:r>
              <w:rPr>
                <w:b w:val="0"/>
              </w:rPr>
              <w:t>Old safety coverage remains or is explicitly transferred until closure; retiring the traversal cannot remove it.</w:t>
            </w:r>
          </w:p>
        </w:tc>
      </w:tr>
      <w:tr>
        <w:trPr>
          <w:cantSplit/>
        </w:trPr>
        <w:tc>
          <w:tcPr>
            <w:tcW w:type="dxa" w:w="2909"/>
            <w:vAlign w:val="center"/>
            <w:shd w:fill="F7F8F9"/>
          </w:tcPr>
          <w:p>
            <w:pPr>
              <w:pStyle w:val="TableText"/>
              <w:keepNext w:val="0"/>
            </w:pPr>
            <w:r>
              <w:rPr>
                <w:b w:val="0"/>
              </w:rPr>
              <w:t>Replacement during active traversal</w:t>
            </w:r>
          </w:p>
        </w:tc>
        <w:tc>
          <w:tcPr>
            <w:tcW w:type="dxa" w:w="6739"/>
            <w:vAlign w:val="center"/>
            <w:shd w:fill="F7F8F9"/>
          </w:tcPr>
          <w:p>
            <w:pPr>
              <w:pStyle w:val="TableText"/>
              <w:keepNext w:val="0"/>
            </w:pPr>
            <w:r>
              <w:rPr>
                <w:b w:val="0"/>
              </w:rPr>
              <w:t>Old admitted work uses old compatible fragments; new admitted work uses the new revision; freed slots reject late old traffic.</w:t>
            </w:r>
          </w:p>
        </w:tc>
      </w:tr>
      <w:tr>
        <w:trPr>
          <w:cantSplit/>
        </w:trPr>
        <w:tc>
          <w:tcPr>
            <w:tcW w:type="dxa" w:w="2909"/>
            <w:vAlign w:val="center"/>
            <w:shd w:fill="FFFFFF"/>
          </w:tcPr>
          <w:p>
            <w:pPr>
              <w:pStyle w:val="TableText"/>
              <w:keepNext w:val="0"/>
            </w:pPr>
            <w:r>
              <w:rPr>
                <w:b w:val="0"/>
              </w:rPr>
              <w:t>Installation fails or power is lost</w:t>
            </w:r>
          </w:p>
        </w:tc>
        <w:tc>
          <w:tcPr>
            <w:tcW w:type="dxa" w:w="6739"/>
            <w:vAlign w:val="center"/>
            <w:shd w:fill="FFFFFF"/>
          </w:tcPr>
          <w:p>
            <w:pPr>
              <w:pStyle w:val="TableText"/>
              <w:keepNext w:val="0"/>
            </w:pPr>
            <w:r>
              <w:rPr>
                <w:b w:val="0"/>
              </w:rPr>
              <w:t>Incomplete staging does not become active. Durable recovery follows the selected commit contract without mixed revisions.</w:t>
            </w:r>
          </w:p>
        </w:tc>
      </w:tr>
      <w:tr>
        <w:trPr>
          <w:cantSplit/>
        </w:trPr>
        <w:tc>
          <w:tcPr>
            <w:tcW w:type="dxa" w:w="2909"/>
            <w:vAlign w:val="center"/>
            <w:shd w:fill="F7F8F9"/>
          </w:tcPr>
          <w:p>
            <w:pPr>
              <w:pStyle w:val="TableText"/>
              <w:keepNext w:val="0"/>
            </w:pPr>
            <w:r>
              <w:rPr>
                <w:b w:val="0"/>
              </w:rPr>
              <w:t>Disable and resume</w:t>
            </w:r>
          </w:p>
        </w:tc>
        <w:tc>
          <w:tcPr>
            <w:tcW w:type="dxa" w:w="6739"/>
            <w:vAlign w:val="center"/>
            <w:shd w:fill="F7F8F9"/>
          </w:tcPr>
          <w:p>
            <w:pPr>
              <w:pStyle w:val="TableText"/>
              <w:keepNext w:val="0"/>
            </w:pPr>
            <w:r>
              <w:rPr>
                <w:b w:val="0"/>
              </w:rPr>
              <w:t>Disablement persists without deleting admission constraints. Resume initiates ordinary evaluation through the resident head.</w:t>
            </w:r>
          </w:p>
        </w:tc>
      </w:tr>
      <w:tr>
        <w:trPr>
          <w:cantSplit/>
        </w:trPr>
        <w:tc>
          <w:tcPr>
            <w:tcW w:type="dxa" w:w="2909"/>
            <w:vAlign w:val="center"/>
            <w:shd w:fill="FFFFFF"/>
          </w:tcPr>
          <w:p>
            <w:pPr>
              <w:pStyle w:val="TableText"/>
              <w:keepNext w:val="0"/>
            </w:pPr>
            <w:r>
              <w:rPr>
                <w:b w:val="0"/>
              </w:rPr>
              <w:t>Boot at different addresses</w:t>
            </w:r>
          </w:p>
        </w:tc>
        <w:tc>
          <w:tcPr>
            <w:tcW w:type="dxa" w:w="6739"/>
            <w:vAlign w:val="center"/>
            <w:shd w:fill="FFFFFF"/>
          </w:tcPr>
          <w:p>
            <w:pPr>
              <w:pStyle w:val="TableText"/>
              <w:keepNext w:val="0"/>
            </w:pPr>
            <w:r>
              <w:rPr>
                <w:b w:val="0"/>
              </w:rPr>
              <w:t>Saved identities reconstruct to new local references before execution. Drivers expose actual state rather than replaying old desired mutations.</w:t>
            </w:r>
          </w:p>
        </w:tc>
      </w:tr>
      <w:tr>
        <w:trPr>
          <w:cantSplit/>
        </w:trPr>
        <w:tc>
          <w:tcPr>
            <w:tcW w:type="dxa" w:w="2909"/>
            <w:vAlign w:val="center"/>
            <w:shd w:fill="F7F8F9"/>
          </w:tcPr>
          <w:p>
            <w:pPr>
              <w:pStyle w:val="TableText"/>
              <w:keepNext w:val="0"/>
            </w:pPr>
            <w:r>
              <w:rPr>
                <w:b w:val="0"/>
              </w:rPr>
              <w:t>Arithmetic edge cases</w:t>
            </w:r>
          </w:p>
        </w:tc>
        <w:tc>
          <w:tcPr>
            <w:tcW w:type="dxa" w:w="6739"/>
            <w:vAlign w:val="center"/>
            <w:shd w:fill="F7F8F9"/>
          </w:tcPr>
          <w:p>
            <w:pPr>
              <w:pStyle w:val="TableText"/>
              <w:keepNext w:val="0"/>
            </w:pPr>
            <w:r>
              <w:rPr>
                <w:b w:val="0"/>
              </w:rPr>
              <w:t>Solver and runtime agree on wrapping, signed division, zero divisors, and declared conversion behavior on each target.</w:t>
            </w:r>
          </w:p>
        </w:tc>
      </w:tr>
      <w:tr>
        <w:trPr>
          <w:cantSplit/>
        </w:trPr>
        <w:tc>
          <w:tcPr>
            <w:tcW w:type="dxa" w:w="2909"/>
            <w:vAlign w:val="center"/>
            <w:shd w:fill="FFFFFF"/>
          </w:tcPr>
          <w:p>
            <w:pPr>
              <w:pStyle w:val="TableText"/>
              <w:keepNext w:val="0"/>
            </w:pPr>
            <w:r>
              <w:rPr>
                <w:b w:val="0"/>
              </w:rPr>
              <w:t>Compiler peer unavailable</w:t>
            </w:r>
          </w:p>
        </w:tc>
        <w:tc>
          <w:tcPr>
            <w:tcW w:type="dxa" w:w="6739"/>
            <w:vAlign w:val="center"/>
            <w:shd w:fill="FFFFFF"/>
          </w:tcPr>
          <w:p>
            <w:pPr>
              <w:pStyle w:val="TableText"/>
              <w:keepNext w:val="0"/>
            </w:pPr>
            <w:r>
              <w:rPr>
                <w:b w:val="0"/>
              </w:rPr>
              <w:t>Installed programs continue local traversal and declared safety behavior; requests needing new admission report service unavailability.</w:t>
            </w:r>
          </w:p>
        </w:tc>
      </w:tr>
      <w:tr>
        <w:trPr>
          <w:cantSplit/>
        </w:trPr>
        <w:tc>
          <w:tcPr>
            <w:tcW w:type="dxa" w:w="2909"/>
            <w:vAlign w:val="center"/>
            <w:shd w:fill="F7F8F9"/>
          </w:tcPr>
          <w:p>
            <w:pPr>
              <w:pStyle w:val="TableText"/>
              <w:keepNext w:val="0"/>
            </w:pPr>
            <w:r>
              <w:rPr>
                <w:b w:val="0"/>
              </w:rPr>
              <w:t>Refinement and changing evidence</w:t>
            </w:r>
          </w:p>
        </w:tc>
        <w:tc>
          <w:tcPr>
            <w:tcW w:type="dxa" w:w="6739"/>
            <w:vAlign w:val="center"/>
            <w:shd w:fill="F7F8F9"/>
          </w:tcPr>
          <w:p>
            <w:pPr>
              <w:pStyle w:val="TableText"/>
              <w:keepNext w:val="0"/>
            </w:pPr>
            <w:r>
              <w:rPr>
                <w:b w:val="0"/>
              </w:rPr>
              <w:t>Statistics update without mandatory replacement; new candidates retain admission requirements and justify their installation cost.</w:t>
            </w:r>
          </w:p>
        </w:tc>
      </w:tr>
      <w:tr>
        <w:trPr>
          <w:cantSplit/>
        </w:trPr>
        <w:tc>
          <w:tcPr>
            <w:tcW w:type="dxa" w:w="2909"/>
            <w:vAlign w:val="center"/>
            <w:shd w:fill="FFFFFF"/>
          </w:tcPr>
          <w:p>
            <w:pPr>
              <w:pStyle w:val="TableText"/>
              <w:keepNext w:val="0"/>
            </w:pPr>
            <w:r>
              <w:rPr>
                <w:b w:val="0"/>
              </w:rPr>
              <w:t>Counter wrap and slot reuse</w:t>
            </w:r>
          </w:p>
        </w:tc>
        <w:tc>
          <w:tcPr>
            <w:tcW w:type="dxa" w:w="6739"/>
            <w:vAlign w:val="center"/>
            <w:shd w:fill="FFFFFF"/>
          </w:tcPr>
          <w:p>
            <w:pPr>
              <w:pStyle w:val="TableText"/>
              <w:keepNext w:val="0"/>
            </w:pPr>
            <w:r>
              <w:rPr>
                <w:b w:val="0"/>
              </w:rPr>
              <w:t>Delayed traffic cannot be mistaken for new work or act on a new occupant of an old reference.</w:t>
            </w:r>
          </w:p>
        </w:tc>
      </w:tr>
      <w:tr>
        <w:trPr>
          <w:cantSplit/>
        </w:trPr>
        <w:tc>
          <w:tcPr>
            <w:tcW w:type="dxa" w:w="2909"/>
            <w:vAlign w:val="center"/>
            <w:shd w:fill="F7F8F9"/>
          </w:tcPr>
          <w:p>
            <w:pPr>
              <w:pStyle w:val="TableText"/>
              <w:keepNext w:val="0"/>
            </w:pPr>
            <w:r>
              <w:rPr>
                <w:b w:val="0"/>
              </w:rPr>
              <w:t>Unauthorized installation or mutation</w:t>
            </w:r>
          </w:p>
        </w:tc>
        <w:tc>
          <w:tcPr>
            <w:tcW w:type="dxa" w:w="6739"/>
            <w:vAlign w:val="center"/>
            <w:shd w:fill="F7F8F9"/>
          </w:tcPr>
          <w:p>
            <w:pPr>
              <w:pStyle w:val="TableText"/>
              <w:keepNext w:val="0"/>
            </w:pPr>
            <w:r>
              <w:rPr>
                <w:b w:val="0"/>
              </w:rPr>
              <w:t>The target rejects the operation under its binding authorization contract without damaging active program state.</w:t>
            </w:r>
          </w:p>
        </w:tc>
      </w:tr>
    </w:tbl>
    <w:p>
      <w:pPr>
        <w:spacing w:after="60" w:before="0" w:line="240" w:lineRule="auto"/>
      </w:pPr>
      <w:r>
        <w:rPr>
          <w:sz w:val="4"/>
        </w:rPr>
      </w:r>
    </w:p>
    <w:p>
      <w:bookmarkStart w:id="17" w:name="section_16"/>
      <w:pPr>
        <w:pStyle w:val="Heading1"/>
      </w:pPr>
      <w:r>
        <w:t>16  Research foundations and interpretation</w:t>
      </w:r>
      <w:bookmarkEnd w:id="17"/>
    </w:p>
    <w:p>
      <w:pPr>
        <w:keepLines/>
      </w:pPr>
      <w:r>
        <w:t>The architecture above is the normative design. The following research informs particular mechanisms and proof obligations. No cited paper establishes correctness of the combined Lattice protocol, selects its wire format, or requires importing a centralized controller or dynamic storage framework.</w:t>
      </w:r>
    </w:p>
    <w:p>
      <w:pPr>
        <w:pStyle w:val="ReferenceText"/>
        <w:keepNext/>
      </w:pPr>
      <w:r>
        <w:rPr>
          <w:b/>
        </w:rPr>
        <w:t>[1] E W Dijkstra and C S Scholten  Termination detection for diffusing computations</w:t>
      </w:r>
    </w:p>
    <w:p>
      <w:pPr>
        <w:pStyle w:val="ReferenceText"/>
        <w:keepNext/>
      </w:pPr>
      <w:r>
        <w:t>Local accounting and returned signals can establish the termination of a finite distributed computation under a defined communication model. Relevant to completion and old-work drainage; not a delivery guarantee for arbitrary packet loss and reboot.</w:t>
      </w:r>
    </w:p>
    <w:p>
      <w:pPr>
        <w:pStyle w:val="ReferenceText"/>
      </w:pPr>
      <w:hyperlink r:id="rId14">
        <w:r>
          <w:rPr>
            <w:color w:val="1B5165"/>
            <w:sz w:val="21"/>
          </w:rPr>
          <w:t>Primary source</w:t>
        </w:r>
      </w:hyperlink>
    </w:p>
    <w:p>
      <w:pPr>
        <w:pStyle w:val="ReferenceText"/>
        <w:keepNext/>
      </w:pPr>
      <w:r>
        <w:rPr>
          <w:b/>
        </w:rPr>
        <w:t>[2] C Intanagonwiwat R Govindan and D Estrin  Directed Diffusion  2000</w:t>
      </w:r>
    </w:p>
    <w:p>
      <w:pPr>
        <w:pStyle w:val="ReferenceText"/>
        <w:keepNext/>
      </w:pPr>
      <w:r>
        <w:t>A primary comparison for local gradients, data-oriented communication, and empirical reinforcement of useful paths. Lattice's typed binding references and program fragments remain its own execution model.</w:t>
      </w:r>
    </w:p>
    <w:p>
      <w:pPr>
        <w:pStyle w:val="ReferenceText"/>
      </w:pPr>
      <w:hyperlink r:id="rId15">
        <w:r>
          <w:rPr>
            <w:color w:val="1B5165"/>
            <w:sz w:val="21"/>
          </w:rPr>
          <w:t>Primary source</w:t>
        </w:r>
      </w:hyperlink>
    </w:p>
    <w:p>
      <w:pPr>
        <w:pStyle w:val="ReferenceText"/>
        <w:keepNext/>
      </w:pPr>
      <w:r>
        <w:rPr>
          <w:b/>
        </w:rPr>
        <w:t>[3] P Levis N Patel D Culler and S Shenker  Trickle  2004</w:t>
      </w:r>
    </w:p>
    <w:p>
      <w:pPr>
        <w:pStyle w:val="ReferenceText"/>
        <w:keepNext/>
      </w:pPr>
      <w:r>
        <w:t>Demonstrates local suppression of redundant dissemination. Suppression does not establish execution completion, and adopting its ideas does not select every timing or forwarding rule for this kernel.</w:t>
      </w:r>
    </w:p>
    <w:p>
      <w:pPr>
        <w:pStyle w:val="ReferenceText"/>
      </w:pPr>
      <w:hyperlink r:id="rId16">
        <w:r>
          <w:rPr>
            <w:color w:val="1B5165"/>
            <w:sz w:val="21"/>
          </w:rPr>
          <w:t>Primary source</w:t>
        </w:r>
      </w:hyperlink>
    </w:p>
    <w:p>
      <w:pPr>
        <w:pStyle w:val="ReferenceText"/>
        <w:keepNext/>
      </w:pPr>
      <w:r>
        <w:rPr>
          <w:b/>
        </w:rPr>
        <w:t>[4] T D Chandra and S Toueg  Unreliable Failure Detectors for Reliable Distributed Systems  1996</w:t>
      </w:r>
    </w:p>
    <w:p>
      <w:pPr>
        <w:pStyle w:val="ReferenceText"/>
        <w:keepNext/>
      </w:pPr>
      <w:r>
        <w:t>Provides the formal context for failure suspicion in asynchronous systems. A local watchdog enforces a freshness requirement and response deadline; it does not perfectly distinguish a failed peer from an arbitrarily delayed one.</w:t>
      </w:r>
    </w:p>
    <w:p>
      <w:pPr>
        <w:pStyle w:val="ReferenceText"/>
      </w:pPr>
      <w:hyperlink r:id="rId17">
        <w:r>
          <w:rPr>
            <w:color w:val="1B5165"/>
            <w:sz w:val="21"/>
          </w:rPr>
          <w:t>Primary source</w:t>
        </w:r>
      </w:hyperlink>
    </w:p>
    <w:p>
      <w:pPr>
        <w:pStyle w:val="ReferenceText"/>
        <w:keepNext/>
      </w:pPr>
      <w:r>
        <w:rPr>
          <w:b/>
        </w:rPr>
        <w:t>[5] M Reitblatt and colleagues  Abstractions for Network Update  2012</w:t>
      </w:r>
    </w:p>
    <w:p>
      <w:pPr>
        <w:pStyle w:val="ReferenceText"/>
        <w:keepNext/>
      </w:pPr>
      <w:r>
        <w:t>A reference for staged replacement that preserves a coherent configuration for an individual traversal. Its controller architecture is not a prescription for Lattice's peer topology.</w:t>
      </w:r>
    </w:p>
    <w:p>
      <w:pPr>
        <w:pStyle w:val="ReferenceText"/>
      </w:pPr>
      <w:hyperlink r:id="rId18">
        <w:r>
          <w:rPr>
            <w:color w:val="1B5165"/>
            <w:sz w:val="21"/>
          </w:rPr>
          <w:t>Primary source</w:t>
        </w:r>
      </w:hyperlink>
    </w:p>
    <w:p>
      <w:pPr>
        <w:pStyle w:val="ReferenceText"/>
        <w:keepNext/>
      </w:pPr>
      <w:r>
        <w:rPr>
          <w:b/>
        </w:rPr>
        <w:t>[6] A D Birrell and B J Nelson  Implementing Remote Procedure Calls  1984</w:t>
      </w:r>
    </w:p>
    <w:p>
      <w:pPr>
        <w:pStyle w:val="ReferenceText"/>
        <w:keepNext/>
      </w:pPr>
      <w:r>
        <w:t>Useful background for invocation identity, duplicate handling, and uncertain outcomes when a response is missing. Lattice does not thereby adopt a conventional RPC object or stub framework.</w:t>
      </w:r>
    </w:p>
    <w:p>
      <w:pPr>
        <w:pStyle w:val="ReferenceText"/>
      </w:pPr>
      <w:hyperlink r:id="rId19">
        <w:r>
          <w:rPr>
            <w:color w:val="1B5165"/>
            <w:sz w:val="21"/>
          </w:rPr>
          <w:t>Primary source</w:t>
        </w:r>
      </w:hyperlink>
    </w:p>
    <w:p>
      <w:r>
        <w:t>The prior Lattice Architecture White Paper, revised 24 September 2026, supplies the retained IR arithmetic, driver ownership, admission, enablement, reconstruction, and refinement decisions. This document replaces its central-host topology and hardware assumptions for the DRTOS architecture, incorporates the subsequent peer execution and safety decisions, and preserves explicitly unresolved contracts as obligations rather than presenting them as settled implementations.</w:t>
      </w:r>
    </w:p>
    <w:sectPr w:rsidR="00FC693F" w:rsidRPr="0006063C" w:rsidSect="00034616">
      <w:footerReference w:type="default" r:id="rId9"/>
      <w:pgSz w:w="12240" w:h="15840"/>
      <w:pgMar w:top="1123" w:right="1296" w:bottom="1037" w:left="1296"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66666"/>
        <w:sz w:val="18"/>
      </w:rPr>
      <w:t xml:space="preserve">Lattice DRTOS  |  </w:t>
    </w:r>
    <w:r>
      <w:rPr>
        <w:rFonts w:ascii="Liberation Sans" w:hAnsi="Liberation Sans"/>
        <w:color w:val="666666"/>
        <w:sz w:val="18"/>
      </w:rPr>
      <w:fldChar w:fldCharType="begin"/>
    </w:r>
    <w:r>
      <w:rPr>
        <w:rFonts w:ascii="Liberation Sans" w:hAnsi="Liberation Sans"/>
        <w:color w:val="666666"/>
        <w:sz w:val="18"/>
      </w:rPr>
      <w:instrText xml:space="preserve"> PAGE </w:instrText>
    </w:r>
    <w:r>
      <w:rPr>
        <w:rFonts w:ascii="Liberation Sans" w:hAnsi="Liberation Sans"/>
        <w:color w:val="666666"/>
        <w:sz w:val="18"/>
      </w:rPr>
      <w:fldChar w:fldCharType="separate"/>
    </w:r>
    <w:r>
      <w:rPr>
        <w:rFonts w:ascii="Liberation Sans" w:hAnsi="Liberation Sans"/>
        <w:color w:val="666666"/>
        <w:sz w:val="18"/>
      </w:rPr>
      <w:t>1</w:t>
    </w:r>
    <w:r>
      <w:rPr>
        <w:rFonts w:ascii="Liberation Sans" w:hAnsi="Liberation Sans"/>
        <w:color w:val="666666"/>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Liberation Serif" w:hAnsi="Liberation Serif" w:eastAsia="Liberation Serif" w:cs="Liberation Serif"/>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eastAsia="Liberation Sans" w:cs="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eastAsia="Liberation Sans" w:cs="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Liberation Sans" w:hAnsi="Liberation Sans" w:eastAsia="Liberation Sans" w:cs="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Liberation Sans" w:hAnsi="Liberation Sans" w:eastAsia="Liberation Sans" w:cs="Liberation Sans"/>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54" w:lineRule="auto" w:after="20"/>
    </w:pPr>
    <w:rPr>
      <w:rFonts w:ascii="Liberation Sans" w:hAnsi="Liberation Sans" w:eastAsia="Liberation Sans" w:cs="Liberation Sans"/>
      <w:b w:val="0"/>
      <w:color w:val="000000"/>
      <w:sz w:val="21"/>
    </w:rPr>
  </w:style>
  <w:style w:type="paragraph" w:customStyle="1" w:styleId="CaptionText">
    <w:name w:val="Caption Text"/>
    <w:pPr>
      <w:spacing w:after="180" w:line="254" w:lineRule="auto"/>
    </w:pPr>
    <w:rPr>
      <w:rFonts w:ascii="Liberation Sans" w:hAnsi="Liberation Sans" w:eastAsia="Liberation Sans" w:cs="Liberation Sans"/>
      <w:b w:val="0"/>
      <w:color w:val="4C555B"/>
      <w:sz w:val="20"/>
    </w:rPr>
  </w:style>
  <w:style w:type="paragraph" w:customStyle="1" w:styleId="TOCEntry">
    <w:name w:val="TOC Entry"/>
    <w:pPr>
      <w:spacing w:after="180"/>
    </w:pPr>
    <w:rPr>
      <w:rFonts w:ascii="Liberation Sans" w:hAnsi="Liberation Sans" w:eastAsia="Liberation Sans" w:cs="Liberation Sans"/>
      <w:b w:val="0"/>
      <w:color w:val="000000"/>
      <w:sz w:val="22"/>
    </w:rPr>
  </w:style>
  <w:style w:type="paragraph" w:customStyle="1" w:styleId="ReferenceText">
    <w:name w:val="Reference Text"/>
    <w:pPr>
      <w:spacing w:after="160"/>
    </w:pPr>
    <w:rPr>
      <w:rFonts w:ascii="Liberation Serif" w:hAnsi="Liberation Serif" w:eastAsia="Liberation Serif" w:cs="Liberation Serif"/>
      <w:b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cs.utexas.edu/~EWD/transcriptions/EWD06xx/EWD684.html" TargetMode="External"/><Relationship Id="rId15" Type="http://schemas.openxmlformats.org/officeDocument/2006/relationships/hyperlink" Target="https://www.isi.edu/websites/scadds/projects/diffusion.html" TargetMode="External"/><Relationship Id="rId16" Type="http://schemas.openxmlformats.org/officeDocument/2006/relationships/hyperlink" Target="https://csl.stanford.edu/~pal/pubs/trickle-nsdi04/" TargetMode="External"/><Relationship Id="rId17" Type="http://schemas.openxmlformats.org/officeDocument/2006/relationships/hyperlink" Target="https://www.cs.cornell.edu/courses/cs734/2000FA/cached%20papers/ct96.pdf" TargetMode="External"/><Relationship Id="rId18" Type="http://schemas.openxmlformats.org/officeDocument/2006/relationships/hyperlink" Target="https://www.cs.princeton.edu/~dpw/papers/network-update-sigcomm12.pdf" TargetMode="External"/><Relationship Id="rId19" Type="http://schemas.openxmlformats.org/officeDocument/2006/relationships/hyperlink" Target="https://www.cl.cam.ac.uk/teaching/0708/DigiCommI/birrell1984rp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Lattice DRTOS Architecture White Paper</dc:title>
  <dc:subject>Distributed kernel architecture and implementation obligations</dc:subject>
  <dc:creator/>
  <cp:keywords>Lattice, DRTOS, distributed kernel, graph execution, peer communication</cp:keywords>
  <dc:description/>
  <cp:lastModifiedBy/>
  <cp:revision>1</cp:revision>
  <dcterms:created xsi:type="dcterms:W3CDTF">2013-12-23T23:15:00Z</dcterms:created>
  <dcterms:modified xsi:type="dcterms:W3CDTF">2013-12-23T23:15:00Z</dcterms:modified>
  <cp:category/>
</cp:coreProperties>
</file>