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875" w:rsidRDefault="007A2B0C" w:rsidP="001C41D8">
      <w:pPr>
        <w:spacing w:line="240" w:lineRule="auto"/>
        <w:jc w:val="center"/>
      </w:pPr>
      <w:r w:rsidRPr="00F76875">
        <w:t>THESIS</w:t>
      </w:r>
      <w:r w:rsidR="00F76875">
        <w:t xml:space="preserve"> (</w:t>
      </w:r>
      <w:r w:rsidR="003D6DB4">
        <w:t xml:space="preserve">Chapter </w:t>
      </w:r>
      <w:r w:rsidR="00C31888">
        <w:t>1/2</w:t>
      </w:r>
      <w:r w:rsidR="00F76875">
        <w:t>)</w:t>
      </w:r>
    </w:p>
    <w:p w:rsidR="00F76875" w:rsidRDefault="00F76875" w:rsidP="00F76875">
      <w:pPr>
        <w:spacing w:line="480" w:lineRule="auto"/>
        <w:jc w:val="center"/>
      </w:pPr>
    </w:p>
    <w:p w:rsidR="005A3C51" w:rsidRDefault="005A3C51" w:rsidP="00F76875">
      <w:pPr>
        <w:spacing w:line="480" w:lineRule="auto"/>
        <w:jc w:val="center"/>
      </w:pPr>
    </w:p>
    <w:p w:rsidR="005A3C51" w:rsidRDefault="00F76875" w:rsidP="005A3C51">
      <w:pPr>
        <w:spacing w:line="480" w:lineRule="auto"/>
        <w:jc w:val="center"/>
      </w:pPr>
      <w:r>
        <w:t xml:space="preserve">PUBLIC WILLINGNESS TO PAY FOR A U.S. CARBON TAX </w:t>
      </w:r>
    </w:p>
    <w:p w:rsidR="00F76875" w:rsidRPr="00F76875" w:rsidRDefault="00F76875" w:rsidP="005A3C51">
      <w:pPr>
        <w:spacing w:line="480" w:lineRule="auto"/>
        <w:jc w:val="center"/>
      </w:pPr>
      <w:r>
        <w:t>AND PREFERENCES FOR SPENDING THE REVENUE</w:t>
      </w:r>
    </w:p>
    <w:p w:rsidR="00F76875" w:rsidRDefault="00F76875" w:rsidP="00F76875">
      <w:pPr>
        <w:spacing w:line="480" w:lineRule="auto"/>
        <w:jc w:val="center"/>
      </w:pPr>
    </w:p>
    <w:p w:rsidR="00F76875" w:rsidRDefault="00F76875" w:rsidP="001F69D2">
      <w:pPr>
        <w:spacing w:line="480" w:lineRule="auto"/>
        <w:jc w:val="center"/>
      </w:pPr>
    </w:p>
    <w:p w:rsidR="00076D7D" w:rsidRDefault="00076D7D" w:rsidP="001F69D2">
      <w:pPr>
        <w:spacing w:line="480" w:lineRule="auto"/>
        <w:jc w:val="center"/>
      </w:pPr>
    </w:p>
    <w:p w:rsidR="00076D7D" w:rsidRDefault="00076D7D" w:rsidP="001F69D2">
      <w:pPr>
        <w:spacing w:line="480" w:lineRule="auto"/>
        <w:jc w:val="center"/>
      </w:pPr>
    </w:p>
    <w:p w:rsidR="00076D7D" w:rsidRDefault="00076D7D" w:rsidP="001F69D2">
      <w:pPr>
        <w:spacing w:line="480" w:lineRule="auto"/>
        <w:jc w:val="center"/>
      </w:pPr>
    </w:p>
    <w:p w:rsidR="00076D7D" w:rsidRDefault="00076D7D" w:rsidP="001F69D2">
      <w:pPr>
        <w:spacing w:line="480" w:lineRule="auto"/>
        <w:jc w:val="center"/>
      </w:pPr>
    </w:p>
    <w:p w:rsidR="00076D7D" w:rsidRDefault="00076D7D" w:rsidP="001F69D2">
      <w:pPr>
        <w:spacing w:line="480" w:lineRule="auto"/>
        <w:jc w:val="center"/>
      </w:pPr>
    </w:p>
    <w:p w:rsidR="00076D7D" w:rsidRDefault="00076D7D" w:rsidP="001F69D2">
      <w:pPr>
        <w:spacing w:line="480" w:lineRule="auto"/>
        <w:jc w:val="center"/>
      </w:pPr>
    </w:p>
    <w:p w:rsidR="00076D7D" w:rsidRDefault="00076D7D" w:rsidP="001F69D2">
      <w:pPr>
        <w:spacing w:line="480" w:lineRule="auto"/>
        <w:jc w:val="center"/>
      </w:pPr>
    </w:p>
    <w:p w:rsidR="00076D7D" w:rsidRDefault="00076D7D" w:rsidP="001F69D2">
      <w:pPr>
        <w:spacing w:line="480" w:lineRule="auto"/>
        <w:jc w:val="center"/>
      </w:pPr>
    </w:p>
    <w:p w:rsidR="007A2B0C" w:rsidRDefault="007A2B0C" w:rsidP="00B40F46">
      <w:pPr>
        <w:sectPr w:rsidR="007A2B0C" w:rsidSect="00A26CE8">
          <w:footerReference w:type="default" r:id="rId8"/>
          <w:pgSz w:w="12240" w:h="15840"/>
          <w:pgMar w:top="1440" w:right="1440" w:bottom="1440" w:left="1440" w:header="720" w:footer="720" w:gutter="0"/>
          <w:pgNumType w:start="0"/>
          <w:cols w:space="720"/>
          <w:titlePg/>
          <w:docGrid w:linePitch="360"/>
        </w:sectPr>
      </w:pPr>
    </w:p>
    <w:p w:rsidR="00062C92" w:rsidRPr="00062C92" w:rsidRDefault="005A3C51" w:rsidP="005A3C51">
      <w:pPr>
        <w:jc w:val="center"/>
      </w:pPr>
      <w:r>
        <w:br w:type="page"/>
      </w:r>
      <w:r w:rsidR="00062C92">
        <w:lastRenderedPageBreak/>
        <w:t>Abstract</w:t>
      </w:r>
    </w:p>
    <w:p w:rsidR="00062C92" w:rsidRDefault="00062C92" w:rsidP="00072AD7">
      <w:pPr>
        <w:spacing w:line="276" w:lineRule="auto"/>
      </w:pPr>
      <w:r w:rsidRPr="00A26CE8">
        <w:t>With recent bipartisan interest in carbon taxes to reduce global warming, we query the preferences of American households using a nationally representative sample.  We estimate willingness to pay (WTP) in the U.S. to reduce global warming through a tax on fossil fuels that increases household energy bills and find a mean WTP of $</w:t>
      </w:r>
      <w:r>
        <w:t>177 or 15-percent on average</w:t>
      </w:r>
      <w:r w:rsidRPr="00A26CE8">
        <w:t xml:space="preserve">.  Particularly timely, we also ask households to identify how they prefer the resulting revenues be spent and find substantial support to aid displaced coal workers, fund clean energy development, and improve the nation’s infrastructure.  Based on the public’s preferred allocation, we find aggregate support of $3.47 billion for clean energy development, $3.0 billion for infrastructure, and $2.1 billion to aid displaced coal workers </w:t>
      </w:r>
      <w:r w:rsidRPr="00A26CE8">
        <w:rPr>
          <w:i/>
        </w:rPr>
        <w:t>per year</w:t>
      </w:r>
      <w:r w:rsidRPr="00A26CE8">
        <w:t>.  The latter is more than sufficient to replace the wages of every extraction worker, even if the entire coal industry were to be phased out.</w:t>
      </w:r>
    </w:p>
    <w:p w:rsidR="00062C92" w:rsidRDefault="00062C92" w:rsidP="00062C92">
      <w:pPr>
        <w:spacing w:line="360" w:lineRule="auto"/>
      </w:pPr>
    </w:p>
    <w:p w:rsidR="00062C92" w:rsidRDefault="00062C92" w:rsidP="00062C92">
      <w:pPr>
        <w:spacing w:line="240" w:lineRule="auto"/>
      </w:pPr>
    </w:p>
    <w:sdt>
      <w:sdtPr>
        <w:rPr>
          <w:rFonts w:ascii="Times New Roman" w:eastAsiaTheme="minorHAnsi" w:hAnsi="Times New Roman" w:cs="Times New Roman"/>
          <w:color w:val="auto"/>
          <w:sz w:val="22"/>
          <w:szCs w:val="22"/>
        </w:rPr>
        <w:id w:val="178312495"/>
        <w:docPartObj>
          <w:docPartGallery w:val="Table of Contents"/>
          <w:docPartUnique/>
        </w:docPartObj>
      </w:sdtPr>
      <w:sdtEndPr>
        <w:rPr>
          <w:b/>
          <w:bCs/>
          <w:noProof/>
        </w:rPr>
      </w:sdtEndPr>
      <w:sdtContent>
        <w:p w:rsidR="00062C92" w:rsidRPr="00062C92" w:rsidRDefault="003D6DB4">
          <w:pPr>
            <w:pStyle w:val="TOCHeading"/>
            <w:rPr>
              <w:rFonts w:ascii="Times New Roman" w:hAnsi="Times New Roman" w:cs="Times New Roman"/>
              <w:b/>
              <w:color w:val="auto"/>
              <w:sz w:val="24"/>
              <w:szCs w:val="22"/>
            </w:rPr>
          </w:pPr>
          <w:r>
            <w:rPr>
              <w:rFonts w:ascii="Times New Roman" w:hAnsi="Times New Roman" w:cs="Times New Roman"/>
              <w:b/>
              <w:color w:val="auto"/>
              <w:sz w:val="24"/>
              <w:szCs w:val="22"/>
            </w:rPr>
            <w:t>Chapter c</w:t>
          </w:r>
          <w:r w:rsidR="00062C92">
            <w:rPr>
              <w:rFonts w:ascii="Times New Roman" w:hAnsi="Times New Roman" w:cs="Times New Roman"/>
              <w:b/>
              <w:color w:val="auto"/>
              <w:sz w:val="24"/>
              <w:szCs w:val="22"/>
            </w:rPr>
            <w:t>ontent</w:t>
          </w:r>
        </w:p>
        <w:p w:rsidR="007A0A36" w:rsidRDefault="00062C92">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9082649" w:history="1">
            <w:r w:rsidR="007A0A36" w:rsidRPr="00416B86">
              <w:rPr>
                <w:rStyle w:val="Hyperlink"/>
                <w:noProof/>
              </w:rPr>
              <w:t>Introduction</w:t>
            </w:r>
            <w:r w:rsidR="007A0A36">
              <w:rPr>
                <w:noProof/>
                <w:webHidden/>
              </w:rPr>
              <w:tab/>
            </w:r>
            <w:r w:rsidR="007A0A36">
              <w:rPr>
                <w:noProof/>
                <w:webHidden/>
              </w:rPr>
              <w:fldChar w:fldCharType="begin"/>
            </w:r>
            <w:r w:rsidR="007A0A36">
              <w:rPr>
                <w:noProof/>
                <w:webHidden/>
              </w:rPr>
              <w:instrText xml:space="preserve"> PAGEREF _Toc479082649 \h </w:instrText>
            </w:r>
            <w:r w:rsidR="007A0A36">
              <w:rPr>
                <w:noProof/>
                <w:webHidden/>
              </w:rPr>
            </w:r>
            <w:r w:rsidR="007A0A36">
              <w:rPr>
                <w:noProof/>
                <w:webHidden/>
              </w:rPr>
              <w:fldChar w:fldCharType="separate"/>
            </w:r>
            <w:r w:rsidR="007A0A36">
              <w:rPr>
                <w:noProof/>
                <w:webHidden/>
              </w:rPr>
              <w:t>2</w:t>
            </w:r>
            <w:r w:rsidR="007A0A36">
              <w:rPr>
                <w:noProof/>
                <w:webHidden/>
              </w:rPr>
              <w:fldChar w:fldCharType="end"/>
            </w:r>
          </w:hyperlink>
        </w:p>
        <w:p w:rsidR="007A0A36" w:rsidRDefault="00BB4293">
          <w:pPr>
            <w:pStyle w:val="TOC1"/>
            <w:tabs>
              <w:tab w:val="right" w:leader="dot" w:pos="9350"/>
            </w:tabs>
            <w:rPr>
              <w:rFonts w:asciiTheme="minorHAnsi" w:eastAsiaTheme="minorEastAsia" w:hAnsiTheme="minorHAnsi" w:cstheme="minorBidi"/>
              <w:noProof/>
            </w:rPr>
          </w:pPr>
          <w:hyperlink w:anchor="_Toc479082650" w:history="1">
            <w:r w:rsidR="007A0A36" w:rsidRPr="00416B86">
              <w:rPr>
                <w:rStyle w:val="Hyperlink"/>
                <w:noProof/>
              </w:rPr>
              <w:t>Main results</w:t>
            </w:r>
            <w:r w:rsidR="007A0A36">
              <w:rPr>
                <w:noProof/>
                <w:webHidden/>
              </w:rPr>
              <w:tab/>
            </w:r>
            <w:r w:rsidR="007A0A36">
              <w:rPr>
                <w:noProof/>
                <w:webHidden/>
              </w:rPr>
              <w:fldChar w:fldCharType="begin"/>
            </w:r>
            <w:r w:rsidR="007A0A36">
              <w:rPr>
                <w:noProof/>
                <w:webHidden/>
              </w:rPr>
              <w:instrText xml:space="preserve"> PAGEREF _Toc479082650 \h </w:instrText>
            </w:r>
            <w:r w:rsidR="007A0A36">
              <w:rPr>
                <w:noProof/>
                <w:webHidden/>
              </w:rPr>
            </w:r>
            <w:r w:rsidR="007A0A36">
              <w:rPr>
                <w:noProof/>
                <w:webHidden/>
              </w:rPr>
              <w:fldChar w:fldCharType="separate"/>
            </w:r>
            <w:r w:rsidR="007A0A36">
              <w:rPr>
                <w:noProof/>
                <w:webHidden/>
              </w:rPr>
              <w:t>3</w:t>
            </w:r>
            <w:r w:rsidR="007A0A36">
              <w:rPr>
                <w:noProof/>
                <w:webHidden/>
              </w:rPr>
              <w:fldChar w:fldCharType="end"/>
            </w:r>
          </w:hyperlink>
        </w:p>
        <w:p w:rsidR="007A0A36" w:rsidRDefault="00BB4293">
          <w:pPr>
            <w:pStyle w:val="TOC1"/>
            <w:tabs>
              <w:tab w:val="right" w:leader="dot" w:pos="9350"/>
            </w:tabs>
            <w:rPr>
              <w:rFonts w:asciiTheme="minorHAnsi" w:eastAsiaTheme="minorEastAsia" w:hAnsiTheme="minorHAnsi" w:cstheme="minorBidi"/>
              <w:noProof/>
            </w:rPr>
          </w:pPr>
          <w:hyperlink w:anchor="_Toc479082651" w:history="1">
            <w:r w:rsidR="007A0A36" w:rsidRPr="00416B86">
              <w:rPr>
                <w:rStyle w:val="Hyperlink"/>
                <w:noProof/>
              </w:rPr>
              <w:t>Subgroup level results</w:t>
            </w:r>
            <w:r w:rsidR="007A0A36">
              <w:rPr>
                <w:noProof/>
                <w:webHidden/>
              </w:rPr>
              <w:tab/>
            </w:r>
            <w:r w:rsidR="007A0A36">
              <w:rPr>
                <w:noProof/>
                <w:webHidden/>
              </w:rPr>
              <w:fldChar w:fldCharType="begin"/>
            </w:r>
            <w:r w:rsidR="007A0A36">
              <w:rPr>
                <w:noProof/>
                <w:webHidden/>
              </w:rPr>
              <w:instrText xml:space="preserve"> PAGEREF _Toc479082651 \h </w:instrText>
            </w:r>
            <w:r w:rsidR="007A0A36">
              <w:rPr>
                <w:noProof/>
                <w:webHidden/>
              </w:rPr>
            </w:r>
            <w:r w:rsidR="007A0A36">
              <w:rPr>
                <w:noProof/>
                <w:webHidden/>
              </w:rPr>
              <w:fldChar w:fldCharType="separate"/>
            </w:r>
            <w:r w:rsidR="007A0A36">
              <w:rPr>
                <w:noProof/>
                <w:webHidden/>
              </w:rPr>
              <w:t>7</w:t>
            </w:r>
            <w:r w:rsidR="007A0A36">
              <w:rPr>
                <w:noProof/>
                <w:webHidden/>
              </w:rPr>
              <w:fldChar w:fldCharType="end"/>
            </w:r>
          </w:hyperlink>
        </w:p>
        <w:p w:rsidR="007A0A36" w:rsidRDefault="00BB4293">
          <w:pPr>
            <w:pStyle w:val="TOC1"/>
            <w:tabs>
              <w:tab w:val="right" w:leader="dot" w:pos="9350"/>
            </w:tabs>
            <w:rPr>
              <w:rFonts w:asciiTheme="minorHAnsi" w:eastAsiaTheme="minorEastAsia" w:hAnsiTheme="minorHAnsi" w:cstheme="minorBidi"/>
              <w:noProof/>
            </w:rPr>
          </w:pPr>
          <w:hyperlink w:anchor="_Toc479082652" w:history="1">
            <w:r w:rsidR="007A0A36" w:rsidRPr="00416B86">
              <w:rPr>
                <w:rStyle w:val="Hyperlink"/>
                <w:noProof/>
              </w:rPr>
              <w:t>Discussion and conclusion</w:t>
            </w:r>
            <w:r w:rsidR="007A0A36">
              <w:rPr>
                <w:noProof/>
                <w:webHidden/>
              </w:rPr>
              <w:tab/>
            </w:r>
            <w:r w:rsidR="007A0A36">
              <w:rPr>
                <w:noProof/>
                <w:webHidden/>
              </w:rPr>
              <w:fldChar w:fldCharType="begin"/>
            </w:r>
            <w:r w:rsidR="007A0A36">
              <w:rPr>
                <w:noProof/>
                <w:webHidden/>
              </w:rPr>
              <w:instrText xml:space="preserve"> PAGEREF _Toc479082652 \h </w:instrText>
            </w:r>
            <w:r w:rsidR="007A0A36">
              <w:rPr>
                <w:noProof/>
                <w:webHidden/>
              </w:rPr>
            </w:r>
            <w:r w:rsidR="007A0A36">
              <w:rPr>
                <w:noProof/>
                <w:webHidden/>
              </w:rPr>
              <w:fldChar w:fldCharType="separate"/>
            </w:r>
            <w:r w:rsidR="007A0A36">
              <w:rPr>
                <w:noProof/>
                <w:webHidden/>
              </w:rPr>
              <w:t>9</w:t>
            </w:r>
            <w:r w:rsidR="007A0A36">
              <w:rPr>
                <w:noProof/>
                <w:webHidden/>
              </w:rPr>
              <w:fldChar w:fldCharType="end"/>
            </w:r>
          </w:hyperlink>
        </w:p>
        <w:p w:rsidR="007A0A36" w:rsidRDefault="00BB4293">
          <w:pPr>
            <w:pStyle w:val="TOC1"/>
            <w:tabs>
              <w:tab w:val="right" w:leader="dot" w:pos="9350"/>
            </w:tabs>
            <w:rPr>
              <w:rFonts w:asciiTheme="minorHAnsi" w:eastAsiaTheme="minorEastAsia" w:hAnsiTheme="minorHAnsi" w:cstheme="minorBidi"/>
              <w:noProof/>
            </w:rPr>
          </w:pPr>
          <w:hyperlink w:anchor="_Toc479082653" w:history="1">
            <w:r w:rsidR="007A0A36" w:rsidRPr="00416B86">
              <w:rPr>
                <w:rStyle w:val="Hyperlink"/>
                <w:noProof/>
              </w:rPr>
              <w:t>Methodology</w:t>
            </w:r>
            <w:r w:rsidR="007A0A36">
              <w:rPr>
                <w:noProof/>
                <w:webHidden/>
              </w:rPr>
              <w:tab/>
            </w:r>
            <w:r w:rsidR="007A0A36">
              <w:rPr>
                <w:noProof/>
                <w:webHidden/>
              </w:rPr>
              <w:fldChar w:fldCharType="begin"/>
            </w:r>
            <w:r w:rsidR="007A0A36">
              <w:rPr>
                <w:noProof/>
                <w:webHidden/>
              </w:rPr>
              <w:instrText xml:space="preserve"> PAGEREF _Toc479082653 \h </w:instrText>
            </w:r>
            <w:r w:rsidR="007A0A36">
              <w:rPr>
                <w:noProof/>
                <w:webHidden/>
              </w:rPr>
            </w:r>
            <w:r w:rsidR="007A0A36">
              <w:rPr>
                <w:noProof/>
                <w:webHidden/>
              </w:rPr>
              <w:fldChar w:fldCharType="separate"/>
            </w:r>
            <w:r w:rsidR="007A0A36">
              <w:rPr>
                <w:noProof/>
                <w:webHidden/>
              </w:rPr>
              <w:t>10</w:t>
            </w:r>
            <w:r w:rsidR="007A0A36">
              <w:rPr>
                <w:noProof/>
                <w:webHidden/>
              </w:rPr>
              <w:fldChar w:fldCharType="end"/>
            </w:r>
          </w:hyperlink>
        </w:p>
        <w:p w:rsidR="007A0A36" w:rsidRDefault="00BB4293">
          <w:pPr>
            <w:pStyle w:val="TOC1"/>
            <w:tabs>
              <w:tab w:val="right" w:leader="dot" w:pos="9350"/>
            </w:tabs>
            <w:rPr>
              <w:rFonts w:asciiTheme="minorHAnsi" w:eastAsiaTheme="minorEastAsia" w:hAnsiTheme="minorHAnsi" w:cstheme="minorBidi"/>
              <w:noProof/>
            </w:rPr>
          </w:pPr>
          <w:hyperlink w:anchor="_Toc479082654" w:history="1">
            <w:r w:rsidR="007A0A36" w:rsidRPr="00416B86">
              <w:rPr>
                <w:rStyle w:val="Hyperlink"/>
                <w:noProof/>
              </w:rPr>
              <w:t>References</w:t>
            </w:r>
            <w:r w:rsidR="007A0A36">
              <w:rPr>
                <w:noProof/>
                <w:webHidden/>
              </w:rPr>
              <w:tab/>
            </w:r>
            <w:r w:rsidR="007A0A36">
              <w:rPr>
                <w:noProof/>
                <w:webHidden/>
              </w:rPr>
              <w:fldChar w:fldCharType="begin"/>
            </w:r>
            <w:r w:rsidR="007A0A36">
              <w:rPr>
                <w:noProof/>
                <w:webHidden/>
              </w:rPr>
              <w:instrText xml:space="preserve"> PAGEREF _Toc479082654 \h </w:instrText>
            </w:r>
            <w:r w:rsidR="007A0A36">
              <w:rPr>
                <w:noProof/>
                <w:webHidden/>
              </w:rPr>
            </w:r>
            <w:r w:rsidR="007A0A36">
              <w:rPr>
                <w:noProof/>
                <w:webHidden/>
              </w:rPr>
              <w:fldChar w:fldCharType="separate"/>
            </w:r>
            <w:r w:rsidR="007A0A36">
              <w:rPr>
                <w:noProof/>
                <w:webHidden/>
              </w:rPr>
              <w:t>13</w:t>
            </w:r>
            <w:r w:rsidR="007A0A36">
              <w:rPr>
                <w:noProof/>
                <w:webHidden/>
              </w:rPr>
              <w:fldChar w:fldCharType="end"/>
            </w:r>
          </w:hyperlink>
        </w:p>
        <w:p w:rsidR="007A0A36" w:rsidRDefault="00BB4293">
          <w:pPr>
            <w:pStyle w:val="TOC1"/>
            <w:tabs>
              <w:tab w:val="right" w:leader="dot" w:pos="9350"/>
            </w:tabs>
            <w:rPr>
              <w:rFonts w:asciiTheme="minorHAnsi" w:eastAsiaTheme="minorEastAsia" w:hAnsiTheme="minorHAnsi" w:cstheme="minorBidi"/>
              <w:noProof/>
            </w:rPr>
          </w:pPr>
          <w:hyperlink w:anchor="_Toc479082655" w:history="1">
            <w:r w:rsidR="007A0A36" w:rsidRPr="00416B86">
              <w:rPr>
                <w:rStyle w:val="Hyperlink"/>
                <w:noProof/>
              </w:rPr>
              <w:t>Appendix A: Coefficient estimates from multinomial regressions</w:t>
            </w:r>
            <w:r w:rsidR="007A0A36">
              <w:rPr>
                <w:noProof/>
                <w:webHidden/>
              </w:rPr>
              <w:tab/>
            </w:r>
            <w:r w:rsidR="007A0A36">
              <w:rPr>
                <w:noProof/>
                <w:webHidden/>
              </w:rPr>
              <w:fldChar w:fldCharType="begin"/>
            </w:r>
            <w:r w:rsidR="007A0A36">
              <w:rPr>
                <w:noProof/>
                <w:webHidden/>
              </w:rPr>
              <w:instrText xml:space="preserve"> PAGEREF _Toc479082655 \h </w:instrText>
            </w:r>
            <w:r w:rsidR="007A0A36">
              <w:rPr>
                <w:noProof/>
                <w:webHidden/>
              </w:rPr>
            </w:r>
            <w:r w:rsidR="007A0A36">
              <w:rPr>
                <w:noProof/>
                <w:webHidden/>
              </w:rPr>
              <w:fldChar w:fldCharType="separate"/>
            </w:r>
            <w:r w:rsidR="007A0A36">
              <w:rPr>
                <w:noProof/>
                <w:webHidden/>
              </w:rPr>
              <w:t>14</w:t>
            </w:r>
            <w:r w:rsidR="007A0A36">
              <w:rPr>
                <w:noProof/>
                <w:webHidden/>
              </w:rPr>
              <w:fldChar w:fldCharType="end"/>
            </w:r>
          </w:hyperlink>
        </w:p>
        <w:p w:rsidR="007A0A36" w:rsidRDefault="00BB4293">
          <w:pPr>
            <w:pStyle w:val="TOC1"/>
            <w:tabs>
              <w:tab w:val="right" w:leader="dot" w:pos="9350"/>
            </w:tabs>
            <w:rPr>
              <w:rFonts w:asciiTheme="minorHAnsi" w:eastAsiaTheme="minorEastAsia" w:hAnsiTheme="minorHAnsi" w:cstheme="minorBidi"/>
              <w:noProof/>
            </w:rPr>
          </w:pPr>
          <w:hyperlink w:anchor="_Toc479082656" w:history="1">
            <w:r w:rsidR="007A0A36" w:rsidRPr="00416B86">
              <w:rPr>
                <w:rStyle w:val="Hyperlink"/>
                <w:noProof/>
              </w:rPr>
              <w:t>Appendix B: Multinomial logit regression on policy preferences</w:t>
            </w:r>
            <w:r w:rsidR="007A0A36">
              <w:rPr>
                <w:noProof/>
                <w:webHidden/>
              </w:rPr>
              <w:tab/>
            </w:r>
            <w:r w:rsidR="007A0A36">
              <w:rPr>
                <w:noProof/>
                <w:webHidden/>
              </w:rPr>
              <w:fldChar w:fldCharType="begin"/>
            </w:r>
            <w:r w:rsidR="007A0A36">
              <w:rPr>
                <w:noProof/>
                <w:webHidden/>
              </w:rPr>
              <w:instrText xml:space="preserve"> PAGEREF _Toc479082656 \h </w:instrText>
            </w:r>
            <w:r w:rsidR="007A0A36">
              <w:rPr>
                <w:noProof/>
                <w:webHidden/>
              </w:rPr>
            </w:r>
            <w:r w:rsidR="007A0A36">
              <w:rPr>
                <w:noProof/>
                <w:webHidden/>
              </w:rPr>
              <w:fldChar w:fldCharType="separate"/>
            </w:r>
            <w:r w:rsidR="007A0A36">
              <w:rPr>
                <w:noProof/>
                <w:webHidden/>
              </w:rPr>
              <w:t>15</w:t>
            </w:r>
            <w:r w:rsidR="007A0A36">
              <w:rPr>
                <w:noProof/>
                <w:webHidden/>
              </w:rPr>
              <w:fldChar w:fldCharType="end"/>
            </w:r>
          </w:hyperlink>
        </w:p>
        <w:p w:rsidR="007A0A36" w:rsidRDefault="00BB4293">
          <w:pPr>
            <w:pStyle w:val="TOC1"/>
            <w:tabs>
              <w:tab w:val="right" w:leader="dot" w:pos="9350"/>
            </w:tabs>
            <w:rPr>
              <w:rFonts w:asciiTheme="minorHAnsi" w:eastAsiaTheme="minorEastAsia" w:hAnsiTheme="minorHAnsi" w:cstheme="minorBidi"/>
              <w:noProof/>
            </w:rPr>
          </w:pPr>
          <w:hyperlink w:anchor="_Toc479082657" w:history="1">
            <w:r w:rsidR="007A0A36" w:rsidRPr="00416B86">
              <w:rPr>
                <w:rStyle w:val="Hyperlink"/>
                <w:noProof/>
              </w:rPr>
              <w:t>Appendix C: Respondent preferences expanded table</w:t>
            </w:r>
            <w:r w:rsidR="007A0A36">
              <w:rPr>
                <w:noProof/>
                <w:webHidden/>
              </w:rPr>
              <w:tab/>
            </w:r>
            <w:r w:rsidR="007A0A36">
              <w:rPr>
                <w:noProof/>
                <w:webHidden/>
              </w:rPr>
              <w:fldChar w:fldCharType="begin"/>
            </w:r>
            <w:r w:rsidR="007A0A36">
              <w:rPr>
                <w:noProof/>
                <w:webHidden/>
              </w:rPr>
              <w:instrText xml:space="preserve"> PAGEREF _Toc479082657 \h </w:instrText>
            </w:r>
            <w:r w:rsidR="007A0A36">
              <w:rPr>
                <w:noProof/>
                <w:webHidden/>
              </w:rPr>
            </w:r>
            <w:r w:rsidR="007A0A36">
              <w:rPr>
                <w:noProof/>
                <w:webHidden/>
              </w:rPr>
              <w:fldChar w:fldCharType="separate"/>
            </w:r>
            <w:r w:rsidR="007A0A36">
              <w:rPr>
                <w:noProof/>
                <w:webHidden/>
              </w:rPr>
              <w:t>18</w:t>
            </w:r>
            <w:r w:rsidR="007A0A36">
              <w:rPr>
                <w:noProof/>
                <w:webHidden/>
              </w:rPr>
              <w:fldChar w:fldCharType="end"/>
            </w:r>
          </w:hyperlink>
        </w:p>
        <w:p w:rsidR="007A0A36" w:rsidRDefault="00BB4293">
          <w:pPr>
            <w:pStyle w:val="TOC1"/>
            <w:tabs>
              <w:tab w:val="right" w:leader="dot" w:pos="9350"/>
            </w:tabs>
            <w:rPr>
              <w:rFonts w:asciiTheme="minorHAnsi" w:eastAsiaTheme="minorEastAsia" w:hAnsiTheme="minorHAnsi" w:cstheme="minorBidi"/>
              <w:noProof/>
            </w:rPr>
          </w:pPr>
          <w:hyperlink w:anchor="_Toc479082658" w:history="1">
            <w:r w:rsidR="007A0A36" w:rsidRPr="00416B86">
              <w:rPr>
                <w:rStyle w:val="Hyperlink"/>
                <w:noProof/>
              </w:rPr>
              <w:t>Appendix D: State-level average household energy bill data</w:t>
            </w:r>
            <w:r w:rsidR="007A0A36">
              <w:rPr>
                <w:noProof/>
                <w:webHidden/>
              </w:rPr>
              <w:tab/>
            </w:r>
            <w:r w:rsidR="007A0A36">
              <w:rPr>
                <w:noProof/>
                <w:webHidden/>
              </w:rPr>
              <w:fldChar w:fldCharType="begin"/>
            </w:r>
            <w:r w:rsidR="007A0A36">
              <w:rPr>
                <w:noProof/>
                <w:webHidden/>
              </w:rPr>
              <w:instrText xml:space="preserve"> PAGEREF _Toc479082658 \h </w:instrText>
            </w:r>
            <w:r w:rsidR="007A0A36">
              <w:rPr>
                <w:noProof/>
                <w:webHidden/>
              </w:rPr>
            </w:r>
            <w:r w:rsidR="007A0A36">
              <w:rPr>
                <w:noProof/>
                <w:webHidden/>
              </w:rPr>
              <w:fldChar w:fldCharType="separate"/>
            </w:r>
            <w:r w:rsidR="007A0A36">
              <w:rPr>
                <w:noProof/>
                <w:webHidden/>
              </w:rPr>
              <w:t>19</w:t>
            </w:r>
            <w:r w:rsidR="007A0A36">
              <w:rPr>
                <w:noProof/>
                <w:webHidden/>
              </w:rPr>
              <w:fldChar w:fldCharType="end"/>
            </w:r>
          </w:hyperlink>
        </w:p>
        <w:p w:rsidR="00A26CE8" w:rsidRDefault="00062C92" w:rsidP="00062C92">
          <w:r>
            <w:rPr>
              <w:b/>
              <w:bCs/>
              <w:noProof/>
            </w:rPr>
            <w:fldChar w:fldCharType="end"/>
          </w:r>
        </w:p>
      </w:sdtContent>
    </w:sdt>
    <w:p w:rsidR="005522D6" w:rsidRDefault="005522D6" w:rsidP="005522D6">
      <w:pPr>
        <w:jc w:val="center"/>
      </w:pPr>
    </w:p>
    <w:p w:rsidR="005522D6" w:rsidRDefault="005522D6" w:rsidP="005522D6">
      <w:pPr>
        <w:jc w:val="center"/>
      </w:pPr>
    </w:p>
    <w:p w:rsidR="005522D6" w:rsidRDefault="005522D6" w:rsidP="005522D6">
      <w:pPr>
        <w:jc w:val="center"/>
      </w:pPr>
      <w:r>
        <w:t xml:space="preserve">Author contributions and acknowledgments: </w:t>
      </w:r>
    </w:p>
    <w:p w:rsidR="00A26CE8" w:rsidRPr="005522D6" w:rsidRDefault="005522D6">
      <w:r>
        <w:t xml:space="preserve">I, Zachary Turk, conducted the statistical analysis and composition of this study.  The survey questions were developed by Matthew Kotchen (thesis advisor) and Anthony Leiserowitz (thesis co-advisor) and included in a larger survey instrument implemented by Anthony Leiserowitz.  I am grateful for their substantial contributions and feedback on this work.  I would also like to thank Joseph </w:t>
      </w:r>
      <w:proofErr w:type="spellStart"/>
      <w:r>
        <w:t>Aldy</w:t>
      </w:r>
      <w:proofErr w:type="spellEnd"/>
      <w:r>
        <w:t xml:space="preserve"> and Stefano </w:t>
      </w:r>
      <w:proofErr w:type="spellStart"/>
      <w:r>
        <w:t>Carattini</w:t>
      </w:r>
      <w:proofErr w:type="spellEnd"/>
      <w:r>
        <w:t xml:space="preserve"> for providing feedback on the version submitted to an academic journal.  I also gratefully acknowledge the financial support of the 11th Hour Project, the Energy Foundation, the Grantham Foundation, and the MacArthur Foundation in fielding the survey.</w:t>
      </w:r>
      <w:bookmarkStart w:id="0" w:name="_GoBack"/>
      <w:bookmarkEnd w:id="0"/>
    </w:p>
    <w:p w:rsidR="005522D6" w:rsidRDefault="005522D6">
      <w:pPr>
        <w:rPr>
          <w:b/>
        </w:rPr>
      </w:pPr>
      <w:r>
        <w:rPr>
          <w:b/>
        </w:rPr>
        <w:br w:type="page"/>
      </w:r>
    </w:p>
    <w:p w:rsidR="00CE1B66" w:rsidRPr="00062C92" w:rsidRDefault="001C41D8" w:rsidP="00B91D2D">
      <w:pPr>
        <w:jc w:val="center"/>
        <w:rPr>
          <w:b/>
        </w:rPr>
      </w:pPr>
      <w:r w:rsidRPr="00062C92">
        <w:rPr>
          <w:b/>
        </w:rPr>
        <w:lastRenderedPageBreak/>
        <w:t>Public Willingness to Pay for a U.S. Carbon Tax and Preferences for Spending the Revenue</w:t>
      </w:r>
    </w:p>
    <w:p w:rsidR="00062C92" w:rsidRDefault="00062C92" w:rsidP="00062C92">
      <w:pPr>
        <w:pStyle w:val="Heading1"/>
      </w:pPr>
      <w:bookmarkStart w:id="1" w:name="_Toc479082649"/>
      <w:r>
        <w:t>Introduction</w:t>
      </w:r>
      <w:bookmarkEnd w:id="1"/>
    </w:p>
    <w:p w:rsidR="00436CA7" w:rsidRDefault="00C15723" w:rsidP="00E72B29">
      <w:r>
        <w:t xml:space="preserve">While a </w:t>
      </w:r>
      <w:r w:rsidR="00CF1196">
        <w:t xml:space="preserve">proposal for a national </w:t>
      </w:r>
      <w:r>
        <w:t xml:space="preserve">carbon tax </w:t>
      </w:r>
      <w:r w:rsidR="00CF1196">
        <w:t>is neither new nor particularly novel, it reemerged into the spotlight recently by way of a proposal by</w:t>
      </w:r>
      <w:r w:rsidR="007C04F3">
        <w:t xml:space="preserve"> academic</w:t>
      </w:r>
      <w:r w:rsidR="00CF1196">
        <w:t xml:space="preserve"> conservative leaders.  In February 2017, the Climate Leadership Council released </w:t>
      </w:r>
      <w:r w:rsidR="00CF1196">
        <w:rPr>
          <w:i/>
        </w:rPr>
        <w:t>The Conservative Case for Carbon Dividends</w:t>
      </w:r>
      <w:r w:rsidR="00CF1196">
        <w:t xml:space="preserve">, in which the case for a carbon tax </w:t>
      </w:r>
      <w:r w:rsidR="007C04F3">
        <w:t>starting at</w:t>
      </w:r>
      <w:r w:rsidR="00CF1196">
        <w:t xml:space="preserve"> $40 per ton is presented.  Given the notoriety of the conservative contributors, the report</w:t>
      </w:r>
      <w:r w:rsidR="006B2274">
        <w:t xml:space="preserve"> </w:t>
      </w:r>
      <w:r w:rsidR="00CF1196">
        <w:t xml:space="preserve">gathered substantial media </w:t>
      </w:r>
      <w:r w:rsidR="006B2274">
        <w:t xml:space="preserve">attention, starting at The New York Times and quickly </w:t>
      </w:r>
      <w:r w:rsidR="007C04F3">
        <w:t>propagating</w:t>
      </w:r>
      <w:r w:rsidR="006B2274">
        <w:t>.</w:t>
      </w:r>
      <w:r w:rsidR="00E72B29">
        <w:t xml:space="preserve">  The plan </w:t>
      </w:r>
      <w:r w:rsidR="007C04F3">
        <w:t>also</w:t>
      </w:r>
      <w:r w:rsidR="00E72B29">
        <w:t xml:space="preserve"> specifically calls for carbon dividends to all Americans and </w:t>
      </w:r>
      <w:r w:rsidR="007C04F3">
        <w:t>project</w:t>
      </w:r>
      <w:r w:rsidR="00E72B29">
        <w:t xml:space="preserve"> a rather large $2,000 </w:t>
      </w:r>
      <w:r w:rsidR="007C04F3">
        <w:t>dividend payment</w:t>
      </w:r>
      <w:r w:rsidR="00E72B29">
        <w:t xml:space="preserve"> from the first year.  This suggests a substantial cost of the policy on carbon intensive energy users which almost certainly will be passed on to the American public to some extent.</w:t>
      </w:r>
      <w:r w:rsidR="007C04F3">
        <w:t xml:space="preserve">  Unfortunately, translating a $40 per ton carbon tax in more tangible terms accurately ex ante, say in terms of household energy bill increases, is rather difficult and relies on strong incidence assumptions.  So</w:t>
      </w:r>
      <w:r w:rsidR="00E72B29">
        <w:t xml:space="preserve"> rather than debate whether a </w:t>
      </w:r>
      <w:r w:rsidR="00DB6E74">
        <w:t xml:space="preserve">carbon tax </w:t>
      </w:r>
      <w:r w:rsidR="00E72B29">
        <w:t>should be used</w:t>
      </w:r>
      <w:r w:rsidR="007C04F3">
        <w:t xml:space="preserve"> and at what scale</w:t>
      </w:r>
      <w:r w:rsidR="00E72B29">
        <w:t xml:space="preserve">, we exploit recent survey work to identify </w:t>
      </w:r>
      <w:r w:rsidR="003F57D6">
        <w:t>the preferences of</w:t>
      </w:r>
      <w:r w:rsidR="00836E7A">
        <w:t xml:space="preserve"> the American public</w:t>
      </w:r>
      <w:r w:rsidR="00E72B29">
        <w:t xml:space="preserve"> for</w:t>
      </w:r>
      <w:r w:rsidR="00436CA7">
        <w:t xml:space="preserve"> </w:t>
      </w:r>
      <w:r w:rsidR="007C04F3">
        <w:t>scale and</w:t>
      </w:r>
      <w:r w:rsidR="00436CA7">
        <w:t xml:space="preserve"> expenditure </w:t>
      </w:r>
      <w:r w:rsidR="007C04F3">
        <w:t>preferences for</w:t>
      </w:r>
      <w:r w:rsidR="00E72B29">
        <w:t xml:space="preserve"> such collections</w:t>
      </w:r>
      <w:r w:rsidR="000A51AE">
        <w:t>.</w:t>
      </w:r>
      <w:r w:rsidR="00436CA7">
        <w:t xml:space="preserve">  </w:t>
      </w:r>
      <w:r w:rsidR="007C04F3">
        <w:t>We find mean national willingness to pay</w:t>
      </w:r>
      <w:r w:rsidR="00AF7B01">
        <w:t xml:space="preserve"> (WTP)</w:t>
      </w:r>
      <w:r w:rsidR="007C04F3">
        <w:t xml:space="preserve"> through increased energy bills of $168 and distributional</w:t>
      </w:r>
      <w:r w:rsidR="00436CA7">
        <w:t xml:space="preserve"> preferences </w:t>
      </w:r>
      <w:r w:rsidR="007C04F3">
        <w:t>that</w:t>
      </w:r>
      <w:r w:rsidR="00436CA7">
        <w:t xml:space="preserve"> differ substantially from a bulk dividend</w:t>
      </w:r>
      <w:r w:rsidR="007C04F3">
        <w:t>.</w:t>
      </w:r>
      <w:r w:rsidR="00436CA7">
        <w:t xml:space="preserve"> </w:t>
      </w:r>
      <w:r w:rsidR="007C04F3">
        <w:t xml:space="preserve"> Respondents instead</w:t>
      </w:r>
      <w:r w:rsidR="00436CA7">
        <w:t xml:space="preserve"> prefer</w:t>
      </w:r>
      <w:r w:rsidR="007C04F3">
        <w:t xml:space="preserve"> substantial</w:t>
      </w:r>
      <w:r w:rsidR="00436CA7">
        <w:t xml:space="preserve"> expenditure</w:t>
      </w:r>
      <w:r w:rsidR="007C04F3">
        <w:t>s</w:t>
      </w:r>
      <w:r w:rsidR="00436CA7">
        <w:t xml:space="preserve"> on public goods which will otherwise be </w:t>
      </w:r>
      <w:r w:rsidR="00D575B3">
        <w:t>underprovided</w:t>
      </w:r>
      <w:r w:rsidR="00436CA7">
        <w:t>.</w:t>
      </w:r>
      <w:r w:rsidR="008404B2">
        <w:t xml:space="preserve">  We suggest that rather than a top-down perspective on setting carbon tax rates and distributions, a bottom-up perspective be considered to match the American public’s preferences.</w:t>
      </w:r>
      <w:r w:rsidR="00436CA7">
        <w:t xml:space="preserve">  </w:t>
      </w:r>
      <w:r w:rsidR="00053798">
        <w:t xml:space="preserve"> </w:t>
      </w:r>
    </w:p>
    <w:p w:rsidR="00B456FA" w:rsidRDefault="004E61FE" w:rsidP="00E72B29">
      <w:r>
        <w:t xml:space="preserve">Beyond a commentary on the recent conservative proposal, this paper contributes to a small but growing literature on </w:t>
      </w:r>
      <w:r w:rsidR="00AF7B01">
        <w:t>WTP</w:t>
      </w:r>
      <w:r>
        <w:t xml:space="preserve"> to reduce global warming.  F</w:t>
      </w:r>
      <w:r w:rsidR="006A7177">
        <w:t xml:space="preserve">or </w:t>
      </w:r>
      <w:r>
        <w:t>example,</w:t>
      </w:r>
      <w:r w:rsidR="006A7177">
        <w:t xml:space="preserve"> Greenstone (2016) which</w:t>
      </w:r>
      <w:r>
        <w:t xml:space="preserve"> attempted a similar </w:t>
      </w:r>
      <w:r w:rsidR="00AF7B01">
        <w:t>WTP</w:t>
      </w:r>
      <w:r>
        <w:t xml:space="preserve"> measure</w:t>
      </w:r>
      <w:r w:rsidR="006A7177">
        <w:t xml:space="preserve"> gathered substantial </w:t>
      </w:r>
      <w:r w:rsidR="00413C51">
        <w:t xml:space="preserve">media </w:t>
      </w:r>
      <w:r w:rsidR="006A7177">
        <w:t>attention</w:t>
      </w:r>
      <w:r w:rsidR="00413C51">
        <w:t>.  T</w:t>
      </w:r>
      <w:r w:rsidR="006A7177">
        <w:t xml:space="preserve">wo of our </w:t>
      </w:r>
      <w:r>
        <w:t>co</w:t>
      </w:r>
      <w:r w:rsidR="006A7177">
        <w:t xml:space="preserve">authors </w:t>
      </w:r>
      <w:r w:rsidR="00413C51">
        <w:t xml:space="preserve">also </w:t>
      </w:r>
      <w:r w:rsidR="006A7177">
        <w:t>contributed closely related work in recent years (</w:t>
      </w:r>
      <w:proofErr w:type="spellStart"/>
      <w:r w:rsidR="006A7177">
        <w:t>Aldy</w:t>
      </w:r>
      <w:proofErr w:type="spellEnd"/>
      <w:r w:rsidR="006A7177">
        <w:t xml:space="preserve">, Kotchen, &amp; Leiserowitz, 2012; Kotchen, Boyle, &amp; Leiserowitz, 2013).  </w:t>
      </w:r>
      <w:r w:rsidR="000A51AE">
        <w:t>We add</w:t>
      </w:r>
      <w:r w:rsidR="00413C51">
        <w:t xml:space="preserve"> </w:t>
      </w:r>
      <w:r w:rsidR="006A7177">
        <w:t>to</w:t>
      </w:r>
      <w:r w:rsidR="000A51AE">
        <w:t xml:space="preserve"> this</w:t>
      </w:r>
      <w:r w:rsidR="00413C51">
        <w:t xml:space="preserve"> </w:t>
      </w:r>
      <w:r>
        <w:t>in</w:t>
      </w:r>
      <w:r w:rsidR="000A51AE">
        <w:t xml:space="preserve"> estimating household </w:t>
      </w:r>
      <w:r w:rsidR="00AF7B01">
        <w:t>WTP</w:t>
      </w:r>
      <w:r w:rsidR="000A51AE">
        <w:t xml:space="preserve"> to reduce global warming by way of a tax on</w:t>
      </w:r>
      <w:r w:rsidR="00B70482">
        <w:t xml:space="preserve"> fossil fuels</w:t>
      </w:r>
      <w:r>
        <w:t xml:space="preserve"> that increases household energy costs</w:t>
      </w:r>
      <w:r w:rsidR="00B70482">
        <w:t>.  Importantly, w</w:t>
      </w:r>
      <w:r w:rsidR="003F57D6">
        <w:t>e</w:t>
      </w:r>
      <w:r w:rsidR="00186AB4">
        <w:t xml:space="preserve"> also report on the public’s</w:t>
      </w:r>
      <w:r w:rsidR="003F57D6">
        <w:t xml:space="preserve"> </w:t>
      </w:r>
      <w:r w:rsidR="000A51AE">
        <w:t>distributional preferences for resulting revenue</w:t>
      </w:r>
      <w:r w:rsidR="00186AB4">
        <w:t xml:space="preserve"> and </w:t>
      </w:r>
      <w:r w:rsidR="003F57D6">
        <w:t xml:space="preserve">conclude by discussing the level of assistance implied for workers displaced by changes in energy demand </w:t>
      </w:r>
      <w:r w:rsidR="00186AB4">
        <w:t xml:space="preserve">resulting </w:t>
      </w:r>
      <w:r w:rsidR="003F57D6">
        <w:t>from the tax</w:t>
      </w:r>
      <w:r w:rsidR="00200DE0">
        <w:t xml:space="preserve"> among other potential uses</w:t>
      </w:r>
      <w:r w:rsidR="000A51AE">
        <w:t>.</w:t>
      </w:r>
      <w:r w:rsidR="000A5C0F">
        <w:t xml:space="preserve">  This clear</w:t>
      </w:r>
      <w:r>
        <w:t>ly has</w:t>
      </w:r>
      <w:r w:rsidR="000A5C0F">
        <w:t xml:space="preserve"> implications in gathering support for a global warming response</w:t>
      </w:r>
      <w:r>
        <w:t>,</w:t>
      </w:r>
      <w:r w:rsidR="004006C3">
        <w:t xml:space="preserve"> </w:t>
      </w:r>
      <w:r>
        <w:t xml:space="preserve">particularly </w:t>
      </w:r>
      <w:r w:rsidR="004006C3">
        <w:t xml:space="preserve">from </w:t>
      </w:r>
      <w:r w:rsidR="000519A8">
        <w:t xml:space="preserve">members of the public who </w:t>
      </w:r>
      <w:r w:rsidR="004006C3">
        <w:t xml:space="preserve">may </w:t>
      </w:r>
      <w:r w:rsidR="00413C51">
        <w:t>have earnings</w:t>
      </w:r>
      <w:r w:rsidR="004006C3">
        <w:t xml:space="preserve"> reduced by such a policy</w:t>
      </w:r>
      <w:r w:rsidR="000A5C0F">
        <w:t>.</w:t>
      </w:r>
    </w:p>
    <w:p w:rsidR="00F65A34" w:rsidRDefault="00641232" w:rsidP="00E24526">
      <w:r>
        <w:t xml:space="preserve">To address our question, </w:t>
      </w:r>
      <w:r w:rsidR="00B456FA">
        <w:t>we use a nationally representative survey of 1,226 U</w:t>
      </w:r>
      <w:r w:rsidR="00186AB4">
        <w:t>.</w:t>
      </w:r>
      <w:r w:rsidR="00B456FA">
        <w:t>S</w:t>
      </w:r>
      <w:r w:rsidR="00186AB4">
        <w:t>.</w:t>
      </w:r>
      <w:r w:rsidR="00B456FA">
        <w:t xml:space="preserve"> citizens collected in late 2016.</w:t>
      </w:r>
      <w:r w:rsidR="00293B7D">
        <w:t xml:space="preserve">  The survey queries respondents on global warming beliefs, information</w:t>
      </w:r>
      <w:r w:rsidR="00AC5657">
        <w:t xml:space="preserve"> sources</w:t>
      </w:r>
      <w:r w:rsidR="00293B7D">
        <w:t xml:space="preserve">, actual and hypothetical </w:t>
      </w:r>
      <w:r w:rsidR="00186AB4">
        <w:t>responses to global warming</w:t>
      </w:r>
      <w:r w:rsidR="00293B7D">
        <w:t>, and a standard set of demographics.  Importantly, it also queries on</w:t>
      </w:r>
      <w:r w:rsidR="00186AB4">
        <w:t xml:space="preserve"> expenditure preferences for</w:t>
      </w:r>
      <w:r w:rsidR="00293B7D">
        <w:t xml:space="preserve"> revenue generated from global warming-related taxes</w:t>
      </w:r>
      <w:r w:rsidR="00AC5657">
        <w:t>, a good starting point for our analysis</w:t>
      </w:r>
      <w:r w:rsidR="00293B7D">
        <w:t>.</w:t>
      </w:r>
      <w:r w:rsidR="00E23111">
        <w:t xml:space="preserve">  Th</w:t>
      </w:r>
      <w:r w:rsidR="00AC5657">
        <w:t>e</w:t>
      </w:r>
      <w:r w:rsidR="00E23111">
        <w:t xml:space="preserve"> question posits that congress may consider a tax on fossil fuels to help reduce global warming</w:t>
      </w:r>
      <w:r w:rsidR="00AC5657">
        <w:t>,</w:t>
      </w:r>
      <w:r w:rsidR="00E23111">
        <w:t xml:space="preserve"> then presents several </w:t>
      </w:r>
      <w:r w:rsidR="009D6C97">
        <w:t xml:space="preserve">expenditure </w:t>
      </w:r>
      <w:r w:rsidR="00E23111">
        <w:t>categories t</w:t>
      </w:r>
      <w:r w:rsidR="009D6C97">
        <w:t>h</w:t>
      </w:r>
      <w:r w:rsidR="00E23111">
        <w:t>e respondent may</w:t>
      </w:r>
      <w:r w:rsidR="009D6C97">
        <w:t xml:space="preserve"> vote </w:t>
      </w:r>
      <w:r w:rsidR="00186AB4">
        <w:t>in support of</w:t>
      </w:r>
      <w:r w:rsidR="009D6C97">
        <w:t xml:space="preserve"> or against allotting money t</w:t>
      </w:r>
      <w:r w:rsidR="00186AB4">
        <w:t>o.  Immediately following this s</w:t>
      </w:r>
      <w:r w:rsidR="009D6C97">
        <w:t xml:space="preserve">election, respondents are asked to allot revenue </w:t>
      </w:r>
      <w:r w:rsidR="00186AB4">
        <w:t xml:space="preserve">in percentage terms </w:t>
      </w:r>
      <w:r w:rsidR="009D6C97">
        <w:t>between their selected categories.  Th</w:t>
      </w:r>
      <w:r w:rsidR="00AC5657">
        <w:t>e</w:t>
      </w:r>
      <w:r w:rsidR="009D6C97">
        <w:t xml:space="preserve"> data provides </w:t>
      </w:r>
      <w:r w:rsidR="00AC5657">
        <w:t>perspective on</w:t>
      </w:r>
      <w:r w:rsidR="009D6C97">
        <w:t xml:space="preserve"> public preference for t</w:t>
      </w:r>
      <w:r w:rsidR="00186AB4">
        <w:t>he expenditure of such taxes.  Among other things, i</w:t>
      </w:r>
      <w:r w:rsidR="009D6C97">
        <w:t xml:space="preserve">t </w:t>
      </w:r>
      <w:r w:rsidR="00186AB4">
        <w:t>indicates</w:t>
      </w:r>
      <w:r w:rsidR="009D6C97">
        <w:t xml:space="preserve"> whether respondents believe </w:t>
      </w:r>
      <w:r w:rsidR="00FE49CD">
        <w:t>a</w:t>
      </w:r>
      <w:r w:rsidR="009D6C97">
        <w:t xml:space="preserve"> </w:t>
      </w:r>
      <w:r w:rsidR="00FE49CD">
        <w:t xml:space="preserve">carbon </w:t>
      </w:r>
      <w:r w:rsidR="009D6C97">
        <w:t>tax should be strictly compartmentalized to the global warming</w:t>
      </w:r>
      <w:r w:rsidR="00FE49CD">
        <w:t xml:space="preserve"> fiscal</w:t>
      </w:r>
      <w:r w:rsidR="009D6C97">
        <w:t xml:space="preserve"> sphere or spent on a variety of </w:t>
      </w:r>
      <w:r w:rsidR="00186AB4">
        <w:t>public and compensatory matters indicating less concern over global warming versus less temporally distant concerns.</w:t>
      </w:r>
    </w:p>
    <w:p w:rsidR="00062C92" w:rsidRDefault="00062C92" w:rsidP="00E24526"/>
    <w:p w:rsidR="00062C92" w:rsidRDefault="005D7B6D" w:rsidP="00062C92">
      <w:pPr>
        <w:pStyle w:val="Heading1"/>
      </w:pPr>
      <w:bookmarkStart w:id="2" w:name="_Toc479082650"/>
      <w:r>
        <w:lastRenderedPageBreak/>
        <w:t>Main r</w:t>
      </w:r>
      <w:r w:rsidR="00062C92">
        <w:t>esults</w:t>
      </w:r>
      <w:bookmarkEnd w:id="2"/>
    </w:p>
    <w:p w:rsidR="004D0B02" w:rsidRPr="00B56B8D" w:rsidRDefault="00524508" w:rsidP="00E24526">
      <w:r>
        <w:t xml:space="preserve">As context, the general levels of </w:t>
      </w:r>
      <w:r w:rsidR="004D0B02">
        <w:t xml:space="preserve">support </w:t>
      </w:r>
      <w:r>
        <w:t xml:space="preserve">we find </w:t>
      </w:r>
      <w:r w:rsidR="004D0B02">
        <w:t xml:space="preserve">are not surprising.  In a separate question in the study we query respondent preferences for policy instruments.  We ask whether respondents prefer taxes, regulation, freeing the regulator to do both, doing neither, or stating they don’t know.  In total, 76-percent of respondents </w:t>
      </w:r>
      <w:r w:rsidR="0084003D">
        <w:t>report a preference for</w:t>
      </w:r>
      <w:r w:rsidR="004D0B02">
        <w:t xml:space="preserve"> regulation and/or taxation on fossil fuels to reduce </w:t>
      </w:r>
      <w:r w:rsidR="0084003D">
        <w:t>global warming</w:t>
      </w:r>
      <w:r w:rsidR="00E2353D">
        <w:t>,</w:t>
      </w:r>
      <w:r w:rsidR="0084003D">
        <w:t xml:space="preserve"> and of these 59.3-percent select either </w:t>
      </w:r>
      <w:r w:rsidR="00E2353D">
        <w:t xml:space="preserve">using </w:t>
      </w:r>
      <w:r w:rsidR="0084003D">
        <w:t>a tax or both</w:t>
      </w:r>
      <w:r w:rsidR="000A7065">
        <w:t>.  Among those that have an opinion- excluding those that respond “don’t know”</w:t>
      </w:r>
      <w:r w:rsidR="00E2353D">
        <w:t>,</w:t>
      </w:r>
      <w:r w:rsidR="000A7065">
        <w:t xml:space="preserve"> 68.7-percent select</w:t>
      </w:r>
      <w:r w:rsidR="00E2353D">
        <w:t xml:space="preserve"> a</w:t>
      </w:r>
      <w:r w:rsidR="000A7065">
        <w:t xml:space="preserve"> tax or both.  This level of support </w:t>
      </w:r>
      <w:r w:rsidR="00B56B8D">
        <w:t>for taxation is in line with the recent</w:t>
      </w:r>
      <w:r w:rsidR="00E2353D">
        <w:t>,</w:t>
      </w:r>
      <w:r w:rsidR="00B56B8D">
        <w:t xml:space="preserve"> and </w:t>
      </w:r>
      <w:r w:rsidR="00E2353D">
        <w:t>somewhat</w:t>
      </w:r>
      <w:r w:rsidR="00B56B8D">
        <w:t xml:space="preserve"> unexpected</w:t>
      </w:r>
      <w:r w:rsidR="00E2353D">
        <w:t>,</w:t>
      </w:r>
      <w:r w:rsidR="00B56B8D">
        <w:t xml:space="preserve"> proposal by conservative leaders for a tax on CO</w:t>
      </w:r>
      <w:r w:rsidR="00B56B8D">
        <w:rPr>
          <w:vertAlign w:val="subscript"/>
        </w:rPr>
        <w:t>2</w:t>
      </w:r>
      <w:r w:rsidR="00B56B8D">
        <w:t xml:space="preserve"> emissions.</w:t>
      </w:r>
    </w:p>
    <w:p w:rsidR="009519C2" w:rsidRDefault="00F65A34" w:rsidP="00A13CFA">
      <w:r>
        <w:t xml:space="preserve">The results of the tax allocation choice are presented in Table 1.  </w:t>
      </w:r>
      <w:r w:rsidR="00E2353D">
        <w:t>We report both the binary response of whether respondents support expenditure of the tax on the category and an average percent allotment measure.  The</w:t>
      </w:r>
      <w:r>
        <w:t xml:space="preserve"> mean allotment to each category </w:t>
      </w:r>
      <w:r w:rsidR="00E2353D">
        <w:t xml:space="preserve">also </w:t>
      </w:r>
      <w:r>
        <w:t>including respondents who allot zero funds by not supporting the expenditure category</w:t>
      </w:r>
      <w:r w:rsidR="00E2353D">
        <w:t xml:space="preserve"> and so represents the preferences of all respondents</w:t>
      </w:r>
      <w:r>
        <w:t>.</w:t>
      </w:r>
      <w:r w:rsidR="00F030A2">
        <w:t xml:space="preserve">  By asking respondents to allocate between several </w:t>
      </w:r>
      <w:r w:rsidR="00186AB4">
        <w:t xml:space="preserve">expenditure </w:t>
      </w:r>
      <w:r w:rsidR="00F030A2">
        <w:t>schemes</w:t>
      </w:r>
      <w:r w:rsidR="000C3461">
        <w:t xml:space="preserve">, we </w:t>
      </w:r>
      <w:r w:rsidR="00F030A2">
        <w:t xml:space="preserve">report on </w:t>
      </w:r>
      <w:r w:rsidR="00186AB4">
        <w:t>what</w:t>
      </w:r>
      <w:r w:rsidR="00F030A2">
        <w:t xml:space="preserve"> sort of tax revenue </w:t>
      </w:r>
      <w:r w:rsidR="00186AB4">
        <w:t xml:space="preserve">uses </w:t>
      </w:r>
      <w:r w:rsidR="00F030A2">
        <w:t>Americans find appropriate</w:t>
      </w:r>
      <w:r w:rsidR="00E2353D">
        <w:t xml:space="preserve"> for a carbon tax</w:t>
      </w:r>
      <w:r w:rsidR="00F030A2">
        <w:t>.  These can loosely be divided into global warming specific-</w:t>
      </w:r>
      <w:r w:rsidR="00186AB4">
        <w:t xml:space="preserve"> those</w:t>
      </w:r>
      <w:r w:rsidR="00F030A2">
        <w:t xml:space="preserve"> assisting communities and individuals displaced by the tax </w:t>
      </w:r>
      <w:r w:rsidR="00186AB4">
        <w:t>or</w:t>
      </w:r>
      <w:r w:rsidR="00F030A2">
        <w:t xml:space="preserve"> global</w:t>
      </w:r>
      <w:r w:rsidR="00186AB4">
        <w:t xml:space="preserve"> warming, and </w:t>
      </w:r>
      <w:r w:rsidR="00E2353D">
        <w:t xml:space="preserve">the </w:t>
      </w:r>
      <w:r w:rsidR="00186AB4">
        <w:t>non-specific</w:t>
      </w:r>
      <w:r w:rsidR="00F030A2">
        <w:t>.</w:t>
      </w:r>
      <w:r w:rsidR="000C3461">
        <w:t xml:space="preserve">  This allows a brief exploration</w:t>
      </w:r>
      <w:r w:rsidR="00E2353D">
        <w:t xml:space="preserve"> of</w:t>
      </w:r>
      <w:r w:rsidR="000C3461">
        <w:t xml:space="preserve"> respondent mental accounting- do they see a tax on fossil fuels as only appropriately spent on energy concerns or as fluid with</w:t>
      </w:r>
      <w:r w:rsidR="00E2353D">
        <w:t>in</w:t>
      </w:r>
      <w:r w:rsidR="000C3461">
        <w:t xml:space="preserve"> the full set of budget concerns?</w:t>
      </w:r>
      <w:r w:rsidR="00F030A2">
        <w:t xml:space="preserve">  </w:t>
      </w:r>
      <w:r w:rsidR="000C3461">
        <w:t>Specifically, expenditure possibilities also include</w:t>
      </w:r>
      <w:r w:rsidR="00F030A2">
        <w:t xml:space="preserve"> public good</w:t>
      </w:r>
      <w:r w:rsidR="00186AB4">
        <w:t>s</w:t>
      </w:r>
      <w:r w:rsidR="00F030A2">
        <w:t xml:space="preserve"> provision- i</w:t>
      </w:r>
      <w:r w:rsidR="000C3461">
        <w:t>nfrastructure and national debt, as well as</w:t>
      </w:r>
      <w:r w:rsidR="00F030A2">
        <w:t xml:space="preserve"> </w:t>
      </w:r>
      <w:r w:rsidR="00186AB4">
        <w:t>private- reduction</w:t>
      </w:r>
      <w:r w:rsidR="00F030A2">
        <w:t xml:space="preserve"> </w:t>
      </w:r>
      <w:r w:rsidR="00186AB4">
        <w:t>in other</w:t>
      </w:r>
      <w:r w:rsidR="00F030A2">
        <w:t xml:space="preserve"> taxes or</w:t>
      </w:r>
      <w:r w:rsidR="00186AB4">
        <w:t xml:space="preserve"> as</w:t>
      </w:r>
      <w:r w:rsidR="00F030A2">
        <w:t xml:space="preserve"> an income</w:t>
      </w:r>
      <w:r w:rsidR="00186AB4">
        <w:t xml:space="preserve"> source</w:t>
      </w:r>
      <w:r w:rsidR="00F030A2">
        <w:t xml:space="preserve">.  Some results are not surprising- those that support a tax on fossil </w:t>
      </w:r>
      <w:r w:rsidR="00186AB4">
        <w:t>fuels also support clean energy</w:t>
      </w:r>
      <w:r w:rsidR="00F030A2">
        <w:t xml:space="preserve"> and</w:t>
      </w:r>
      <w:r w:rsidR="00186AB4">
        <w:t xml:space="preserve"> that</w:t>
      </w:r>
      <w:r w:rsidR="00F030A2">
        <w:t xml:space="preserve"> the general public has little </w:t>
      </w:r>
      <w:r w:rsidR="00186AB4">
        <w:t>interest in</w:t>
      </w:r>
      <w:r w:rsidR="00F030A2">
        <w:t xml:space="preserve"> reducing corporate tax burdens.  More interesting and telling of the public’s concerns, however, may be other spending preferences- the public overwhelmingly supports infrastructure spending and national debt reduction from this unrelated </w:t>
      </w:r>
      <w:r w:rsidR="00E2353D">
        <w:t>potential tax revenue</w:t>
      </w:r>
      <w:r w:rsidR="00F030A2">
        <w:t xml:space="preserve">.  </w:t>
      </w:r>
    </w:p>
    <w:p w:rsidR="00EB2131" w:rsidRDefault="00F030A2" w:rsidP="00A13CFA">
      <w:r>
        <w:t>Of particular interest is the categor</w:t>
      </w:r>
      <w:r w:rsidRPr="009519C2">
        <w:t xml:space="preserve">y </w:t>
      </w:r>
      <w:r w:rsidR="009519C2" w:rsidRPr="009519C2">
        <w:t>“</w:t>
      </w:r>
      <w:r w:rsidRPr="009519C2">
        <w:rPr>
          <w:rFonts w:eastAsia="Times New Roman"/>
        </w:rPr>
        <w:t>Assist workers in the coal industry that may lose their jobs as a result of the tax</w:t>
      </w:r>
      <w:r w:rsidR="009519C2" w:rsidRPr="009519C2">
        <w:rPr>
          <w:rFonts w:eastAsia="Times New Roman"/>
        </w:rPr>
        <w:t>”</w:t>
      </w:r>
      <w:r w:rsidR="009519C2">
        <w:rPr>
          <w:rFonts w:eastAsia="Times New Roman"/>
        </w:rPr>
        <w:t xml:space="preserve">. </w:t>
      </w:r>
      <w:r>
        <w:t xml:space="preserve"> </w:t>
      </w:r>
      <w:r w:rsidR="009519C2">
        <w:t>I</w:t>
      </w:r>
      <w:r>
        <w:t xml:space="preserve">n combination with </w:t>
      </w:r>
      <w:r w:rsidR="009519C2">
        <w:t>a mean willingness to pay measure, it</w:t>
      </w:r>
      <w:r>
        <w:t xml:space="preserve"> suggests the financial scale of public support for assisting fossil fuel extractors in transitioning </w:t>
      </w:r>
      <w:r w:rsidR="00F02A37">
        <w:t>out of the field</w:t>
      </w:r>
      <w:r>
        <w:t>.</w:t>
      </w:r>
      <w:r w:rsidR="009519C2">
        <w:t xml:space="preserve">  While respondents place a lower priority on helping this group than developing clean energy</w:t>
      </w:r>
      <w:r w:rsidR="001637FB">
        <w:t xml:space="preserve"> at 16.4-percent allotment</w:t>
      </w:r>
      <w:r w:rsidR="00F20C49">
        <w:t xml:space="preserve">, </w:t>
      </w:r>
      <w:r w:rsidR="009519C2">
        <w:t>repairing the nation’s infrastructure</w:t>
      </w:r>
      <w:r w:rsidR="001637FB">
        <w:t xml:space="preserve"> at</w:t>
      </w:r>
      <w:r w:rsidR="00F20C49">
        <w:t xml:space="preserve"> </w:t>
      </w:r>
      <w:r w:rsidR="001637FB">
        <w:t>14-percent</w:t>
      </w:r>
      <w:r w:rsidR="00F20C49">
        <w:t xml:space="preserve">, and paying down the national debt </w:t>
      </w:r>
      <w:r w:rsidR="001637FB">
        <w:t>at 12-percent</w:t>
      </w:r>
      <w:r w:rsidR="00F20C49">
        <w:t>, it receives substantial attention.  W</w:t>
      </w:r>
      <w:r w:rsidR="009519C2">
        <w:t xml:space="preserve">ith a mean allotment of </w:t>
      </w:r>
      <w:r w:rsidR="001637FB">
        <w:t>10.1-percent</w:t>
      </w:r>
      <w:r w:rsidR="009519C2">
        <w:t xml:space="preserve"> </w:t>
      </w:r>
      <w:r w:rsidR="00807211">
        <w:t>the public</w:t>
      </w:r>
      <w:r w:rsidR="009519C2">
        <w:t xml:space="preserve"> </w:t>
      </w:r>
      <w:r w:rsidR="00F02A37">
        <w:t>appears to</w:t>
      </w:r>
      <w:r w:rsidR="009519C2">
        <w:t xml:space="preserve"> s</w:t>
      </w:r>
      <w:r w:rsidR="00807211">
        <w:t xml:space="preserve">upport substantial compensation </w:t>
      </w:r>
      <w:r w:rsidR="009519C2">
        <w:t xml:space="preserve">to displaced </w:t>
      </w:r>
      <w:r w:rsidR="001637FB">
        <w:t xml:space="preserve">workers </w:t>
      </w:r>
      <w:r w:rsidR="00F20C49">
        <w:t xml:space="preserve">within the </w:t>
      </w:r>
      <w:r w:rsidR="009519C2">
        <w:t>coal industry.</w:t>
      </w:r>
      <w:r w:rsidR="00F20C49">
        <w:t xml:space="preserve">  </w:t>
      </w:r>
    </w:p>
    <w:p w:rsidR="00F2483F" w:rsidRDefault="00F20C49" w:rsidP="00A13CFA">
      <w:r>
        <w:t>We also note that at first sight</w:t>
      </w:r>
      <w:r w:rsidR="001637FB">
        <w:t xml:space="preserve"> it may appear</w:t>
      </w:r>
      <w:r>
        <w:t xml:space="preserve"> respondents place low priority on </w:t>
      </w:r>
      <w:r w:rsidR="00EB2131">
        <w:t>helping communities that a</w:t>
      </w:r>
      <w:r w:rsidR="001637FB">
        <w:t>re vulnerable to global warming but</w:t>
      </w:r>
      <w:r w:rsidR="00EB2131">
        <w:t xml:space="preserve"> this may be a result of how </w:t>
      </w:r>
      <w:r w:rsidR="001637FB">
        <w:t>the</w:t>
      </w:r>
      <w:r w:rsidR="00EB2131">
        <w:t xml:space="preserve"> questions </w:t>
      </w:r>
      <w:r w:rsidR="001637FB">
        <w:t>a</w:t>
      </w:r>
      <w:r w:rsidR="00EB2131">
        <w:t>re formulated.  Respondents could choose</w:t>
      </w:r>
      <w:r w:rsidR="001637FB">
        <w:t xml:space="preserve"> from</w:t>
      </w:r>
      <w:r w:rsidR="00EB2131">
        <w:t xml:space="preserve"> both </w:t>
      </w:r>
      <w:r w:rsidR="001637FB">
        <w:t>“A</w:t>
      </w:r>
      <w:r w:rsidR="00EB2131">
        <w:t>ssist low-income communities</w:t>
      </w:r>
      <w:r w:rsidR="001637FB">
        <w:t xml:space="preserve"> that are</w:t>
      </w:r>
      <w:r w:rsidR="00EB2131">
        <w:t xml:space="preserve"> most vulnerable to</w:t>
      </w:r>
      <w:r w:rsidR="001637FB">
        <w:t xml:space="preserve"> the impacts of</w:t>
      </w:r>
      <w:r w:rsidR="00EB2131">
        <w:t xml:space="preserve"> global warming</w:t>
      </w:r>
      <w:r w:rsidR="001637FB">
        <w:t>”</w:t>
      </w:r>
      <w:r w:rsidR="00EB2131">
        <w:t xml:space="preserve"> and </w:t>
      </w:r>
      <w:r w:rsidR="001637FB">
        <w:t>“Fund</w:t>
      </w:r>
      <w:r w:rsidR="00EB2131">
        <w:t xml:space="preserve"> programs to help</w:t>
      </w:r>
      <w:r w:rsidR="001637FB">
        <w:t xml:space="preserve"> American</w:t>
      </w:r>
      <w:r w:rsidR="00EB2131">
        <w:t xml:space="preserve"> communities prepare for and adapt to global warming.</w:t>
      </w:r>
      <w:r w:rsidR="001637FB">
        <w:t>”</w:t>
      </w:r>
      <w:r w:rsidR="00EB2131">
        <w:t xml:space="preserve">  These likely compete for the same </w:t>
      </w:r>
      <w:r w:rsidR="001637FB">
        <w:t xml:space="preserve">social concerns </w:t>
      </w:r>
      <w:r w:rsidR="00EB2131">
        <w:t xml:space="preserve">and </w:t>
      </w:r>
      <w:r w:rsidR="001637FB">
        <w:t>sum</w:t>
      </w:r>
      <w:r w:rsidR="00EB2131">
        <w:t xml:space="preserve"> to a 13.9-percent allotment.</w:t>
      </w:r>
    </w:p>
    <w:tbl>
      <w:tblPr>
        <w:tblW w:w="5000" w:type="pct"/>
        <w:tblLayout w:type="fixed"/>
        <w:tblLook w:val="04A0" w:firstRow="1" w:lastRow="0" w:firstColumn="1" w:lastColumn="0" w:noHBand="0" w:noVBand="1"/>
      </w:tblPr>
      <w:tblGrid>
        <w:gridCol w:w="5850"/>
        <w:gridCol w:w="990"/>
        <w:gridCol w:w="1260"/>
        <w:gridCol w:w="1260"/>
      </w:tblGrid>
      <w:tr w:rsidR="00F2483F" w:rsidRPr="004B6794" w:rsidTr="003A3140">
        <w:trPr>
          <w:trHeight w:val="600"/>
        </w:trPr>
        <w:tc>
          <w:tcPr>
            <w:tcW w:w="5000" w:type="pct"/>
            <w:gridSpan w:val="4"/>
            <w:tcBorders>
              <w:top w:val="nil"/>
              <w:left w:val="nil"/>
              <w:bottom w:val="single" w:sz="4" w:space="0" w:color="auto"/>
              <w:right w:val="nil"/>
            </w:tcBorders>
            <w:shd w:val="clear" w:color="000000" w:fill="E7E6E6"/>
            <w:hideMark/>
          </w:tcPr>
          <w:p w:rsidR="00F2483F" w:rsidRPr="004B6794" w:rsidRDefault="00F2483F" w:rsidP="00F2483F">
            <w:pPr>
              <w:keepNext/>
              <w:spacing w:after="0" w:line="240" w:lineRule="auto"/>
              <w:rPr>
                <w:rFonts w:eastAsia="Times New Roman"/>
                <w:b/>
                <w:bCs/>
              </w:rPr>
            </w:pPr>
            <w:r>
              <w:rPr>
                <w:rFonts w:eastAsia="Times New Roman"/>
                <w:b/>
                <w:bCs/>
              </w:rPr>
              <w:lastRenderedPageBreak/>
              <w:t>Table 1</w:t>
            </w:r>
            <w:r w:rsidRPr="004B6794">
              <w:rPr>
                <w:rFonts w:eastAsia="Times New Roman"/>
                <w:b/>
                <w:bCs/>
              </w:rPr>
              <w:t xml:space="preserve"> | Respondent preferences for the expenditure of revenues from a fossil fuel tax to help reduce global warming.</w:t>
            </w:r>
          </w:p>
        </w:tc>
      </w:tr>
      <w:tr w:rsidR="00F2483F" w:rsidRPr="004B6794" w:rsidTr="003A3140">
        <w:trPr>
          <w:trHeight w:val="300"/>
        </w:trPr>
        <w:tc>
          <w:tcPr>
            <w:tcW w:w="3125" w:type="pct"/>
            <w:tcBorders>
              <w:top w:val="single" w:sz="4" w:space="0" w:color="auto"/>
              <w:left w:val="nil"/>
              <w:bottom w:val="single" w:sz="4" w:space="0" w:color="auto"/>
              <w:right w:val="nil"/>
            </w:tcBorders>
            <w:shd w:val="clear" w:color="000000" w:fill="F2F2F2"/>
            <w:noWrap/>
            <w:hideMark/>
          </w:tcPr>
          <w:p w:rsidR="00F2483F" w:rsidRPr="004B6794" w:rsidRDefault="00F2483F" w:rsidP="00F2483F">
            <w:pPr>
              <w:keepNext/>
              <w:spacing w:after="0" w:line="240" w:lineRule="auto"/>
              <w:rPr>
                <w:rFonts w:eastAsia="Times New Roman"/>
                <w:b/>
                <w:bCs/>
              </w:rPr>
            </w:pPr>
            <w:r w:rsidRPr="004B6794">
              <w:rPr>
                <w:rFonts w:eastAsia="Times New Roman"/>
                <w:b/>
                <w:bCs/>
              </w:rPr>
              <w:t> </w:t>
            </w:r>
          </w:p>
        </w:tc>
        <w:tc>
          <w:tcPr>
            <w:tcW w:w="529" w:type="pct"/>
            <w:tcBorders>
              <w:top w:val="single" w:sz="4" w:space="0" w:color="auto"/>
              <w:left w:val="nil"/>
              <w:bottom w:val="single" w:sz="4" w:space="0" w:color="auto"/>
              <w:right w:val="nil"/>
            </w:tcBorders>
            <w:shd w:val="clear" w:color="000000" w:fill="F2F2F2"/>
            <w:noWrap/>
            <w:hideMark/>
          </w:tcPr>
          <w:p w:rsidR="00F2483F" w:rsidRPr="004B6794" w:rsidRDefault="00F2483F" w:rsidP="00F2483F">
            <w:pPr>
              <w:keepNext/>
              <w:spacing w:after="0" w:line="240" w:lineRule="auto"/>
              <w:jc w:val="center"/>
              <w:rPr>
                <w:rFonts w:eastAsia="Times New Roman"/>
                <w:b/>
                <w:bCs/>
              </w:rPr>
            </w:pPr>
            <w:r w:rsidRPr="004B6794">
              <w:rPr>
                <w:rFonts w:eastAsia="Times New Roman"/>
                <w:b/>
                <w:bCs/>
              </w:rPr>
              <w:t>Support (%)</w:t>
            </w:r>
          </w:p>
        </w:tc>
        <w:tc>
          <w:tcPr>
            <w:tcW w:w="673" w:type="pct"/>
            <w:tcBorders>
              <w:top w:val="single" w:sz="4" w:space="0" w:color="auto"/>
              <w:left w:val="nil"/>
              <w:bottom w:val="single" w:sz="4" w:space="0" w:color="auto"/>
              <w:right w:val="nil"/>
            </w:tcBorders>
            <w:shd w:val="clear" w:color="000000" w:fill="F2F2F2"/>
            <w:noWrap/>
            <w:hideMark/>
          </w:tcPr>
          <w:p w:rsidR="00F2483F" w:rsidRPr="004B6794" w:rsidRDefault="00F2483F" w:rsidP="00F2483F">
            <w:pPr>
              <w:keepNext/>
              <w:spacing w:after="0" w:line="240" w:lineRule="auto"/>
              <w:jc w:val="center"/>
              <w:rPr>
                <w:rFonts w:eastAsia="Times New Roman"/>
                <w:b/>
                <w:bCs/>
              </w:rPr>
            </w:pPr>
            <w:r w:rsidRPr="004B6794">
              <w:rPr>
                <w:rFonts w:eastAsia="Times New Roman"/>
                <w:b/>
                <w:bCs/>
              </w:rPr>
              <w:t>Allotment (%)</w:t>
            </w:r>
          </w:p>
        </w:tc>
        <w:tc>
          <w:tcPr>
            <w:tcW w:w="673" w:type="pct"/>
            <w:tcBorders>
              <w:top w:val="single" w:sz="4" w:space="0" w:color="auto"/>
              <w:left w:val="nil"/>
              <w:bottom w:val="single" w:sz="4" w:space="0" w:color="auto"/>
              <w:right w:val="nil"/>
            </w:tcBorders>
            <w:shd w:val="clear" w:color="000000" w:fill="F2F2F2"/>
            <w:noWrap/>
            <w:hideMark/>
          </w:tcPr>
          <w:p w:rsidR="00F2483F" w:rsidRPr="004B6794" w:rsidRDefault="00F2483F" w:rsidP="00F2483F">
            <w:pPr>
              <w:keepNext/>
              <w:spacing w:after="0" w:line="240" w:lineRule="auto"/>
              <w:jc w:val="center"/>
              <w:rPr>
                <w:rFonts w:eastAsia="Times New Roman"/>
                <w:b/>
                <w:bCs/>
              </w:rPr>
            </w:pPr>
            <w:r>
              <w:rPr>
                <w:rFonts w:eastAsia="Times New Roman"/>
                <w:b/>
                <w:bCs/>
              </w:rPr>
              <w:t>S</w:t>
            </w:r>
            <w:r w:rsidRPr="004B6794">
              <w:rPr>
                <w:rFonts w:eastAsia="Times New Roman"/>
                <w:b/>
                <w:bCs/>
              </w:rPr>
              <w:t xml:space="preserve">upport </w:t>
            </w:r>
            <w:r>
              <w:rPr>
                <w:rFonts w:eastAsia="Times New Roman"/>
                <w:b/>
                <w:bCs/>
              </w:rPr>
              <w:t xml:space="preserve"> </w:t>
            </w:r>
            <w:r w:rsidRPr="004B6794">
              <w:rPr>
                <w:rFonts w:eastAsia="Times New Roman"/>
                <w:b/>
                <w:bCs/>
              </w:rPr>
              <w:t>($ billion</w:t>
            </w:r>
            <w:r>
              <w:rPr>
                <w:rFonts w:eastAsia="Times New Roman"/>
                <w:b/>
                <w:bCs/>
              </w:rPr>
              <w:t>s</w:t>
            </w:r>
            <w:r w:rsidRPr="004B6794">
              <w:rPr>
                <w:rFonts w:eastAsia="Times New Roman"/>
                <w:b/>
                <w:bCs/>
              </w:rPr>
              <w:t>)</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Support the development of clean energy (solar, wind)</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79.8</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17.3</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3.84</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Fund improvements to America’s infrastructure (roads, bridges, etc.)</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77.4</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14.5</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3.22</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Pay down the national debt</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65.5</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12.7</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2.83</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Assist workers in the coal industry that may lose their jobs as a result of the tax</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71.9</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10.4</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2.32</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Reduce Federal income taxes</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59.3</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9.9</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2.19</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Return the money to all American households in equal amounts</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45.9</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8.1</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1.81</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Assist low-income communities that are most vulnerable to the impacts of global warming</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57.3</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7.8</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1.73</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Fund programs to help American communities prepare for and adapt to global warming</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54.6</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7.2</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1.61</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Reduce Federal payroll taxes (Social Security and Medicare taxes that are deducted from paychecks)</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44.2</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7.2</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1.60</w:t>
            </w:r>
          </w:p>
        </w:tc>
      </w:tr>
      <w:tr w:rsidR="00F2483F" w:rsidRPr="004B6794" w:rsidTr="003A3140">
        <w:trPr>
          <w:trHeight w:val="288"/>
        </w:trPr>
        <w:tc>
          <w:tcPr>
            <w:tcW w:w="3125" w:type="pct"/>
            <w:tcBorders>
              <w:top w:val="nil"/>
              <w:left w:val="nil"/>
              <w:bottom w:val="nil"/>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Reduce corporate taxes</w:t>
            </w:r>
          </w:p>
        </w:tc>
        <w:tc>
          <w:tcPr>
            <w:tcW w:w="529"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24.4</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3.2</w:t>
            </w:r>
          </w:p>
        </w:tc>
        <w:tc>
          <w:tcPr>
            <w:tcW w:w="673" w:type="pct"/>
            <w:tcBorders>
              <w:top w:val="nil"/>
              <w:left w:val="nil"/>
              <w:bottom w:val="nil"/>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0.72</w:t>
            </w:r>
          </w:p>
        </w:tc>
      </w:tr>
      <w:tr w:rsidR="00F2483F" w:rsidRPr="004B6794" w:rsidTr="003A3140">
        <w:trPr>
          <w:trHeight w:val="288"/>
        </w:trPr>
        <w:tc>
          <w:tcPr>
            <w:tcW w:w="3125" w:type="pct"/>
            <w:tcBorders>
              <w:top w:val="nil"/>
              <w:left w:val="nil"/>
              <w:bottom w:val="single" w:sz="4" w:space="0" w:color="auto"/>
              <w:right w:val="nil"/>
            </w:tcBorders>
            <w:shd w:val="clear" w:color="000000" w:fill="F2F2F2"/>
            <w:hideMark/>
          </w:tcPr>
          <w:p w:rsidR="00F2483F" w:rsidRPr="004B6794" w:rsidRDefault="00F2483F" w:rsidP="00F2483F">
            <w:pPr>
              <w:keepNext/>
              <w:spacing w:after="0" w:line="240" w:lineRule="auto"/>
              <w:rPr>
                <w:rFonts w:eastAsia="Times New Roman"/>
              </w:rPr>
            </w:pPr>
            <w:r w:rsidRPr="004B6794">
              <w:rPr>
                <w:rFonts w:eastAsia="Times New Roman"/>
              </w:rPr>
              <w:t xml:space="preserve">Other (please specify) </w:t>
            </w:r>
          </w:p>
        </w:tc>
        <w:tc>
          <w:tcPr>
            <w:tcW w:w="529" w:type="pct"/>
            <w:tcBorders>
              <w:top w:val="nil"/>
              <w:left w:val="nil"/>
              <w:bottom w:val="single" w:sz="4" w:space="0" w:color="auto"/>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7.8</w:t>
            </w:r>
          </w:p>
        </w:tc>
        <w:tc>
          <w:tcPr>
            <w:tcW w:w="673" w:type="pct"/>
            <w:tcBorders>
              <w:top w:val="nil"/>
              <w:left w:val="nil"/>
              <w:bottom w:val="single" w:sz="4" w:space="0" w:color="auto"/>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1.7</w:t>
            </w:r>
          </w:p>
        </w:tc>
        <w:tc>
          <w:tcPr>
            <w:tcW w:w="673" w:type="pct"/>
            <w:tcBorders>
              <w:top w:val="nil"/>
              <w:left w:val="nil"/>
              <w:bottom w:val="single" w:sz="4" w:space="0" w:color="auto"/>
              <w:right w:val="nil"/>
            </w:tcBorders>
            <w:shd w:val="clear" w:color="000000" w:fill="F2F2F2"/>
            <w:noWrap/>
            <w:hideMark/>
          </w:tcPr>
          <w:p w:rsidR="00F2483F" w:rsidRPr="004B6794" w:rsidRDefault="00F2483F" w:rsidP="00F2483F">
            <w:pPr>
              <w:keepNext/>
              <w:spacing w:after="0" w:line="240" w:lineRule="auto"/>
              <w:jc w:val="center"/>
              <w:rPr>
                <w:rFonts w:eastAsia="Times New Roman"/>
              </w:rPr>
            </w:pPr>
            <w:r w:rsidRPr="004B6794">
              <w:rPr>
                <w:rFonts w:eastAsia="Times New Roman"/>
              </w:rPr>
              <w:t>0.39</w:t>
            </w:r>
          </w:p>
        </w:tc>
      </w:tr>
      <w:tr w:rsidR="00F2483F" w:rsidRPr="004B6794" w:rsidTr="003A3140">
        <w:trPr>
          <w:trHeight w:val="750"/>
        </w:trPr>
        <w:tc>
          <w:tcPr>
            <w:tcW w:w="5000" w:type="pct"/>
            <w:gridSpan w:val="4"/>
            <w:tcBorders>
              <w:top w:val="single" w:sz="4" w:space="0" w:color="auto"/>
              <w:left w:val="nil"/>
              <w:bottom w:val="nil"/>
              <w:right w:val="nil"/>
            </w:tcBorders>
            <w:shd w:val="clear" w:color="000000" w:fill="F2F2F2"/>
            <w:hideMark/>
          </w:tcPr>
          <w:p w:rsidR="00F2483F" w:rsidRPr="004B6794" w:rsidRDefault="00F2483F" w:rsidP="00F2483F">
            <w:pPr>
              <w:keepNext/>
              <w:spacing w:after="0" w:line="240" w:lineRule="auto"/>
              <w:rPr>
                <w:rFonts w:eastAsia="Times New Roman"/>
                <w:sz w:val="18"/>
                <w:szCs w:val="18"/>
              </w:rPr>
            </w:pPr>
            <w:r w:rsidRPr="001C271C">
              <w:rPr>
                <w:rFonts w:eastAsia="Times New Roman"/>
                <w:sz w:val="18"/>
                <w:szCs w:val="18"/>
              </w:rPr>
              <w:t>Reported as survey weighted statistics.  Support (%) indicates share of respondents that support using the revenue generated in the stated manner.  Allotment (%) reports the mean allotment including</w:t>
            </w:r>
            <w:r>
              <w:rPr>
                <w:rFonts w:eastAsia="Times New Roman"/>
                <w:sz w:val="18"/>
                <w:szCs w:val="18"/>
              </w:rPr>
              <w:t xml:space="preserve"> both those that support the revenue’s use on the expenditure category and those</w:t>
            </w:r>
            <w:r w:rsidRPr="001C271C">
              <w:rPr>
                <w:rFonts w:eastAsia="Times New Roman"/>
                <w:sz w:val="18"/>
                <w:szCs w:val="18"/>
              </w:rPr>
              <w:t xml:space="preserve"> that do not support</w:t>
            </w:r>
            <w:r>
              <w:rPr>
                <w:rFonts w:eastAsia="Times New Roman"/>
                <w:sz w:val="18"/>
                <w:szCs w:val="18"/>
              </w:rPr>
              <w:t xml:space="preserve"> it and would allot nothing</w:t>
            </w:r>
            <w:r w:rsidRPr="001C271C">
              <w:rPr>
                <w:rFonts w:eastAsia="Times New Roman"/>
                <w:sz w:val="18"/>
                <w:szCs w:val="18"/>
              </w:rPr>
              <w:t>.</w:t>
            </w:r>
            <w:r>
              <w:rPr>
                <w:rFonts w:eastAsia="Times New Roman"/>
                <w:sz w:val="18"/>
                <w:szCs w:val="18"/>
              </w:rPr>
              <w:t xml:space="preserve">  Support ($ billions) is the implied aggregate support for the category based on our mean WTP of $177 and U.S. Census Bureau estimate of 125,819,000 U.S. households.</w:t>
            </w:r>
          </w:p>
        </w:tc>
      </w:tr>
    </w:tbl>
    <w:p w:rsidR="00FE7F1D" w:rsidRDefault="00EB2131" w:rsidP="00F2483F">
      <w:pPr>
        <w:spacing w:before="240"/>
      </w:pPr>
      <w:r>
        <w:t xml:space="preserve"> </w:t>
      </w:r>
      <w:r w:rsidR="00301DFF">
        <w:t xml:space="preserve">To ascertain willingness to pay to reduce global warming, we </w:t>
      </w:r>
      <w:r w:rsidR="00B91B81">
        <w:t xml:space="preserve">then </w:t>
      </w:r>
      <w:r w:rsidR="00301DFF">
        <w:t xml:space="preserve">offer randomly selected </w:t>
      </w:r>
      <w:r w:rsidR="00B91B81">
        <w:t xml:space="preserve">annual </w:t>
      </w:r>
      <w:r w:rsidR="00301DFF">
        <w:t xml:space="preserve">bid amounts to respondents following recommended contingent valuation methodologies.  </w:t>
      </w:r>
      <w:r w:rsidR="00EF3F69">
        <w:t>The randomly offered bid amount</w:t>
      </w:r>
      <w:r w:rsidR="00301DFF">
        <w:t xml:space="preserve"> range</w:t>
      </w:r>
      <w:r w:rsidR="00EF3F69">
        <w:t>s between $5 and $155</w:t>
      </w:r>
      <w:r w:rsidR="00B91B81">
        <w:t>.</w:t>
      </w:r>
      <w:r w:rsidR="00EF3F69">
        <w:t xml:space="preserve"> </w:t>
      </w:r>
      <w:r w:rsidR="00B91B81">
        <w:t xml:space="preserve"> This</w:t>
      </w:r>
      <w:r w:rsidR="00EF3F69">
        <w:t xml:space="preserve"> is</w:t>
      </w:r>
      <w:r w:rsidR="00301DFF">
        <w:t xml:space="preserve"> from 0.4-percent to 11.3-percent of </w:t>
      </w:r>
      <w:r w:rsidR="00B91B81">
        <w:t>the</w:t>
      </w:r>
      <w:r w:rsidR="00301DFF">
        <w:t xml:space="preserve"> average </w:t>
      </w:r>
      <w:r w:rsidR="00B91B81">
        <w:t>residential energy bill</w:t>
      </w:r>
      <w:r w:rsidR="00301DFF">
        <w:t xml:space="preserve"> in the United States.  As point of reference, the national average monthly energy bill is $114.03 at the time of survey and we acknowledge wide variability in monthly energy expenditures</w:t>
      </w:r>
      <w:r w:rsidR="00B91B81">
        <w:t>,</w:t>
      </w:r>
      <w:r w:rsidR="00301DFF">
        <w:t xml:space="preserve"> from $79.23 in New Mexico to $153.13 in Connecticut.  The format of the question</w:t>
      </w:r>
      <w:r w:rsidR="00FE7F1D">
        <w:t xml:space="preserve"> posed is</w:t>
      </w:r>
      <w:r w:rsidR="00301DFF">
        <w:t xml:space="preserve"> whether the respondent supports a tax on fossil fuels to help reduce global warming that will result in an annual household energy bill increase of the bid amount.  The support at each bid, in both dollar terms as presented to the panel</w:t>
      </w:r>
      <w:r w:rsidR="00FE7F1D">
        <w:t>,</w:t>
      </w:r>
      <w:r w:rsidR="00301DFF">
        <w:t xml:space="preserve"> and as percent increase</w:t>
      </w:r>
      <w:r w:rsidR="00FE7F1D">
        <w:t>s</w:t>
      </w:r>
      <w:r w:rsidR="00B91B81">
        <w:t>,</w:t>
      </w:r>
      <w:r w:rsidR="00301DFF">
        <w:t xml:space="preserve"> are presented in Table 2 </w:t>
      </w:r>
      <w:r w:rsidR="00FE7F1D">
        <w:t>along with</w:t>
      </w:r>
      <w:r w:rsidR="00301DFF">
        <w:t xml:space="preserve"> the </w:t>
      </w:r>
      <w:r w:rsidR="00FE7F1D">
        <w:t xml:space="preserve">percent of respondents that </w:t>
      </w:r>
      <w:r w:rsidR="00B91B81">
        <w:t>were queried and opted</w:t>
      </w:r>
      <w:r w:rsidR="00FE7F1D">
        <w:t xml:space="preserve"> to</w:t>
      </w:r>
      <w:r w:rsidR="00301DFF">
        <w:t xml:space="preserve"> support</w:t>
      </w:r>
      <w:r w:rsidR="00FE7F1D">
        <w:t xml:space="preserve"> it.</w:t>
      </w:r>
    </w:p>
    <w:p w:rsidR="00081C35" w:rsidRDefault="00FE7F1D" w:rsidP="00B91B81">
      <w:r>
        <w:t>We find t</w:t>
      </w:r>
      <w:r w:rsidR="00301DFF">
        <w:t>he percent of respondents supporting the proposal exceeds 50-percent at each bid amount</w:t>
      </w:r>
      <w:r>
        <w:t xml:space="preserve"> offered</w:t>
      </w:r>
      <w:r w:rsidR="00301DFF">
        <w:t>.</w:t>
      </w:r>
      <w:r w:rsidR="00D47365">
        <w:t xml:space="preserve">  This presents certain complications in deriving a point</w:t>
      </w:r>
      <w:r w:rsidR="00A15CC4">
        <w:t xml:space="preserve"> estimate for WTP</w:t>
      </w:r>
      <w:r w:rsidR="00BD6524">
        <w:t xml:space="preserve"> as the mean exceed</w:t>
      </w:r>
      <w:r w:rsidR="002B00EB">
        <w:t>s</w:t>
      </w:r>
      <w:r w:rsidR="00BD6524">
        <w:t xml:space="preserve"> the range of </w:t>
      </w:r>
      <w:r>
        <w:t>bids presented and thus relies on the function</w:t>
      </w:r>
      <w:r w:rsidR="00C02B07">
        <w:t>al</w:t>
      </w:r>
      <w:r>
        <w:t xml:space="preserve"> form used</w:t>
      </w:r>
      <w:r w:rsidR="00C02B07">
        <w:t xml:space="preserve"> in estimation</w:t>
      </w:r>
      <w:r>
        <w:t xml:space="preserve"> to project i</w:t>
      </w:r>
      <w:r w:rsidR="00C02B07">
        <w:t>t</w:t>
      </w:r>
      <w:r w:rsidR="00BD6524">
        <w:t xml:space="preserve">.  </w:t>
      </w:r>
      <w:r w:rsidR="0019791C">
        <w:t>However</w:t>
      </w:r>
      <w:r>
        <w:t>,</w:t>
      </w:r>
      <w:r w:rsidR="00BD6524">
        <w:t xml:space="preserve"> it a</w:t>
      </w:r>
      <w:r w:rsidR="00A15CC4">
        <w:t xml:space="preserve">lso </w:t>
      </w:r>
      <w:r w:rsidR="00BD6524">
        <w:t xml:space="preserve">suggests a lower bound </w:t>
      </w:r>
      <w:r w:rsidR="00C02B07">
        <w:t xml:space="preserve">on WTP </w:t>
      </w:r>
      <w:r w:rsidR="00BD6524">
        <w:t>of at least $155 annually, the highest bid presented, and is not unprecedented (</w:t>
      </w:r>
      <w:proofErr w:type="spellStart"/>
      <w:r w:rsidR="00BD6524">
        <w:t>Ald</w:t>
      </w:r>
      <w:r>
        <w:t>y</w:t>
      </w:r>
      <w:proofErr w:type="spellEnd"/>
      <w:r>
        <w:t>, Kotchen, and Leiserowitz</w:t>
      </w:r>
      <w:r w:rsidR="00053AA6">
        <w:t>, 2012</w:t>
      </w:r>
      <w:r>
        <w:t xml:space="preserve">).  </w:t>
      </w:r>
      <w:r w:rsidR="00C02B07">
        <w:t>I</w:t>
      </w:r>
      <w:r w:rsidR="00BD6524">
        <w:t>t does</w:t>
      </w:r>
      <w:r w:rsidR="00C02B07">
        <w:t>, however,</w:t>
      </w:r>
      <w:r w:rsidR="00BD6524">
        <w:t xml:space="preserve"> require additional consideration in the analysis to follow. </w:t>
      </w:r>
    </w:p>
    <w:tbl>
      <w:tblPr>
        <w:tblW w:w="5000" w:type="pct"/>
        <w:tblLook w:val="04A0" w:firstRow="1" w:lastRow="0" w:firstColumn="1" w:lastColumn="0" w:noHBand="0" w:noVBand="1"/>
      </w:tblPr>
      <w:tblGrid>
        <w:gridCol w:w="1611"/>
        <w:gridCol w:w="2826"/>
        <w:gridCol w:w="2502"/>
        <w:gridCol w:w="2421"/>
      </w:tblGrid>
      <w:tr w:rsidR="007431D2" w:rsidRPr="007431D2" w:rsidTr="007431D2">
        <w:trPr>
          <w:trHeight w:val="300"/>
        </w:trPr>
        <w:tc>
          <w:tcPr>
            <w:tcW w:w="5000" w:type="pct"/>
            <w:gridSpan w:val="4"/>
            <w:tcBorders>
              <w:top w:val="nil"/>
              <w:left w:val="nil"/>
              <w:bottom w:val="nil"/>
              <w:right w:val="nil"/>
            </w:tcBorders>
            <w:shd w:val="clear" w:color="000000" w:fill="E7E6E6"/>
            <w:noWrap/>
            <w:vAlign w:val="bottom"/>
            <w:hideMark/>
          </w:tcPr>
          <w:p w:rsidR="007431D2" w:rsidRPr="007431D2" w:rsidRDefault="00617C73" w:rsidP="00F030A2">
            <w:pPr>
              <w:keepNext/>
              <w:spacing w:after="0" w:line="240" w:lineRule="auto"/>
              <w:rPr>
                <w:rFonts w:eastAsia="Times New Roman"/>
                <w:b/>
                <w:bCs/>
              </w:rPr>
            </w:pPr>
            <w:r>
              <w:rPr>
                <w:rFonts w:eastAsia="Times New Roman"/>
                <w:b/>
                <w:bCs/>
              </w:rPr>
              <w:lastRenderedPageBreak/>
              <w:t>Table 2</w:t>
            </w:r>
            <w:r w:rsidR="007431D2" w:rsidRPr="007431D2">
              <w:rPr>
                <w:rFonts w:eastAsia="Times New Roman"/>
                <w:b/>
                <w:bCs/>
              </w:rPr>
              <w:t xml:space="preserve"> | Distribution of support responses by bid amount.</w:t>
            </w:r>
          </w:p>
        </w:tc>
      </w:tr>
      <w:tr w:rsidR="00CA41DB" w:rsidRPr="007431D2" w:rsidTr="00CA41DB">
        <w:trPr>
          <w:trHeight w:val="300"/>
        </w:trPr>
        <w:tc>
          <w:tcPr>
            <w:tcW w:w="1035" w:type="pct"/>
            <w:tcBorders>
              <w:top w:val="single" w:sz="4" w:space="0" w:color="auto"/>
              <w:left w:val="nil"/>
              <w:bottom w:val="single" w:sz="4" w:space="0" w:color="auto"/>
              <w:right w:val="nil"/>
            </w:tcBorders>
            <w:shd w:val="clear" w:color="000000" w:fill="F2F2F2"/>
            <w:noWrap/>
            <w:vAlign w:val="bottom"/>
            <w:hideMark/>
          </w:tcPr>
          <w:p w:rsidR="00CA41DB" w:rsidRDefault="00CA41DB" w:rsidP="00F030A2">
            <w:pPr>
              <w:keepNext/>
              <w:spacing w:after="0"/>
              <w:rPr>
                <w:b/>
                <w:bCs/>
              </w:rPr>
            </w:pPr>
            <w:r>
              <w:rPr>
                <w:b/>
                <w:bCs/>
              </w:rPr>
              <w:t>Bid amount</w:t>
            </w:r>
          </w:p>
        </w:tc>
        <w:tc>
          <w:tcPr>
            <w:tcW w:w="986" w:type="pct"/>
            <w:tcBorders>
              <w:top w:val="single" w:sz="4" w:space="0" w:color="auto"/>
              <w:left w:val="nil"/>
              <w:bottom w:val="single" w:sz="4" w:space="0" w:color="auto"/>
              <w:right w:val="nil"/>
            </w:tcBorders>
            <w:shd w:val="clear" w:color="000000" w:fill="F2F2F2"/>
            <w:noWrap/>
            <w:vAlign w:val="bottom"/>
            <w:hideMark/>
          </w:tcPr>
          <w:p w:rsidR="00CA41DB" w:rsidRDefault="00CA41DB" w:rsidP="00F030A2">
            <w:pPr>
              <w:keepNext/>
              <w:spacing w:after="0"/>
              <w:rPr>
                <w:b/>
                <w:bCs/>
              </w:rPr>
            </w:pPr>
            <w:r>
              <w:rPr>
                <w:b/>
                <w:bCs/>
              </w:rPr>
              <w:t>Household bill increase (%)</w:t>
            </w:r>
          </w:p>
        </w:tc>
        <w:tc>
          <w:tcPr>
            <w:tcW w:w="1470" w:type="pct"/>
            <w:tcBorders>
              <w:top w:val="single" w:sz="4" w:space="0" w:color="auto"/>
              <w:left w:val="nil"/>
              <w:bottom w:val="single" w:sz="4" w:space="0" w:color="auto"/>
              <w:right w:val="nil"/>
            </w:tcBorders>
            <w:shd w:val="clear" w:color="000000" w:fill="F2F2F2"/>
            <w:noWrap/>
            <w:vAlign w:val="bottom"/>
            <w:hideMark/>
          </w:tcPr>
          <w:p w:rsidR="00CA41DB" w:rsidRDefault="00CA41DB" w:rsidP="00F030A2">
            <w:pPr>
              <w:keepNext/>
              <w:spacing w:after="0"/>
              <w:rPr>
                <w:b/>
                <w:bCs/>
              </w:rPr>
            </w:pPr>
            <w:r>
              <w:rPr>
                <w:b/>
                <w:bCs/>
              </w:rPr>
              <w:t>Respondents queried (#)</w:t>
            </w:r>
          </w:p>
        </w:tc>
        <w:tc>
          <w:tcPr>
            <w:tcW w:w="1510" w:type="pct"/>
            <w:tcBorders>
              <w:top w:val="single" w:sz="4" w:space="0" w:color="auto"/>
              <w:left w:val="nil"/>
              <w:bottom w:val="single" w:sz="4" w:space="0" w:color="auto"/>
              <w:right w:val="nil"/>
            </w:tcBorders>
            <w:shd w:val="clear" w:color="000000" w:fill="F2F2F2"/>
            <w:noWrap/>
            <w:vAlign w:val="bottom"/>
            <w:hideMark/>
          </w:tcPr>
          <w:p w:rsidR="00CA41DB" w:rsidRDefault="00CA41DB" w:rsidP="00F030A2">
            <w:pPr>
              <w:keepNext/>
              <w:spacing w:after="0"/>
              <w:rPr>
                <w:b/>
                <w:bCs/>
              </w:rPr>
            </w:pPr>
            <w:r>
              <w:rPr>
                <w:b/>
                <w:bCs/>
              </w:rPr>
              <w:t>Support (%)</w:t>
            </w:r>
          </w:p>
        </w:tc>
      </w:tr>
      <w:tr w:rsidR="00CA41DB" w:rsidRPr="007431D2" w:rsidTr="00CA41DB">
        <w:trPr>
          <w:trHeight w:val="300"/>
        </w:trPr>
        <w:tc>
          <w:tcPr>
            <w:tcW w:w="1035" w:type="pct"/>
            <w:tcBorders>
              <w:top w:val="nil"/>
              <w:left w:val="nil"/>
              <w:bottom w:val="nil"/>
              <w:right w:val="nil"/>
            </w:tcBorders>
            <w:shd w:val="clear" w:color="000000" w:fill="F2F2F2"/>
            <w:noWrap/>
            <w:vAlign w:val="bottom"/>
            <w:hideMark/>
          </w:tcPr>
          <w:p w:rsidR="00CA41DB" w:rsidRDefault="00CA41DB" w:rsidP="00F030A2">
            <w:pPr>
              <w:keepNext/>
              <w:spacing w:after="0"/>
            </w:pPr>
            <w:r>
              <w:t>$5</w:t>
            </w:r>
          </w:p>
        </w:tc>
        <w:tc>
          <w:tcPr>
            <w:tcW w:w="986" w:type="pct"/>
            <w:tcBorders>
              <w:top w:val="nil"/>
              <w:left w:val="nil"/>
              <w:bottom w:val="nil"/>
              <w:right w:val="nil"/>
            </w:tcBorders>
            <w:shd w:val="clear" w:color="000000" w:fill="F2F2F2"/>
            <w:noWrap/>
            <w:vAlign w:val="bottom"/>
            <w:hideMark/>
          </w:tcPr>
          <w:p w:rsidR="00CA41DB" w:rsidRDefault="00CA41DB" w:rsidP="00AF7B01">
            <w:pPr>
              <w:keepNext/>
              <w:spacing w:after="0"/>
              <w:ind w:left="885"/>
            </w:pPr>
            <w:r>
              <w:t>0.4</w:t>
            </w:r>
          </w:p>
        </w:tc>
        <w:tc>
          <w:tcPr>
            <w:tcW w:w="1470" w:type="pct"/>
            <w:tcBorders>
              <w:top w:val="nil"/>
              <w:left w:val="nil"/>
              <w:bottom w:val="nil"/>
              <w:right w:val="nil"/>
            </w:tcBorders>
            <w:shd w:val="clear" w:color="000000" w:fill="F2F2F2"/>
            <w:noWrap/>
            <w:vAlign w:val="bottom"/>
            <w:hideMark/>
          </w:tcPr>
          <w:p w:rsidR="00CA41DB" w:rsidRDefault="00CA41DB" w:rsidP="00AF7B01">
            <w:pPr>
              <w:keepNext/>
              <w:spacing w:after="0"/>
              <w:ind w:left="765"/>
            </w:pPr>
            <w:r>
              <w:t>99</w:t>
            </w:r>
          </w:p>
        </w:tc>
        <w:tc>
          <w:tcPr>
            <w:tcW w:w="1510" w:type="pct"/>
            <w:tcBorders>
              <w:top w:val="nil"/>
              <w:left w:val="nil"/>
              <w:bottom w:val="nil"/>
              <w:right w:val="nil"/>
            </w:tcBorders>
            <w:shd w:val="clear" w:color="000000" w:fill="F2F2F2"/>
            <w:noWrap/>
            <w:vAlign w:val="bottom"/>
            <w:hideMark/>
          </w:tcPr>
          <w:p w:rsidR="00CA41DB" w:rsidRDefault="00CA41DB" w:rsidP="00AF7B01">
            <w:pPr>
              <w:keepNext/>
              <w:spacing w:after="0"/>
              <w:ind w:left="240"/>
            </w:pPr>
            <w:r>
              <w:t>77.5</w:t>
            </w:r>
          </w:p>
        </w:tc>
      </w:tr>
      <w:tr w:rsidR="00CA41DB" w:rsidRPr="007431D2" w:rsidTr="00CA41DB">
        <w:trPr>
          <w:trHeight w:val="300"/>
        </w:trPr>
        <w:tc>
          <w:tcPr>
            <w:tcW w:w="1035" w:type="pct"/>
            <w:tcBorders>
              <w:top w:val="nil"/>
              <w:left w:val="nil"/>
              <w:bottom w:val="nil"/>
              <w:right w:val="nil"/>
            </w:tcBorders>
            <w:shd w:val="clear" w:color="000000" w:fill="F2F2F2"/>
            <w:noWrap/>
            <w:vAlign w:val="bottom"/>
            <w:hideMark/>
          </w:tcPr>
          <w:p w:rsidR="00CA41DB" w:rsidRDefault="00CA41DB" w:rsidP="00F030A2">
            <w:pPr>
              <w:keepNext/>
              <w:spacing w:after="0"/>
            </w:pPr>
            <w:r>
              <w:t>$25</w:t>
            </w:r>
          </w:p>
        </w:tc>
        <w:tc>
          <w:tcPr>
            <w:tcW w:w="986" w:type="pct"/>
            <w:tcBorders>
              <w:top w:val="nil"/>
              <w:left w:val="nil"/>
              <w:bottom w:val="nil"/>
              <w:right w:val="nil"/>
            </w:tcBorders>
            <w:shd w:val="clear" w:color="000000" w:fill="F2F2F2"/>
            <w:noWrap/>
            <w:vAlign w:val="bottom"/>
            <w:hideMark/>
          </w:tcPr>
          <w:p w:rsidR="00CA41DB" w:rsidRDefault="00CA41DB" w:rsidP="00AF7B01">
            <w:pPr>
              <w:keepNext/>
              <w:spacing w:after="0"/>
              <w:ind w:left="885"/>
            </w:pPr>
            <w:r>
              <w:t>1.8</w:t>
            </w:r>
          </w:p>
        </w:tc>
        <w:tc>
          <w:tcPr>
            <w:tcW w:w="1470" w:type="pct"/>
            <w:tcBorders>
              <w:top w:val="nil"/>
              <w:left w:val="nil"/>
              <w:bottom w:val="nil"/>
              <w:right w:val="nil"/>
            </w:tcBorders>
            <w:shd w:val="clear" w:color="000000" w:fill="F2F2F2"/>
            <w:noWrap/>
            <w:vAlign w:val="bottom"/>
            <w:hideMark/>
          </w:tcPr>
          <w:p w:rsidR="00CA41DB" w:rsidRDefault="00CA41DB" w:rsidP="00AF7B01">
            <w:pPr>
              <w:keepNext/>
              <w:spacing w:after="0"/>
              <w:ind w:left="765"/>
            </w:pPr>
            <w:r>
              <w:t>104</w:t>
            </w:r>
          </w:p>
        </w:tc>
        <w:tc>
          <w:tcPr>
            <w:tcW w:w="1510" w:type="pct"/>
            <w:tcBorders>
              <w:top w:val="nil"/>
              <w:left w:val="nil"/>
              <w:bottom w:val="nil"/>
              <w:right w:val="nil"/>
            </w:tcBorders>
            <w:shd w:val="clear" w:color="000000" w:fill="F2F2F2"/>
            <w:noWrap/>
            <w:vAlign w:val="bottom"/>
            <w:hideMark/>
          </w:tcPr>
          <w:p w:rsidR="00CA41DB" w:rsidRDefault="00CA41DB" w:rsidP="00AF7B01">
            <w:pPr>
              <w:keepNext/>
              <w:spacing w:after="0"/>
              <w:ind w:left="240"/>
            </w:pPr>
            <w:r>
              <w:t>63.6</w:t>
            </w:r>
          </w:p>
        </w:tc>
      </w:tr>
      <w:tr w:rsidR="00CA41DB" w:rsidRPr="007431D2" w:rsidTr="00CA41DB">
        <w:trPr>
          <w:trHeight w:val="300"/>
        </w:trPr>
        <w:tc>
          <w:tcPr>
            <w:tcW w:w="1035" w:type="pct"/>
            <w:tcBorders>
              <w:top w:val="nil"/>
              <w:left w:val="nil"/>
              <w:bottom w:val="nil"/>
              <w:right w:val="nil"/>
            </w:tcBorders>
            <w:shd w:val="clear" w:color="000000" w:fill="F2F2F2"/>
            <w:noWrap/>
            <w:vAlign w:val="bottom"/>
            <w:hideMark/>
          </w:tcPr>
          <w:p w:rsidR="00CA41DB" w:rsidRDefault="00CA41DB" w:rsidP="00F030A2">
            <w:pPr>
              <w:keepNext/>
              <w:spacing w:after="0"/>
            </w:pPr>
            <w:r>
              <w:t>$45</w:t>
            </w:r>
          </w:p>
        </w:tc>
        <w:tc>
          <w:tcPr>
            <w:tcW w:w="986" w:type="pct"/>
            <w:tcBorders>
              <w:top w:val="nil"/>
              <w:left w:val="nil"/>
              <w:bottom w:val="nil"/>
              <w:right w:val="nil"/>
            </w:tcBorders>
            <w:shd w:val="clear" w:color="000000" w:fill="F2F2F2"/>
            <w:noWrap/>
            <w:vAlign w:val="bottom"/>
            <w:hideMark/>
          </w:tcPr>
          <w:p w:rsidR="00CA41DB" w:rsidRDefault="00CA41DB" w:rsidP="00AF7B01">
            <w:pPr>
              <w:keepNext/>
              <w:spacing w:after="0"/>
              <w:ind w:left="885"/>
            </w:pPr>
            <w:r>
              <w:t>3.3</w:t>
            </w:r>
          </w:p>
        </w:tc>
        <w:tc>
          <w:tcPr>
            <w:tcW w:w="1470" w:type="pct"/>
            <w:tcBorders>
              <w:top w:val="nil"/>
              <w:left w:val="nil"/>
              <w:bottom w:val="nil"/>
              <w:right w:val="nil"/>
            </w:tcBorders>
            <w:shd w:val="clear" w:color="000000" w:fill="F2F2F2"/>
            <w:noWrap/>
            <w:vAlign w:val="bottom"/>
            <w:hideMark/>
          </w:tcPr>
          <w:p w:rsidR="00CA41DB" w:rsidRDefault="00CA41DB" w:rsidP="00AF7B01">
            <w:pPr>
              <w:keepNext/>
              <w:spacing w:after="0"/>
              <w:ind w:left="765"/>
            </w:pPr>
            <w:r>
              <w:t>180</w:t>
            </w:r>
          </w:p>
        </w:tc>
        <w:tc>
          <w:tcPr>
            <w:tcW w:w="1510" w:type="pct"/>
            <w:tcBorders>
              <w:top w:val="nil"/>
              <w:left w:val="nil"/>
              <w:bottom w:val="nil"/>
              <w:right w:val="nil"/>
            </w:tcBorders>
            <w:shd w:val="clear" w:color="000000" w:fill="F2F2F2"/>
            <w:noWrap/>
            <w:vAlign w:val="bottom"/>
            <w:hideMark/>
          </w:tcPr>
          <w:p w:rsidR="00CA41DB" w:rsidRDefault="00CA41DB" w:rsidP="00AF7B01">
            <w:pPr>
              <w:keepNext/>
              <w:spacing w:after="0"/>
              <w:ind w:left="240"/>
            </w:pPr>
            <w:r>
              <w:t>53.3</w:t>
            </w:r>
          </w:p>
        </w:tc>
      </w:tr>
      <w:tr w:rsidR="00CA41DB" w:rsidRPr="007431D2" w:rsidTr="00CA41DB">
        <w:trPr>
          <w:trHeight w:val="300"/>
        </w:trPr>
        <w:tc>
          <w:tcPr>
            <w:tcW w:w="1035" w:type="pct"/>
            <w:tcBorders>
              <w:top w:val="nil"/>
              <w:left w:val="nil"/>
              <w:bottom w:val="nil"/>
              <w:right w:val="nil"/>
            </w:tcBorders>
            <w:shd w:val="clear" w:color="000000" w:fill="F2F2F2"/>
            <w:noWrap/>
            <w:vAlign w:val="bottom"/>
            <w:hideMark/>
          </w:tcPr>
          <w:p w:rsidR="00CA41DB" w:rsidRDefault="00CA41DB" w:rsidP="00F030A2">
            <w:pPr>
              <w:keepNext/>
              <w:spacing w:after="0"/>
            </w:pPr>
            <w:r>
              <w:t>$65</w:t>
            </w:r>
          </w:p>
        </w:tc>
        <w:tc>
          <w:tcPr>
            <w:tcW w:w="986" w:type="pct"/>
            <w:tcBorders>
              <w:top w:val="nil"/>
              <w:left w:val="nil"/>
              <w:bottom w:val="nil"/>
              <w:right w:val="nil"/>
            </w:tcBorders>
            <w:shd w:val="clear" w:color="000000" w:fill="F2F2F2"/>
            <w:noWrap/>
            <w:vAlign w:val="bottom"/>
            <w:hideMark/>
          </w:tcPr>
          <w:p w:rsidR="00CA41DB" w:rsidRDefault="00CA41DB" w:rsidP="00AF7B01">
            <w:pPr>
              <w:keepNext/>
              <w:spacing w:after="0"/>
              <w:ind w:left="885"/>
            </w:pPr>
            <w:r>
              <w:t>4.8</w:t>
            </w:r>
          </w:p>
        </w:tc>
        <w:tc>
          <w:tcPr>
            <w:tcW w:w="1470" w:type="pct"/>
            <w:tcBorders>
              <w:top w:val="nil"/>
              <w:left w:val="nil"/>
              <w:bottom w:val="nil"/>
              <w:right w:val="nil"/>
            </w:tcBorders>
            <w:shd w:val="clear" w:color="000000" w:fill="F2F2F2"/>
            <w:noWrap/>
            <w:vAlign w:val="bottom"/>
            <w:hideMark/>
          </w:tcPr>
          <w:p w:rsidR="00CA41DB" w:rsidRDefault="00CA41DB" w:rsidP="00AF7B01">
            <w:pPr>
              <w:keepNext/>
              <w:spacing w:after="0"/>
              <w:ind w:left="765"/>
            </w:pPr>
            <w:r>
              <w:t>222</w:t>
            </w:r>
          </w:p>
        </w:tc>
        <w:tc>
          <w:tcPr>
            <w:tcW w:w="1510" w:type="pct"/>
            <w:tcBorders>
              <w:top w:val="nil"/>
              <w:left w:val="nil"/>
              <w:bottom w:val="nil"/>
              <w:right w:val="nil"/>
            </w:tcBorders>
            <w:shd w:val="clear" w:color="000000" w:fill="F2F2F2"/>
            <w:noWrap/>
            <w:vAlign w:val="bottom"/>
            <w:hideMark/>
          </w:tcPr>
          <w:p w:rsidR="00CA41DB" w:rsidRDefault="00CA41DB" w:rsidP="00AF7B01">
            <w:pPr>
              <w:keepNext/>
              <w:spacing w:after="0"/>
              <w:ind w:left="240"/>
            </w:pPr>
            <w:r>
              <w:t>52.0</w:t>
            </w:r>
          </w:p>
        </w:tc>
      </w:tr>
      <w:tr w:rsidR="00CA41DB" w:rsidRPr="007431D2" w:rsidTr="00CA41DB">
        <w:trPr>
          <w:trHeight w:val="300"/>
        </w:trPr>
        <w:tc>
          <w:tcPr>
            <w:tcW w:w="1035" w:type="pct"/>
            <w:tcBorders>
              <w:top w:val="nil"/>
              <w:left w:val="nil"/>
              <w:bottom w:val="nil"/>
              <w:right w:val="nil"/>
            </w:tcBorders>
            <w:shd w:val="clear" w:color="000000" w:fill="F2F2F2"/>
            <w:noWrap/>
            <w:vAlign w:val="bottom"/>
            <w:hideMark/>
          </w:tcPr>
          <w:p w:rsidR="00CA41DB" w:rsidRDefault="00CA41DB" w:rsidP="00F030A2">
            <w:pPr>
              <w:keepNext/>
              <w:spacing w:after="0"/>
            </w:pPr>
            <w:r>
              <w:t>$85</w:t>
            </w:r>
          </w:p>
        </w:tc>
        <w:tc>
          <w:tcPr>
            <w:tcW w:w="986" w:type="pct"/>
            <w:tcBorders>
              <w:top w:val="nil"/>
              <w:left w:val="nil"/>
              <w:bottom w:val="nil"/>
              <w:right w:val="nil"/>
            </w:tcBorders>
            <w:shd w:val="clear" w:color="000000" w:fill="F2F2F2"/>
            <w:noWrap/>
            <w:vAlign w:val="bottom"/>
            <w:hideMark/>
          </w:tcPr>
          <w:p w:rsidR="00CA41DB" w:rsidRDefault="00CA41DB" w:rsidP="00AF7B01">
            <w:pPr>
              <w:keepNext/>
              <w:spacing w:after="0"/>
              <w:ind w:left="885"/>
            </w:pPr>
            <w:r>
              <w:t>6.2</w:t>
            </w:r>
          </w:p>
        </w:tc>
        <w:tc>
          <w:tcPr>
            <w:tcW w:w="1470" w:type="pct"/>
            <w:tcBorders>
              <w:top w:val="nil"/>
              <w:left w:val="nil"/>
              <w:bottom w:val="nil"/>
              <w:right w:val="nil"/>
            </w:tcBorders>
            <w:shd w:val="clear" w:color="000000" w:fill="F2F2F2"/>
            <w:noWrap/>
            <w:vAlign w:val="bottom"/>
            <w:hideMark/>
          </w:tcPr>
          <w:p w:rsidR="00CA41DB" w:rsidRDefault="00CA41DB" w:rsidP="00AF7B01">
            <w:pPr>
              <w:keepNext/>
              <w:spacing w:after="0"/>
              <w:ind w:left="765"/>
            </w:pPr>
            <w:r>
              <w:t>205</w:t>
            </w:r>
          </w:p>
        </w:tc>
        <w:tc>
          <w:tcPr>
            <w:tcW w:w="1510" w:type="pct"/>
            <w:tcBorders>
              <w:top w:val="nil"/>
              <w:left w:val="nil"/>
              <w:bottom w:val="nil"/>
              <w:right w:val="nil"/>
            </w:tcBorders>
            <w:shd w:val="clear" w:color="000000" w:fill="F2F2F2"/>
            <w:noWrap/>
            <w:vAlign w:val="bottom"/>
            <w:hideMark/>
          </w:tcPr>
          <w:p w:rsidR="00CA41DB" w:rsidRDefault="00CA41DB" w:rsidP="00AF7B01">
            <w:pPr>
              <w:keepNext/>
              <w:spacing w:after="0"/>
              <w:ind w:left="240"/>
            </w:pPr>
            <w:r>
              <w:t>60.5</w:t>
            </w:r>
          </w:p>
        </w:tc>
      </w:tr>
      <w:tr w:rsidR="00CA41DB" w:rsidRPr="007431D2" w:rsidTr="00CA41DB">
        <w:trPr>
          <w:trHeight w:val="300"/>
        </w:trPr>
        <w:tc>
          <w:tcPr>
            <w:tcW w:w="1035" w:type="pct"/>
            <w:tcBorders>
              <w:top w:val="nil"/>
              <w:left w:val="nil"/>
              <w:bottom w:val="nil"/>
              <w:right w:val="nil"/>
            </w:tcBorders>
            <w:shd w:val="clear" w:color="000000" w:fill="F2F2F2"/>
            <w:noWrap/>
            <w:vAlign w:val="bottom"/>
            <w:hideMark/>
          </w:tcPr>
          <w:p w:rsidR="00CA41DB" w:rsidRDefault="00CA41DB" w:rsidP="00F030A2">
            <w:pPr>
              <w:keepNext/>
              <w:spacing w:after="0"/>
            </w:pPr>
            <w:r>
              <w:t>$105</w:t>
            </w:r>
          </w:p>
        </w:tc>
        <w:tc>
          <w:tcPr>
            <w:tcW w:w="986" w:type="pct"/>
            <w:tcBorders>
              <w:top w:val="nil"/>
              <w:left w:val="nil"/>
              <w:bottom w:val="nil"/>
              <w:right w:val="nil"/>
            </w:tcBorders>
            <w:shd w:val="clear" w:color="000000" w:fill="F2F2F2"/>
            <w:noWrap/>
            <w:vAlign w:val="bottom"/>
            <w:hideMark/>
          </w:tcPr>
          <w:p w:rsidR="00CA41DB" w:rsidRDefault="00CA41DB" w:rsidP="00AF7B01">
            <w:pPr>
              <w:keepNext/>
              <w:spacing w:after="0"/>
              <w:ind w:left="885"/>
            </w:pPr>
            <w:r>
              <w:t>7.7</w:t>
            </w:r>
          </w:p>
        </w:tc>
        <w:tc>
          <w:tcPr>
            <w:tcW w:w="1470" w:type="pct"/>
            <w:tcBorders>
              <w:top w:val="nil"/>
              <w:left w:val="nil"/>
              <w:bottom w:val="nil"/>
              <w:right w:val="nil"/>
            </w:tcBorders>
            <w:shd w:val="clear" w:color="000000" w:fill="F2F2F2"/>
            <w:noWrap/>
            <w:vAlign w:val="bottom"/>
            <w:hideMark/>
          </w:tcPr>
          <w:p w:rsidR="00CA41DB" w:rsidRDefault="00CA41DB" w:rsidP="00AF7B01">
            <w:pPr>
              <w:keepNext/>
              <w:spacing w:after="0"/>
              <w:ind w:left="765"/>
            </w:pPr>
            <w:r>
              <w:t>184</w:t>
            </w:r>
          </w:p>
        </w:tc>
        <w:tc>
          <w:tcPr>
            <w:tcW w:w="1510" w:type="pct"/>
            <w:tcBorders>
              <w:top w:val="nil"/>
              <w:left w:val="nil"/>
              <w:bottom w:val="nil"/>
              <w:right w:val="nil"/>
            </w:tcBorders>
            <w:shd w:val="clear" w:color="000000" w:fill="F2F2F2"/>
            <w:noWrap/>
            <w:vAlign w:val="bottom"/>
            <w:hideMark/>
          </w:tcPr>
          <w:p w:rsidR="00CA41DB" w:rsidRDefault="00CA41DB" w:rsidP="00AF7B01">
            <w:pPr>
              <w:keepNext/>
              <w:spacing w:after="0"/>
              <w:ind w:left="240"/>
            </w:pPr>
            <w:r>
              <w:t>52.4</w:t>
            </w:r>
          </w:p>
        </w:tc>
      </w:tr>
      <w:tr w:rsidR="00CA41DB" w:rsidRPr="007431D2" w:rsidTr="00CA41DB">
        <w:trPr>
          <w:trHeight w:val="300"/>
        </w:trPr>
        <w:tc>
          <w:tcPr>
            <w:tcW w:w="1035" w:type="pct"/>
            <w:tcBorders>
              <w:top w:val="nil"/>
              <w:left w:val="nil"/>
              <w:bottom w:val="nil"/>
              <w:right w:val="nil"/>
            </w:tcBorders>
            <w:shd w:val="clear" w:color="000000" w:fill="F2F2F2"/>
            <w:noWrap/>
            <w:vAlign w:val="bottom"/>
            <w:hideMark/>
          </w:tcPr>
          <w:p w:rsidR="00CA41DB" w:rsidRDefault="00CA41DB" w:rsidP="00F030A2">
            <w:pPr>
              <w:keepNext/>
              <w:spacing w:after="0"/>
            </w:pPr>
            <w:r>
              <w:t>$135</w:t>
            </w:r>
          </w:p>
        </w:tc>
        <w:tc>
          <w:tcPr>
            <w:tcW w:w="986" w:type="pct"/>
            <w:tcBorders>
              <w:top w:val="nil"/>
              <w:left w:val="nil"/>
              <w:bottom w:val="nil"/>
              <w:right w:val="nil"/>
            </w:tcBorders>
            <w:shd w:val="clear" w:color="000000" w:fill="F2F2F2"/>
            <w:noWrap/>
            <w:vAlign w:val="bottom"/>
            <w:hideMark/>
          </w:tcPr>
          <w:p w:rsidR="00CA41DB" w:rsidRDefault="00CA41DB" w:rsidP="00AF7B01">
            <w:pPr>
              <w:keepNext/>
              <w:spacing w:after="0"/>
              <w:ind w:left="885"/>
            </w:pPr>
            <w:r>
              <w:t>9.9</w:t>
            </w:r>
          </w:p>
        </w:tc>
        <w:tc>
          <w:tcPr>
            <w:tcW w:w="1470" w:type="pct"/>
            <w:tcBorders>
              <w:top w:val="nil"/>
              <w:left w:val="nil"/>
              <w:bottom w:val="nil"/>
              <w:right w:val="nil"/>
            </w:tcBorders>
            <w:shd w:val="clear" w:color="000000" w:fill="F2F2F2"/>
            <w:noWrap/>
            <w:vAlign w:val="bottom"/>
            <w:hideMark/>
          </w:tcPr>
          <w:p w:rsidR="00CA41DB" w:rsidRDefault="00CA41DB" w:rsidP="00AF7B01">
            <w:pPr>
              <w:keepNext/>
              <w:spacing w:after="0"/>
              <w:ind w:left="765"/>
            </w:pPr>
            <w:r>
              <w:t>108</w:t>
            </w:r>
          </w:p>
        </w:tc>
        <w:tc>
          <w:tcPr>
            <w:tcW w:w="1510" w:type="pct"/>
            <w:tcBorders>
              <w:top w:val="nil"/>
              <w:left w:val="nil"/>
              <w:bottom w:val="nil"/>
              <w:right w:val="nil"/>
            </w:tcBorders>
            <w:shd w:val="clear" w:color="000000" w:fill="F2F2F2"/>
            <w:noWrap/>
            <w:vAlign w:val="bottom"/>
            <w:hideMark/>
          </w:tcPr>
          <w:p w:rsidR="00CA41DB" w:rsidRDefault="00CA41DB" w:rsidP="00AF7B01">
            <w:pPr>
              <w:keepNext/>
              <w:spacing w:after="0"/>
              <w:ind w:left="240"/>
            </w:pPr>
            <w:r>
              <w:t>59.3</w:t>
            </w:r>
          </w:p>
        </w:tc>
      </w:tr>
      <w:tr w:rsidR="00CA41DB" w:rsidRPr="007431D2" w:rsidTr="00CA41DB">
        <w:trPr>
          <w:trHeight w:val="300"/>
        </w:trPr>
        <w:tc>
          <w:tcPr>
            <w:tcW w:w="1035" w:type="pct"/>
            <w:tcBorders>
              <w:top w:val="nil"/>
              <w:left w:val="nil"/>
              <w:bottom w:val="nil"/>
              <w:right w:val="nil"/>
            </w:tcBorders>
            <w:shd w:val="clear" w:color="000000" w:fill="F2F2F2"/>
            <w:noWrap/>
            <w:vAlign w:val="bottom"/>
            <w:hideMark/>
          </w:tcPr>
          <w:p w:rsidR="00CA41DB" w:rsidRDefault="00CA41DB" w:rsidP="00F030A2">
            <w:pPr>
              <w:keepNext/>
              <w:spacing w:after="0"/>
            </w:pPr>
            <w:r>
              <w:t>$155</w:t>
            </w:r>
          </w:p>
        </w:tc>
        <w:tc>
          <w:tcPr>
            <w:tcW w:w="986" w:type="pct"/>
            <w:tcBorders>
              <w:top w:val="nil"/>
              <w:left w:val="nil"/>
              <w:bottom w:val="nil"/>
              <w:right w:val="nil"/>
            </w:tcBorders>
            <w:shd w:val="clear" w:color="000000" w:fill="F2F2F2"/>
            <w:noWrap/>
            <w:vAlign w:val="bottom"/>
            <w:hideMark/>
          </w:tcPr>
          <w:p w:rsidR="00CA41DB" w:rsidRDefault="00CA41DB" w:rsidP="00AF7B01">
            <w:pPr>
              <w:keepNext/>
              <w:spacing w:after="0"/>
              <w:ind w:left="885"/>
            </w:pPr>
            <w:r>
              <w:t>11.3</w:t>
            </w:r>
          </w:p>
        </w:tc>
        <w:tc>
          <w:tcPr>
            <w:tcW w:w="1470" w:type="pct"/>
            <w:tcBorders>
              <w:top w:val="nil"/>
              <w:left w:val="nil"/>
              <w:bottom w:val="nil"/>
              <w:right w:val="nil"/>
            </w:tcBorders>
            <w:shd w:val="clear" w:color="000000" w:fill="F2F2F2"/>
            <w:noWrap/>
            <w:vAlign w:val="bottom"/>
            <w:hideMark/>
          </w:tcPr>
          <w:p w:rsidR="00CA41DB" w:rsidRDefault="00CA41DB" w:rsidP="00AF7B01">
            <w:pPr>
              <w:keepNext/>
              <w:spacing w:after="0"/>
              <w:ind w:left="765"/>
            </w:pPr>
            <w:r>
              <w:t>119</w:t>
            </w:r>
          </w:p>
        </w:tc>
        <w:tc>
          <w:tcPr>
            <w:tcW w:w="1510" w:type="pct"/>
            <w:tcBorders>
              <w:top w:val="nil"/>
              <w:left w:val="nil"/>
              <w:bottom w:val="nil"/>
              <w:right w:val="nil"/>
            </w:tcBorders>
            <w:shd w:val="clear" w:color="000000" w:fill="F2F2F2"/>
            <w:noWrap/>
            <w:vAlign w:val="bottom"/>
            <w:hideMark/>
          </w:tcPr>
          <w:p w:rsidR="00CA41DB" w:rsidRDefault="00CA41DB" w:rsidP="00AF7B01">
            <w:pPr>
              <w:keepNext/>
              <w:spacing w:after="0"/>
              <w:ind w:left="240"/>
            </w:pPr>
            <w:r>
              <w:t>61.4</w:t>
            </w:r>
          </w:p>
        </w:tc>
      </w:tr>
      <w:tr w:rsidR="007431D2" w:rsidRPr="007431D2" w:rsidTr="007431D2">
        <w:trPr>
          <w:trHeight w:val="525"/>
        </w:trPr>
        <w:tc>
          <w:tcPr>
            <w:tcW w:w="5000" w:type="pct"/>
            <w:gridSpan w:val="4"/>
            <w:tcBorders>
              <w:top w:val="single" w:sz="4" w:space="0" w:color="auto"/>
              <w:left w:val="nil"/>
              <w:bottom w:val="nil"/>
              <w:right w:val="nil"/>
            </w:tcBorders>
            <w:shd w:val="clear" w:color="000000" w:fill="F2F2F2"/>
            <w:hideMark/>
          </w:tcPr>
          <w:p w:rsidR="007431D2" w:rsidRPr="007431D2" w:rsidRDefault="007431D2" w:rsidP="00F030A2">
            <w:pPr>
              <w:keepNext/>
              <w:spacing w:after="0" w:line="240" w:lineRule="auto"/>
              <w:rPr>
                <w:rFonts w:eastAsia="Times New Roman"/>
                <w:sz w:val="18"/>
                <w:szCs w:val="18"/>
              </w:rPr>
            </w:pPr>
            <w:r w:rsidRPr="007431D2">
              <w:rPr>
                <w:rFonts w:eastAsia="Times New Roman"/>
                <w:sz w:val="18"/>
                <w:szCs w:val="18"/>
              </w:rPr>
              <w:t>Five responden</w:t>
            </w:r>
            <w:r>
              <w:rPr>
                <w:rFonts w:eastAsia="Times New Roman"/>
                <w:sz w:val="18"/>
                <w:szCs w:val="18"/>
              </w:rPr>
              <w:t>ts refused to answer the prompt</w:t>
            </w:r>
            <w:r w:rsidR="00546144">
              <w:rPr>
                <w:rFonts w:eastAsia="Times New Roman"/>
                <w:sz w:val="18"/>
                <w:szCs w:val="18"/>
              </w:rPr>
              <w:t xml:space="preserve"> and are not included, note this</w:t>
            </w:r>
            <w:r w:rsidRPr="007431D2">
              <w:rPr>
                <w:rFonts w:eastAsia="Times New Roman"/>
                <w:sz w:val="18"/>
                <w:szCs w:val="18"/>
              </w:rPr>
              <w:t xml:space="preserve"> did not occur more than once per bid amount.</w:t>
            </w:r>
            <w:r w:rsidR="00546144">
              <w:rPr>
                <w:rFonts w:eastAsia="Times New Roman"/>
                <w:sz w:val="18"/>
                <w:szCs w:val="18"/>
              </w:rPr>
              <w:t xml:space="preserve">  Percentage household bill increase based on </w:t>
            </w:r>
            <w:r w:rsidR="004D5E3B">
              <w:rPr>
                <w:rFonts w:eastAsia="Times New Roman"/>
                <w:sz w:val="18"/>
                <w:szCs w:val="18"/>
              </w:rPr>
              <w:t xml:space="preserve">the </w:t>
            </w:r>
            <w:r w:rsidR="00546144">
              <w:rPr>
                <w:rFonts w:eastAsia="Times New Roman"/>
                <w:sz w:val="18"/>
                <w:szCs w:val="18"/>
              </w:rPr>
              <w:t>2015 national average mont</w:t>
            </w:r>
            <w:r w:rsidR="004D5E3B">
              <w:rPr>
                <w:rFonts w:eastAsia="Times New Roman"/>
                <w:sz w:val="18"/>
                <w:szCs w:val="18"/>
              </w:rPr>
              <w:t>hly residential energy bill of $114.03</w:t>
            </w:r>
            <w:r w:rsidR="00546144">
              <w:rPr>
                <w:rFonts w:eastAsia="Times New Roman"/>
                <w:sz w:val="18"/>
                <w:szCs w:val="18"/>
              </w:rPr>
              <w:t xml:space="preserve"> (EIA).</w:t>
            </w:r>
          </w:p>
        </w:tc>
      </w:tr>
    </w:tbl>
    <w:p w:rsidR="009F510E" w:rsidRDefault="003B0977" w:rsidP="00F47697">
      <w:pPr>
        <w:spacing w:before="120"/>
      </w:pPr>
      <w:r>
        <w:t>Using a logit model</w:t>
      </w:r>
      <w:r w:rsidR="003B53C2">
        <w:t xml:space="preserve"> including</w:t>
      </w:r>
      <w:r>
        <w:t xml:space="preserve"> our</w:t>
      </w:r>
      <w:r w:rsidR="003B53C2">
        <w:t xml:space="preserve"> randomized</w:t>
      </w:r>
      <w:r>
        <w:t xml:space="preserve"> bid amount, </w:t>
      </w:r>
      <w:r w:rsidR="00FE7F1D">
        <w:t>the</w:t>
      </w:r>
      <w:r w:rsidR="003B53C2">
        <w:t xml:space="preserve"> bid</w:t>
      </w:r>
      <w:r w:rsidR="00FE7F1D">
        <w:t xml:space="preserve"> </w:t>
      </w:r>
      <w:r>
        <w:t>result</w:t>
      </w:r>
      <w:r w:rsidR="00FE7F1D">
        <w:t xml:space="preserve"> as dependent variable</w:t>
      </w:r>
      <w:r>
        <w:t>, demographic covariates, and global warming belief indicat</w:t>
      </w:r>
      <w:r w:rsidR="00FE7F1D">
        <w:t>ors</w:t>
      </w:r>
      <w:r w:rsidR="008C75DB">
        <w:t>,</w:t>
      </w:r>
      <w:r>
        <w:t xml:space="preserve"> we estimate the probability of supporting the tax on fossil fuels to reduce global warming.  </w:t>
      </w:r>
      <w:r w:rsidR="00FE7F1D">
        <w:t xml:space="preserve">The results in </w:t>
      </w:r>
      <w:r>
        <w:t xml:space="preserve">Table 3 </w:t>
      </w:r>
      <w:r w:rsidR="00FE7F1D">
        <w:t>focus</w:t>
      </w:r>
      <w:r>
        <w:t xml:space="preserve"> on the mar</w:t>
      </w:r>
      <w:r w:rsidR="004809A8">
        <w:t>ginal effects of each variable</w:t>
      </w:r>
      <w:r>
        <w:t xml:space="preserve">.  </w:t>
      </w:r>
      <w:r w:rsidR="00B811E4">
        <w:t xml:space="preserve">Model 1 presents results of a model specifying </w:t>
      </w:r>
      <w:r w:rsidR="008C411B">
        <w:t xml:space="preserve">demographics, political affiliation, and bid but does not specifically address global warming beliefs which are then added in model 2.  Model 3 further breaks out global warming beliefs by indicators for respondents who report being at least “very sure” in their respective global warming stance.  This specification follows </w:t>
      </w:r>
      <w:r w:rsidR="00195353">
        <w:t xml:space="preserve">Kotchen, Boyle, and Leiserowitz (2013) </w:t>
      </w:r>
      <w:r w:rsidR="008C411B">
        <w:t xml:space="preserve">where </w:t>
      </w:r>
      <w:r w:rsidR="00195353">
        <w:t xml:space="preserve">strength of attitudes on global warming </w:t>
      </w:r>
      <w:r w:rsidR="008C411B">
        <w:t xml:space="preserve">is </w:t>
      </w:r>
      <w:r w:rsidR="00195353">
        <w:t>a statistically significant indicator of willingness to pay</w:t>
      </w:r>
      <w:r w:rsidR="00DF0CFD">
        <w:t xml:space="preserve"> in support for a national clean energy standard</w:t>
      </w:r>
      <w:r w:rsidR="003C6F58">
        <w:t xml:space="preserve"> (NCES)</w:t>
      </w:r>
      <w:r w:rsidR="00FE7F1D">
        <w:t xml:space="preserve"> rather than political affiliation alone</w:t>
      </w:r>
      <w:r w:rsidR="00195353">
        <w:t xml:space="preserve">.  We find </w:t>
      </w:r>
      <w:r w:rsidR="008C411B">
        <w:t>a similarly absolving</w:t>
      </w:r>
      <w:r w:rsidR="00195353">
        <w:t xml:space="preserve"> result- ‘republican party’ alone is not a statistically significant indicator of global warming</w:t>
      </w:r>
      <w:r w:rsidR="00FE7F1D">
        <w:t xml:space="preserve"> disbelief</w:t>
      </w:r>
      <w:r w:rsidR="008C411B">
        <w:t xml:space="preserve"> but rather </w:t>
      </w:r>
      <w:r w:rsidR="005A5325">
        <w:t>such</w:t>
      </w:r>
      <w:r w:rsidR="008C411B">
        <w:t xml:space="preserve"> beliefs </w:t>
      </w:r>
      <w:r w:rsidR="00FE7F1D">
        <w:t>are</w:t>
      </w:r>
      <w:r w:rsidR="008C411B">
        <w:t xml:space="preserve"> independent of </w:t>
      </w:r>
      <w:r w:rsidR="008C75DB">
        <w:t>democrat</w:t>
      </w:r>
      <w:r w:rsidR="008C411B">
        <w:t xml:space="preserve"> versus conservative.</w:t>
      </w:r>
    </w:p>
    <w:p w:rsidR="00DF0CFD" w:rsidRDefault="006966E2" w:rsidP="00E24526">
      <w:r>
        <w:t>M</w:t>
      </w:r>
      <w:r w:rsidR="006964E1">
        <w:t>odel 2</w:t>
      </w:r>
      <w:r w:rsidR="00FD7B0D">
        <w:t xml:space="preserve"> is our preferred specification for analysis of willingness to pay</w:t>
      </w:r>
      <w:r w:rsidR="00053AA6">
        <w:t xml:space="preserve"> and the</w:t>
      </w:r>
      <w:r>
        <w:t xml:space="preserve"> d</w:t>
      </w:r>
      <w:r w:rsidR="009F510E">
        <w:t xml:space="preserve">iscussion </w:t>
      </w:r>
      <w:r w:rsidR="00B00FF8">
        <w:t>extends from</w:t>
      </w:r>
      <w:r w:rsidR="009F510E">
        <w:t xml:space="preserve"> its results</w:t>
      </w:r>
      <w:r w:rsidR="00654A7E">
        <w:t xml:space="preserve">.  </w:t>
      </w:r>
      <w:r w:rsidR="00053AA6">
        <w:t>Analyzing marginal effects</w:t>
      </w:r>
      <w:r w:rsidR="00654A7E">
        <w:t>,</w:t>
      </w:r>
      <w:r w:rsidR="00DF0CFD">
        <w:t xml:space="preserve"> a </w:t>
      </w:r>
      <w:r w:rsidR="00DF0CFD" w:rsidRPr="00D11B47">
        <w:t>$10 increase in house</w:t>
      </w:r>
      <w:r w:rsidR="00D11B47" w:rsidRPr="00D11B47">
        <w:t>hold energy bills results in a 1</w:t>
      </w:r>
      <w:r w:rsidR="00DF0CFD" w:rsidRPr="00D11B47">
        <w:t>-percent decrease in</w:t>
      </w:r>
      <w:r w:rsidR="009803E8" w:rsidRPr="00D11B47">
        <w:t xml:space="preserve"> the probability of</w:t>
      </w:r>
      <w:r w:rsidR="00DF0CFD" w:rsidRPr="00D11B47">
        <w:t xml:space="preserve"> support</w:t>
      </w:r>
      <w:r w:rsidR="009803E8" w:rsidRPr="00D11B47">
        <w:t>ing</w:t>
      </w:r>
      <w:r w:rsidR="00DF0CFD" w:rsidRPr="00D11B47">
        <w:t xml:space="preserve"> a tax on fossil fuels</w:t>
      </w:r>
      <w:r w:rsidR="009803E8" w:rsidRPr="00D11B47">
        <w:t xml:space="preserve"> to combat global warming</w:t>
      </w:r>
      <w:r w:rsidR="00053AA6" w:rsidRPr="00D11B47">
        <w:t xml:space="preserve"> for the average household</w:t>
      </w:r>
      <w:r w:rsidR="00DF0CFD" w:rsidRPr="00D11B47">
        <w:t>.</w:t>
      </w:r>
      <w:r w:rsidR="006964E1">
        <w:t xml:space="preserve">  Statistically insignificant effects on support probability are found for education, gender, household size.  Including controls for climate change beliefs further reduces the magnitude of their coefficient estimates.  A $10,000 increase in income increases the probability of support as expected.  Republicans, independents, and those claiming no party affiliation or leaning are each substantially less likely to support such a proposal</w:t>
      </w:r>
      <w:r w:rsidR="00416B8C">
        <w:t xml:space="preserve"> than the base group democrats</w:t>
      </w:r>
      <w:r w:rsidR="006964E1">
        <w:t>, with magnitudes of 11.2, 20.1, and 17.6-perc</w:t>
      </w:r>
      <w:r w:rsidR="00416B8C">
        <w:t xml:space="preserve">ent decreases, respectively.  </w:t>
      </w:r>
      <w:r w:rsidR="00862241">
        <w:t xml:space="preserve">We also estimate model 4 </w:t>
      </w:r>
      <w:r w:rsidR="00755AF9">
        <w:t xml:space="preserve">which </w:t>
      </w:r>
      <w:r w:rsidR="00303628">
        <w:t xml:space="preserve">differs </w:t>
      </w:r>
      <w:r w:rsidR="00862241">
        <w:t xml:space="preserve">in how the variable “bid amount” is specified.  Rather than as a </w:t>
      </w:r>
      <w:r w:rsidR="00755AF9">
        <w:t xml:space="preserve">dollar amount, we transform </w:t>
      </w:r>
      <w:r w:rsidR="00862241">
        <w:t xml:space="preserve">bids offered into </w:t>
      </w:r>
      <w:r w:rsidR="00755AF9">
        <w:t>percentage increases in the average</w:t>
      </w:r>
      <w:r w:rsidR="00862241">
        <w:t xml:space="preserve"> energy bill </w:t>
      </w:r>
      <w:r w:rsidR="00E00F35">
        <w:t>in each</w:t>
      </w:r>
      <w:r w:rsidR="00614CE3">
        <w:t xml:space="preserve"> respondent’s </w:t>
      </w:r>
      <w:r w:rsidR="00862241">
        <w:t xml:space="preserve">home state </w:t>
      </w:r>
      <w:r w:rsidR="00614CE3">
        <w:t>using</w:t>
      </w:r>
      <w:r w:rsidR="00E00F35">
        <w:t xml:space="preserve"> </w:t>
      </w:r>
      <w:r w:rsidR="00614CE3">
        <w:t>data from the</w:t>
      </w:r>
      <w:r w:rsidR="00862241">
        <w:t xml:space="preserve"> </w:t>
      </w:r>
      <w:r w:rsidR="005E419C">
        <w:t>Energy Information Administration (</w:t>
      </w:r>
      <w:r w:rsidR="00862241">
        <w:t>EIA</w:t>
      </w:r>
      <w:r w:rsidR="005E419C">
        <w:t>)</w:t>
      </w:r>
      <w:r w:rsidR="00862241">
        <w:t>.</w:t>
      </w:r>
      <w:r w:rsidR="00575888">
        <w:t xml:space="preserve">  This provides a particularly nice interpretation</w:t>
      </w:r>
      <w:r w:rsidR="00E00F35">
        <w:t xml:space="preserve"> </w:t>
      </w:r>
      <w:r w:rsidR="006270FD">
        <w:t xml:space="preserve">of </w:t>
      </w:r>
      <w:r w:rsidR="006626D1">
        <w:t xml:space="preserve">the bid </w:t>
      </w:r>
      <w:r w:rsidR="006626D1" w:rsidRPr="006964E1">
        <w:t>coefficient- a 1-</w:t>
      </w:r>
      <w:r w:rsidR="005C1786" w:rsidRPr="006964E1">
        <w:t>percent increase in</w:t>
      </w:r>
      <w:r w:rsidR="006270FD" w:rsidRPr="006964E1">
        <w:t xml:space="preserve"> household</w:t>
      </w:r>
      <w:r w:rsidR="005C1786" w:rsidRPr="006964E1">
        <w:t xml:space="preserve"> energy bills</w:t>
      </w:r>
      <w:r w:rsidR="00E00F35" w:rsidRPr="006964E1">
        <w:t xml:space="preserve"> </w:t>
      </w:r>
      <w:r w:rsidR="006964E1" w:rsidRPr="006964E1">
        <w:t>results in a 1</w:t>
      </w:r>
      <w:r w:rsidR="005C1786" w:rsidRPr="006964E1">
        <w:t>-percent decrease</w:t>
      </w:r>
      <w:r w:rsidR="006270FD" w:rsidRPr="006964E1">
        <w:t xml:space="preserve"> in support for the tax.</w:t>
      </w:r>
    </w:p>
    <w:p w:rsidR="00396B84" w:rsidRPr="00416B8C" w:rsidRDefault="00416B8C" w:rsidP="00E24526">
      <w:pPr>
        <w:rPr>
          <w:rFonts w:eastAsia="Times New Roman"/>
          <w:highlight w:val="lightGray"/>
        </w:rPr>
      </w:pPr>
      <w:r>
        <w:t xml:space="preserve">But by far the largest effect on the probability of support comes with beliefs on whether global warming is happening.  Those who claim global warming is not happening, representing 12.6-percent of the population, are 25.4-percent less likely to support the proposal.  In comparison, those that do believe global warming is happening, representing most the U.S. population, are instead 35.2-percent more likely to support such a proposal than the don’t know base group.  These beliefs, more than any other demographic or political indicator, appear to account for the most opposition to a carbon tax among the </w:t>
      </w:r>
      <w:r>
        <w:lastRenderedPageBreak/>
        <w:t>public.</w:t>
      </w:r>
      <w:r>
        <w:rPr>
          <w:rFonts w:eastAsia="Times New Roman"/>
        </w:rPr>
        <w:t xml:space="preserve">  Finally, t</w:t>
      </w:r>
      <w:r w:rsidR="006964E1">
        <w:t>he point estimate</w:t>
      </w:r>
      <w:r>
        <w:t>s of</w:t>
      </w:r>
      <w:r w:rsidR="006964E1">
        <w:t xml:space="preserve"> mean WTP </w:t>
      </w:r>
      <w:r>
        <w:t>derived from</w:t>
      </w:r>
      <w:r w:rsidR="006964E1">
        <w:t xml:space="preserve"> each model </w:t>
      </w:r>
      <w:r>
        <w:t>are</w:t>
      </w:r>
      <w:r w:rsidR="006964E1">
        <w:t xml:space="preserve"> reported at the bottom of Table 3.  The derivation of th</w:t>
      </w:r>
      <w:r>
        <w:t>e</w:t>
      </w:r>
      <w:r w:rsidR="006964E1">
        <w:t>s</w:t>
      </w:r>
      <w:r>
        <w:t>e</w:t>
      </w:r>
      <w:r w:rsidR="006964E1">
        <w:t xml:space="preserve"> and alternative measures of the preferred model are discusses in detail.</w:t>
      </w:r>
    </w:p>
    <w:tbl>
      <w:tblPr>
        <w:tblW w:w="5000" w:type="pct"/>
        <w:tblLayout w:type="fixed"/>
        <w:tblLook w:val="04A0" w:firstRow="1" w:lastRow="0" w:firstColumn="1" w:lastColumn="0" w:noHBand="0" w:noVBand="1"/>
      </w:tblPr>
      <w:tblGrid>
        <w:gridCol w:w="3867"/>
        <w:gridCol w:w="1352"/>
        <w:gridCol w:w="1501"/>
        <w:gridCol w:w="1348"/>
        <w:gridCol w:w="32"/>
        <w:gridCol w:w="1260"/>
      </w:tblGrid>
      <w:tr w:rsidR="003E5D9C" w:rsidRPr="003E5D9C" w:rsidTr="00A85971">
        <w:trPr>
          <w:trHeight w:val="300"/>
        </w:trPr>
        <w:tc>
          <w:tcPr>
            <w:tcW w:w="5000" w:type="pct"/>
            <w:gridSpan w:val="6"/>
            <w:tcBorders>
              <w:top w:val="nil"/>
              <w:left w:val="nil"/>
              <w:bottom w:val="single" w:sz="4" w:space="0" w:color="000000"/>
              <w:right w:val="nil"/>
            </w:tcBorders>
            <w:shd w:val="clear" w:color="auto" w:fill="E7E6E6" w:themeFill="background2"/>
            <w:noWrap/>
            <w:vAlign w:val="bottom"/>
            <w:hideMark/>
          </w:tcPr>
          <w:p w:rsidR="003E5D9C" w:rsidRPr="00582D88" w:rsidRDefault="00617C73" w:rsidP="00882692">
            <w:pPr>
              <w:keepNext/>
              <w:spacing w:after="0" w:line="240" w:lineRule="auto"/>
              <w:rPr>
                <w:rFonts w:eastAsia="Times New Roman"/>
                <w:b/>
                <w:bCs/>
              </w:rPr>
            </w:pPr>
            <w:r w:rsidRPr="00582D88">
              <w:rPr>
                <w:rFonts w:eastAsia="Times New Roman"/>
                <w:b/>
                <w:bCs/>
              </w:rPr>
              <w:t>Table 3</w:t>
            </w:r>
            <w:r w:rsidR="003E5D9C" w:rsidRPr="00582D88">
              <w:rPr>
                <w:rFonts w:eastAsia="Times New Roman"/>
                <w:b/>
                <w:bCs/>
              </w:rPr>
              <w:t xml:space="preserve"> | </w:t>
            </w:r>
            <w:r w:rsidR="00882692">
              <w:rPr>
                <w:rFonts w:eastAsia="Times New Roman"/>
                <w:b/>
                <w:bCs/>
              </w:rPr>
              <w:t>Marginal effects from l</w:t>
            </w:r>
            <w:r w:rsidR="0065006F">
              <w:rPr>
                <w:rFonts w:eastAsia="Times New Roman"/>
                <w:b/>
                <w:bCs/>
              </w:rPr>
              <w:t>ogit models of support for a tax on fossil fuels to reduce global warming that result in higher household energy bills</w:t>
            </w:r>
            <w:r w:rsidR="003E5D9C" w:rsidRPr="00582D88">
              <w:rPr>
                <w:rFonts w:eastAsia="Times New Roman"/>
                <w:b/>
                <w:bCs/>
              </w:rPr>
              <w:t>.</w:t>
            </w:r>
          </w:p>
        </w:tc>
      </w:tr>
      <w:tr w:rsidR="00A85971" w:rsidRPr="003E5D9C" w:rsidTr="00432DED">
        <w:trPr>
          <w:trHeight w:val="300"/>
        </w:trPr>
        <w:tc>
          <w:tcPr>
            <w:tcW w:w="2066" w:type="pct"/>
            <w:tcBorders>
              <w:top w:val="nil"/>
              <w:left w:val="nil"/>
              <w:bottom w:val="nil"/>
              <w:right w:val="nil"/>
            </w:tcBorders>
            <w:shd w:val="clear" w:color="000000" w:fill="F2F2F2"/>
            <w:noWrap/>
            <w:vAlign w:val="bottom"/>
            <w:hideMark/>
          </w:tcPr>
          <w:p w:rsidR="003E5D9C" w:rsidRPr="003E5D9C" w:rsidRDefault="003E5D9C" w:rsidP="00882692">
            <w:pPr>
              <w:keepNext/>
              <w:spacing w:after="0" w:line="240" w:lineRule="auto"/>
              <w:rPr>
                <w:rFonts w:eastAsia="Times New Roman"/>
              </w:rPr>
            </w:pPr>
            <w:r w:rsidRPr="003E5D9C">
              <w:rPr>
                <w:rFonts w:eastAsia="Times New Roman"/>
              </w:rPr>
              <w:t> </w:t>
            </w:r>
          </w:p>
        </w:tc>
        <w:tc>
          <w:tcPr>
            <w:tcW w:w="722" w:type="pct"/>
            <w:tcBorders>
              <w:top w:val="nil"/>
              <w:left w:val="nil"/>
              <w:bottom w:val="nil"/>
              <w:right w:val="nil"/>
            </w:tcBorders>
            <w:shd w:val="clear" w:color="000000" w:fill="F2F2F2"/>
            <w:noWrap/>
            <w:vAlign w:val="bottom"/>
            <w:hideMark/>
          </w:tcPr>
          <w:p w:rsidR="003E5D9C" w:rsidRPr="003E5D9C" w:rsidRDefault="003E5D9C" w:rsidP="00882692">
            <w:pPr>
              <w:keepNext/>
              <w:spacing w:after="0" w:line="240" w:lineRule="auto"/>
              <w:jc w:val="center"/>
              <w:rPr>
                <w:rFonts w:eastAsia="Times New Roman"/>
              </w:rPr>
            </w:pPr>
            <w:r w:rsidRPr="003E5D9C">
              <w:rPr>
                <w:rFonts w:eastAsia="Times New Roman"/>
              </w:rPr>
              <w:t>(1)</w:t>
            </w:r>
          </w:p>
        </w:tc>
        <w:tc>
          <w:tcPr>
            <w:tcW w:w="802" w:type="pct"/>
            <w:tcBorders>
              <w:top w:val="nil"/>
              <w:left w:val="nil"/>
              <w:bottom w:val="nil"/>
              <w:right w:val="nil"/>
            </w:tcBorders>
            <w:shd w:val="clear" w:color="000000" w:fill="F2F2F2"/>
            <w:noWrap/>
            <w:vAlign w:val="bottom"/>
            <w:hideMark/>
          </w:tcPr>
          <w:p w:rsidR="003E5D9C" w:rsidRPr="003E5D9C" w:rsidRDefault="003E5D9C" w:rsidP="00882692">
            <w:pPr>
              <w:keepNext/>
              <w:spacing w:after="0" w:line="240" w:lineRule="auto"/>
              <w:jc w:val="center"/>
              <w:rPr>
                <w:rFonts w:eastAsia="Times New Roman"/>
              </w:rPr>
            </w:pPr>
            <w:r w:rsidRPr="003E5D9C">
              <w:rPr>
                <w:rFonts w:eastAsia="Times New Roman"/>
              </w:rPr>
              <w:t>(2)</w:t>
            </w:r>
          </w:p>
        </w:tc>
        <w:tc>
          <w:tcPr>
            <w:tcW w:w="720" w:type="pct"/>
            <w:tcBorders>
              <w:top w:val="nil"/>
              <w:left w:val="nil"/>
              <w:bottom w:val="nil"/>
            </w:tcBorders>
            <w:shd w:val="clear" w:color="000000" w:fill="F2F2F2"/>
            <w:noWrap/>
            <w:vAlign w:val="bottom"/>
            <w:hideMark/>
          </w:tcPr>
          <w:p w:rsidR="003E5D9C" w:rsidRPr="003E5D9C" w:rsidRDefault="003E5D9C" w:rsidP="00882692">
            <w:pPr>
              <w:keepNext/>
              <w:spacing w:after="0" w:line="240" w:lineRule="auto"/>
              <w:jc w:val="center"/>
              <w:rPr>
                <w:rFonts w:eastAsia="Times New Roman"/>
              </w:rPr>
            </w:pPr>
            <w:r w:rsidRPr="003E5D9C">
              <w:rPr>
                <w:rFonts w:eastAsia="Times New Roman"/>
              </w:rPr>
              <w:t>(3)</w:t>
            </w:r>
          </w:p>
        </w:tc>
        <w:tc>
          <w:tcPr>
            <w:tcW w:w="690" w:type="pct"/>
            <w:gridSpan w:val="2"/>
            <w:tcBorders>
              <w:top w:val="nil"/>
              <w:right w:val="nil"/>
            </w:tcBorders>
            <w:shd w:val="clear" w:color="000000" w:fill="F2F2F2"/>
            <w:noWrap/>
            <w:vAlign w:val="bottom"/>
            <w:hideMark/>
          </w:tcPr>
          <w:p w:rsidR="003E5D9C" w:rsidRPr="003E5D9C" w:rsidRDefault="00FD7B0D" w:rsidP="00882692">
            <w:pPr>
              <w:keepNext/>
              <w:spacing w:after="0" w:line="240" w:lineRule="auto"/>
              <w:jc w:val="center"/>
              <w:rPr>
                <w:rFonts w:eastAsia="Times New Roman"/>
              </w:rPr>
            </w:pPr>
            <w:r>
              <w:rPr>
                <w:rFonts w:eastAsia="Times New Roman"/>
              </w:rPr>
              <w:t>(</w:t>
            </w:r>
            <w:r w:rsidR="0023630C">
              <w:rPr>
                <w:rFonts w:eastAsia="Times New Roman"/>
              </w:rPr>
              <w:t>4</w:t>
            </w:r>
            <w:r w:rsidR="003E5D9C" w:rsidRPr="003E5D9C">
              <w:rPr>
                <w:rFonts w:eastAsia="Times New Roman"/>
              </w:rPr>
              <w:t>)</w:t>
            </w:r>
          </w:p>
        </w:tc>
      </w:tr>
      <w:tr w:rsidR="00443490" w:rsidRPr="003E5D9C" w:rsidTr="00432DED">
        <w:trPr>
          <w:trHeight w:val="300"/>
        </w:trPr>
        <w:tc>
          <w:tcPr>
            <w:tcW w:w="2066" w:type="pct"/>
            <w:tcBorders>
              <w:top w:val="nil"/>
              <w:left w:val="nil"/>
              <w:bottom w:val="single" w:sz="4" w:space="0" w:color="auto"/>
              <w:right w:val="nil"/>
            </w:tcBorders>
            <w:shd w:val="clear" w:color="000000" w:fill="F2F2F2"/>
            <w:noWrap/>
            <w:vAlign w:val="bottom"/>
            <w:hideMark/>
          </w:tcPr>
          <w:p w:rsidR="00443490" w:rsidRPr="003E5D9C" w:rsidRDefault="00443490" w:rsidP="00882692">
            <w:pPr>
              <w:keepNext/>
              <w:spacing w:after="0" w:line="240" w:lineRule="auto"/>
              <w:rPr>
                <w:rFonts w:eastAsia="Times New Roman"/>
              </w:rPr>
            </w:pPr>
            <w:r w:rsidRPr="003E5D9C">
              <w:rPr>
                <w:rFonts w:eastAsia="Times New Roman"/>
              </w:rPr>
              <w:t> </w:t>
            </w:r>
          </w:p>
        </w:tc>
        <w:tc>
          <w:tcPr>
            <w:tcW w:w="2261" w:type="pct"/>
            <w:gridSpan w:val="4"/>
            <w:tcBorders>
              <w:top w:val="nil"/>
              <w:left w:val="nil"/>
              <w:bottom w:val="single" w:sz="4" w:space="0" w:color="auto"/>
            </w:tcBorders>
            <w:shd w:val="clear" w:color="000000" w:fill="F2F2F2"/>
            <w:noWrap/>
            <w:vAlign w:val="bottom"/>
            <w:hideMark/>
          </w:tcPr>
          <w:p w:rsidR="00443490" w:rsidRPr="003E5D9C" w:rsidRDefault="00443490" w:rsidP="00882692">
            <w:pPr>
              <w:keepNext/>
              <w:spacing w:after="0" w:line="240" w:lineRule="auto"/>
              <w:jc w:val="center"/>
              <w:rPr>
                <w:rFonts w:eastAsia="Times New Roman"/>
              </w:rPr>
            </w:pPr>
          </w:p>
        </w:tc>
        <w:tc>
          <w:tcPr>
            <w:tcW w:w="673" w:type="pct"/>
            <w:tcBorders>
              <w:top w:val="nil"/>
              <w:left w:val="nil"/>
              <w:bottom w:val="single" w:sz="4" w:space="0" w:color="auto"/>
            </w:tcBorders>
            <w:shd w:val="clear" w:color="000000" w:fill="F2F2F2"/>
            <w:vAlign w:val="bottom"/>
          </w:tcPr>
          <w:p w:rsidR="00443490" w:rsidRPr="003E5D9C" w:rsidRDefault="00416B8C" w:rsidP="00882692">
            <w:pPr>
              <w:keepNext/>
              <w:spacing w:after="0" w:line="240" w:lineRule="auto"/>
              <w:jc w:val="center"/>
              <w:rPr>
                <w:rFonts w:eastAsia="Times New Roman"/>
              </w:rPr>
            </w:pPr>
            <w:r>
              <w:rPr>
                <w:rFonts w:eastAsia="Times New Roman"/>
              </w:rPr>
              <w:t>(p</w:t>
            </w:r>
            <w:r w:rsidR="00432DED">
              <w:rPr>
                <w:rFonts w:eastAsia="Times New Roman"/>
              </w:rPr>
              <w:t>ercent</w:t>
            </w:r>
            <w:r>
              <w:rPr>
                <w:rFonts w:eastAsia="Times New Roman"/>
              </w:rPr>
              <w:t>)</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Bid amount</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-0.000704*</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-0.000845**</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-0.000966**</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-0.00982*</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(0.000380)</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(0.000421)</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(0.000426)</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(0.00536)</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Education (years)</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0.0137**</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0.0101</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0.00801</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0.0102</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(0.00643)</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(0.00678)</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(0.00683)</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(0.00679)</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Male (1=yes)</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-0.0242</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-0.0329</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-0.0352</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-0.0320</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(0.0331)</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(0.0357)</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(0.0362)</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(0.0357)</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Household size (# people)</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-0.00918</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-0.00981</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-0.00644</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-0.0101</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(0.0124)</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(0.0133)</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(0.0137)</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(0.0133)</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Income ($10,000's)</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0.00923***</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0.00864**</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0.00800**</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0.00878**</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(0.00329)</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(0.00352)</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(0.00368)</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(0.00350)</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Age (years)</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-0.000903</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-0.00107</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-0.000751</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-0.00110</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(0.00102)</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(0.00109)</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(0.00111)</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(0.00109)</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White (1=yes)</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0.0791**</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0.0738*</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0.0508</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0.0736*</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(0.0396)</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(0.0418)</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(0.0431)</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(0.0419)</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Republican (1=yes)</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-0.268***</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-0.112**</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-0.0648</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-0.112**</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(0.0369)</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(0.0436)</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(0.0451)</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(0.0436)</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Independent (1=yes)</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-0.303***</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-0.201***</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-0.186***</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-0.201***</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(0.0529)</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(0.0574)</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(0.0587)</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(0.0572)</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No party (1=yes)</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-0.220***</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-0.176***</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-0.152**</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-0.175***</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r>
              <w:t>(0.0588)</w:t>
            </w: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(0.0659)</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(0.0693)</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(0.0659)</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Global warming (no=1)</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-0.254***</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-0.154*</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-0.254***</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pPr>
            <w:r>
              <w:t>(0.0693)</w:t>
            </w: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(0.0826)</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r>
              <w:t>(0.0693)</w:t>
            </w:r>
          </w:p>
        </w:tc>
      </w:tr>
      <w:tr w:rsidR="005963DF" w:rsidRPr="003E5D9C" w:rsidTr="00882692">
        <w:trPr>
          <w:trHeight w:val="300"/>
        </w:trPr>
        <w:tc>
          <w:tcPr>
            <w:tcW w:w="2066" w:type="pct"/>
            <w:tcBorders>
              <w:top w:val="nil"/>
              <w:left w:val="nil"/>
              <w:bottom w:val="nil"/>
              <w:right w:val="nil"/>
            </w:tcBorders>
            <w:shd w:val="clear" w:color="000000" w:fill="F2F2F2"/>
            <w:noWrap/>
          </w:tcPr>
          <w:p w:rsidR="005963DF" w:rsidRDefault="005963DF" w:rsidP="00882692">
            <w:pPr>
              <w:keepNext/>
              <w:spacing w:after="0"/>
            </w:pPr>
            <w:r>
              <w:t>Global warming (yes=1)</w:t>
            </w:r>
          </w:p>
        </w:tc>
        <w:tc>
          <w:tcPr>
            <w:tcW w:w="722" w:type="pct"/>
            <w:tcBorders>
              <w:top w:val="nil"/>
              <w:left w:val="nil"/>
              <w:bottom w:val="nil"/>
              <w:right w:val="nil"/>
            </w:tcBorders>
            <w:shd w:val="clear" w:color="000000" w:fill="F2F2F2"/>
            <w:noWrap/>
          </w:tcPr>
          <w:p w:rsidR="005963DF" w:rsidRDefault="005963DF" w:rsidP="00882692">
            <w:pPr>
              <w:keepNext/>
              <w:spacing w:after="0"/>
              <w:jc w:val="center"/>
            </w:pPr>
          </w:p>
        </w:tc>
        <w:tc>
          <w:tcPr>
            <w:tcW w:w="802" w:type="pct"/>
            <w:tcBorders>
              <w:top w:val="nil"/>
              <w:left w:val="nil"/>
              <w:bottom w:val="nil"/>
              <w:right w:val="nil"/>
            </w:tcBorders>
            <w:shd w:val="clear" w:color="000000" w:fill="F2F2F2"/>
            <w:noWrap/>
          </w:tcPr>
          <w:p w:rsidR="005963DF" w:rsidRDefault="005963DF" w:rsidP="00882692">
            <w:pPr>
              <w:keepNext/>
              <w:spacing w:after="0"/>
              <w:jc w:val="center"/>
            </w:pPr>
            <w:r>
              <w:t>0.352***</w:t>
            </w:r>
          </w:p>
        </w:tc>
        <w:tc>
          <w:tcPr>
            <w:tcW w:w="720" w:type="pct"/>
            <w:tcBorders>
              <w:top w:val="nil"/>
              <w:left w:val="nil"/>
              <w:bottom w:val="nil"/>
              <w:right w:val="nil"/>
            </w:tcBorders>
            <w:shd w:val="clear" w:color="000000" w:fill="F2F2F2"/>
            <w:noWrap/>
          </w:tcPr>
          <w:p w:rsidR="005963DF" w:rsidRDefault="005963DF" w:rsidP="00882692">
            <w:pPr>
              <w:keepNext/>
              <w:spacing w:after="0"/>
              <w:jc w:val="center"/>
            </w:pPr>
            <w:r>
              <w:t>0.247***</w:t>
            </w:r>
          </w:p>
        </w:tc>
        <w:tc>
          <w:tcPr>
            <w:tcW w:w="690" w:type="pct"/>
            <w:gridSpan w:val="2"/>
            <w:tcBorders>
              <w:top w:val="nil"/>
              <w:left w:val="nil"/>
              <w:bottom w:val="nil"/>
              <w:right w:val="nil"/>
            </w:tcBorders>
            <w:shd w:val="clear" w:color="000000" w:fill="F2F2F2"/>
            <w:noWrap/>
          </w:tcPr>
          <w:p w:rsidR="005963DF" w:rsidRDefault="005963DF" w:rsidP="00882692">
            <w:pPr>
              <w:keepNext/>
              <w:spacing w:after="0"/>
              <w:jc w:val="center"/>
            </w:pPr>
            <w:r>
              <w:t>0.352***</w:t>
            </w:r>
          </w:p>
        </w:tc>
      </w:tr>
      <w:tr w:rsidR="005963DF" w:rsidRPr="003E5D9C" w:rsidTr="00882692">
        <w:trPr>
          <w:trHeight w:val="300"/>
        </w:trPr>
        <w:tc>
          <w:tcPr>
            <w:tcW w:w="2066" w:type="pct"/>
            <w:tcBorders>
              <w:top w:val="nil"/>
              <w:left w:val="nil"/>
              <w:bottom w:val="nil"/>
              <w:right w:val="nil"/>
            </w:tcBorders>
            <w:shd w:val="clear" w:color="000000" w:fill="F2F2F2"/>
            <w:noWrap/>
          </w:tcPr>
          <w:p w:rsidR="005963DF" w:rsidRDefault="005963DF" w:rsidP="00882692">
            <w:pPr>
              <w:keepNext/>
              <w:spacing w:after="0"/>
            </w:pPr>
            <w:r>
              <w:t> </w:t>
            </w:r>
          </w:p>
        </w:tc>
        <w:tc>
          <w:tcPr>
            <w:tcW w:w="722" w:type="pct"/>
            <w:tcBorders>
              <w:top w:val="nil"/>
              <w:left w:val="nil"/>
              <w:bottom w:val="nil"/>
              <w:right w:val="nil"/>
            </w:tcBorders>
            <w:shd w:val="clear" w:color="000000" w:fill="F2F2F2"/>
            <w:noWrap/>
          </w:tcPr>
          <w:p w:rsidR="005963DF" w:rsidRDefault="005963DF" w:rsidP="00882692">
            <w:pPr>
              <w:keepNext/>
              <w:spacing w:after="0"/>
              <w:jc w:val="center"/>
            </w:pPr>
          </w:p>
        </w:tc>
        <w:tc>
          <w:tcPr>
            <w:tcW w:w="802" w:type="pct"/>
            <w:tcBorders>
              <w:top w:val="nil"/>
              <w:left w:val="nil"/>
              <w:bottom w:val="nil"/>
              <w:right w:val="nil"/>
            </w:tcBorders>
            <w:shd w:val="clear" w:color="000000" w:fill="F2F2F2"/>
            <w:noWrap/>
          </w:tcPr>
          <w:p w:rsidR="005963DF" w:rsidRDefault="005963DF" w:rsidP="00882692">
            <w:pPr>
              <w:keepNext/>
              <w:spacing w:after="0"/>
              <w:jc w:val="center"/>
            </w:pPr>
            <w:r>
              <w:t>(0.0440)</w:t>
            </w:r>
          </w:p>
        </w:tc>
        <w:tc>
          <w:tcPr>
            <w:tcW w:w="720" w:type="pct"/>
            <w:tcBorders>
              <w:top w:val="nil"/>
              <w:left w:val="nil"/>
              <w:bottom w:val="nil"/>
              <w:right w:val="nil"/>
            </w:tcBorders>
            <w:shd w:val="clear" w:color="000000" w:fill="F2F2F2"/>
            <w:noWrap/>
          </w:tcPr>
          <w:p w:rsidR="005963DF" w:rsidRDefault="005963DF" w:rsidP="00882692">
            <w:pPr>
              <w:keepNext/>
              <w:spacing w:after="0"/>
              <w:jc w:val="center"/>
            </w:pPr>
            <w:r>
              <w:t>(0.0522)</w:t>
            </w:r>
          </w:p>
        </w:tc>
        <w:tc>
          <w:tcPr>
            <w:tcW w:w="690" w:type="pct"/>
            <w:gridSpan w:val="2"/>
            <w:tcBorders>
              <w:top w:val="nil"/>
              <w:left w:val="nil"/>
              <w:bottom w:val="nil"/>
              <w:right w:val="nil"/>
            </w:tcBorders>
            <w:shd w:val="clear" w:color="000000" w:fill="F2F2F2"/>
            <w:noWrap/>
          </w:tcPr>
          <w:p w:rsidR="005963DF" w:rsidRDefault="005963DF" w:rsidP="00882692">
            <w:pPr>
              <w:keepNext/>
              <w:spacing w:after="0"/>
              <w:jc w:val="center"/>
            </w:pPr>
            <w:r>
              <w:t>(0.0439)</w:t>
            </w: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Global warming (no, very sure=1)</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rPr>
                <w:sz w:val="20"/>
                <w:szCs w:val="20"/>
              </w:rPr>
            </w:pP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-0.245**</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 </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rPr>
                <w:sz w:val="20"/>
                <w:szCs w:val="20"/>
              </w:rPr>
            </w:pP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(0.120)</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p>
        </w:tc>
      </w:tr>
      <w:tr w:rsidR="005963DF" w:rsidRPr="003E5D9C" w:rsidTr="00882692">
        <w:trPr>
          <w:trHeight w:val="300"/>
        </w:trPr>
        <w:tc>
          <w:tcPr>
            <w:tcW w:w="2066" w:type="pct"/>
            <w:tcBorders>
              <w:top w:val="nil"/>
              <w:left w:val="nil"/>
              <w:bottom w:val="nil"/>
              <w:right w:val="nil"/>
            </w:tcBorders>
            <w:shd w:val="clear" w:color="000000" w:fill="F2F2F2"/>
            <w:noWrap/>
            <w:hideMark/>
          </w:tcPr>
          <w:p w:rsidR="005963DF" w:rsidRDefault="005963DF" w:rsidP="00882692">
            <w:pPr>
              <w:keepNext/>
              <w:spacing w:after="0"/>
            </w:pPr>
            <w:r>
              <w:t>Global warming (yes, very sure=1)</w:t>
            </w:r>
          </w:p>
        </w:tc>
        <w:tc>
          <w:tcPr>
            <w:tcW w:w="722" w:type="pct"/>
            <w:tcBorders>
              <w:top w:val="nil"/>
              <w:left w:val="nil"/>
              <w:bottom w:val="nil"/>
              <w:right w:val="nil"/>
            </w:tcBorders>
            <w:shd w:val="clear" w:color="000000" w:fill="F2F2F2"/>
            <w:noWrap/>
            <w:hideMark/>
          </w:tcPr>
          <w:p w:rsidR="005963DF" w:rsidRDefault="005963DF" w:rsidP="00882692">
            <w:pPr>
              <w:keepNext/>
              <w:spacing w:after="0"/>
              <w:jc w:val="center"/>
            </w:pPr>
          </w:p>
        </w:tc>
        <w:tc>
          <w:tcPr>
            <w:tcW w:w="802" w:type="pct"/>
            <w:tcBorders>
              <w:top w:val="nil"/>
              <w:left w:val="nil"/>
              <w:bottom w:val="nil"/>
              <w:right w:val="nil"/>
            </w:tcBorders>
            <w:shd w:val="clear" w:color="000000" w:fill="F2F2F2"/>
            <w:noWrap/>
            <w:hideMark/>
          </w:tcPr>
          <w:p w:rsidR="005963DF" w:rsidRDefault="005963DF" w:rsidP="00882692">
            <w:pPr>
              <w:keepNext/>
              <w:spacing w:after="0"/>
              <w:jc w:val="center"/>
              <w:rPr>
                <w:sz w:val="20"/>
                <w:szCs w:val="20"/>
              </w:rPr>
            </w:pPr>
          </w:p>
        </w:tc>
        <w:tc>
          <w:tcPr>
            <w:tcW w:w="720" w:type="pct"/>
            <w:tcBorders>
              <w:top w:val="nil"/>
              <w:left w:val="nil"/>
              <w:bottom w:val="nil"/>
              <w:right w:val="nil"/>
            </w:tcBorders>
            <w:shd w:val="clear" w:color="000000" w:fill="F2F2F2"/>
            <w:noWrap/>
            <w:hideMark/>
          </w:tcPr>
          <w:p w:rsidR="005963DF" w:rsidRDefault="005963DF" w:rsidP="00882692">
            <w:pPr>
              <w:keepNext/>
              <w:spacing w:after="0"/>
              <w:jc w:val="center"/>
            </w:pPr>
            <w:r>
              <w:t>0.200***</w:t>
            </w:r>
          </w:p>
        </w:tc>
        <w:tc>
          <w:tcPr>
            <w:tcW w:w="690" w:type="pct"/>
            <w:gridSpan w:val="2"/>
            <w:tcBorders>
              <w:top w:val="nil"/>
              <w:left w:val="nil"/>
              <w:bottom w:val="nil"/>
              <w:right w:val="nil"/>
            </w:tcBorders>
            <w:shd w:val="clear" w:color="000000" w:fill="F2F2F2"/>
            <w:noWrap/>
            <w:hideMark/>
          </w:tcPr>
          <w:p w:rsidR="005963DF" w:rsidRDefault="005963DF" w:rsidP="00882692">
            <w:pPr>
              <w:keepNext/>
              <w:spacing w:after="0"/>
              <w:jc w:val="center"/>
            </w:pPr>
          </w:p>
        </w:tc>
      </w:tr>
      <w:tr w:rsidR="005963DF" w:rsidRPr="003E5D9C" w:rsidTr="00860E9E">
        <w:trPr>
          <w:trHeight w:val="300"/>
        </w:trPr>
        <w:tc>
          <w:tcPr>
            <w:tcW w:w="2066" w:type="pct"/>
            <w:tcBorders>
              <w:top w:val="nil"/>
              <w:left w:val="nil"/>
              <w:bottom w:val="single" w:sz="4" w:space="0" w:color="auto"/>
              <w:right w:val="nil"/>
            </w:tcBorders>
            <w:shd w:val="clear" w:color="000000" w:fill="F2F2F2"/>
            <w:noWrap/>
            <w:hideMark/>
          </w:tcPr>
          <w:p w:rsidR="005963DF" w:rsidRDefault="005963DF" w:rsidP="00882692">
            <w:pPr>
              <w:keepNext/>
              <w:spacing w:after="0"/>
              <w:rPr>
                <w:sz w:val="20"/>
                <w:szCs w:val="20"/>
              </w:rPr>
            </w:pPr>
          </w:p>
        </w:tc>
        <w:tc>
          <w:tcPr>
            <w:tcW w:w="722" w:type="pct"/>
            <w:tcBorders>
              <w:top w:val="nil"/>
              <w:left w:val="nil"/>
              <w:bottom w:val="single" w:sz="4" w:space="0" w:color="auto"/>
              <w:right w:val="nil"/>
            </w:tcBorders>
            <w:shd w:val="clear" w:color="000000" w:fill="F2F2F2"/>
            <w:noWrap/>
            <w:hideMark/>
          </w:tcPr>
          <w:p w:rsidR="005963DF" w:rsidRDefault="005963DF" w:rsidP="00882692">
            <w:pPr>
              <w:keepNext/>
              <w:spacing w:after="0"/>
              <w:jc w:val="center"/>
              <w:rPr>
                <w:sz w:val="20"/>
                <w:szCs w:val="20"/>
              </w:rPr>
            </w:pPr>
          </w:p>
        </w:tc>
        <w:tc>
          <w:tcPr>
            <w:tcW w:w="802" w:type="pct"/>
            <w:tcBorders>
              <w:top w:val="nil"/>
              <w:left w:val="nil"/>
              <w:bottom w:val="single" w:sz="4" w:space="0" w:color="auto"/>
              <w:right w:val="nil"/>
            </w:tcBorders>
            <w:shd w:val="clear" w:color="000000" w:fill="F2F2F2"/>
            <w:noWrap/>
            <w:hideMark/>
          </w:tcPr>
          <w:p w:rsidR="005963DF" w:rsidRDefault="005963DF" w:rsidP="00882692">
            <w:pPr>
              <w:keepNext/>
              <w:spacing w:after="0"/>
              <w:jc w:val="center"/>
              <w:rPr>
                <w:sz w:val="20"/>
                <w:szCs w:val="20"/>
              </w:rPr>
            </w:pPr>
          </w:p>
        </w:tc>
        <w:tc>
          <w:tcPr>
            <w:tcW w:w="720" w:type="pct"/>
            <w:tcBorders>
              <w:top w:val="nil"/>
              <w:left w:val="nil"/>
              <w:bottom w:val="single" w:sz="4" w:space="0" w:color="auto"/>
              <w:right w:val="nil"/>
            </w:tcBorders>
            <w:shd w:val="clear" w:color="000000" w:fill="F2F2F2"/>
            <w:noWrap/>
            <w:hideMark/>
          </w:tcPr>
          <w:p w:rsidR="005963DF" w:rsidRDefault="005963DF" w:rsidP="00882692">
            <w:pPr>
              <w:keepNext/>
              <w:spacing w:after="0"/>
              <w:jc w:val="center"/>
            </w:pPr>
            <w:r>
              <w:t>(0.0422)</w:t>
            </w:r>
          </w:p>
        </w:tc>
        <w:tc>
          <w:tcPr>
            <w:tcW w:w="690" w:type="pct"/>
            <w:gridSpan w:val="2"/>
            <w:tcBorders>
              <w:top w:val="nil"/>
              <w:left w:val="nil"/>
              <w:bottom w:val="single" w:sz="4" w:space="0" w:color="auto"/>
              <w:right w:val="nil"/>
            </w:tcBorders>
            <w:shd w:val="clear" w:color="000000" w:fill="F2F2F2"/>
            <w:noWrap/>
            <w:hideMark/>
          </w:tcPr>
          <w:p w:rsidR="005963DF" w:rsidRDefault="005963DF" w:rsidP="00882692">
            <w:pPr>
              <w:keepNext/>
              <w:spacing w:after="0"/>
              <w:jc w:val="center"/>
            </w:pPr>
          </w:p>
        </w:tc>
      </w:tr>
      <w:tr w:rsidR="00860E9E" w:rsidRPr="003E5D9C" w:rsidTr="00860E9E">
        <w:trPr>
          <w:trHeight w:val="300"/>
        </w:trPr>
        <w:tc>
          <w:tcPr>
            <w:tcW w:w="2066" w:type="pct"/>
            <w:tcBorders>
              <w:top w:val="single" w:sz="4" w:space="0" w:color="auto"/>
              <w:left w:val="nil"/>
              <w:bottom w:val="nil"/>
              <w:right w:val="nil"/>
            </w:tcBorders>
            <w:shd w:val="clear" w:color="000000" w:fill="F2F2F2"/>
            <w:noWrap/>
            <w:vAlign w:val="center"/>
          </w:tcPr>
          <w:p w:rsidR="00860E9E" w:rsidRDefault="00860E9E" w:rsidP="00860E9E">
            <w:pPr>
              <w:keepNext/>
              <w:spacing w:after="0"/>
              <w:rPr>
                <w:sz w:val="20"/>
                <w:szCs w:val="20"/>
              </w:rPr>
            </w:pPr>
            <w:r>
              <w:rPr>
                <w:sz w:val="20"/>
                <w:szCs w:val="20"/>
              </w:rPr>
              <w:t>Implied mean WTP</w:t>
            </w:r>
          </w:p>
        </w:tc>
        <w:tc>
          <w:tcPr>
            <w:tcW w:w="722" w:type="pct"/>
            <w:tcBorders>
              <w:top w:val="single" w:sz="4" w:space="0" w:color="auto"/>
              <w:left w:val="nil"/>
              <w:bottom w:val="nil"/>
              <w:right w:val="nil"/>
            </w:tcBorders>
            <w:shd w:val="clear" w:color="000000" w:fill="F2F2F2"/>
            <w:noWrap/>
            <w:vAlign w:val="center"/>
          </w:tcPr>
          <w:p w:rsidR="00860E9E" w:rsidRDefault="00860E9E" w:rsidP="00860E9E">
            <w:pPr>
              <w:keepNext/>
              <w:spacing w:after="0"/>
              <w:jc w:val="center"/>
              <w:rPr>
                <w:sz w:val="20"/>
                <w:szCs w:val="20"/>
              </w:rPr>
            </w:pPr>
            <w:r>
              <w:rPr>
                <w:sz w:val="20"/>
                <w:szCs w:val="20"/>
              </w:rPr>
              <w:t>$204</w:t>
            </w:r>
          </w:p>
        </w:tc>
        <w:tc>
          <w:tcPr>
            <w:tcW w:w="802" w:type="pct"/>
            <w:tcBorders>
              <w:top w:val="single" w:sz="4" w:space="0" w:color="auto"/>
              <w:left w:val="nil"/>
              <w:bottom w:val="nil"/>
              <w:right w:val="nil"/>
            </w:tcBorders>
            <w:shd w:val="clear" w:color="000000" w:fill="F2F2F2"/>
            <w:noWrap/>
            <w:vAlign w:val="center"/>
          </w:tcPr>
          <w:p w:rsidR="00860E9E" w:rsidRDefault="00860E9E" w:rsidP="00860E9E">
            <w:pPr>
              <w:keepNext/>
              <w:spacing w:after="0"/>
              <w:jc w:val="center"/>
              <w:rPr>
                <w:sz w:val="20"/>
                <w:szCs w:val="20"/>
              </w:rPr>
            </w:pPr>
            <w:r>
              <w:rPr>
                <w:sz w:val="20"/>
                <w:szCs w:val="20"/>
              </w:rPr>
              <w:t>$177</w:t>
            </w:r>
          </w:p>
        </w:tc>
        <w:tc>
          <w:tcPr>
            <w:tcW w:w="720" w:type="pct"/>
            <w:tcBorders>
              <w:top w:val="single" w:sz="4" w:space="0" w:color="auto"/>
              <w:left w:val="nil"/>
              <w:bottom w:val="nil"/>
              <w:right w:val="nil"/>
            </w:tcBorders>
            <w:shd w:val="clear" w:color="000000" w:fill="F2F2F2"/>
            <w:noWrap/>
            <w:vAlign w:val="center"/>
          </w:tcPr>
          <w:p w:rsidR="00860E9E" w:rsidRDefault="00860E9E" w:rsidP="00860E9E">
            <w:pPr>
              <w:keepNext/>
              <w:spacing w:after="0"/>
              <w:jc w:val="center"/>
            </w:pPr>
            <w:r>
              <w:t>$168</w:t>
            </w:r>
          </w:p>
        </w:tc>
        <w:tc>
          <w:tcPr>
            <w:tcW w:w="690" w:type="pct"/>
            <w:gridSpan w:val="2"/>
            <w:tcBorders>
              <w:top w:val="single" w:sz="4" w:space="0" w:color="auto"/>
              <w:left w:val="nil"/>
              <w:bottom w:val="nil"/>
              <w:right w:val="nil"/>
            </w:tcBorders>
            <w:shd w:val="clear" w:color="000000" w:fill="F2F2F2"/>
            <w:noWrap/>
            <w:vAlign w:val="center"/>
          </w:tcPr>
          <w:p w:rsidR="00860E9E" w:rsidRDefault="00860E9E" w:rsidP="00860E9E">
            <w:pPr>
              <w:keepNext/>
              <w:spacing w:after="0"/>
              <w:jc w:val="center"/>
            </w:pPr>
            <w:r>
              <w:t>14.4-pct</w:t>
            </w:r>
          </w:p>
        </w:tc>
      </w:tr>
      <w:tr w:rsidR="00656214" w:rsidRPr="003E5D9C" w:rsidTr="00A85971">
        <w:trPr>
          <w:trHeight w:val="1350"/>
        </w:trPr>
        <w:tc>
          <w:tcPr>
            <w:tcW w:w="5000" w:type="pct"/>
            <w:gridSpan w:val="6"/>
            <w:tcBorders>
              <w:top w:val="single" w:sz="4" w:space="0" w:color="000000"/>
              <w:left w:val="nil"/>
              <w:bottom w:val="nil"/>
              <w:right w:val="nil"/>
            </w:tcBorders>
            <w:shd w:val="clear" w:color="000000" w:fill="F2F2F2"/>
            <w:hideMark/>
          </w:tcPr>
          <w:p w:rsidR="00656214" w:rsidRPr="003E5D9C" w:rsidRDefault="00656214" w:rsidP="00882692">
            <w:pPr>
              <w:keepNext/>
              <w:spacing w:after="0" w:line="240" w:lineRule="auto"/>
              <w:rPr>
                <w:rFonts w:eastAsia="Times New Roman"/>
                <w:sz w:val="18"/>
                <w:szCs w:val="18"/>
              </w:rPr>
            </w:pPr>
            <w:r w:rsidRPr="003E5D9C">
              <w:rPr>
                <w:rFonts w:eastAsia="Times New Roman"/>
                <w:sz w:val="18"/>
                <w:szCs w:val="18"/>
              </w:rPr>
              <w:t>The dependent variable indicates whether the respondent supports a tax on fossil fuels at the randomized bid amount presented.</w:t>
            </w:r>
            <w:r>
              <w:rPr>
                <w:rFonts w:eastAsia="Times New Roman"/>
                <w:sz w:val="18"/>
                <w:szCs w:val="18"/>
              </w:rPr>
              <w:t xml:space="preserve">  The bid is in dollars in models 1-3 and as a percentage increase in average household energy bills in the respondent’s state in model 4.</w:t>
            </w:r>
            <w:r w:rsidRPr="003E5D9C">
              <w:rPr>
                <w:rFonts w:eastAsia="Times New Roman"/>
                <w:sz w:val="18"/>
                <w:szCs w:val="18"/>
              </w:rPr>
              <w:t xml:space="preserve">  Each model includes 1,220 observations which excludes six respondents who refused political affiliation or other questions weighted for survey representativeness.  Democrat and global warming 'don't know' are the omitted categories for their respective contributions. Global warming 'no, very sure' and 'yes, very sure' include responses indicating either 'very sure' or 'extremely sure'.  </w:t>
            </w:r>
            <w:r w:rsidR="000E4379">
              <w:rPr>
                <w:rFonts w:eastAsia="Times New Roman"/>
                <w:sz w:val="18"/>
                <w:szCs w:val="18"/>
              </w:rPr>
              <w:t>The m</w:t>
            </w:r>
            <w:r w:rsidR="0042768B">
              <w:rPr>
                <w:rFonts w:eastAsia="Times New Roman"/>
                <w:sz w:val="18"/>
                <w:szCs w:val="18"/>
              </w:rPr>
              <w:t xml:space="preserve">ean WTP </w:t>
            </w:r>
            <w:r w:rsidR="0011566E">
              <w:rPr>
                <w:rFonts w:eastAsia="Times New Roman"/>
                <w:sz w:val="18"/>
                <w:szCs w:val="18"/>
              </w:rPr>
              <w:t xml:space="preserve">point </w:t>
            </w:r>
            <w:r w:rsidR="0042768B">
              <w:rPr>
                <w:rFonts w:eastAsia="Times New Roman"/>
                <w:sz w:val="18"/>
                <w:szCs w:val="18"/>
              </w:rPr>
              <w:t xml:space="preserve">estimates </w:t>
            </w:r>
            <w:r w:rsidR="000E4379">
              <w:rPr>
                <w:rFonts w:eastAsia="Times New Roman"/>
                <w:sz w:val="18"/>
                <w:szCs w:val="18"/>
              </w:rPr>
              <w:t xml:space="preserve">are included in Appendix A. </w:t>
            </w:r>
            <w:r w:rsidRPr="003E5D9C">
              <w:rPr>
                <w:rFonts w:eastAsia="Times New Roman"/>
                <w:sz w:val="18"/>
                <w:szCs w:val="18"/>
              </w:rPr>
              <w:t>Standard errors are in parentheses and follow conventional notation: *** p&lt;0.01, ** p&lt;0.05, * p&lt;0.1</w:t>
            </w:r>
          </w:p>
        </w:tc>
      </w:tr>
    </w:tbl>
    <w:p w:rsidR="003E5D9C" w:rsidRDefault="00124848" w:rsidP="00130E26">
      <w:pPr>
        <w:spacing w:before="240"/>
      </w:pPr>
      <w:r>
        <w:t>Using our preferred specification</w:t>
      </w:r>
      <w:r w:rsidR="00053AA6">
        <w:t xml:space="preserve">, </w:t>
      </w:r>
      <w:r w:rsidR="00130E26">
        <w:t>model 3</w:t>
      </w:r>
      <w:r>
        <w:t>, we e</w:t>
      </w:r>
      <w:r w:rsidR="00A33DD0">
        <w:t>stimate mean willingness to pay</w:t>
      </w:r>
      <w:r>
        <w:t xml:space="preserve"> admitting the possibility of r</w:t>
      </w:r>
      <w:r w:rsidR="00A77F94">
        <w:t>espondents having negative WTP</w:t>
      </w:r>
      <w:r w:rsidR="0067212A">
        <w:t>.</w:t>
      </w:r>
      <w:r w:rsidR="00A33DD0">
        <w:t xml:space="preserve">  While model 4 has a clearer coefficient interpretation, model 3 </w:t>
      </w:r>
      <w:r w:rsidR="00A33DD0">
        <w:lastRenderedPageBreak/>
        <w:t>estimates WTP using bids as they appear in the survey.</w:t>
      </w:r>
      <w:r w:rsidR="002D14B0">
        <w:t xml:space="preserve">  </w:t>
      </w:r>
      <w:r w:rsidR="00A33DD0">
        <w:t>Admitting the possibility of negative WTP c</w:t>
      </w:r>
      <w:r w:rsidR="002D14B0">
        <w:t xml:space="preserve">onceptually includes the wishes of respondents who are opposed to the tax on fossil fuels to an extent that they would be willing to pay </w:t>
      </w:r>
      <w:r w:rsidR="00D974C3">
        <w:t>some amount to avoid the tax</w:t>
      </w:r>
      <w:r w:rsidR="00130175">
        <w:t xml:space="preserve"> being imposed</w:t>
      </w:r>
      <w:r w:rsidR="00D974C3">
        <w:t>.</w:t>
      </w:r>
      <w:r w:rsidR="00130175">
        <w:t xml:space="preserve">  </w:t>
      </w:r>
      <w:r w:rsidR="00617C73">
        <w:t>Table 4</w:t>
      </w:r>
      <w:r w:rsidR="007E3BD1">
        <w:t xml:space="preserve"> provides result</w:t>
      </w:r>
      <w:r w:rsidR="00CA75C6">
        <w:t>s</w:t>
      </w:r>
      <w:r w:rsidR="007E3BD1">
        <w:t xml:space="preserve"> </w:t>
      </w:r>
      <w:r w:rsidR="00CA75C6">
        <w:t xml:space="preserve">from </w:t>
      </w:r>
      <w:r w:rsidR="007E3BD1">
        <w:t>estimat</w:t>
      </w:r>
      <w:r w:rsidR="00CA75C6">
        <w:t>ing</w:t>
      </w:r>
      <w:r w:rsidR="00372A9C">
        <w:t xml:space="preserve"> mean (equal to median)</w:t>
      </w:r>
      <w:r w:rsidR="007E3BD1">
        <w:t xml:space="preserve"> willingness to pay using </w:t>
      </w:r>
      <w:r w:rsidR="00CA75C6">
        <w:t xml:space="preserve">the </w:t>
      </w:r>
      <w:r w:rsidR="007E3BD1">
        <w:t>s</w:t>
      </w:r>
      <w:r w:rsidR="008F6407">
        <w:t>tandard methodologies</w:t>
      </w:r>
      <w:r w:rsidR="00826207">
        <w:t xml:space="preserve"> </w:t>
      </w:r>
      <w:r w:rsidR="00755724">
        <w:t>noted</w:t>
      </w:r>
      <w:r w:rsidR="00372A9C">
        <w:t>.</w:t>
      </w:r>
      <w:r w:rsidR="00B668ED">
        <w:t xml:space="preserve">  As the resulting mean WTP exceeds the highest bid amount offered in the survey</w:t>
      </w:r>
      <w:r w:rsidR="00755724">
        <w:t>,</w:t>
      </w:r>
      <w:r w:rsidR="00053AA6">
        <w:t xml:space="preserve"> </w:t>
      </w:r>
      <w:r w:rsidR="00B04A68">
        <w:t>not expected ex ante</w:t>
      </w:r>
      <w:r w:rsidR="00B668ED">
        <w:t xml:space="preserve">, a diversity of estimation methods </w:t>
      </w:r>
      <w:r w:rsidR="00B04A68">
        <w:t>are</w:t>
      </w:r>
      <w:r w:rsidR="00B668ED">
        <w:t xml:space="preserve"> undertaken to arrive at a robust picture of public support</w:t>
      </w:r>
      <w:r w:rsidR="00053AA6">
        <w:t xml:space="preserve"> for the proposed fossil fuel tax</w:t>
      </w:r>
      <w:r w:rsidR="00B668ED">
        <w:t>.</w:t>
      </w:r>
      <w:r w:rsidR="005A02CD">
        <w:t xml:space="preserve">  </w:t>
      </w:r>
      <w:r w:rsidR="00053AA6">
        <w:t>Regardless of method, t</w:t>
      </w:r>
      <w:r w:rsidR="00B668ED">
        <w:t>he results</w:t>
      </w:r>
      <w:r w:rsidR="00053AA6">
        <w:t xml:space="preserve"> derived are relatively similar</w:t>
      </w:r>
      <w:r w:rsidR="00B668ED">
        <w:t xml:space="preserve"> in point estimate and </w:t>
      </w:r>
      <w:r w:rsidR="00053AA6">
        <w:t>by</w:t>
      </w:r>
      <w:r w:rsidR="00B668ED">
        <w:t xml:space="preserve"> obtaining overlapping confidence intervals.</w:t>
      </w:r>
      <w:r w:rsidR="003C6F58">
        <w:t xml:space="preserve">  </w:t>
      </w:r>
      <w:r w:rsidR="00755724">
        <w:t>O</w:t>
      </w:r>
      <w:r w:rsidR="003C6F58">
        <w:t xml:space="preserve">ur mean WTP estimate of $168 </w:t>
      </w:r>
      <w:r w:rsidR="00053AA6">
        <w:t>is not without precedent either as</w:t>
      </w:r>
      <w:r w:rsidR="003C6F58">
        <w:t xml:space="preserve"> </w:t>
      </w:r>
      <w:proofErr w:type="spellStart"/>
      <w:r w:rsidR="003C6F58">
        <w:t>Aldy</w:t>
      </w:r>
      <w:proofErr w:type="spellEnd"/>
      <w:r w:rsidR="003C6F58">
        <w:t>, Kotchen, and Leiserowitz (2012) find similar support for a NCES</w:t>
      </w:r>
      <w:r w:rsidR="005A02CD">
        <w:t xml:space="preserve"> </w:t>
      </w:r>
      <w:r w:rsidR="00142257">
        <w:t>at</w:t>
      </w:r>
      <w:r w:rsidR="003C6F58">
        <w:t xml:space="preserve"> </w:t>
      </w:r>
      <w:r w:rsidR="005A02CD">
        <w:t>$162</w:t>
      </w:r>
      <w:r w:rsidR="00E804CF">
        <w:t>.</w:t>
      </w:r>
    </w:p>
    <w:p w:rsidR="005A02CD" w:rsidRDefault="005A02CD" w:rsidP="00124848">
      <w:pPr>
        <w:spacing w:before="240"/>
      </w:pPr>
      <w:r>
        <w:t xml:space="preserve">At a </w:t>
      </w:r>
      <w:r w:rsidR="00053AA6">
        <w:t>minimum, we find that</w:t>
      </w:r>
      <w:r>
        <w:t xml:space="preserve"> for all </w:t>
      </w:r>
      <w:r w:rsidR="00053AA6">
        <w:t xml:space="preserve">bid </w:t>
      </w:r>
      <w:r>
        <w:t xml:space="preserve">values presented including </w:t>
      </w:r>
      <w:r w:rsidR="00053AA6">
        <w:t xml:space="preserve">our </w:t>
      </w:r>
      <w:r>
        <w:t>$155</w:t>
      </w:r>
      <w:r w:rsidR="00053AA6">
        <w:t xml:space="preserve"> maximum bid</w:t>
      </w:r>
      <w:r>
        <w:t>, more than half of respondents support the policy.  This suggests a WTP lower bound of at least $155</w:t>
      </w:r>
      <w:r w:rsidR="00160A69">
        <w:t xml:space="preserve"> which is not particularly different from our derived estimate</w:t>
      </w:r>
      <w:r>
        <w:t>.</w:t>
      </w:r>
      <w:r w:rsidR="00B97AA0">
        <w:t xml:space="preserve">  </w:t>
      </w:r>
      <w:r w:rsidR="00160A69">
        <w:t>To check this, we</w:t>
      </w:r>
      <w:r w:rsidR="00D57BED">
        <w:t xml:space="preserve"> also</w:t>
      </w:r>
      <w:r w:rsidR="00160A69">
        <w:t xml:space="preserve"> </w:t>
      </w:r>
      <w:r w:rsidR="00B97AA0">
        <w:t xml:space="preserve">derive a 95-percent confidence interval using </w:t>
      </w:r>
      <w:r w:rsidR="00160A69">
        <w:t xml:space="preserve">the </w:t>
      </w:r>
      <w:r w:rsidR="00B97AA0">
        <w:t>methodolog</w:t>
      </w:r>
      <w:r w:rsidR="00160A69">
        <w:t>y</w:t>
      </w:r>
      <w:r w:rsidR="00B97AA0">
        <w:t xml:space="preserve"> employed by </w:t>
      </w:r>
      <w:proofErr w:type="spellStart"/>
      <w:r w:rsidR="00B97AA0">
        <w:t>Krinsky</w:t>
      </w:r>
      <w:proofErr w:type="spellEnd"/>
      <w:r w:rsidR="00B97AA0">
        <w:t xml:space="preserve"> and Robb (1986).  Around our $168 mean WTP we find </w:t>
      </w:r>
      <w:r w:rsidR="00160A69">
        <w:t>a</w:t>
      </w:r>
      <w:r w:rsidR="00B97AA0">
        <w:t xml:space="preserve"> 95-percent confidence interval</w:t>
      </w:r>
      <w:r w:rsidR="00160A69">
        <w:t xml:space="preserve"> of</w:t>
      </w:r>
      <w:r w:rsidR="00B97AA0">
        <w:t xml:space="preserve"> $114 to $515</w:t>
      </w:r>
      <w:r w:rsidR="00BB3BCA">
        <w:t xml:space="preserve"> which clearly contains our conservative $155 median WTP measure</w:t>
      </w:r>
      <w:r w:rsidR="00B97AA0">
        <w:t xml:space="preserve">.  </w:t>
      </w:r>
      <w:r w:rsidR="00160A69">
        <w:t>As an alternative measure</w:t>
      </w:r>
      <w:r w:rsidR="00F30715">
        <w:t>,</w:t>
      </w:r>
      <w:r w:rsidR="00160A69">
        <w:t xml:space="preserve"> we then u</w:t>
      </w:r>
      <w:r>
        <w:t>s</w:t>
      </w:r>
      <w:r w:rsidR="00160A69">
        <w:t>e</w:t>
      </w:r>
      <w:r>
        <w:t xml:space="preserve"> the Turnbull empirical estimator</w:t>
      </w:r>
      <w:r w:rsidR="00160A69">
        <w:t xml:space="preserve"> </w:t>
      </w:r>
      <w:r w:rsidR="007A796C">
        <w:t xml:space="preserve">(Carson, 1994a,b) </w:t>
      </w:r>
      <w:r w:rsidR="00160A69">
        <w:t xml:space="preserve">to arrive at alternative </w:t>
      </w:r>
      <w:r w:rsidR="00AA22A5">
        <w:t>lower and upper bounds</w:t>
      </w:r>
      <w:r w:rsidR="007A796C">
        <w:t xml:space="preserve"> of $28 and $272</w:t>
      </w:r>
      <w:r w:rsidR="00AA22A5">
        <w:t xml:space="preserve">.  This non-parametric approach allows for negative WTP by accommodating a larger density of zero WTP responses in the data without making </w:t>
      </w:r>
      <w:r w:rsidR="00160A69">
        <w:t xml:space="preserve">any </w:t>
      </w:r>
      <w:r w:rsidR="00AA22A5">
        <w:t>assum</w:t>
      </w:r>
      <w:r w:rsidR="00F30715">
        <w:t>ption</w:t>
      </w:r>
      <w:r w:rsidR="00AA22A5">
        <w:t xml:space="preserve"> </w:t>
      </w:r>
      <w:r w:rsidR="00160A69">
        <w:t>about</w:t>
      </w:r>
      <w:r w:rsidR="00AA22A5">
        <w:t xml:space="preserve"> distributional form</w:t>
      </w:r>
      <w:r w:rsidR="007A796C">
        <w:t>.  Given that our mean WTP is outside the bid range, this is an important check which arrive</w:t>
      </w:r>
      <w:r w:rsidR="00F30715">
        <w:t>s</w:t>
      </w:r>
      <w:r w:rsidR="007A796C">
        <w:t xml:space="preserve"> at reassuring results</w:t>
      </w:r>
      <w:r w:rsidR="00AA22A5">
        <w:t xml:space="preserve">.  The Turnbull estimator results both bound our mean WTP result, our naïve $155 median WTP lower bound, and have substantial overlap with the </w:t>
      </w:r>
      <w:proofErr w:type="spellStart"/>
      <w:r w:rsidR="00AA22A5">
        <w:t>Krinsky</w:t>
      </w:r>
      <w:proofErr w:type="spellEnd"/>
      <w:r w:rsidR="00AA22A5">
        <w:t xml:space="preserve"> and Robb confidence interval. </w:t>
      </w:r>
    </w:p>
    <w:p w:rsidR="001E2086" w:rsidRDefault="003E0437" w:rsidP="00F30715">
      <w:pPr>
        <w:spacing w:before="120"/>
      </w:pPr>
      <w:r>
        <w:t xml:space="preserve">As a final check </w:t>
      </w:r>
      <w:r w:rsidR="00330EA7">
        <w:t>on our WTP measure</w:t>
      </w:r>
      <w:r w:rsidR="00CF217E">
        <w:t>,</w:t>
      </w:r>
      <w:r w:rsidR="00330EA7">
        <w:t xml:space="preserve"> we use the sp</w:t>
      </w:r>
      <w:r>
        <w:t>ike mod</w:t>
      </w:r>
      <w:r w:rsidR="00130E26">
        <w:t xml:space="preserve">el </w:t>
      </w:r>
      <w:r w:rsidR="00160A69">
        <w:t xml:space="preserve">from </w:t>
      </w:r>
      <w:proofErr w:type="spellStart"/>
      <w:r w:rsidR="00130E26">
        <w:t>Kristrom</w:t>
      </w:r>
      <w:proofErr w:type="spellEnd"/>
      <w:r w:rsidR="00130E26">
        <w:t xml:space="preserve"> (1997).  This method conditionally estimates whether the respondent has a willingness to pay at all to reduce global warming through a separate </w:t>
      </w:r>
      <w:r w:rsidR="00C2314A">
        <w:t>query</w:t>
      </w:r>
      <w:r w:rsidR="00CF217E">
        <w:t>,</w:t>
      </w:r>
      <w:r w:rsidR="00130E26">
        <w:t xml:space="preserve"> then conditionally offers a</w:t>
      </w:r>
      <w:r w:rsidR="00C2314A">
        <w:t xml:space="preserve"> take it or leave it</w:t>
      </w:r>
      <w:r w:rsidR="00130E26">
        <w:t xml:space="preserve"> bid.  In a prior question </w:t>
      </w:r>
      <w:r w:rsidR="00C2314A">
        <w:t>in our survey</w:t>
      </w:r>
      <w:r w:rsidR="00130E26">
        <w:t xml:space="preserve"> we first determine whether </w:t>
      </w:r>
      <w:r w:rsidR="001E2086">
        <w:t>respondent</w:t>
      </w:r>
      <w:r w:rsidR="00C2314A">
        <w:t>s generally</w:t>
      </w:r>
      <w:r w:rsidR="001E2086">
        <w:t xml:space="preserve"> support</w:t>
      </w:r>
      <w:r w:rsidR="00C2314A">
        <w:t xml:space="preserve"> a carbon dioxide emission limit to reduce global warming wh</w:t>
      </w:r>
      <w:r w:rsidR="00CF217E">
        <w:t>ich notes</w:t>
      </w:r>
      <w:r w:rsidR="001E2086">
        <w:t xml:space="preserve"> only ambiguously that </w:t>
      </w:r>
      <w:r w:rsidR="00C2314A">
        <w:t xml:space="preserve">their energy </w:t>
      </w:r>
      <w:r w:rsidR="001E2086">
        <w:t xml:space="preserve">costs would likely increase.  Using this as our screening question, we then estimate a WTP of $136 and that 26-percent of respondents have </w:t>
      </w:r>
      <w:r w:rsidR="00C2314A">
        <w:t xml:space="preserve">a </w:t>
      </w:r>
      <w:r w:rsidR="001E2086">
        <w:t>WTP</w:t>
      </w:r>
      <w:r w:rsidR="00C2314A">
        <w:t xml:space="preserve"> of zero</w:t>
      </w:r>
      <w:r w:rsidR="001E2086">
        <w:t>.  The spike model confidence interval of $122 to $150 implies this method underestimates WTP as it does not include our naïve lower bound estimate of $155</w:t>
      </w:r>
      <w:r w:rsidR="00C2314A">
        <w:t>.  Meanwhile,</w:t>
      </w:r>
      <w:r w:rsidR="001E2086">
        <w:t xml:space="preserve"> the 26-percent projection of zero WTP matches </w:t>
      </w:r>
      <w:r w:rsidR="00C2314A">
        <w:t xml:space="preserve">the level of support </w:t>
      </w:r>
      <w:r w:rsidR="00CF217E">
        <w:t>found at</w:t>
      </w:r>
      <w:r w:rsidR="00C2314A">
        <w:t xml:space="preserve"> our minimum bid of $5</w:t>
      </w:r>
      <w:r w:rsidR="001E2086">
        <w:t xml:space="preserve">.  </w:t>
      </w:r>
      <w:r w:rsidR="00C2314A">
        <w:t>Despite this critique</w:t>
      </w:r>
      <w:r w:rsidR="001E2086">
        <w:t>,</w:t>
      </w:r>
      <w:r w:rsidR="00C2314A">
        <w:t xml:space="preserve"> we note</w:t>
      </w:r>
      <w:r w:rsidR="001E2086">
        <w:t xml:space="preserve"> the spike model confidence interval falls entirely within those of the </w:t>
      </w:r>
      <w:proofErr w:type="spellStart"/>
      <w:r w:rsidR="001E2086">
        <w:t>Krinsky</w:t>
      </w:r>
      <w:proofErr w:type="spellEnd"/>
      <w:r w:rsidR="001E2086">
        <w:t xml:space="preserve"> and Robb 95-percent and Turnbull confidence intervals.</w:t>
      </w:r>
    </w:p>
    <w:tbl>
      <w:tblPr>
        <w:tblW w:w="5000" w:type="pct"/>
        <w:tblLook w:val="04A0" w:firstRow="1" w:lastRow="0" w:firstColumn="1" w:lastColumn="0" w:noHBand="0" w:noVBand="1"/>
      </w:tblPr>
      <w:tblGrid>
        <w:gridCol w:w="3067"/>
        <w:gridCol w:w="1481"/>
        <w:gridCol w:w="1346"/>
        <w:gridCol w:w="1461"/>
        <w:gridCol w:w="2005"/>
      </w:tblGrid>
      <w:tr w:rsidR="00EF5E7E" w:rsidRPr="00EF5E7E" w:rsidTr="00EF5E7E">
        <w:trPr>
          <w:trHeight w:val="300"/>
        </w:trPr>
        <w:tc>
          <w:tcPr>
            <w:tcW w:w="5000" w:type="pct"/>
            <w:gridSpan w:val="5"/>
            <w:tcBorders>
              <w:top w:val="nil"/>
              <w:left w:val="nil"/>
              <w:bottom w:val="single" w:sz="4" w:space="0" w:color="auto"/>
              <w:right w:val="nil"/>
            </w:tcBorders>
            <w:shd w:val="clear" w:color="000000" w:fill="E7E6E6"/>
            <w:noWrap/>
            <w:vAlign w:val="bottom"/>
            <w:hideMark/>
          </w:tcPr>
          <w:p w:rsidR="00EF5E7E" w:rsidRPr="00EF5E7E" w:rsidRDefault="00617C73" w:rsidP="00342B96">
            <w:pPr>
              <w:keepNext/>
              <w:spacing w:after="0" w:line="240" w:lineRule="auto"/>
              <w:rPr>
                <w:rFonts w:eastAsia="Times New Roman"/>
                <w:b/>
                <w:bCs/>
              </w:rPr>
            </w:pPr>
            <w:r>
              <w:rPr>
                <w:rFonts w:eastAsia="Times New Roman"/>
                <w:b/>
                <w:bCs/>
              </w:rPr>
              <w:t>Table 4</w:t>
            </w:r>
            <w:r w:rsidR="00EF5E7E" w:rsidRPr="00EF5E7E">
              <w:rPr>
                <w:rFonts w:eastAsia="Times New Roman"/>
                <w:b/>
                <w:bCs/>
              </w:rPr>
              <w:t xml:space="preserve"> | Willingness to pay measures through a tax on fossil fuels to reduce global warming.</w:t>
            </w:r>
          </w:p>
        </w:tc>
      </w:tr>
      <w:tr w:rsidR="00EF5E7E" w:rsidRPr="00EF5E7E" w:rsidTr="00123F1A">
        <w:trPr>
          <w:trHeight w:val="300"/>
        </w:trPr>
        <w:tc>
          <w:tcPr>
            <w:tcW w:w="1663" w:type="pct"/>
            <w:tcBorders>
              <w:top w:val="nil"/>
              <w:left w:val="nil"/>
              <w:bottom w:val="single" w:sz="4" w:space="0" w:color="auto"/>
              <w:right w:val="nil"/>
            </w:tcBorders>
            <w:shd w:val="clear" w:color="000000" w:fill="F2F2F2"/>
            <w:noWrap/>
            <w:hideMark/>
          </w:tcPr>
          <w:p w:rsidR="00EF5E7E" w:rsidRPr="00EF5E7E" w:rsidRDefault="00EF5E7E" w:rsidP="00342B96">
            <w:pPr>
              <w:keepNext/>
              <w:spacing w:after="0" w:line="240" w:lineRule="auto"/>
              <w:rPr>
                <w:rFonts w:eastAsia="Times New Roman"/>
              </w:rPr>
            </w:pPr>
            <w:r w:rsidRPr="00EF5E7E">
              <w:rPr>
                <w:rFonts w:eastAsia="Times New Roman"/>
              </w:rPr>
              <w:t>Method</w:t>
            </w:r>
          </w:p>
        </w:tc>
        <w:tc>
          <w:tcPr>
            <w:tcW w:w="785" w:type="pct"/>
            <w:tcBorders>
              <w:top w:val="nil"/>
              <w:left w:val="nil"/>
              <w:bottom w:val="single" w:sz="4" w:space="0" w:color="auto"/>
              <w:right w:val="nil"/>
            </w:tcBorders>
            <w:shd w:val="clear" w:color="000000" w:fill="F2F2F2"/>
            <w:noWrap/>
            <w:hideMark/>
          </w:tcPr>
          <w:p w:rsidR="00EF5E7E" w:rsidRPr="00EF5E7E" w:rsidRDefault="00EF5E7E" w:rsidP="00342B96">
            <w:pPr>
              <w:keepNext/>
              <w:spacing w:after="0" w:line="240" w:lineRule="auto"/>
              <w:rPr>
                <w:rFonts w:eastAsia="Times New Roman"/>
              </w:rPr>
            </w:pPr>
            <w:r w:rsidRPr="00EF5E7E">
              <w:rPr>
                <w:rFonts w:eastAsia="Times New Roman"/>
              </w:rPr>
              <w:t>Lower bound ($)</w:t>
            </w:r>
          </w:p>
        </w:tc>
        <w:tc>
          <w:tcPr>
            <w:tcW w:w="1109" w:type="pct"/>
            <w:tcBorders>
              <w:top w:val="nil"/>
              <w:left w:val="nil"/>
              <w:bottom w:val="single" w:sz="4" w:space="0" w:color="auto"/>
              <w:right w:val="nil"/>
            </w:tcBorders>
            <w:shd w:val="clear" w:color="000000" w:fill="F2F2F2"/>
            <w:noWrap/>
            <w:hideMark/>
          </w:tcPr>
          <w:p w:rsidR="00EF5E7E" w:rsidRPr="00EF5E7E" w:rsidRDefault="00EF5E7E" w:rsidP="00342B96">
            <w:pPr>
              <w:keepNext/>
              <w:spacing w:after="0" w:line="240" w:lineRule="auto"/>
              <w:rPr>
                <w:rFonts w:eastAsia="Times New Roman"/>
              </w:rPr>
            </w:pPr>
            <w:r w:rsidRPr="00EF5E7E">
              <w:rPr>
                <w:rFonts w:eastAsia="Times New Roman"/>
              </w:rPr>
              <w:t>Mean WTP ($)</w:t>
            </w:r>
          </w:p>
        </w:tc>
        <w:tc>
          <w:tcPr>
            <w:tcW w:w="379" w:type="pct"/>
            <w:tcBorders>
              <w:top w:val="nil"/>
              <w:left w:val="nil"/>
              <w:bottom w:val="single" w:sz="4" w:space="0" w:color="auto"/>
              <w:right w:val="nil"/>
            </w:tcBorders>
            <w:shd w:val="clear" w:color="000000" w:fill="F2F2F2"/>
            <w:noWrap/>
            <w:hideMark/>
          </w:tcPr>
          <w:p w:rsidR="00EF5E7E" w:rsidRPr="00EF5E7E" w:rsidRDefault="00EF5E7E" w:rsidP="00342B96">
            <w:pPr>
              <w:keepNext/>
              <w:spacing w:after="0" w:line="240" w:lineRule="auto"/>
              <w:rPr>
                <w:rFonts w:eastAsia="Times New Roman"/>
              </w:rPr>
            </w:pPr>
            <w:r w:rsidRPr="00EF5E7E">
              <w:rPr>
                <w:rFonts w:eastAsia="Times New Roman"/>
              </w:rPr>
              <w:t>Upper bound ($)</w:t>
            </w:r>
          </w:p>
        </w:tc>
        <w:tc>
          <w:tcPr>
            <w:tcW w:w="1063" w:type="pct"/>
            <w:tcBorders>
              <w:top w:val="nil"/>
              <w:left w:val="nil"/>
              <w:bottom w:val="single" w:sz="4" w:space="0" w:color="auto"/>
              <w:right w:val="nil"/>
            </w:tcBorders>
            <w:shd w:val="clear" w:color="000000" w:fill="F2F2F2"/>
            <w:noWrap/>
            <w:hideMark/>
          </w:tcPr>
          <w:p w:rsidR="00EF5E7E" w:rsidRPr="00EF5E7E" w:rsidRDefault="00EF5E7E" w:rsidP="00342B96">
            <w:pPr>
              <w:keepNext/>
              <w:spacing w:after="0" w:line="240" w:lineRule="auto"/>
              <w:rPr>
                <w:rFonts w:eastAsia="Times New Roman"/>
              </w:rPr>
            </w:pPr>
            <w:r w:rsidRPr="00EF5E7E">
              <w:rPr>
                <w:rFonts w:eastAsia="Times New Roman"/>
              </w:rPr>
              <w:t>Source</w:t>
            </w:r>
          </w:p>
        </w:tc>
      </w:tr>
      <w:tr w:rsidR="00B24304" w:rsidRPr="00EF5E7E" w:rsidTr="00B24304">
        <w:trPr>
          <w:trHeight w:val="300"/>
        </w:trPr>
        <w:tc>
          <w:tcPr>
            <w:tcW w:w="1663" w:type="pct"/>
            <w:tcBorders>
              <w:top w:val="nil"/>
              <w:left w:val="nil"/>
              <w:bottom w:val="nil"/>
              <w:right w:val="nil"/>
            </w:tcBorders>
            <w:shd w:val="clear" w:color="000000" w:fill="F2F2F2"/>
            <w:noWrap/>
            <w:hideMark/>
          </w:tcPr>
          <w:p w:rsidR="00EF5E7E" w:rsidRPr="000E7B55" w:rsidRDefault="000E7B55" w:rsidP="00342B96">
            <w:pPr>
              <w:keepNext/>
              <w:spacing w:after="0" w:line="240" w:lineRule="auto"/>
              <w:rPr>
                <w:rFonts w:eastAsia="Times New Roman"/>
              </w:rPr>
            </w:pPr>
            <w:r>
              <w:rPr>
                <w:rFonts w:eastAsia="Times New Roman"/>
              </w:rPr>
              <w:t>Point estimate</w:t>
            </w:r>
          </w:p>
        </w:tc>
        <w:tc>
          <w:tcPr>
            <w:tcW w:w="785" w:type="pct"/>
            <w:tcBorders>
              <w:top w:val="nil"/>
              <w:left w:val="nil"/>
              <w:bottom w:val="nil"/>
              <w:right w:val="nil"/>
            </w:tcBorders>
            <w:shd w:val="clear" w:color="000000" w:fill="F2F2F2"/>
            <w:noWrap/>
            <w:vAlign w:val="center"/>
            <w:hideMark/>
          </w:tcPr>
          <w:p w:rsidR="00EF5E7E" w:rsidRPr="00EF5E7E" w:rsidRDefault="00EF5E7E" w:rsidP="00342B96">
            <w:pPr>
              <w:keepNext/>
              <w:spacing w:after="0" w:line="240" w:lineRule="auto"/>
              <w:rPr>
                <w:rFonts w:eastAsia="Times New Roman"/>
              </w:rPr>
            </w:pPr>
            <w:r w:rsidRPr="00EF5E7E">
              <w:rPr>
                <w:rFonts w:eastAsia="Times New Roman"/>
              </w:rPr>
              <w:t>-</w:t>
            </w:r>
          </w:p>
        </w:tc>
        <w:tc>
          <w:tcPr>
            <w:tcW w:w="1109" w:type="pct"/>
            <w:tcBorders>
              <w:top w:val="nil"/>
              <w:left w:val="nil"/>
              <w:bottom w:val="nil"/>
              <w:right w:val="nil"/>
            </w:tcBorders>
            <w:shd w:val="clear" w:color="000000" w:fill="F2F2F2"/>
            <w:noWrap/>
            <w:vAlign w:val="center"/>
            <w:hideMark/>
          </w:tcPr>
          <w:p w:rsidR="00EF5E7E" w:rsidRPr="00EF5E7E" w:rsidRDefault="00882692" w:rsidP="00342B96">
            <w:pPr>
              <w:keepNext/>
              <w:spacing w:after="0" w:line="240" w:lineRule="auto"/>
              <w:rPr>
                <w:rFonts w:eastAsia="Times New Roman"/>
              </w:rPr>
            </w:pPr>
            <w:r>
              <w:rPr>
                <w:rFonts w:eastAsia="Times New Roman"/>
              </w:rPr>
              <w:t>177</w:t>
            </w:r>
          </w:p>
        </w:tc>
        <w:tc>
          <w:tcPr>
            <w:tcW w:w="379" w:type="pct"/>
            <w:tcBorders>
              <w:top w:val="nil"/>
              <w:left w:val="nil"/>
              <w:bottom w:val="nil"/>
              <w:right w:val="nil"/>
            </w:tcBorders>
            <w:shd w:val="clear" w:color="000000" w:fill="F2F2F2"/>
            <w:noWrap/>
            <w:vAlign w:val="center"/>
            <w:hideMark/>
          </w:tcPr>
          <w:p w:rsidR="00EF5E7E" w:rsidRPr="00EF5E7E" w:rsidRDefault="00EF5E7E" w:rsidP="00342B96">
            <w:pPr>
              <w:keepNext/>
              <w:spacing w:after="0" w:line="240" w:lineRule="auto"/>
              <w:rPr>
                <w:rFonts w:eastAsia="Times New Roman"/>
              </w:rPr>
            </w:pPr>
            <w:r w:rsidRPr="00EF5E7E">
              <w:rPr>
                <w:rFonts w:eastAsia="Times New Roman"/>
              </w:rPr>
              <w:t>-</w:t>
            </w:r>
          </w:p>
        </w:tc>
        <w:tc>
          <w:tcPr>
            <w:tcW w:w="1063" w:type="pct"/>
            <w:tcBorders>
              <w:top w:val="nil"/>
              <w:left w:val="nil"/>
              <w:bottom w:val="nil"/>
              <w:right w:val="nil"/>
            </w:tcBorders>
            <w:shd w:val="clear" w:color="000000" w:fill="F2F2F2"/>
            <w:noWrap/>
            <w:hideMark/>
          </w:tcPr>
          <w:p w:rsidR="00EF5E7E" w:rsidRPr="00EF5E7E" w:rsidRDefault="00EF5E7E" w:rsidP="00342B96">
            <w:pPr>
              <w:keepNext/>
              <w:spacing w:after="0" w:line="240" w:lineRule="auto"/>
              <w:rPr>
                <w:rFonts w:eastAsia="Times New Roman"/>
              </w:rPr>
            </w:pPr>
            <w:proofErr w:type="spellStart"/>
            <w:r w:rsidRPr="00EF5E7E">
              <w:rPr>
                <w:rFonts w:eastAsia="Times New Roman"/>
              </w:rPr>
              <w:t>Hanemann</w:t>
            </w:r>
            <w:proofErr w:type="spellEnd"/>
            <w:r w:rsidRPr="00EF5E7E">
              <w:rPr>
                <w:rFonts w:eastAsia="Times New Roman"/>
              </w:rPr>
              <w:t xml:space="preserve"> (1989)</w:t>
            </w:r>
          </w:p>
        </w:tc>
      </w:tr>
      <w:tr w:rsidR="00B24304" w:rsidRPr="00EF5E7E" w:rsidTr="00B24304">
        <w:trPr>
          <w:trHeight w:val="300"/>
        </w:trPr>
        <w:tc>
          <w:tcPr>
            <w:tcW w:w="1663" w:type="pct"/>
            <w:tcBorders>
              <w:top w:val="nil"/>
              <w:left w:val="nil"/>
              <w:bottom w:val="nil"/>
              <w:right w:val="nil"/>
            </w:tcBorders>
            <w:shd w:val="clear" w:color="000000" w:fill="F2F2F2"/>
            <w:noWrap/>
            <w:hideMark/>
          </w:tcPr>
          <w:p w:rsidR="00EF5E7E" w:rsidRPr="00EF5E7E" w:rsidRDefault="00EF5E7E" w:rsidP="00342B96">
            <w:pPr>
              <w:keepNext/>
              <w:spacing w:after="0" w:line="240" w:lineRule="auto"/>
              <w:rPr>
                <w:rFonts w:eastAsia="Times New Roman"/>
              </w:rPr>
            </w:pPr>
            <w:proofErr w:type="spellStart"/>
            <w:r w:rsidRPr="00EF5E7E">
              <w:rPr>
                <w:rFonts w:eastAsia="Times New Roman"/>
              </w:rPr>
              <w:t>Krins</w:t>
            </w:r>
            <w:r w:rsidR="0014659B">
              <w:rPr>
                <w:rFonts w:eastAsia="Times New Roman"/>
              </w:rPr>
              <w:t>ky</w:t>
            </w:r>
            <w:proofErr w:type="spellEnd"/>
            <w:r w:rsidR="0014659B">
              <w:rPr>
                <w:rFonts w:eastAsia="Times New Roman"/>
              </w:rPr>
              <w:t xml:space="preserve"> and Robb confidence interval</w:t>
            </w:r>
          </w:p>
        </w:tc>
        <w:tc>
          <w:tcPr>
            <w:tcW w:w="785" w:type="pct"/>
            <w:tcBorders>
              <w:top w:val="nil"/>
              <w:left w:val="nil"/>
              <w:bottom w:val="nil"/>
              <w:right w:val="nil"/>
            </w:tcBorders>
            <w:shd w:val="clear" w:color="000000" w:fill="F2F2F2"/>
            <w:noWrap/>
            <w:vAlign w:val="center"/>
            <w:hideMark/>
          </w:tcPr>
          <w:p w:rsidR="00EF5E7E" w:rsidRPr="00EF5E7E" w:rsidRDefault="00EF5E7E" w:rsidP="00342B96">
            <w:pPr>
              <w:keepNext/>
              <w:spacing w:after="0" w:line="240" w:lineRule="auto"/>
              <w:rPr>
                <w:rFonts w:eastAsia="Times New Roman"/>
              </w:rPr>
            </w:pPr>
            <w:r w:rsidRPr="00EF5E7E">
              <w:rPr>
                <w:rFonts w:eastAsia="Times New Roman"/>
              </w:rPr>
              <w:t>1</w:t>
            </w:r>
            <w:r w:rsidR="00882692">
              <w:rPr>
                <w:rFonts w:eastAsia="Times New Roman"/>
              </w:rPr>
              <w:t>01</w:t>
            </w:r>
          </w:p>
        </w:tc>
        <w:tc>
          <w:tcPr>
            <w:tcW w:w="1109" w:type="pct"/>
            <w:tcBorders>
              <w:top w:val="nil"/>
              <w:left w:val="nil"/>
              <w:bottom w:val="nil"/>
              <w:right w:val="nil"/>
            </w:tcBorders>
            <w:shd w:val="clear" w:color="000000" w:fill="F2F2F2"/>
            <w:noWrap/>
            <w:vAlign w:val="center"/>
            <w:hideMark/>
          </w:tcPr>
          <w:p w:rsidR="00EF5E7E" w:rsidRPr="00EF5E7E" w:rsidRDefault="00882692" w:rsidP="00342B96">
            <w:pPr>
              <w:keepNext/>
              <w:spacing w:after="0" w:line="240" w:lineRule="auto"/>
              <w:rPr>
                <w:rFonts w:eastAsia="Times New Roman"/>
              </w:rPr>
            </w:pPr>
            <w:r>
              <w:rPr>
                <w:rFonts w:eastAsia="Times New Roman"/>
              </w:rPr>
              <w:t>177</w:t>
            </w:r>
          </w:p>
        </w:tc>
        <w:tc>
          <w:tcPr>
            <w:tcW w:w="379" w:type="pct"/>
            <w:tcBorders>
              <w:top w:val="nil"/>
              <w:left w:val="nil"/>
              <w:bottom w:val="nil"/>
              <w:right w:val="nil"/>
            </w:tcBorders>
            <w:shd w:val="clear" w:color="000000" w:fill="F2F2F2"/>
            <w:noWrap/>
            <w:vAlign w:val="center"/>
            <w:hideMark/>
          </w:tcPr>
          <w:p w:rsidR="00EF5E7E" w:rsidRPr="00EF5E7E" w:rsidRDefault="00882692" w:rsidP="00342B96">
            <w:pPr>
              <w:keepNext/>
              <w:spacing w:after="0" w:line="240" w:lineRule="auto"/>
              <w:rPr>
                <w:rFonts w:eastAsia="Times New Roman"/>
              </w:rPr>
            </w:pPr>
            <w:r>
              <w:rPr>
                <w:rFonts w:eastAsia="Times New Roman"/>
              </w:rPr>
              <w:t>587</w:t>
            </w:r>
          </w:p>
        </w:tc>
        <w:tc>
          <w:tcPr>
            <w:tcW w:w="1063" w:type="pct"/>
            <w:tcBorders>
              <w:top w:val="nil"/>
              <w:left w:val="nil"/>
              <w:bottom w:val="nil"/>
              <w:right w:val="nil"/>
            </w:tcBorders>
            <w:shd w:val="clear" w:color="000000" w:fill="F2F2F2"/>
            <w:noWrap/>
            <w:hideMark/>
          </w:tcPr>
          <w:p w:rsidR="00EF5E7E" w:rsidRPr="00EF5E7E" w:rsidRDefault="00EF5E7E" w:rsidP="00342B96">
            <w:pPr>
              <w:keepNext/>
              <w:spacing w:after="0" w:line="240" w:lineRule="auto"/>
              <w:rPr>
                <w:rFonts w:eastAsia="Times New Roman"/>
              </w:rPr>
            </w:pPr>
            <w:proofErr w:type="spellStart"/>
            <w:r w:rsidRPr="00EF5E7E">
              <w:rPr>
                <w:rFonts w:eastAsia="Times New Roman"/>
              </w:rPr>
              <w:t>Krinsky</w:t>
            </w:r>
            <w:proofErr w:type="spellEnd"/>
            <w:r w:rsidRPr="00EF5E7E">
              <w:rPr>
                <w:rFonts w:eastAsia="Times New Roman"/>
              </w:rPr>
              <w:t xml:space="preserve"> &amp; Robb (1986)</w:t>
            </w:r>
          </w:p>
        </w:tc>
      </w:tr>
      <w:tr w:rsidR="00B24304" w:rsidRPr="00EF5E7E" w:rsidTr="00B24304">
        <w:trPr>
          <w:trHeight w:val="300"/>
        </w:trPr>
        <w:tc>
          <w:tcPr>
            <w:tcW w:w="1663" w:type="pct"/>
            <w:tcBorders>
              <w:top w:val="nil"/>
              <w:left w:val="nil"/>
              <w:bottom w:val="nil"/>
              <w:right w:val="nil"/>
            </w:tcBorders>
            <w:shd w:val="clear" w:color="000000" w:fill="F2F2F2"/>
            <w:noWrap/>
            <w:hideMark/>
          </w:tcPr>
          <w:p w:rsidR="00EF5E7E" w:rsidRPr="00EF5E7E" w:rsidRDefault="00EF5E7E" w:rsidP="00342B96">
            <w:pPr>
              <w:keepNext/>
              <w:spacing w:after="0" w:line="240" w:lineRule="auto"/>
              <w:rPr>
                <w:rFonts w:eastAsia="Times New Roman"/>
              </w:rPr>
            </w:pPr>
            <w:r w:rsidRPr="00EF5E7E">
              <w:rPr>
                <w:rFonts w:eastAsia="Times New Roman"/>
              </w:rPr>
              <w:t xml:space="preserve">Turnbull non-parametric estimator </w:t>
            </w:r>
          </w:p>
        </w:tc>
        <w:tc>
          <w:tcPr>
            <w:tcW w:w="785" w:type="pct"/>
            <w:tcBorders>
              <w:top w:val="nil"/>
              <w:left w:val="nil"/>
              <w:bottom w:val="nil"/>
              <w:right w:val="nil"/>
            </w:tcBorders>
            <w:shd w:val="clear" w:color="000000" w:fill="F2F2F2"/>
            <w:noWrap/>
            <w:vAlign w:val="center"/>
            <w:hideMark/>
          </w:tcPr>
          <w:p w:rsidR="00EF5E7E" w:rsidRPr="00EF5E7E" w:rsidRDefault="00EF5E7E" w:rsidP="00342B96">
            <w:pPr>
              <w:keepNext/>
              <w:spacing w:after="0" w:line="240" w:lineRule="auto"/>
              <w:rPr>
                <w:rFonts w:eastAsia="Times New Roman"/>
              </w:rPr>
            </w:pPr>
            <w:r w:rsidRPr="00EF5E7E">
              <w:rPr>
                <w:rFonts w:eastAsia="Times New Roman"/>
              </w:rPr>
              <w:t>28</w:t>
            </w:r>
          </w:p>
        </w:tc>
        <w:tc>
          <w:tcPr>
            <w:tcW w:w="1109" w:type="pct"/>
            <w:tcBorders>
              <w:top w:val="nil"/>
              <w:left w:val="nil"/>
              <w:bottom w:val="nil"/>
              <w:right w:val="nil"/>
            </w:tcBorders>
            <w:shd w:val="clear" w:color="000000" w:fill="F2F2F2"/>
            <w:noWrap/>
            <w:vAlign w:val="center"/>
            <w:hideMark/>
          </w:tcPr>
          <w:p w:rsidR="00EF5E7E" w:rsidRPr="00EF5E7E" w:rsidRDefault="00EF5E7E" w:rsidP="00342B96">
            <w:pPr>
              <w:keepNext/>
              <w:spacing w:after="0" w:line="240" w:lineRule="auto"/>
              <w:rPr>
                <w:rFonts w:eastAsia="Times New Roman"/>
              </w:rPr>
            </w:pPr>
            <w:r w:rsidRPr="00EF5E7E">
              <w:rPr>
                <w:rFonts w:eastAsia="Times New Roman"/>
              </w:rPr>
              <w:t>-</w:t>
            </w:r>
          </w:p>
        </w:tc>
        <w:tc>
          <w:tcPr>
            <w:tcW w:w="379" w:type="pct"/>
            <w:tcBorders>
              <w:top w:val="nil"/>
              <w:left w:val="nil"/>
              <w:bottom w:val="nil"/>
              <w:right w:val="nil"/>
            </w:tcBorders>
            <w:shd w:val="clear" w:color="000000" w:fill="F2F2F2"/>
            <w:noWrap/>
            <w:vAlign w:val="center"/>
            <w:hideMark/>
          </w:tcPr>
          <w:p w:rsidR="00EF5E7E" w:rsidRPr="00EF5E7E" w:rsidRDefault="00EF5E7E" w:rsidP="00342B96">
            <w:pPr>
              <w:keepNext/>
              <w:spacing w:after="0" w:line="240" w:lineRule="auto"/>
              <w:rPr>
                <w:rFonts w:eastAsia="Times New Roman"/>
              </w:rPr>
            </w:pPr>
            <w:r w:rsidRPr="00EF5E7E">
              <w:rPr>
                <w:rFonts w:eastAsia="Times New Roman"/>
              </w:rPr>
              <w:t>272</w:t>
            </w:r>
          </w:p>
        </w:tc>
        <w:tc>
          <w:tcPr>
            <w:tcW w:w="1063" w:type="pct"/>
            <w:tcBorders>
              <w:top w:val="nil"/>
              <w:left w:val="nil"/>
              <w:bottom w:val="nil"/>
              <w:right w:val="nil"/>
            </w:tcBorders>
            <w:shd w:val="clear" w:color="000000" w:fill="F2F2F2"/>
            <w:noWrap/>
            <w:hideMark/>
          </w:tcPr>
          <w:p w:rsidR="00EF5E7E" w:rsidRPr="00EF5E7E" w:rsidRDefault="00EF5E7E" w:rsidP="00342B96">
            <w:pPr>
              <w:keepNext/>
              <w:spacing w:after="0" w:line="240" w:lineRule="auto"/>
              <w:rPr>
                <w:rFonts w:eastAsia="Times New Roman"/>
              </w:rPr>
            </w:pPr>
            <w:r w:rsidRPr="00EF5E7E">
              <w:rPr>
                <w:rFonts w:eastAsia="Times New Roman"/>
              </w:rPr>
              <w:t>Carson et al. (1994</w:t>
            </w:r>
            <w:r w:rsidR="00AA22A5">
              <w:rPr>
                <w:rFonts w:eastAsia="Times New Roman"/>
              </w:rPr>
              <w:t>a</w:t>
            </w:r>
            <w:r w:rsidRPr="00EF5E7E">
              <w:rPr>
                <w:rFonts w:eastAsia="Times New Roman"/>
              </w:rPr>
              <w:t>)</w:t>
            </w:r>
          </w:p>
        </w:tc>
      </w:tr>
      <w:tr w:rsidR="00B24304" w:rsidRPr="00EF5E7E" w:rsidTr="00B24304">
        <w:trPr>
          <w:trHeight w:val="300"/>
        </w:trPr>
        <w:tc>
          <w:tcPr>
            <w:tcW w:w="1663" w:type="pct"/>
            <w:tcBorders>
              <w:top w:val="nil"/>
              <w:left w:val="nil"/>
              <w:bottom w:val="single" w:sz="4" w:space="0" w:color="auto"/>
              <w:right w:val="nil"/>
            </w:tcBorders>
            <w:shd w:val="clear" w:color="000000" w:fill="F2F2F2"/>
            <w:noWrap/>
            <w:hideMark/>
          </w:tcPr>
          <w:p w:rsidR="00EF5E7E" w:rsidRPr="00EF5E7E" w:rsidRDefault="00EF5E7E" w:rsidP="00342B96">
            <w:pPr>
              <w:keepNext/>
              <w:spacing w:after="0" w:line="240" w:lineRule="auto"/>
              <w:rPr>
                <w:rFonts w:eastAsia="Times New Roman"/>
              </w:rPr>
            </w:pPr>
            <w:r w:rsidRPr="00EF5E7E">
              <w:rPr>
                <w:rFonts w:eastAsia="Times New Roman"/>
              </w:rPr>
              <w:t>Spike model</w:t>
            </w:r>
          </w:p>
        </w:tc>
        <w:tc>
          <w:tcPr>
            <w:tcW w:w="785" w:type="pct"/>
            <w:tcBorders>
              <w:top w:val="nil"/>
              <w:left w:val="nil"/>
              <w:bottom w:val="single" w:sz="4" w:space="0" w:color="auto"/>
              <w:right w:val="nil"/>
            </w:tcBorders>
            <w:shd w:val="clear" w:color="000000" w:fill="F2F2F2"/>
            <w:noWrap/>
            <w:vAlign w:val="center"/>
            <w:hideMark/>
          </w:tcPr>
          <w:p w:rsidR="00EF5E7E" w:rsidRPr="00EF5E7E" w:rsidRDefault="00330EA7" w:rsidP="00342B96">
            <w:pPr>
              <w:keepNext/>
              <w:spacing w:after="0" w:line="240" w:lineRule="auto"/>
              <w:rPr>
                <w:rFonts w:eastAsia="Times New Roman"/>
              </w:rPr>
            </w:pPr>
            <w:r>
              <w:rPr>
                <w:rFonts w:eastAsia="Times New Roman"/>
              </w:rPr>
              <w:t>122</w:t>
            </w:r>
          </w:p>
        </w:tc>
        <w:tc>
          <w:tcPr>
            <w:tcW w:w="1109" w:type="pct"/>
            <w:tcBorders>
              <w:top w:val="nil"/>
              <w:left w:val="nil"/>
              <w:bottom w:val="single" w:sz="4" w:space="0" w:color="auto"/>
              <w:right w:val="nil"/>
            </w:tcBorders>
            <w:shd w:val="clear" w:color="000000" w:fill="F2F2F2"/>
            <w:noWrap/>
            <w:vAlign w:val="center"/>
            <w:hideMark/>
          </w:tcPr>
          <w:p w:rsidR="00EF5E7E" w:rsidRPr="00EF5E7E" w:rsidRDefault="00EF5E7E" w:rsidP="00342B96">
            <w:pPr>
              <w:keepNext/>
              <w:spacing w:after="0" w:line="240" w:lineRule="auto"/>
              <w:rPr>
                <w:rFonts w:eastAsia="Times New Roman"/>
              </w:rPr>
            </w:pPr>
            <w:r w:rsidRPr="00EF5E7E">
              <w:rPr>
                <w:rFonts w:eastAsia="Times New Roman"/>
              </w:rPr>
              <w:t>136</w:t>
            </w:r>
          </w:p>
        </w:tc>
        <w:tc>
          <w:tcPr>
            <w:tcW w:w="379" w:type="pct"/>
            <w:tcBorders>
              <w:top w:val="nil"/>
              <w:left w:val="nil"/>
              <w:bottom w:val="single" w:sz="4" w:space="0" w:color="auto"/>
              <w:right w:val="nil"/>
            </w:tcBorders>
            <w:shd w:val="clear" w:color="000000" w:fill="F2F2F2"/>
            <w:noWrap/>
            <w:vAlign w:val="center"/>
            <w:hideMark/>
          </w:tcPr>
          <w:p w:rsidR="00EF5E7E" w:rsidRPr="00EF5E7E" w:rsidRDefault="00330EA7" w:rsidP="00342B96">
            <w:pPr>
              <w:keepNext/>
              <w:spacing w:after="0" w:line="240" w:lineRule="auto"/>
              <w:rPr>
                <w:rFonts w:eastAsia="Times New Roman"/>
              </w:rPr>
            </w:pPr>
            <w:r>
              <w:rPr>
                <w:rFonts w:eastAsia="Times New Roman"/>
              </w:rPr>
              <w:t>150</w:t>
            </w:r>
          </w:p>
        </w:tc>
        <w:tc>
          <w:tcPr>
            <w:tcW w:w="1063" w:type="pct"/>
            <w:tcBorders>
              <w:top w:val="nil"/>
              <w:left w:val="nil"/>
              <w:bottom w:val="single" w:sz="4" w:space="0" w:color="auto"/>
              <w:right w:val="nil"/>
            </w:tcBorders>
            <w:shd w:val="clear" w:color="000000" w:fill="F2F2F2"/>
            <w:noWrap/>
            <w:hideMark/>
          </w:tcPr>
          <w:p w:rsidR="00EF5E7E" w:rsidRPr="00EF5E7E" w:rsidRDefault="00EF5E7E" w:rsidP="00342B96">
            <w:pPr>
              <w:keepNext/>
              <w:spacing w:after="0" w:line="240" w:lineRule="auto"/>
              <w:rPr>
                <w:rFonts w:eastAsia="Times New Roman"/>
              </w:rPr>
            </w:pPr>
            <w:proofErr w:type="spellStart"/>
            <w:r w:rsidRPr="00EF5E7E">
              <w:rPr>
                <w:rFonts w:eastAsia="Times New Roman"/>
              </w:rPr>
              <w:t>Kristrom</w:t>
            </w:r>
            <w:proofErr w:type="spellEnd"/>
            <w:r w:rsidRPr="00EF5E7E">
              <w:rPr>
                <w:rFonts w:eastAsia="Times New Roman"/>
              </w:rPr>
              <w:t xml:space="preserve"> (1997)</w:t>
            </w:r>
          </w:p>
        </w:tc>
      </w:tr>
    </w:tbl>
    <w:p w:rsidR="00D51D2E" w:rsidRDefault="005D7B6D" w:rsidP="00D51D2E">
      <w:pPr>
        <w:pStyle w:val="Heading1"/>
      </w:pPr>
      <w:bookmarkStart w:id="3" w:name="_Toc479082651"/>
      <w:r>
        <w:t>Subgroup level results</w:t>
      </w:r>
      <w:bookmarkEnd w:id="3"/>
    </w:p>
    <w:p w:rsidR="009F631A" w:rsidRDefault="00E92D82" w:rsidP="005D7B6D">
      <w:r>
        <w:t xml:space="preserve">WTP varies substantially </w:t>
      </w:r>
      <w:r w:rsidR="001E2086">
        <w:t>between individuals</w:t>
      </w:r>
      <w:r w:rsidR="002F233A">
        <w:t>,</w:t>
      </w:r>
      <w:r>
        <w:t xml:space="preserve"> from </w:t>
      </w:r>
      <w:r w:rsidR="001E2086">
        <w:t>potentially</w:t>
      </w:r>
      <w:r>
        <w:t xml:space="preserve"> negative</w:t>
      </w:r>
      <w:r w:rsidR="00513A6A">
        <w:t xml:space="preserve"> suggest</w:t>
      </w:r>
      <w:r w:rsidR="00D51D2E">
        <w:t>ing</w:t>
      </w:r>
      <w:r w:rsidR="00513A6A">
        <w:t xml:space="preserve"> opposition</w:t>
      </w:r>
      <w:r>
        <w:t xml:space="preserve"> to</w:t>
      </w:r>
      <w:r w:rsidR="00D51D2E">
        <w:t xml:space="preserve"> such a policy</w:t>
      </w:r>
      <w:r w:rsidR="002F233A">
        <w:t xml:space="preserve"> to</w:t>
      </w:r>
      <w:r>
        <w:t xml:space="preserve"> large</w:t>
      </w:r>
      <w:r w:rsidR="001E2086">
        <w:t xml:space="preserve"> positive</w:t>
      </w:r>
      <w:r w:rsidR="00513A6A">
        <w:t>s</w:t>
      </w:r>
      <w:r w:rsidR="001E2086">
        <w:t xml:space="preserve"> </w:t>
      </w:r>
      <w:r w:rsidR="00513A6A">
        <w:t xml:space="preserve">indicating an </w:t>
      </w:r>
      <w:r>
        <w:t xml:space="preserve">indifference </w:t>
      </w:r>
      <w:r w:rsidR="001E2086">
        <w:t>to</w:t>
      </w:r>
      <w:r>
        <w:t xml:space="preserve"> the price of combating global warming.</w:t>
      </w:r>
      <w:r w:rsidR="00887F77">
        <w:t xml:space="preserve">  This </w:t>
      </w:r>
      <w:r w:rsidR="00887F77">
        <w:lastRenderedPageBreak/>
        <w:t>section compares willingness to pay between sub</w:t>
      </w:r>
      <w:r w:rsidR="00C2195F">
        <w:t xml:space="preserve">populations in the survey.  WTP is estimated by political affiliation or leaning, stated global warming beliefs, and the </w:t>
      </w:r>
      <w:r w:rsidR="001947C4">
        <w:t>Global Warming’s Six Americas groups from the Yale Project on Climate Change Communication and George Mason University Center for Climate Change Communication (</w:t>
      </w:r>
      <w:r w:rsidR="001947C4" w:rsidRPr="001A2871">
        <w:t xml:space="preserve">Leiserowitz, </w:t>
      </w:r>
      <w:proofErr w:type="spellStart"/>
      <w:r w:rsidR="001947C4" w:rsidRPr="001A2871">
        <w:t>Maibach</w:t>
      </w:r>
      <w:proofErr w:type="spellEnd"/>
      <w:r w:rsidR="001947C4">
        <w:t>,</w:t>
      </w:r>
      <w:r w:rsidR="001947C4" w:rsidRPr="001A2871">
        <w:t xml:space="preserve"> </w:t>
      </w:r>
      <w:r w:rsidR="001947C4">
        <w:t>&amp;</w:t>
      </w:r>
      <w:r w:rsidR="001947C4" w:rsidRPr="001A2871">
        <w:t xml:space="preserve"> </w:t>
      </w:r>
      <w:proofErr w:type="spellStart"/>
      <w:r w:rsidR="001947C4" w:rsidRPr="001A2871">
        <w:t>Roser-Renouf</w:t>
      </w:r>
      <w:proofErr w:type="spellEnd"/>
      <w:r w:rsidR="001947C4">
        <w:t>, 2009).</w:t>
      </w:r>
      <w:r w:rsidR="00AF0F54">
        <w:t xml:space="preserve">  In each case, all other variables are held at their means and t</w:t>
      </w:r>
      <w:r w:rsidR="00E5028B">
        <w:t>he results are consolidated in Table 5.</w:t>
      </w:r>
    </w:p>
    <w:p w:rsidR="00AF0F54" w:rsidRDefault="008F46C6" w:rsidP="005B02DC">
      <w:pPr>
        <w:spacing w:before="240"/>
      </w:pPr>
      <w:r>
        <w:t xml:space="preserve">First, WTP is estimated by political leaning.  These categories represent both respondents who identify with a particular political party of indicate a preference, or leaning for one.  </w:t>
      </w:r>
      <w:r w:rsidR="00AF47DE">
        <w:t xml:space="preserve">The base group, democrats, have a mean WTP of </w:t>
      </w:r>
      <w:r w:rsidR="00BB4D1C">
        <w:t xml:space="preserve">$269 while republicans </w:t>
      </w:r>
      <w:r w:rsidR="00E73041">
        <w:t xml:space="preserve">have a </w:t>
      </w:r>
      <w:r w:rsidR="00BB4D1C">
        <w:t>mean WTP</w:t>
      </w:r>
      <w:r w:rsidR="00E73041">
        <w:t xml:space="preserve"> $40 lower than the consolidated</w:t>
      </w:r>
      <w:r w:rsidR="00BB4D1C">
        <w:t xml:space="preserve"> when climate change beliefs are held at the survey means.</w:t>
      </w:r>
      <w:r w:rsidR="00E73041">
        <w:t xml:space="preserve">  In fact, each group has a mean WTP that is positive under the covariates held at their means restriction.  As supported by the coefficients of the results in Table 3, it is actually climate change beliefs independent of political affiliation that have the largest impact on WTP.  </w:t>
      </w:r>
    </w:p>
    <w:p w:rsidR="00E73041" w:rsidRDefault="00E73041" w:rsidP="005B02DC">
      <w:pPr>
        <w:spacing w:before="240"/>
      </w:pPr>
      <w:r>
        <w:t xml:space="preserve">Following from the political affiliation result, WTP by global warming belief is estimated.  For a member of the population who is otherwise average, these beliefs substantially </w:t>
      </w:r>
      <w:r w:rsidR="00295B9C">
        <w:t xml:space="preserve">impact WTP.  </w:t>
      </w:r>
      <w:r w:rsidR="00295B9C" w:rsidRPr="00295B9C">
        <w:t xml:space="preserve">Here WTP is estimated </w:t>
      </w:r>
      <w:r w:rsidR="00295B9C">
        <w:t>to be negative</w:t>
      </w:r>
      <w:r w:rsidR="00295B9C" w:rsidRPr="00295B9C">
        <w:t xml:space="preserve"> for both those who don’t believe</w:t>
      </w:r>
      <w:r w:rsidR="00295B9C">
        <w:t xml:space="preserve"> in climate change</w:t>
      </w:r>
      <w:r w:rsidR="00295B9C" w:rsidRPr="00295B9C">
        <w:t xml:space="preserve"> and th</w:t>
      </w:r>
      <w:r w:rsidR="00295B9C">
        <w:t>ose who reply ‘don’t know’ to a query of their beliefs.  This is an interesting result- it would be reasonable to have a wi</w:t>
      </w:r>
      <w:r w:rsidR="00923F18">
        <w:t xml:space="preserve">llingness to pay of zero for a new policy, but a negative suggests a willingness to increase their taxes without an increase in benefits.  It may also imply a belief that such a policy would cost them substantially more and so they have a WTP against the policy which they think would result in an even larger penalty.  However, it would seem like an extreme suspicion to believe such an energy tax would result in greater than a $379/year, </w:t>
      </w:r>
      <w:r w:rsidR="005E299E">
        <w:t>or 2</w:t>
      </w:r>
      <w:r w:rsidR="00923F18">
        <w:t>8-percent on average, increase.</w:t>
      </w:r>
    </w:p>
    <w:p w:rsidR="00396B84" w:rsidRDefault="000F081E" w:rsidP="002B0892">
      <w:pPr>
        <w:spacing w:before="240"/>
      </w:pPr>
      <w:r>
        <w:t>As a third alternative, the Global Warming’s Six Americas categories, which were derived during the survey process, are substituted in place of the global warming belief</w:t>
      </w:r>
      <w:r w:rsidR="00703565">
        <w:t xml:space="preserve"> indicators in the analysis.  They represent a spectrum of beliefs on climate change</w:t>
      </w:r>
      <w:r w:rsidR="000D67C9">
        <w:t>.  On one end,</w:t>
      </w:r>
      <w:r w:rsidR="00703565">
        <w:t xml:space="preserve"> </w:t>
      </w:r>
      <w:r w:rsidR="000D67C9">
        <w:t>the A</w:t>
      </w:r>
      <w:r w:rsidR="00703565">
        <w:t xml:space="preserve">larmed </w:t>
      </w:r>
      <w:r w:rsidR="000D67C9">
        <w:t>are thoroughly convinced that it is occurring and strongly in favor of policy to curtail it.  On the other end of the spectrum, the Dismissive are equally convinced against global warming, its causes, and whether any action is warranted.</w:t>
      </w:r>
      <w:r w:rsidR="00294512">
        <w:t xml:space="preserve">  This latter group al</w:t>
      </w:r>
      <w:r w:rsidR="002B0892">
        <w:t>so tend to report a belief in various forms of conspiracy theory against global warming.  Due to these firmly held beliefs, they tend to be motivated to spend against such a carbon tax as it is basically seen as paying to oppose some ominous force- a strong motivator.</w:t>
      </w:r>
    </w:p>
    <w:p w:rsidR="00131015" w:rsidRDefault="00526D49" w:rsidP="002B0892">
      <w:pPr>
        <w:spacing w:before="240"/>
      </w:pPr>
      <w:r>
        <w:t>The results of the Six Americas alternative suggest those with global warming beliefs are entirely driving the WTP result as one would expect.  Respondents who are disengaged- those who have little knowledge, interest, or belief in global warming one way of the other, also have a mean WTP of approximately zero.  They then appear truly disengaged.  Those that are doubtful, and particularly the Dismissive, have a large WTP on average in opposition to such a policy.</w:t>
      </w:r>
      <w:r w:rsidR="00131015">
        <w:t xml:space="preserve">  </w:t>
      </w:r>
    </w:p>
    <w:p w:rsidR="007F2ABD" w:rsidRDefault="00131015" w:rsidP="00396B84">
      <w:r>
        <w:t xml:space="preserve">It must be noted that these WTP measures should be interpreted as net of any rebates.  </w:t>
      </w:r>
      <w:r w:rsidR="00F14794">
        <w:t>As the Climate Leadership Council’s proposal includes large cash rebates, if the rebate exceeds the cost to the Dismissive audience, many may very well come to support the policy.  The Dismissive subgroup requires such a rebate in excessive of the added cost of at least $361, or a 26-percent offset in energy bills on average, to overcome their reservations.</w:t>
      </w:r>
      <w:r w:rsidR="00580466">
        <w:t xml:space="preserve">  Unfortunately, making such predictions of how the conservative proposal will impact the Dismissive and other groups is beyond the capacity of the current survey to answer.  It is an interesting question, however, that may warrant later work.</w:t>
      </w:r>
    </w:p>
    <w:tbl>
      <w:tblPr>
        <w:tblW w:w="5000" w:type="pct"/>
        <w:tblLook w:val="04A0" w:firstRow="1" w:lastRow="0" w:firstColumn="1" w:lastColumn="0" w:noHBand="0" w:noVBand="1"/>
      </w:tblPr>
      <w:tblGrid>
        <w:gridCol w:w="3330"/>
        <w:gridCol w:w="2879"/>
        <w:gridCol w:w="3151"/>
      </w:tblGrid>
      <w:tr w:rsidR="009F631A" w:rsidRPr="002C4867" w:rsidTr="007F2ABD">
        <w:trPr>
          <w:trHeight w:val="300"/>
        </w:trPr>
        <w:tc>
          <w:tcPr>
            <w:tcW w:w="5000" w:type="pct"/>
            <w:gridSpan w:val="3"/>
            <w:tcBorders>
              <w:top w:val="nil"/>
              <w:left w:val="nil"/>
              <w:bottom w:val="single" w:sz="4" w:space="0" w:color="auto"/>
              <w:right w:val="nil"/>
            </w:tcBorders>
            <w:shd w:val="clear" w:color="000000" w:fill="D0CECE"/>
            <w:noWrap/>
            <w:hideMark/>
          </w:tcPr>
          <w:p w:rsidR="009F631A" w:rsidRPr="002C4867" w:rsidRDefault="009F631A" w:rsidP="007F2ABD">
            <w:pPr>
              <w:keepNext/>
              <w:spacing w:after="0" w:line="240" w:lineRule="auto"/>
              <w:rPr>
                <w:rFonts w:eastAsia="Times New Roman"/>
                <w:b/>
                <w:bCs/>
              </w:rPr>
            </w:pPr>
            <w:r w:rsidRPr="002C4867">
              <w:rPr>
                <w:rFonts w:eastAsia="Times New Roman"/>
                <w:b/>
                <w:bCs/>
              </w:rPr>
              <w:lastRenderedPageBreak/>
              <w:t>Table 5 | Willingness to pay by subgroup</w:t>
            </w:r>
          </w:p>
        </w:tc>
      </w:tr>
      <w:tr w:rsidR="009F631A" w:rsidRPr="002C4867" w:rsidTr="007F2ABD">
        <w:trPr>
          <w:trHeight w:val="300"/>
        </w:trPr>
        <w:tc>
          <w:tcPr>
            <w:tcW w:w="1779" w:type="pct"/>
            <w:tcBorders>
              <w:top w:val="nil"/>
              <w:left w:val="nil"/>
              <w:bottom w:val="single" w:sz="4" w:space="0" w:color="auto"/>
              <w:right w:val="nil"/>
            </w:tcBorders>
            <w:shd w:val="clear" w:color="000000" w:fill="F2F2F2"/>
            <w:noWrap/>
            <w:vAlign w:val="bottom"/>
            <w:hideMark/>
          </w:tcPr>
          <w:p w:rsidR="009F631A" w:rsidRPr="002C4867" w:rsidRDefault="009F631A" w:rsidP="007F2ABD">
            <w:pPr>
              <w:keepNext/>
              <w:spacing w:after="0" w:line="240" w:lineRule="auto"/>
              <w:rPr>
                <w:rFonts w:eastAsia="Times New Roman"/>
                <w:b/>
                <w:bCs/>
              </w:rPr>
            </w:pPr>
            <w:r w:rsidRPr="002C4867">
              <w:rPr>
                <w:rFonts w:eastAsia="Times New Roman"/>
                <w:b/>
                <w:bCs/>
              </w:rPr>
              <w:t> </w:t>
            </w:r>
          </w:p>
        </w:tc>
        <w:tc>
          <w:tcPr>
            <w:tcW w:w="1538" w:type="pct"/>
            <w:tcBorders>
              <w:top w:val="nil"/>
              <w:left w:val="nil"/>
              <w:bottom w:val="single" w:sz="4" w:space="0" w:color="auto"/>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mean WTP ($)</w:t>
            </w:r>
          </w:p>
        </w:tc>
        <w:tc>
          <w:tcPr>
            <w:tcW w:w="1683" w:type="pct"/>
            <w:tcBorders>
              <w:top w:val="nil"/>
              <w:left w:val="nil"/>
              <w:bottom w:val="single" w:sz="4" w:space="0" w:color="auto"/>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Pr>
                <w:rFonts w:eastAsia="Times New Roman"/>
              </w:rPr>
              <w:t>Share of r</w:t>
            </w:r>
            <w:r w:rsidRPr="002C4867">
              <w:rPr>
                <w:rFonts w:eastAsia="Times New Roman"/>
              </w:rPr>
              <w:t>espondents (%)</w:t>
            </w:r>
          </w:p>
        </w:tc>
      </w:tr>
      <w:tr w:rsidR="009F631A" w:rsidRPr="002C4867" w:rsidTr="00930094">
        <w:trPr>
          <w:trHeight w:val="300"/>
        </w:trPr>
        <w:tc>
          <w:tcPr>
            <w:tcW w:w="1779" w:type="pct"/>
            <w:tcBorders>
              <w:top w:val="nil"/>
              <w:left w:val="nil"/>
              <w:bottom w:val="nil"/>
              <w:right w:val="nil"/>
            </w:tcBorders>
            <w:shd w:val="clear" w:color="000000" w:fill="F2F2F2"/>
            <w:noWrap/>
            <w:hideMark/>
          </w:tcPr>
          <w:p w:rsidR="009F631A" w:rsidRPr="002C4867" w:rsidRDefault="009F631A" w:rsidP="00930094">
            <w:pPr>
              <w:keepNext/>
              <w:spacing w:after="0" w:line="240" w:lineRule="auto"/>
              <w:jc w:val="center"/>
              <w:rPr>
                <w:rFonts w:eastAsia="Times New Roman"/>
                <w:u w:val="single"/>
              </w:rPr>
            </w:pPr>
            <w:r w:rsidRPr="002C4867">
              <w:rPr>
                <w:rFonts w:eastAsia="Times New Roman"/>
                <w:u w:val="single"/>
              </w:rPr>
              <w:t>Political affiliation or leaning</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 </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Democrats</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269</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43.8</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Republicans</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137</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36.5</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Independents</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35</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8.4</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No party</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65</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11.2</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 </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 </w:t>
            </w:r>
          </w:p>
        </w:tc>
      </w:tr>
      <w:tr w:rsidR="009F631A" w:rsidRPr="002C4867" w:rsidTr="00930094">
        <w:trPr>
          <w:trHeight w:val="300"/>
        </w:trPr>
        <w:tc>
          <w:tcPr>
            <w:tcW w:w="1779" w:type="pct"/>
            <w:tcBorders>
              <w:top w:val="nil"/>
              <w:left w:val="nil"/>
              <w:bottom w:val="nil"/>
              <w:right w:val="nil"/>
            </w:tcBorders>
            <w:shd w:val="clear" w:color="000000" w:fill="F2F2F2"/>
            <w:noWrap/>
            <w:hideMark/>
          </w:tcPr>
          <w:p w:rsidR="009F631A" w:rsidRPr="002C4867" w:rsidRDefault="009F631A" w:rsidP="00930094">
            <w:pPr>
              <w:keepNext/>
              <w:spacing w:after="0" w:line="240" w:lineRule="auto"/>
              <w:jc w:val="center"/>
              <w:rPr>
                <w:rFonts w:eastAsia="Times New Roman"/>
                <w:u w:val="single"/>
              </w:rPr>
            </w:pPr>
            <w:r w:rsidRPr="002C4867">
              <w:rPr>
                <w:rFonts w:eastAsia="Times New Roman"/>
                <w:u w:val="single"/>
              </w:rPr>
              <w:t>Globa</w:t>
            </w:r>
            <w:r>
              <w:rPr>
                <w:rFonts w:eastAsia="Times New Roman"/>
                <w:u w:val="single"/>
              </w:rPr>
              <w:t>l</w:t>
            </w:r>
            <w:r w:rsidRPr="002C4867">
              <w:rPr>
                <w:rFonts w:eastAsia="Times New Roman"/>
                <w:u w:val="single"/>
              </w:rPr>
              <w:t xml:space="preserve"> warming beliefs</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 </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Yes</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342</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70.1</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No</w:t>
            </w:r>
          </w:p>
        </w:tc>
        <w:tc>
          <w:tcPr>
            <w:tcW w:w="1538" w:type="pct"/>
            <w:tcBorders>
              <w:top w:val="nil"/>
              <w:left w:val="nil"/>
              <w:bottom w:val="nil"/>
              <w:right w:val="nil"/>
            </w:tcBorders>
            <w:shd w:val="clear" w:color="000000" w:fill="F2F2F2"/>
            <w:noWrap/>
            <w:vAlign w:val="bottom"/>
            <w:hideMark/>
          </w:tcPr>
          <w:p w:rsidR="009F631A" w:rsidRPr="009F631A" w:rsidRDefault="009F631A" w:rsidP="007F2ABD">
            <w:pPr>
              <w:keepNext/>
              <w:spacing w:after="0" w:line="240" w:lineRule="auto"/>
              <w:jc w:val="center"/>
              <w:rPr>
                <w:rFonts w:eastAsia="Times New Roman"/>
                <w:color w:val="FF0000"/>
              </w:rPr>
            </w:pPr>
            <w:r w:rsidRPr="009F631A">
              <w:rPr>
                <w:rFonts w:eastAsia="Times New Roman"/>
                <w:color w:val="FF0000"/>
              </w:rPr>
              <w:t>-379</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12.6</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Don't know</w:t>
            </w:r>
          </w:p>
        </w:tc>
        <w:tc>
          <w:tcPr>
            <w:tcW w:w="1538" w:type="pct"/>
            <w:tcBorders>
              <w:top w:val="nil"/>
              <w:left w:val="nil"/>
              <w:bottom w:val="nil"/>
              <w:right w:val="nil"/>
            </w:tcBorders>
            <w:shd w:val="clear" w:color="000000" w:fill="F2F2F2"/>
            <w:noWrap/>
            <w:vAlign w:val="bottom"/>
            <w:hideMark/>
          </w:tcPr>
          <w:p w:rsidR="009F631A" w:rsidRPr="009F631A" w:rsidRDefault="009F631A" w:rsidP="007F2ABD">
            <w:pPr>
              <w:keepNext/>
              <w:spacing w:after="0" w:line="240" w:lineRule="auto"/>
              <w:jc w:val="center"/>
              <w:rPr>
                <w:rFonts w:eastAsia="Times New Roman"/>
                <w:color w:val="FF0000"/>
              </w:rPr>
            </w:pPr>
            <w:r w:rsidRPr="009F631A">
              <w:rPr>
                <w:rFonts w:eastAsia="Times New Roman"/>
                <w:color w:val="FF0000"/>
              </w:rPr>
              <w:t>-81</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17.3</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 </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 </w:t>
            </w:r>
          </w:p>
        </w:tc>
      </w:tr>
      <w:tr w:rsidR="009F631A" w:rsidRPr="002C4867" w:rsidTr="00930094">
        <w:trPr>
          <w:trHeight w:val="300"/>
        </w:trPr>
        <w:tc>
          <w:tcPr>
            <w:tcW w:w="1779" w:type="pct"/>
            <w:tcBorders>
              <w:top w:val="nil"/>
              <w:left w:val="nil"/>
              <w:bottom w:val="nil"/>
              <w:right w:val="nil"/>
            </w:tcBorders>
            <w:shd w:val="clear" w:color="000000" w:fill="F2F2F2"/>
            <w:noWrap/>
            <w:hideMark/>
          </w:tcPr>
          <w:p w:rsidR="009F631A" w:rsidRPr="002C4867" w:rsidRDefault="009F631A" w:rsidP="00930094">
            <w:pPr>
              <w:keepNext/>
              <w:spacing w:after="0" w:line="240" w:lineRule="auto"/>
              <w:jc w:val="center"/>
              <w:rPr>
                <w:rFonts w:eastAsia="Times New Roman"/>
                <w:u w:val="single"/>
              </w:rPr>
            </w:pPr>
            <w:r w:rsidRPr="002C4867">
              <w:rPr>
                <w:rFonts w:eastAsia="Times New Roman"/>
                <w:u w:val="single"/>
              </w:rPr>
              <w:t>Six Americas indicator</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 </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 </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Alarmed</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435</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18.4</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Concerned</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318</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34.0</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Cautious</w:t>
            </w:r>
          </w:p>
        </w:tc>
        <w:tc>
          <w:tcPr>
            <w:tcW w:w="1538"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77</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22.8</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Disengaged</w:t>
            </w:r>
          </w:p>
        </w:tc>
        <w:tc>
          <w:tcPr>
            <w:tcW w:w="1538" w:type="pct"/>
            <w:tcBorders>
              <w:top w:val="nil"/>
              <w:left w:val="nil"/>
              <w:bottom w:val="nil"/>
              <w:right w:val="nil"/>
            </w:tcBorders>
            <w:shd w:val="clear" w:color="000000" w:fill="F2F2F2"/>
            <w:noWrap/>
            <w:vAlign w:val="bottom"/>
            <w:hideMark/>
          </w:tcPr>
          <w:p w:rsidR="009F631A" w:rsidRPr="009F631A" w:rsidRDefault="009F631A" w:rsidP="007F2ABD">
            <w:pPr>
              <w:keepNext/>
              <w:spacing w:after="0" w:line="240" w:lineRule="auto"/>
              <w:jc w:val="center"/>
              <w:rPr>
                <w:rFonts w:eastAsia="Times New Roman"/>
                <w:color w:val="FF0000"/>
              </w:rPr>
            </w:pPr>
            <w:r w:rsidRPr="009F631A">
              <w:rPr>
                <w:rFonts w:eastAsia="Times New Roman"/>
                <w:color w:val="FF0000"/>
              </w:rPr>
              <w:t>-2</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5.2</w:t>
            </w:r>
          </w:p>
        </w:tc>
      </w:tr>
      <w:tr w:rsidR="009F631A" w:rsidRPr="002C4867" w:rsidTr="007F2ABD">
        <w:trPr>
          <w:trHeight w:val="300"/>
        </w:trPr>
        <w:tc>
          <w:tcPr>
            <w:tcW w:w="1779"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Doubtful</w:t>
            </w:r>
          </w:p>
        </w:tc>
        <w:tc>
          <w:tcPr>
            <w:tcW w:w="1538" w:type="pct"/>
            <w:tcBorders>
              <w:top w:val="nil"/>
              <w:left w:val="nil"/>
              <w:bottom w:val="nil"/>
              <w:right w:val="nil"/>
            </w:tcBorders>
            <w:shd w:val="clear" w:color="000000" w:fill="F2F2F2"/>
            <w:noWrap/>
            <w:vAlign w:val="bottom"/>
            <w:hideMark/>
          </w:tcPr>
          <w:p w:rsidR="009F631A" w:rsidRPr="009F631A" w:rsidRDefault="009F631A" w:rsidP="007F2ABD">
            <w:pPr>
              <w:keepNext/>
              <w:spacing w:after="0" w:line="240" w:lineRule="auto"/>
              <w:jc w:val="center"/>
              <w:rPr>
                <w:rFonts w:eastAsia="Times New Roman"/>
                <w:color w:val="FF0000"/>
              </w:rPr>
            </w:pPr>
            <w:r w:rsidRPr="009F631A">
              <w:rPr>
                <w:rFonts w:eastAsia="Times New Roman"/>
                <w:color w:val="FF0000"/>
              </w:rPr>
              <w:t>-173</w:t>
            </w:r>
          </w:p>
        </w:tc>
        <w:tc>
          <w:tcPr>
            <w:tcW w:w="1683" w:type="pct"/>
            <w:tcBorders>
              <w:top w:val="nil"/>
              <w:left w:val="nil"/>
              <w:bottom w:val="nil"/>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10.5</w:t>
            </w:r>
          </w:p>
        </w:tc>
      </w:tr>
      <w:tr w:rsidR="009F631A" w:rsidRPr="002C4867" w:rsidTr="007F2ABD">
        <w:trPr>
          <w:trHeight w:val="300"/>
        </w:trPr>
        <w:tc>
          <w:tcPr>
            <w:tcW w:w="1779" w:type="pct"/>
            <w:tcBorders>
              <w:top w:val="nil"/>
              <w:left w:val="nil"/>
              <w:bottom w:val="single" w:sz="4" w:space="0" w:color="auto"/>
              <w:right w:val="nil"/>
            </w:tcBorders>
            <w:shd w:val="clear" w:color="000000" w:fill="F2F2F2"/>
            <w:noWrap/>
            <w:vAlign w:val="bottom"/>
            <w:hideMark/>
          </w:tcPr>
          <w:p w:rsidR="009F631A" w:rsidRPr="002C4867" w:rsidRDefault="009F631A" w:rsidP="007F2ABD">
            <w:pPr>
              <w:keepNext/>
              <w:spacing w:after="0" w:line="240" w:lineRule="auto"/>
              <w:rPr>
                <w:rFonts w:eastAsia="Times New Roman"/>
              </w:rPr>
            </w:pPr>
            <w:r w:rsidRPr="002C4867">
              <w:rPr>
                <w:rFonts w:eastAsia="Times New Roman"/>
              </w:rPr>
              <w:t>Dismissive</w:t>
            </w:r>
          </w:p>
        </w:tc>
        <w:tc>
          <w:tcPr>
            <w:tcW w:w="1538" w:type="pct"/>
            <w:tcBorders>
              <w:top w:val="nil"/>
              <w:left w:val="nil"/>
              <w:bottom w:val="single" w:sz="4" w:space="0" w:color="auto"/>
              <w:right w:val="nil"/>
            </w:tcBorders>
            <w:shd w:val="clear" w:color="000000" w:fill="F2F2F2"/>
            <w:noWrap/>
            <w:vAlign w:val="bottom"/>
            <w:hideMark/>
          </w:tcPr>
          <w:p w:rsidR="009F631A" w:rsidRPr="009F631A" w:rsidRDefault="009F631A" w:rsidP="007F2ABD">
            <w:pPr>
              <w:keepNext/>
              <w:spacing w:after="0" w:line="240" w:lineRule="auto"/>
              <w:jc w:val="center"/>
              <w:rPr>
                <w:rFonts w:eastAsia="Times New Roman"/>
                <w:color w:val="FF0000"/>
              </w:rPr>
            </w:pPr>
            <w:r w:rsidRPr="009F631A">
              <w:rPr>
                <w:rFonts w:eastAsia="Times New Roman"/>
                <w:color w:val="FF0000"/>
              </w:rPr>
              <w:t>-361</w:t>
            </w:r>
          </w:p>
        </w:tc>
        <w:tc>
          <w:tcPr>
            <w:tcW w:w="1683" w:type="pct"/>
            <w:tcBorders>
              <w:top w:val="nil"/>
              <w:left w:val="nil"/>
              <w:bottom w:val="single" w:sz="4" w:space="0" w:color="auto"/>
              <w:right w:val="nil"/>
            </w:tcBorders>
            <w:shd w:val="clear" w:color="000000" w:fill="F2F2F2"/>
            <w:noWrap/>
            <w:vAlign w:val="bottom"/>
            <w:hideMark/>
          </w:tcPr>
          <w:p w:rsidR="009F631A" w:rsidRPr="002C4867" w:rsidRDefault="009F631A" w:rsidP="007F2ABD">
            <w:pPr>
              <w:keepNext/>
              <w:spacing w:after="0" w:line="240" w:lineRule="auto"/>
              <w:jc w:val="center"/>
              <w:rPr>
                <w:rFonts w:eastAsia="Times New Roman"/>
              </w:rPr>
            </w:pPr>
            <w:r w:rsidRPr="002C4867">
              <w:rPr>
                <w:rFonts w:eastAsia="Times New Roman"/>
              </w:rPr>
              <w:t>9.1</w:t>
            </w:r>
          </w:p>
        </w:tc>
      </w:tr>
      <w:tr w:rsidR="009F631A" w:rsidRPr="002C4867" w:rsidTr="007F2ABD">
        <w:trPr>
          <w:trHeight w:val="300"/>
        </w:trPr>
        <w:tc>
          <w:tcPr>
            <w:tcW w:w="5000" w:type="pct"/>
            <w:gridSpan w:val="3"/>
            <w:tcBorders>
              <w:top w:val="single" w:sz="4" w:space="0" w:color="auto"/>
              <w:left w:val="nil"/>
              <w:bottom w:val="nil"/>
              <w:right w:val="nil"/>
            </w:tcBorders>
            <w:shd w:val="clear" w:color="000000" w:fill="F2F2F2"/>
            <w:noWrap/>
            <w:hideMark/>
          </w:tcPr>
          <w:p w:rsidR="009F631A" w:rsidRPr="002C4867" w:rsidRDefault="009F631A" w:rsidP="007F2ABD">
            <w:pPr>
              <w:keepNext/>
              <w:spacing w:after="0" w:line="240" w:lineRule="auto"/>
              <w:rPr>
                <w:rFonts w:eastAsia="Times New Roman"/>
                <w:sz w:val="18"/>
                <w:szCs w:val="18"/>
              </w:rPr>
            </w:pPr>
            <w:r w:rsidRPr="002C4867">
              <w:rPr>
                <w:rFonts w:eastAsia="Times New Roman"/>
                <w:sz w:val="18"/>
                <w:szCs w:val="18"/>
              </w:rPr>
              <w:t> </w:t>
            </w:r>
          </w:p>
        </w:tc>
      </w:tr>
    </w:tbl>
    <w:p w:rsidR="00D51D2E" w:rsidRDefault="00D51D2E" w:rsidP="00D51D2E">
      <w:pPr>
        <w:pStyle w:val="Heading1"/>
      </w:pPr>
      <w:bookmarkStart w:id="4" w:name="_Toc479082652"/>
      <w:r>
        <w:t>Discussion and conclusion</w:t>
      </w:r>
      <w:bookmarkEnd w:id="4"/>
    </w:p>
    <w:p w:rsidR="00DF7EE2" w:rsidRDefault="003A7D3E" w:rsidP="00C947F1">
      <w:pPr>
        <w:rPr>
          <w:rFonts w:eastAsia="Times New Roman"/>
        </w:rPr>
      </w:pPr>
      <w:r>
        <w:t>The</w:t>
      </w:r>
      <w:r w:rsidR="009F631A">
        <w:t xml:space="preserve"> primary result, a mean </w:t>
      </w:r>
      <w:r>
        <w:t xml:space="preserve">WTP </w:t>
      </w:r>
      <w:r w:rsidR="009F631A">
        <w:t>of $177</w:t>
      </w:r>
      <w:r w:rsidR="00DF7EE2">
        <w:t>, inform</w:t>
      </w:r>
      <w:r w:rsidR="009F631A">
        <w:t>s</w:t>
      </w:r>
      <w:r w:rsidR="00DF7EE2">
        <w:t xml:space="preserve"> on mean support for the proposed measure</w:t>
      </w:r>
      <w:r w:rsidR="002F233A">
        <w:t xml:space="preserve"> in the United States</w:t>
      </w:r>
      <w:r w:rsidR="00DF7EE2">
        <w:t xml:space="preserve">.  In combination with </w:t>
      </w:r>
      <w:r w:rsidR="00513A6A">
        <w:t xml:space="preserve">the </w:t>
      </w:r>
      <w:r w:rsidR="00DF7EE2">
        <w:t>distributio</w:t>
      </w:r>
      <w:r w:rsidR="00617C73">
        <w:t>nal preferences noted in Table 1</w:t>
      </w:r>
      <w:r w:rsidR="002F233A">
        <w:t xml:space="preserve">, it </w:t>
      </w:r>
      <w:r w:rsidR="00DF7EE2">
        <w:t>est</w:t>
      </w:r>
      <w:r w:rsidR="00043433">
        <w:t>imates support for climate change mitigation and compensatory measures.</w:t>
      </w:r>
      <w:r w:rsidR="005B02DC">
        <w:t xml:space="preserve">  We </w:t>
      </w:r>
      <w:r w:rsidR="002F233A">
        <w:t xml:space="preserve">first </w:t>
      </w:r>
      <w:r w:rsidR="005B02DC">
        <w:t xml:space="preserve">focus on aggregate support to </w:t>
      </w:r>
      <w:r w:rsidR="005B02DC">
        <w:rPr>
          <w:rFonts w:eastAsia="Times New Roman"/>
        </w:rPr>
        <w:t>as</w:t>
      </w:r>
      <w:r w:rsidR="005B02DC" w:rsidRPr="001C271C">
        <w:rPr>
          <w:rFonts w:eastAsia="Times New Roman"/>
        </w:rPr>
        <w:t>sist workers in the coal industry that may lose their jobs as a result of the tax</w:t>
      </w:r>
      <w:r w:rsidR="005B02DC">
        <w:rPr>
          <w:rFonts w:eastAsia="Times New Roman"/>
        </w:rPr>
        <w:t>.</w:t>
      </w:r>
    </w:p>
    <w:p w:rsidR="00FB089D" w:rsidRDefault="00FB089D" w:rsidP="00FB089D">
      <w:pPr>
        <w:spacing w:before="120"/>
        <w:rPr>
          <w:rFonts w:eastAsia="Times New Roman"/>
        </w:rPr>
      </w:pPr>
      <w:r>
        <w:rPr>
          <w:rFonts w:eastAsia="Times New Roman"/>
        </w:rPr>
        <w:t xml:space="preserve">Using our mean WTP measure of $177 and data on the number of U.S. households from the Current Population Survey (U.S. Census Bureau, 2016), we estimate national aggregate household WTP of $21.14 billion to help reduce global warming.  Of this, our study suggests the public prefers roughly $2.14 billion be used to assist displaced coal workers.  The Bureau of Labor Statistics (BLS) estimates total coal mining sector jobs at 69,460 including all managerial, transport, and front office jobs.  As an estimate of sectoral employment of workers requiring a higher degree of retraining to transition, we also use the BLS measure of 15,900 workers specifically in extraction roles (BLS, 2015).  Our aggregate WTP estimate then implies public support of $30,736 for every single person, or $134,270 per extraction worker to assist displaced workers </w:t>
      </w:r>
      <w:r>
        <w:rPr>
          <w:rFonts w:eastAsia="Times New Roman"/>
          <w:i/>
        </w:rPr>
        <w:t>every year</w:t>
      </w:r>
      <w:r>
        <w:rPr>
          <w:rFonts w:eastAsia="Times New Roman"/>
        </w:rPr>
        <w:t xml:space="preserve"> in the extreme case that the entire sector is regulated out of the workforce.  Clearly then, support for any displaced coal workers is even more substantial as it is unlikely that such a tax would eliminate the entire sector.  </w:t>
      </w:r>
    </w:p>
    <w:p w:rsidR="002C4867" w:rsidRDefault="00FB089D" w:rsidP="005B02DC">
      <w:pPr>
        <w:spacing w:before="240"/>
        <w:rPr>
          <w:rFonts w:eastAsia="Times New Roman"/>
        </w:rPr>
      </w:pPr>
      <w:r>
        <w:rPr>
          <w:rFonts w:eastAsia="Times New Roman"/>
        </w:rPr>
        <w:t>By the same method, our study finds $3.47 billion in support for further clean energy development and $3.00 billion in support of infrastructure development from this potential revenue stream alone.  It is important to put our aggregate support measures in appropriate context.  While clean energy development support of $3.47 billion is small in comparison to the share spent in the American Recovery and Reinvestment Act (ARRA) of $92 billion by some estimates (</w:t>
      </w:r>
      <w:proofErr w:type="spellStart"/>
      <w:r>
        <w:rPr>
          <w:rFonts w:eastAsia="Times New Roman"/>
        </w:rPr>
        <w:t>Mundaca</w:t>
      </w:r>
      <w:proofErr w:type="spellEnd"/>
      <w:r>
        <w:rPr>
          <w:rFonts w:eastAsia="Times New Roman"/>
        </w:rPr>
        <w:t xml:space="preserve"> and Richter, 2015), the ARRA is foremost a stimulus measure.  A more appropriate comparison may be to individual programs such as the </w:t>
      </w:r>
      <w:r>
        <w:rPr>
          <w:rFonts w:eastAsia="Times New Roman"/>
        </w:rPr>
        <w:lastRenderedPageBreak/>
        <w:t xml:space="preserve">Department of Energy’s </w:t>
      </w:r>
      <w:r w:rsidRPr="0027303A">
        <w:rPr>
          <w:rFonts w:eastAsia="Times New Roman"/>
        </w:rPr>
        <w:t>Advanced Energy Manufacturing Tax Credit</w:t>
      </w:r>
      <w:r>
        <w:rPr>
          <w:rFonts w:eastAsia="Times New Roman"/>
        </w:rPr>
        <w:t xml:space="preserve"> which promotes investment in clean energy manufacturing.  Initially funded at $2.3 billion by ARRA, an additional $150 million later came available in a second phase (Department of Energy, 2013).  Our estimate of </w:t>
      </w:r>
      <w:r w:rsidRPr="00CE6961">
        <w:rPr>
          <w:rFonts w:eastAsia="Times New Roman"/>
          <w:i/>
        </w:rPr>
        <w:t>per year</w:t>
      </w:r>
      <w:r>
        <w:rPr>
          <w:rFonts w:eastAsia="Times New Roman"/>
        </w:rPr>
        <w:t xml:space="preserve"> support for clean energy projects could fund several of these sorts of adjustments to clean energy outlays.  This same argument is applicable to the often-presented infrastructure spending deficit of $1 trillion.  The $3.0 billion </w:t>
      </w:r>
      <w:r w:rsidRPr="00CD1F47">
        <w:rPr>
          <w:rFonts w:eastAsia="Times New Roman"/>
          <w:i/>
        </w:rPr>
        <w:t>per year</w:t>
      </w:r>
      <w:r>
        <w:rPr>
          <w:rFonts w:eastAsia="Times New Roman"/>
        </w:rPr>
        <w:t xml:space="preserve"> of public support by way of a carbon tax could address specific pressing deficits and effectively make a big impact on critical projects.</w:t>
      </w:r>
    </w:p>
    <w:p w:rsidR="00E24526" w:rsidRDefault="00E24526" w:rsidP="00E24526">
      <w:pPr>
        <w:pStyle w:val="Heading1"/>
      </w:pPr>
      <w:bookmarkStart w:id="5" w:name="_Toc479082653"/>
      <w:r>
        <w:t>Method</w:t>
      </w:r>
      <w:r w:rsidR="00C947F1">
        <w:t>ology</w:t>
      </w:r>
      <w:bookmarkEnd w:id="5"/>
    </w:p>
    <w:p w:rsidR="00F030A2" w:rsidRDefault="005D7B6D" w:rsidP="00F030A2">
      <w:r>
        <w:t xml:space="preserve">The results section precedes methodology in this paper to mirror the format of the journal it was submitted to.  </w:t>
      </w:r>
      <w:r w:rsidR="00F030A2">
        <w:t xml:space="preserve">In </w:t>
      </w:r>
      <w:r>
        <w:t>the</w:t>
      </w:r>
      <w:r w:rsidR="00F030A2">
        <w:t xml:space="preserve"> analysis, a nationally representative survey of 1,226 US citizens collected between 18 November and 05 December 2016</w:t>
      </w:r>
      <w:r>
        <w:t xml:space="preserve"> is used</w:t>
      </w:r>
      <w:r w:rsidR="00F030A2">
        <w:t xml:space="preserve">.  </w:t>
      </w:r>
      <w:r>
        <w:t xml:space="preserve">The </w:t>
      </w:r>
      <w:r w:rsidR="00F030A2">
        <w:t xml:space="preserve">survey </w:t>
      </w:r>
      <w:r>
        <w:t>wa</w:t>
      </w:r>
      <w:r w:rsidR="00F030A2">
        <w:t xml:space="preserve">s developed </w:t>
      </w:r>
      <w:r>
        <w:t>by a</w:t>
      </w:r>
      <w:r w:rsidR="00B35340">
        <w:t xml:space="preserve"> coordinat</w:t>
      </w:r>
      <w:r>
        <w:t xml:space="preserve">ed effort between </w:t>
      </w:r>
      <w:r w:rsidR="00F030A2">
        <w:t>the Yale Project on Clima</w:t>
      </w:r>
      <w:r>
        <w:t>te Change Communication (YPCCC) and</w:t>
      </w:r>
      <w:r w:rsidR="00B35340">
        <w:t xml:space="preserve"> the George Mason University Center f</w:t>
      </w:r>
      <w:r>
        <w:t>or Climate Change Communication.  It was then</w:t>
      </w:r>
      <w:r w:rsidR="00F030A2">
        <w:t xml:space="preserve"> collected by research firm </w:t>
      </w:r>
      <w:proofErr w:type="spellStart"/>
      <w:r w:rsidR="00F030A2">
        <w:t>GfK</w:t>
      </w:r>
      <w:proofErr w:type="spellEnd"/>
      <w:r w:rsidR="00F030A2">
        <w:t>.  In addition to recruiting panel members to represent the U.S. population, sampling weights are assigned to ensure representativeness against the U.S. Census Bureau’s M</w:t>
      </w:r>
      <w:r w:rsidR="00F030A2" w:rsidRPr="008B355C">
        <w:t xml:space="preserve">arch 2016 </w:t>
      </w:r>
      <w:r w:rsidR="00F030A2" w:rsidRPr="00F85B42">
        <w:t>Current Population Survey</w:t>
      </w:r>
      <w:r w:rsidR="00F030A2">
        <w:t xml:space="preserve">.  </w:t>
      </w:r>
      <w:r w:rsidR="00617C73">
        <w:t>Ta</w:t>
      </w:r>
      <w:r w:rsidR="00FB089D">
        <w:t>ble 6</w:t>
      </w:r>
      <w:r w:rsidR="00F030A2">
        <w:t xml:space="preserve"> reports respondent summary statistics which include standard demographics, political affiliation, and global warming belief indicators.  Kotchen, Boyle, and Leiserowitz </w:t>
      </w:r>
      <w:r w:rsidR="00A40900">
        <w:t xml:space="preserve">(2013) </w:t>
      </w:r>
      <w:r w:rsidR="00F030A2">
        <w:t xml:space="preserve">find after controlling for global warming beliefs, political affiliation does not significantly influence willingness to pay for </w:t>
      </w:r>
      <w:r w:rsidR="00A40900">
        <w:t>a similar measure</w:t>
      </w:r>
      <w:r w:rsidR="00F030A2">
        <w:t xml:space="preserve"> and so we test </w:t>
      </w:r>
      <w:r w:rsidR="007E78B3">
        <w:t>this</w:t>
      </w:r>
      <w:r w:rsidR="00F030A2">
        <w:t xml:space="preserve"> in </w:t>
      </w:r>
      <w:r w:rsidR="007E78B3">
        <w:t xml:space="preserve">our analysis and find </w:t>
      </w:r>
      <w:r w:rsidR="00A40900">
        <w:t>a similar effect</w:t>
      </w:r>
      <w:r w:rsidR="00F030A2">
        <w:t>.</w:t>
      </w:r>
    </w:p>
    <w:p w:rsidR="000F1D1B" w:rsidRPr="00892D32" w:rsidRDefault="00A43AE6" w:rsidP="00F030A2">
      <w:r>
        <w:t>We note t</w:t>
      </w:r>
      <w:r w:rsidR="000F1D1B">
        <w:t xml:space="preserve">he survey developed asks several questions about respondent beliefs on global warming </w:t>
      </w:r>
      <w:r w:rsidR="00A44F15">
        <w:t xml:space="preserve">prior to the survey questions used in this study </w:t>
      </w:r>
      <w:r w:rsidR="000F1D1B">
        <w:t xml:space="preserve">but does not intentionally present a basis, scientific or </w:t>
      </w:r>
      <w:r>
        <w:t>political</w:t>
      </w:r>
      <w:r w:rsidR="000F1D1B">
        <w:t xml:space="preserve">, </w:t>
      </w:r>
      <w:r>
        <w:t>to influence</w:t>
      </w:r>
      <w:r w:rsidR="000F1D1B">
        <w:t xml:space="preserve"> views.  As such, we query the public’s beliefs and preferences as they stand while acknowledging that preceding questions in the survey may update respondent beliefs as the survey occurs.  This is a rather unavoidable tradeof</w:t>
      </w:r>
      <w:r>
        <w:t>f, but one which we think minor</w:t>
      </w:r>
      <w:r w:rsidR="000F1D1B">
        <w:t xml:space="preserve"> in comparison to the breadth of data collected to inform this study and YPCCC products in development.</w:t>
      </w:r>
      <w:r w:rsidR="00915A3C">
        <w:t xml:space="preserve">  </w:t>
      </w:r>
      <w:r>
        <w:t>For reference, d</w:t>
      </w:r>
      <w:r w:rsidR="00915A3C">
        <w:t>ata on the breadth of the survey is</w:t>
      </w:r>
      <w:r>
        <w:t xml:space="preserve"> also</w:t>
      </w:r>
      <w:r w:rsidR="00915A3C">
        <w:t xml:space="preserve"> available (Leiserowitz </w:t>
      </w:r>
      <w:r w:rsidR="004B59A8">
        <w:t>et al. 2016)</w:t>
      </w:r>
      <w:r>
        <w:t>.</w:t>
      </w:r>
      <w:r w:rsidR="00A44F15">
        <w:t xml:space="preserve">  We also must acknowledge the potential for anchor bias from the bid amounts chosen.  This implies the respondent </w:t>
      </w:r>
      <w:r w:rsidR="00892D32">
        <w:t>arrive at</w:t>
      </w:r>
      <w:r w:rsidR="00A44F15">
        <w:t xml:space="preserve"> their beliefs on the severity of the issue based on the bid presented to them.</w:t>
      </w:r>
      <w:r w:rsidR="00432B8F">
        <w:t xml:space="preserve">  </w:t>
      </w:r>
      <w:r w:rsidR="00892D32">
        <w:t>This is an important point when comparing to</w:t>
      </w:r>
      <w:r w:rsidR="00432B8F">
        <w:t xml:space="preserve"> Greenstone (2016)</w:t>
      </w:r>
      <w:r w:rsidR="00892D32">
        <w:t xml:space="preserve"> where </w:t>
      </w:r>
      <w:r w:rsidR="00432B8F">
        <w:t xml:space="preserve">smaller bid amounts </w:t>
      </w:r>
      <w:r w:rsidR="00892D32">
        <w:t>are presented (</w:t>
      </w:r>
      <w:r w:rsidR="00432B8F">
        <w:t>and on a monthly rather than annual scale</w:t>
      </w:r>
      <w:r w:rsidR="00892D32">
        <w:t>)</w:t>
      </w:r>
      <w:r w:rsidR="00432B8F">
        <w:t xml:space="preserve"> and finds markedly lower support for a similar prompt.  </w:t>
      </w:r>
      <w:r w:rsidR="00BB3FF9">
        <w:t xml:space="preserve">Given the </w:t>
      </w:r>
      <w:r w:rsidR="00892D32">
        <w:t xml:space="preserve">scale of energy price increases that may occur with the sort of carbon tax proposed by Baker </w:t>
      </w:r>
      <w:r w:rsidR="00892D32" w:rsidRPr="00892D32">
        <w:t>et al.</w:t>
      </w:r>
      <w:r w:rsidR="00892D32">
        <w:t xml:space="preserve"> (2017), we believe our bid amounts are appropriate or even </w:t>
      </w:r>
      <w:r w:rsidR="002773D2">
        <w:t>lower</w:t>
      </w:r>
      <w:r w:rsidR="00892D32">
        <w:t xml:space="preserve"> than what </w:t>
      </w:r>
      <w:r w:rsidR="002773D2">
        <w:t>may</w:t>
      </w:r>
      <w:r w:rsidR="00892D32">
        <w:t xml:space="preserve"> occur.  This implies anchor bias</w:t>
      </w:r>
      <w:r w:rsidR="00327A92">
        <w:t xml:space="preserve"> </w:t>
      </w:r>
      <w:r w:rsidR="00892D32">
        <w:t>lead</w:t>
      </w:r>
      <w:r w:rsidR="002773D2">
        <w:t>ing</w:t>
      </w:r>
      <w:r w:rsidR="00892D32">
        <w:t xml:space="preserve"> to an underestimate of mean WTP</w:t>
      </w:r>
      <w:r w:rsidR="002773D2">
        <w:t>,</w:t>
      </w:r>
      <w:r w:rsidR="00327A92">
        <w:t xml:space="preserve"> if any effect</w:t>
      </w:r>
      <w:r w:rsidR="00892D32">
        <w:t>.</w:t>
      </w:r>
    </w:p>
    <w:tbl>
      <w:tblPr>
        <w:tblStyle w:val="Style1"/>
        <w:tblW w:w="5000" w:type="pct"/>
        <w:tblLook w:val="04A0" w:firstRow="1" w:lastRow="0" w:firstColumn="1" w:lastColumn="0" w:noHBand="0" w:noVBand="1"/>
      </w:tblPr>
      <w:tblGrid>
        <w:gridCol w:w="3120"/>
        <w:gridCol w:w="3121"/>
        <w:gridCol w:w="3119"/>
      </w:tblGrid>
      <w:tr w:rsidR="00F030A2" w:rsidRPr="004C53C5" w:rsidTr="00051782">
        <w:trPr>
          <w:cnfStyle w:val="100000000000" w:firstRow="1" w:lastRow="0" w:firstColumn="0" w:lastColumn="0" w:oddVBand="0" w:evenVBand="0" w:oddHBand="0" w:evenHBand="0" w:firstRowFirstColumn="0" w:firstRowLastColumn="0" w:lastRowFirstColumn="0" w:lastRowLastColumn="0"/>
          <w:trHeight w:val="300"/>
        </w:trPr>
        <w:tc>
          <w:tcPr>
            <w:tcW w:w="5000" w:type="pct"/>
            <w:gridSpan w:val="3"/>
            <w:tcBorders>
              <w:bottom w:val="single" w:sz="4" w:space="0" w:color="auto"/>
            </w:tcBorders>
            <w:noWrap/>
            <w:hideMark/>
          </w:tcPr>
          <w:p w:rsidR="00F030A2" w:rsidRPr="004C53C5" w:rsidRDefault="00F030A2" w:rsidP="00051782">
            <w:pPr>
              <w:keepNext/>
              <w:rPr>
                <w:rFonts w:eastAsia="Times New Roman"/>
                <w:b/>
                <w:bCs/>
              </w:rPr>
            </w:pPr>
            <w:r w:rsidRPr="004C53C5">
              <w:rPr>
                <w:rFonts w:eastAsia="Times New Roman"/>
                <w:b/>
                <w:bCs/>
              </w:rPr>
              <w:lastRenderedPageBreak/>
              <w:t>T</w:t>
            </w:r>
            <w:r w:rsidR="00FB089D">
              <w:rPr>
                <w:rFonts w:eastAsia="Times New Roman"/>
                <w:b/>
                <w:bCs/>
              </w:rPr>
              <w:t>able 6</w:t>
            </w:r>
            <w:r w:rsidRPr="004C53C5">
              <w:rPr>
                <w:rFonts w:eastAsia="Times New Roman"/>
                <w:b/>
                <w:bCs/>
              </w:rPr>
              <w:t xml:space="preserve"> | Summary statistics of respondent demographics.</w:t>
            </w:r>
          </w:p>
        </w:tc>
      </w:tr>
      <w:tr w:rsidR="00F030A2" w:rsidRPr="004C53C5" w:rsidTr="00051782">
        <w:trPr>
          <w:trHeight w:val="300"/>
        </w:trPr>
        <w:tc>
          <w:tcPr>
            <w:tcW w:w="1667" w:type="pct"/>
            <w:tcBorders>
              <w:top w:val="single" w:sz="4" w:space="0" w:color="auto"/>
              <w:bottom w:val="single" w:sz="4" w:space="0" w:color="auto"/>
            </w:tcBorders>
            <w:noWrap/>
            <w:hideMark/>
          </w:tcPr>
          <w:p w:rsidR="00F030A2" w:rsidRPr="004C53C5" w:rsidRDefault="00F030A2" w:rsidP="00051782">
            <w:pPr>
              <w:keepNext/>
              <w:jc w:val="center"/>
              <w:rPr>
                <w:rFonts w:eastAsia="Times New Roman"/>
              </w:rPr>
            </w:pPr>
            <w:r w:rsidRPr="004C53C5">
              <w:rPr>
                <w:rFonts w:eastAsia="Times New Roman"/>
              </w:rPr>
              <w:t> </w:t>
            </w:r>
          </w:p>
        </w:tc>
        <w:tc>
          <w:tcPr>
            <w:tcW w:w="1667" w:type="pct"/>
            <w:tcBorders>
              <w:top w:val="single" w:sz="4" w:space="0" w:color="auto"/>
              <w:bottom w:val="single" w:sz="4" w:space="0" w:color="auto"/>
            </w:tcBorders>
            <w:noWrap/>
            <w:hideMark/>
          </w:tcPr>
          <w:p w:rsidR="00F030A2" w:rsidRPr="004C53C5" w:rsidRDefault="00F030A2" w:rsidP="00051782">
            <w:pPr>
              <w:keepNext/>
              <w:jc w:val="center"/>
              <w:rPr>
                <w:rFonts w:eastAsia="Times New Roman"/>
                <w:b/>
                <w:bCs/>
              </w:rPr>
            </w:pPr>
            <w:r w:rsidRPr="004C53C5">
              <w:rPr>
                <w:rFonts w:eastAsia="Times New Roman"/>
                <w:b/>
                <w:bCs/>
              </w:rPr>
              <w:t>Mean</w:t>
            </w:r>
          </w:p>
        </w:tc>
        <w:tc>
          <w:tcPr>
            <w:tcW w:w="1667" w:type="pct"/>
            <w:tcBorders>
              <w:top w:val="single" w:sz="4" w:space="0" w:color="auto"/>
              <w:bottom w:val="single" w:sz="4" w:space="0" w:color="auto"/>
            </w:tcBorders>
            <w:noWrap/>
            <w:hideMark/>
          </w:tcPr>
          <w:p w:rsidR="00F030A2" w:rsidRPr="004C53C5" w:rsidRDefault="00F030A2" w:rsidP="00051782">
            <w:pPr>
              <w:keepNext/>
              <w:jc w:val="center"/>
              <w:rPr>
                <w:rFonts w:eastAsia="Times New Roman"/>
                <w:b/>
                <w:bCs/>
              </w:rPr>
            </w:pPr>
            <w:r w:rsidRPr="004C53C5">
              <w:rPr>
                <w:rFonts w:eastAsia="Times New Roman"/>
                <w:b/>
                <w:bCs/>
              </w:rPr>
              <w:t>Standard Deviation</w:t>
            </w:r>
          </w:p>
        </w:tc>
      </w:tr>
      <w:tr w:rsidR="00F030A2" w:rsidRPr="004C53C5" w:rsidTr="00051782">
        <w:trPr>
          <w:trHeight w:val="300"/>
        </w:trPr>
        <w:tc>
          <w:tcPr>
            <w:tcW w:w="1667" w:type="pct"/>
            <w:tcBorders>
              <w:top w:val="single" w:sz="4" w:space="0" w:color="auto"/>
            </w:tcBorders>
            <w:noWrap/>
            <w:hideMark/>
          </w:tcPr>
          <w:p w:rsidR="00F030A2" w:rsidRPr="004C53C5" w:rsidRDefault="00F030A2" w:rsidP="00051782">
            <w:pPr>
              <w:keepNext/>
              <w:rPr>
                <w:rFonts w:eastAsia="Times New Roman"/>
              </w:rPr>
            </w:pPr>
            <w:r w:rsidRPr="004C53C5">
              <w:rPr>
                <w:rFonts w:eastAsia="Times New Roman"/>
              </w:rPr>
              <w:t>Education (years)</w:t>
            </w:r>
          </w:p>
        </w:tc>
        <w:tc>
          <w:tcPr>
            <w:tcW w:w="1667" w:type="pct"/>
            <w:tcBorders>
              <w:top w:val="single" w:sz="4" w:space="0" w:color="auto"/>
            </w:tcBorders>
            <w:noWrap/>
            <w:hideMark/>
          </w:tcPr>
          <w:p w:rsidR="00F030A2" w:rsidRPr="004C53C5" w:rsidRDefault="00F030A2" w:rsidP="00051782">
            <w:pPr>
              <w:keepNext/>
              <w:ind w:left="1185"/>
              <w:rPr>
                <w:rFonts w:eastAsia="Times New Roman"/>
              </w:rPr>
            </w:pPr>
            <w:r w:rsidRPr="004C53C5">
              <w:rPr>
                <w:rFonts w:eastAsia="Times New Roman"/>
              </w:rPr>
              <w:t>13.56</w:t>
            </w:r>
          </w:p>
        </w:tc>
        <w:tc>
          <w:tcPr>
            <w:tcW w:w="1667" w:type="pct"/>
            <w:tcBorders>
              <w:top w:val="single" w:sz="4" w:space="0" w:color="auto"/>
            </w:tcBorders>
            <w:noWrap/>
            <w:hideMark/>
          </w:tcPr>
          <w:p w:rsidR="00F030A2" w:rsidRPr="004C53C5" w:rsidRDefault="00F030A2" w:rsidP="00A56F6B">
            <w:pPr>
              <w:keepNext/>
              <w:ind w:left="1125"/>
              <w:rPr>
                <w:rFonts w:eastAsia="Times New Roman"/>
              </w:rPr>
            </w:pPr>
            <w:r w:rsidRPr="004C53C5">
              <w:rPr>
                <w:rFonts w:eastAsia="Times New Roman"/>
              </w:rPr>
              <w:t>(2.93)</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Male (1=yes)</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0.48</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(0.50)</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Household size (# people)</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2.85</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(1.59)</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Income ($10,000's)</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7.60</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(5.89)</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Age (years)</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47.28</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(17.40)</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White (1=yes)</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0.64</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(0.48)</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Republican (1=yes)</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0.3</w:t>
            </w:r>
            <w:r w:rsidR="00472512">
              <w:rPr>
                <w:rFonts w:eastAsia="Times New Roman"/>
              </w:rPr>
              <w:t>7</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(0.48)</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Democrat (1=yes)</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0.44</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(0.50)</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Independent (1=yes)</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0.08</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(0.28)</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No party (1=yes)</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0.11</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(0.32)</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Global warming 'don't know'</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0.17</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(0.38)</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Global warming 'no'</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0.13</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(0.33)</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Global warming 'yes'</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0.70</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(0.46)</w:t>
            </w:r>
          </w:p>
        </w:tc>
      </w:tr>
      <w:tr w:rsidR="00F030A2" w:rsidRPr="004C53C5" w:rsidTr="00051782">
        <w:trPr>
          <w:trHeight w:val="300"/>
        </w:trPr>
        <w:tc>
          <w:tcPr>
            <w:tcW w:w="1667" w:type="pct"/>
            <w:noWrap/>
            <w:hideMark/>
          </w:tcPr>
          <w:p w:rsidR="00F030A2" w:rsidRPr="004C53C5" w:rsidRDefault="00F030A2" w:rsidP="00051782">
            <w:pPr>
              <w:keepNext/>
              <w:rPr>
                <w:rFonts w:eastAsia="Times New Roman"/>
              </w:rPr>
            </w:pPr>
            <w:r w:rsidRPr="004C53C5">
              <w:rPr>
                <w:rFonts w:eastAsia="Times New Roman"/>
              </w:rPr>
              <w:t>Global warming 'no, very sure'</w:t>
            </w:r>
          </w:p>
        </w:tc>
        <w:tc>
          <w:tcPr>
            <w:tcW w:w="1667" w:type="pct"/>
            <w:noWrap/>
            <w:hideMark/>
          </w:tcPr>
          <w:p w:rsidR="00F030A2" w:rsidRPr="004C53C5" w:rsidRDefault="00F030A2" w:rsidP="00051782">
            <w:pPr>
              <w:keepNext/>
              <w:ind w:left="1185"/>
              <w:rPr>
                <w:rFonts w:eastAsia="Times New Roman"/>
              </w:rPr>
            </w:pPr>
            <w:r w:rsidRPr="004C53C5">
              <w:rPr>
                <w:rFonts w:eastAsia="Times New Roman"/>
              </w:rPr>
              <w:t>0.53</w:t>
            </w:r>
          </w:p>
        </w:tc>
        <w:tc>
          <w:tcPr>
            <w:tcW w:w="1667" w:type="pct"/>
            <w:noWrap/>
            <w:hideMark/>
          </w:tcPr>
          <w:p w:rsidR="00F030A2" w:rsidRPr="004C53C5" w:rsidRDefault="00F030A2" w:rsidP="00A56F6B">
            <w:pPr>
              <w:keepNext/>
              <w:ind w:left="1125"/>
              <w:rPr>
                <w:rFonts w:eastAsia="Times New Roman"/>
              </w:rPr>
            </w:pPr>
            <w:r w:rsidRPr="004C53C5">
              <w:rPr>
                <w:rFonts w:eastAsia="Times New Roman"/>
              </w:rPr>
              <w:t>(0.50)</w:t>
            </w:r>
          </w:p>
        </w:tc>
      </w:tr>
      <w:tr w:rsidR="00F030A2" w:rsidRPr="004C53C5" w:rsidTr="00051782">
        <w:trPr>
          <w:trHeight w:val="300"/>
        </w:trPr>
        <w:tc>
          <w:tcPr>
            <w:tcW w:w="1667" w:type="pct"/>
            <w:tcBorders>
              <w:bottom w:val="single" w:sz="4" w:space="0" w:color="auto"/>
            </w:tcBorders>
            <w:noWrap/>
            <w:hideMark/>
          </w:tcPr>
          <w:p w:rsidR="00F030A2" w:rsidRPr="004C53C5" w:rsidRDefault="00F030A2" w:rsidP="00051782">
            <w:pPr>
              <w:keepNext/>
              <w:rPr>
                <w:rFonts w:eastAsia="Times New Roman"/>
              </w:rPr>
            </w:pPr>
            <w:r w:rsidRPr="004C53C5">
              <w:rPr>
                <w:rFonts w:eastAsia="Times New Roman"/>
              </w:rPr>
              <w:t>Global warming 'yes, very sure'</w:t>
            </w:r>
          </w:p>
        </w:tc>
        <w:tc>
          <w:tcPr>
            <w:tcW w:w="1667" w:type="pct"/>
            <w:tcBorders>
              <w:bottom w:val="single" w:sz="4" w:space="0" w:color="auto"/>
            </w:tcBorders>
            <w:noWrap/>
            <w:hideMark/>
          </w:tcPr>
          <w:p w:rsidR="00F030A2" w:rsidRPr="004C53C5" w:rsidRDefault="00F030A2" w:rsidP="00051782">
            <w:pPr>
              <w:keepNext/>
              <w:ind w:left="1185"/>
              <w:rPr>
                <w:rFonts w:eastAsia="Times New Roman"/>
              </w:rPr>
            </w:pPr>
            <w:r w:rsidRPr="004C53C5">
              <w:rPr>
                <w:rFonts w:eastAsia="Times New Roman"/>
              </w:rPr>
              <w:t>0.64</w:t>
            </w:r>
          </w:p>
        </w:tc>
        <w:tc>
          <w:tcPr>
            <w:tcW w:w="1667" w:type="pct"/>
            <w:tcBorders>
              <w:bottom w:val="single" w:sz="4" w:space="0" w:color="auto"/>
            </w:tcBorders>
            <w:noWrap/>
            <w:hideMark/>
          </w:tcPr>
          <w:p w:rsidR="00F030A2" w:rsidRPr="004C53C5" w:rsidRDefault="00F030A2" w:rsidP="00A56F6B">
            <w:pPr>
              <w:keepNext/>
              <w:ind w:left="1125"/>
              <w:rPr>
                <w:rFonts w:eastAsia="Times New Roman"/>
              </w:rPr>
            </w:pPr>
            <w:r w:rsidRPr="004C53C5">
              <w:rPr>
                <w:rFonts w:eastAsia="Times New Roman"/>
              </w:rPr>
              <w:t>(0.48)</w:t>
            </w:r>
          </w:p>
        </w:tc>
      </w:tr>
      <w:tr w:rsidR="00F030A2" w:rsidRPr="004C53C5" w:rsidTr="00051782">
        <w:trPr>
          <w:trHeight w:val="908"/>
        </w:trPr>
        <w:tc>
          <w:tcPr>
            <w:tcW w:w="5000" w:type="pct"/>
            <w:gridSpan w:val="3"/>
            <w:tcBorders>
              <w:top w:val="single" w:sz="4" w:space="0" w:color="auto"/>
            </w:tcBorders>
            <w:hideMark/>
          </w:tcPr>
          <w:p w:rsidR="00F030A2" w:rsidRPr="004C53C5" w:rsidRDefault="00F030A2" w:rsidP="00051782">
            <w:pPr>
              <w:keepNext/>
              <w:rPr>
                <w:rFonts w:eastAsia="Times New Roman"/>
                <w:sz w:val="18"/>
                <w:szCs w:val="18"/>
              </w:rPr>
            </w:pPr>
            <w:r w:rsidRPr="004C53C5">
              <w:rPr>
                <w:rFonts w:eastAsia="Times New Roman"/>
                <w:sz w:val="18"/>
                <w:szCs w:val="18"/>
              </w:rPr>
              <w:t>Reported as</w:t>
            </w:r>
            <w:r>
              <w:rPr>
                <w:rFonts w:eastAsia="Times New Roman"/>
                <w:sz w:val="18"/>
                <w:szCs w:val="18"/>
              </w:rPr>
              <w:t xml:space="preserve"> survey</w:t>
            </w:r>
            <w:r w:rsidRPr="004C53C5">
              <w:rPr>
                <w:rFonts w:eastAsia="Times New Roman"/>
                <w:sz w:val="18"/>
                <w:szCs w:val="18"/>
              </w:rPr>
              <w:t xml:space="preserve"> weighted statistics for sample representativeness using standard methodologies.  The reported statistics for global warming 'no, very sure' and global warming 'yes, very sure' are conditional on the respondent answering no or yes to believing in global warming (n=169 and 863), respectively.  The number of all other observations are 1226 except for political affiliation where one respondent declined to respond.</w:t>
            </w:r>
          </w:p>
        </w:tc>
      </w:tr>
    </w:tbl>
    <w:p w:rsidR="00F030A2" w:rsidRDefault="00F030A2" w:rsidP="0042242C">
      <w:pPr>
        <w:spacing w:before="120"/>
      </w:pPr>
      <w:r>
        <w:t>Among the range of</w:t>
      </w:r>
      <w:r w:rsidR="00970345">
        <w:t xml:space="preserve"> questions on global warming </w:t>
      </w:r>
      <w:r>
        <w:t>we ask whether respondents support or oppose a tax on fossil fuels that will impact the</w:t>
      </w:r>
      <w:r w:rsidR="00935C1D">
        <w:t xml:space="preserve">m through higher energy bills and </w:t>
      </w:r>
      <w:r>
        <w:t xml:space="preserve">how they would like to see the revenue spent.  Three questions are central to our </w:t>
      </w:r>
      <w:r w:rsidR="0031730A">
        <w:t>study.</w:t>
      </w:r>
      <w:r w:rsidR="00935C1D">
        <w:t xml:space="preserve"> </w:t>
      </w:r>
      <w:r w:rsidR="0031730A">
        <w:t xml:space="preserve"> I</w:t>
      </w:r>
      <w:r w:rsidR="00935C1D">
        <w:t>n order</w:t>
      </w:r>
      <w:r w:rsidR="00970345">
        <w:t>,</w:t>
      </w:r>
      <w:r>
        <w:t xml:space="preserve"> we first prompt respondents</w:t>
      </w:r>
      <w:r w:rsidR="00BF14A1">
        <w:t xml:space="preserve"> on distributional</w:t>
      </w:r>
      <w:r w:rsidR="0031730A">
        <w:t xml:space="preserve"> preferences across</w:t>
      </w:r>
      <w:r w:rsidR="00BF14A1">
        <w:t xml:space="preserve"> categories</w:t>
      </w:r>
      <w:r>
        <w:t>:</w:t>
      </w:r>
    </w:p>
    <w:p w:rsidR="00F030A2" w:rsidRDefault="00F030A2" w:rsidP="00F030A2">
      <w:pPr>
        <w:spacing w:after="120"/>
        <w:ind w:left="360"/>
        <w:rPr>
          <w:i/>
        </w:rPr>
      </w:pPr>
      <w:r w:rsidRPr="00443852">
        <w:rPr>
          <w:i/>
        </w:rPr>
        <w:t xml:space="preserve">Congress may consider a tax on fossil fuels (coal, oil, and natural gas) to help reduce global warming. If implemented, how would you </w:t>
      </w:r>
      <w:r>
        <w:rPr>
          <w:i/>
        </w:rPr>
        <w:t>like to see the tax money used?</w:t>
      </w:r>
    </w:p>
    <w:p w:rsidR="00F030A2" w:rsidRDefault="00F030A2" w:rsidP="00F030A2">
      <w:pPr>
        <w:ind w:left="360"/>
        <w:rPr>
          <w:i/>
        </w:rPr>
      </w:pPr>
      <w:r w:rsidRPr="00443852">
        <w:rPr>
          <w:i/>
        </w:rPr>
        <w:t>“I would like to see the money used to…” (Please respond either “yes” or “no” for each option).</w:t>
      </w:r>
    </w:p>
    <w:p w:rsidR="00F030A2" w:rsidRDefault="0042242C" w:rsidP="00F030A2">
      <w:r>
        <w:t>R</w:t>
      </w:r>
      <w:r w:rsidR="00F030A2">
        <w:t>espondents are then giv</w:t>
      </w:r>
      <w:r w:rsidR="00617C73">
        <w:t xml:space="preserve">en the eleven choices </w:t>
      </w:r>
      <w:r w:rsidR="00BF14A1">
        <w:t>from</w:t>
      </w:r>
      <w:r w:rsidR="00617C73">
        <w:t xml:space="preserve"> Table 1</w:t>
      </w:r>
      <w:r w:rsidR="00F030A2">
        <w:t xml:space="preserve"> where the eleventh is a text entry</w:t>
      </w:r>
      <w:r w:rsidR="00BF14A1">
        <w:t xml:space="preserve"> “Other”</w:t>
      </w:r>
      <w:r w:rsidR="00F030A2">
        <w:t xml:space="preserve"> option</w:t>
      </w:r>
      <w:r w:rsidR="00BF14A1">
        <w:t xml:space="preserve"> and </w:t>
      </w:r>
      <w:r w:rsidR="00F030A2">
        <w:t>order pr</w:t>
      </w:r>
      <w:r>
        <w:t>esented is randomized save for “</w:t>
      </w:r>
      <w:r w:rsidR="00F030A2">
        <w:t>Othe</w:t>
      </w:r>
      <w:r w:rsidR="0031730A">
        <w:t>r</w:t>
      </w:r>
      <w:r>
        <w:t>”</w:t>
      </w:r>
      <w:r w:rsidR="0031730A">
        <w:t xml:space="preserve"> which always appears last.  </w:t>
      </w:r>
      <w:r>
        <w:t>I</w:t>
      </w:r>
      <w:r w:rsidR="00F030A2">
        <w:t>mmediately</w:t>
      </w:r>
      <w:r w:rsidR="0031730A">
        <w:t xml:space="preserve"> following</w:t>
      </w:r>
      <w:r>
        <w:t>,</w:t>
      </w:r>
      <w:r w:rsidR="00BF14A1">
        <w:t xml:space="preserve"> respondents are</w:t>
      </w:r>
      <w:r w:rsidR="00F030A2">
        <w:t xml:space="preserve"> prompted</w:t>
      </w:r>
      <w:r w:rsidR="00BF14A1">
        <w:t xml:space="preserve"> to note</w:t>
      </w:r>
      <w:r>
        <w:t xml:space="preserve"> their</w:t>
      </w:r>
      <w:r w:rsidR="00BF14A1">
        <w:t xml:space="preserve"> distributional preferences for revenues</w:t>
      </w:r>
      <w:r w:rsidR="00F030A2">
        <w:t>:</w:t>
      </w:r>
    </w:p>
    <w:p w:rsidR="00F030A2" w:rsidRPr="00A13CFA" w:rsidRDefault="00F030A2" w:rsidP="00F030A2">
      <w:pPr>
        <w:spacing w:after="120"/>
        <w:ind w:left="360"/>
        <w:rPr>
          <w:i/>
        </w:rPr>
      </w:pPr>
      <w:r w:rsidRPr="00A13CFA">
        <w:rPr>
          <w:i/>
        </w:rPr>
        <w:t xml:space="preserve">Displayed below are the ways you said you would like to see fossil fuel tax money spent. What percentage of the total fossil fuel tax revenues would you like to see used for each option?  </w:t>
      </w:r>
    </w:p>
    <w:p w:rsidR="00F030A2" w:rsidRDefault="00F030A2" w:rsidP="00F030A2">
      <w:pPr>
        <w:ind w:left="360"/>
        <w:rPr>
          <w:i/>
        </w:rPr>
      </w:pPr>
      <w:r w:rsidRPr="00A13CFA">
        <w:rPr>
          <w:i/>
        </w:rPr>
        <w:t>Enter a number between 0% and 100% for each option. Please make sure your total equals 100%.</w:t>
      </w:r>
    </w:p>
    <w:p w:rsidR="00E24526" w:rsidRDefault="00F030A2" w:rsidP="00F030A2">
      <w:r>
        <w:t xml:space="preserve">where only the expenditure options the respondent had previously chosen </w:t>
      </w:r>
      <w:r w:rsidR="00BF14A1">
        <w:t>remain</w:t>
      </w:r>
      <w:r>
        <w:t>.  The respondents are provided a running total and requirement that their distribution sums to 100-percent to aid computation.  Some of the categories presented would reduce the public’s tax burden by offsetting other taxes not directly related to fossil fuels and global warming</w:t>
      </w:r>
      <w:r w:rsidR="0042242C">
        <w:t>,</w:t>
      </w:r>
      <w:r>
        <w:t xml:space="preserve"> while others are related to mitigating the effects of both climate change and the fossil fuel tax.</w:t>
      </w:r>
    </w:p>
    <w:p w:rsidR="00BD6524" w:rsidRDefault="00BF14A1" w:rsidP="001B0110">
      <w:pPr>
        <w:spacing w:before="120"/>
      </w:pPr>
      <w:r>
        <w:t xml:space="preserve">The final core question of our analysis supports development of </w:t>
      </w:r>
      <w:r w:rsidR="001B0110">
        <w:t>the</w:t>
      </w:r>
      <w:r>
        <w:t xml:space="preserve"> WTP estimate.  R</w:t>
      </w:r>
      <w:r w:rsidR="00BD6524">
        <w:t xml:space="preserve">espondents are asked about their willingness to pay to reduce global warming via a tax on fossil fuels following </w:t>
      </w:r>
      <w:r w:rsidR="0031730A">
        <w:t xml:space="preserve">a </w:t>
      </w:r>
      <w:r>
        <w:t xml:space="preserve">standard </w:t>
      </w:r>
      <w:r w:rsidR="00BD6524">
        <w:t>dichotomous choi</w:t>
      </w:r>
      <w:r w:rsidR="0031730A">
        <w:t>ce methodology</w:t>
      </w:r>
      <w:r w:rsidR="00BD6524">
        <w:t xml:space="preserve"> </w:t>
      </w:r>
      <w:r w:rsidR="0031730A">
        <w:t xml:space="preserve">as </w:t>
      </w:r>
      <w:r w:rsidR="00BD6524">
        <w:t>recommended for contingent valuation (Arrow et al):</w:t>
      </w:r>
    </w:p>
    <w:p w:rsidR="00BD6524" w:rsidRDefault="00BD6524" w:rsidP="00BD6524">
      <w:pPr>
        <w:ind w:left="360"/>
        <w:rPr>
          <w:i/>
        </w:rPr>
      </w:pPr>
      <w:r w:rsidRPr="0068733F">
        <w:rPr>
          <w:i/>
        </w:rPr>
        <w:lastRenderedPageBreak/>
        <w:t xml:space="preserve">If a tax on fossil fuels (coal, oil, and natural gas) to help reduce global warming, were to cost your household </w:t>
      </w:r>
      <w:r w:rsidRPr="00E2424E">
        <w:rPr>
          <w:b/>
          <w:i/>
        </w:rPr>
        <w:t>[insert randomized bid amount]</w:t>
      </w:r>
      <w:r w:rsidRPr="0068733F">
        <w:rPr>
          <w:i/>
        </w:rPr>
        <w:t xml:space="preserve"> more </w:t>
      </w:r>
      <w:r w:rsidRPr="0068733F">
        <w:rPr>
          <w:b/>
          <w:i/>
        </w:rPr>
        <w:t>each year</w:t>
      </w:r>
      <w:r w:rsidRPr="0068733F">
        <w:rPr>
          <w:i/>
        </w:rPr>
        <w:t xml:space="preserve"> in higher energy bills, would you support or oppose it?</w:t>
      </w:r>
    </w:p>
    <w:p w:rsidR="008C411B" w:rsidRDefault="00BD6524" w:rsidP="008C411B">
      <w:r>
        <w:t xml:space="preserve">The randomized bid amounts offered are $5, $25, $45, $65, $85, $105, $135, and $155 </w:t>
      </w:r>
      <w:r w:rsidR="0031730A">
        <w:t>where</w:t>
      </w:r>
      <w:r>
        <w:t xml:space="preserve"> the middle four are pr</w:t>
      </w:r>
      <w:r w:rsidR="001B0110">
        <w:t>esented at twice the frequency.  This distribution was chosen as we ex ante expected a mean willingness to pay measure near the mean of our bid spectrum.</w:t>
      </w:r>
    </w:p>
    <w:p w:rsidR="008C411B" w:rsidRDefault="008C411B" w:rsidP="008C411B">
      <w:r>
        <w:t xml:space="preserve">To estimate willingness to pay we </w:t>
      </w:r>
      <w:r w:rsidR="00BF14A1">
        <w:t xml:space="preserve">then </w:t>
      </w:r>
      <w:r>
        <w:t xml:space="preserve">employ a dichotomous choice model estimated as the set of logit </w:t>
      </w:r>
      <w:r w:rsidR="0031730A">
        <w:t>specifications</w:t>
      </w:r>
      <w:r>
        <w:t xml:space="preserve"> reported in Table 3.  In each, the dependent variable is a binary </w:t>
      </w:r>
      <w:r w:rsidR="0031730A">
        <w:t>re</w:t>
      </w:r>
      <w:r>
        <w:t>presentation of whether the respondent supports (support=1)</w:t>
      </w:r>
      <w:r w:rsidR="0031730A">
        <w:t xml:space="preserve"> or opposes</w:t>
      </w:r>
      <w:r>
        <w:t xml:space="preserve"> the tax policy at the randomly assigned bid amount which is </w:t>
      </w:r>
      <w:r w:rsidR="0031730A">
        <w:t>an</w:t>
      </w:r>
      <w:r>
        <w:t xml:space="preserve"> independent variable in the specification.  The models also include standard demographics (education, gender, income, etc.) and political affiliation.  Model 2 adds indicators of whether the respondent believe</w:t>
      </w:r>
      <w:r w:rsidR="0031730A">
        <w:t>s</w:t>
      </w:r>
      <w:r>
        <w:t xml:space="preserve"> global warming is happening </w:t>
      </w:r>
      <w:r w:rsidR="0031730A">
        <w:t>as</w:t>
      </w:r>
      <w:r>
        <w:t xml:space="preserve"> collected with the prompt: </w:t>
      </w:r>
    </w:p>
    <w:p w:rsidR="008C411B" w:rsidRDefault="008C411B" w:rsidP="008C411B">
      <w:pPr>
        <w:ind w:left="360"/>
        <w:rPr>
          <w:i/>
        </w:rPr>
      </w:pPr>
      <w:r w:rsidRPr="00E2424E">
        <w:rPr>
          <w:i/>
        </w:rPr>
        <w:t xml:space="preserve">Recently, you may have noticed that global warming has been getting some attention in the news. Global warming refers to the idea that the world’s average temperature has been increasing over the past 150 years, may be increasing more in the future, and that the world’s </w:t>
      </w:r>
      <w:r>
        <w:rPr>
          <w:i/>
        </w:rPr>
        <w:t>climate may change as a result.</w:t>
      </w:r>
    </w:p>
    <w:p w:rsidR="008C411B" w:rsidRPr="00E2424E" w:rsidRDefault="008C411B" w:rsidP="008C411B">
      <w:pPr>
        <w:ind w:left="360"/>
        <w:rPr>
          <w:i/>
        </w:rPr>
      </w:pPr>
      <w:r w:rsidRPr="00E2424E">
        <w:rPr>
          <w:i/>
        </w:rPr>
        <w:t>What do you think: Do you think that global warming is happening?</w:t>
      </w:r>
    </w:p>
    <w:p w:rsidR="00BD6524" w:rsidRDefault="008C411B" w:rsidP="008C411B">
      <w:r>
        <w:t xml:space="preserve">We use </w:t>
      </w:r>
      <w:r w:rsidR="00BF14A1">
        <w:t>a</w:t>
      </w:r>
      <w:r>
        <w:t xml:space="preserve"> response</w:t>
      </w:r>
      <w:r w:rsidRPr="00E2424E">
        <w:t xml:space="preserve"> </w:t>
      </w:r>
      <w:r w:rsidR="00BF14A1">
        <w:t>of “</w:t>
      </w:r>
      <w:r w:rsidRPr="00E2424E">
        <w:t>don’t know</w:t>
      </w:r>
      <w:r w:rsidR="00BF14A1">
        <w:t>”</w:t>
      </w:r>
      <w:r>
        <w:t xml:space="preserve"> as the base case (16-percent of respondents) and include </w:t>
      </w:r>
      <w:r w:rsidR="00BF14A1">
        <w:t>“</w:t>
      </w:r>
      <w:r w:rsidRPr="00E2424E">
        <w:t>yes</w:t>
      </w:r>
      <w:r w:rsidR="00BF14A1">
        <w:t>” and “no”</w:t>
      </w:r>
      <w:r>
        <w:t xml:space="preserve"> as </w:t>
      </w:r>
      <w:r w:rsidR="0031730A">
        <w:t>indicator</w:t>
      </w:r>
      <w:r>
        <w:t xml:space="preserve"> variables.  In</w:t>
      </w:r>
      <w:r w:rsidR="00BF14A1">
        <w:t xml:space="preserve"> our preferred </w:t>
      </w:r>
      <w:r w:rsidR="0031730A">
        <w:t>specification,</w:t>
      </w:r>
      <w:r w:rsidR="00BF14A1">
        <w:t xml:space="preserve"> </w:t>
      </w:r>
      <w:r>
        <w:t xml:space="preserve">we </w:t>
      </w:r>
      <w:r w:rsidR="00BF14A1">
        <w:t>also</w:t>
      </w:r>
      <w:r>
        <w:t xml:space="preserve"> add dummy variables indicating how sure respondents are that global warming is or is not happening.  Respondents that did not answer </w:t>
      </w:r>
      <w:r w:rsidR="00BF14A1">
        <w:t>“don’t know”</w:t>
      </w:r>
      <w:r>
        <w:t xml:space="preserve"> to the previous prompt are queried how strongly they believe their stated position and those who indicate </w:t>
      </w:r>
      <w:r w:rsidR="00BF14A1">
        <w:t>either “</w:t>
      </w:r>
      <w:r w:rsidRPr="00195353">
        <w:t>very sure</w:t>
      </w:r>
      <w:r w:rsidR="00BF14A1">
        <w:t>”</w:t>
      </w:r>
      <w:r w:rsidRPr="00195353">
        <w:t xml:space="preserve"> or </w:t>
      </w:r>
      <w:r w:rsidR="00BF14A1">
        <w:t>“</w:t>
      </w:r>
      <w:r w:rsidRPr="00195353">
        <w:t>extremely sure</w:t>
      </w:r>
      <w:r w:rsidR="00BF14A1">
        <w:t>”</w:t>
      </w:r>
      <w:r>
        <w:t xml:space="preserve"> are denoted</w:t>
      </w:r>
      <w:r w:rsidR="001B0110">
        <w:t xml:space="preserve"> in these additional variables</w:t>
      </w:r>
      <w:r>
        <w:t>.</w:t>
      </w:r>
    </w:p>
    <w:p w:rsidR="0031730A" w:rsidRDefault="002270CF" w:rsidP="001B0110">
      <w:pPr>
        <w:spacing w:before="120"/>
      </w:pPr>
      <w:r>
        <w:t xml:space="preserve">From our logit model estimates we then derive WTP by </w:t>
      </w:r>
      <w:r w:rsidR="0031730A">
        <w:t>a number of</w:t>
      </w:r>
      <w:r>
        <w:t xml:space="preserve"> methodologies.  Our primary result follows </w:t>
      </w:r>
      <w:proofErr w:type="spellStart"/>
      <w:r>
        <w:t>Hanemann’s</w:t>
      </w:r>
      <w:proofErr w:type="spellEnd"/>
      <w:r>
        <w:t xml:space="preserve"> specification (</w:t>
      </w:r>
      <w:proofErr w:type="spellStart"/>
      <w:r>
        <w:t>Hanemann</w:t>
      </w:r>
      <w:proofErr w:type="spellEnd"/>
      <w:r>
        <w:t xml:space="preserve">, 1984, 1989) for admitting </w:t>
      </w:r>
      <w:r w:rsidR="0031730A">
        <w:t>the possibility of negative WTP</w:t>
      </w:r>
      <w:r>
        <w:t xml:space="preserve"> </w:t>
      </w:r>
      <w:r w:rsidR="001B0110">
        <w:t xml:space="preserve">or </w:t>
      </w:r>
      <w:r>
        <w:t>opposition to the policy proposed.</w:t>
      </w:r>
      <w:r w:rsidR="007877C7">
        <w:t xml:space="preserve">  This methodology finds the mean WTP or bid amount that results in respondents being indifferent between supporting the policy or not on average.  T</w:t>
      </w:r>
      <w:r w:rsidR="0031730A">
        <w:t>o derive this</w:t>
      </w:r>
      <w:r w:rsidR="001B0110">
        <w:t>,</w:t>
      </w:r>
      <w:r w:rsidR="0031730A">
        <w:t xml:space="preserve"> t</w:t>
      </w:r>
      <w:r w:rsidR="007877C7">
        <w:t xml:space="preserve">he coefficient estimates of our preferred specification are multiplied by </w:t>
      </w:r>
      <w:r w:rsidR="0031730A">
        <w:t>the</w:t>
      </w:r>
      <w:r w:rsidR="001B0110">
        <w:t>ir</w:t>
      </w:r>
      <w:r w:rsidR="007877C7">
        <w:t xml:space="preserve"> mean value</w:t>
      </w:r>
      <w:r w:rsidR="001B0110">
        <w:t>s,</w:t>
      </w:r>
      <w:r w:rsidR="0031730A">
        <w:t xml:space="preserve"> </w:t>
      </w:r>
      <w:r w:rsidR="001B0110">
        <w:t>excluding the</w:t>
      </w:r>
      <w:r w:rsidR="007877C7">
        <w:t xml:space="preserve"> bid</w:t>
      </w:r>
      <w:r w:rsidR="001B0110">
        <w:t xml:space="preserve"> coefficient,</w:t>
      </w:r>
      <w:r w:rsidR="007877C7">
        <w:t xml:space="preserve"> and </w:t>
      </w:r>
      <w:r w:rsidR="0031730A">
        <w:t xml:space="preserve">then </w:t>
      </w:r>
      <w:r w:rsidR="007877C7">
        <w:t>added to the constant.  Divided by the coefficient on bid, this presents mean (equal to median) WTP</w:t>
      </w:r>
      <w:r w:rsidR="0058039B">
        <w:t xml:space="preserve"> without excluding those with negative values</w:t>
      </w:r>
      <w:r w:rsidR="007877C7">
        <w:t>.</w:t>
      </w:r>
      <w:r w:rsidR="0031730A">
        <w:t xml:space="preserve">  </w:t>
      </w:r>
      <w:r w:rsidR="00DE78BB">
        <w:t xml:space="preserve">We also </w:t>
      </w:r>
      <w:r w:rsidR="00D174EA">
        <w:t>estimate a</w:t>
      </w:r>
      <w:r w:rsidR="00DE78BB">
        <w:t xml:space="preserve"> confidence interval </w:t>
      </w:r>
      <w:r w:rsidR="00D174EA">
        <w:t>using the</w:t>
      </w:r>
      <w:r w:rsidR="00DE78BB">
        <w:t xml:space="preserve"> </w:t>
      </w:r>
      <w:proofErr w:type="spellStart"/>
      <w:r w:rsidR="00DE78BB">
        <w:t>Krinsky</w:t>
      </w:r>
      <w:proofErr w:type="spellEnd"/>
      <w:r w:rsidR="00DE78BB">
        <w:t xml:space="preserve"> and Robb (1986)</w:t>
      </w:r>
      <w:r w:rsidR="00D174EA">
        <w:t xml:space="preserve"> simulation method </w:t>
      </w:r>
      <w:r w:rsidR="001B0110">
        <w:t xml:space="preserve">as </w:t>
      </w:r>
      <w:r w:rsidR="00D174EA">
        <w:t>adapted for such uses</w:t>
      </w:r>
      <w:r w:rsidR="00DE78BB">
        <w:t>.</w:t>
      </w:r>
      <w:r w:rsidR="00AE2C59">
        <w:t xml:space="preserve">  This method makes no assumption of confidence interval symmetry around our point estimate and instead suggests a rather large upper bound in this estimation.</w:t>
      </w:r>
    </w:p>
    <w:p w:rsidR="001E2086" w:rsidRDefault="0031730A" w:rsidP="00444334">
      <w:pPr>
        <w:spacing w:before="120"/>
      </w:pPr>
      <w:r>
        <w:t>As we found</w:t>
      </w:r>
      <w:r w:rsidR="00AF4B5A">
        <w:t xml:space="preserve"> a mean WTP of $168, our result clearly relies on p</w:t>
      </w:r>
      <w:r>
        <w:t>rojection beyond our bid range based on</w:t>
      </w:r>
      <w:r w:rsidR="00AF4B5A">
        <w:t xml:space="preserve"> using the logit specification</w:t>
      </w:r>
      <w:r w:rsidR="00DE78BB">
        <w:t xml:space="preserve"> and thus warrants caution.  As a non-parametric alternative</w:t>
      </w:r>
      <w:r>
        <w:t>,</w:t>
      </w:r>
      <w:r w:rsidR="00DE78BB">
        <w:t xml:space="preserve"> we use the Turnbull non-parametric estimator (Carson, 1994a)</w:t>
      </w:r>
      <w:r w:rsidR="00594A6E">
        <w:t xml:space="preserve"> which estimates possible mean WTP without resorting to our logit specification.  </w:t>
      </w:r>
      <w:r w:rsidR="001F2788">
        <w:t>At a minimum</w:t>
      </w:r>
      <w:r>
        <w:t>,</w:t>
      </w:r>
      <w:r w:rsidR="001F2788">
        <w:t xml:space="preserve"> this estimator establishes a robust lower bound estimate inclusive of any mass of respondents with zero WTP.  This estimate includes both our $155 maximum bid that </w:t>
      </w:r>
      <w:r>
        <w:t>a</w:t>
      </w:r>
      <w:r w:rsidR="001F2788">
        <w:t xml:space="preserve"> majority </w:t>
      </w:r>
      <w:r>
        <w:t xml:space="preserve">queried </w:t>
      </w:r>
      <w:r w:rsidR="001F2788">
        <w:t xml:space="preserve">support and our $168 mean WTP estimate.  </w:t>
      </w:r>
      <w:r>
        <w:t>We then</w:t>
      </w:r>
      <w:r w:rsidR="001F2788">
        <w:t xml:space="preserve">, as an additional check use </w:t>
      </w:r>
      <w:proofErr w:type="spellStart"/>
      <w:r w:rsidR="001F2788">
        <w:t>Kristrom’s</w:t>
      </w:r>
      <w:proofErr w:type="spellEnd"/>
      <w:r w:rsidR="001F2788">
        <w:t xml:space="preserve"> spike model (1997).  W</w:t>
      </w:r>
      <w:r w:rsidR="001E2086">
        <w:t>e first determine whether the respondent is willing to pay at all</w:t>
      </w:r>
      <w:r w:rsidR="001F2788">
        <w:t xml:space="preserve"> to help reduce global warming</w:t>
      </w:r>
      <w:r>
        <w:t xml:space="preserve"> and </w:t>
      </w:r>
      <w:r w:rsidR="001F2788">
        <w:t>would then conditionally offer</w:t>
      </w:r>
      <w:r w:rsidR="001E2086">
        <w:t xml:space="preserve"> </w:t>
      </w:r>
      <w:r w:rsidR="001F2788">
        <w:t xml:space="preserve">a </w:t>
      </w:r>
      <w:r w:rsidR="001E2086">
        <w:t>bid amount</w:t>
      </w:r>
      <w:r w:rsidR="001F2788">
        <w:t xml:space="preserve"> to the respondent</w:t>
      </w:r>
      <w:r w:rsidR="001E2086">
        <w:t>.  For our screening question,</w:t>
      </w:r>
      <w:r w:rsidR="001F2788">
        <w:t xml:space="preserve"> we use a</w:t>
      </w:r>
      <w:r w:rsidR="001E2086">
        <w:t xml:space="preserve"> survey prompt</w:t>
      </w:r>
      <w:r w:rsidR="00AE2C59">
        <w:t xml:space="preserve"> presented to respondents </w:t>
      </w:r>
      <w:r w:rsidR="001F2788">
        <w:t xml:space="preserve">prior to </w:t>
      </w:r>
      <w:r w:rsidR="00AE2C59">
        <w:t>the</w:t>
      </w:r>
      <w:r w:rsidR="001F2788">
        <w:t xml:space="preserve"> other questions </w:t>
      </w:r>
      <w:r w:rsidR="00AE2C59">
        <w:t>used in this study</w:t>
      </w:r>
      <w:r w:rsidR="001E2086">
        <w:t>:</w:t>
      </w:r>
    </w:p>
    <w:p w:rsidR="001E2086" w:rsidRPr="00A563CC" w:rsidRDefault="001E2086" w:rsidP="00AE2C59">
      <w:pPr>
        <w:spacing w:before="120"/>
        <w:ind w:left="360"/>
        <w:rPr>
          <w:i/>
        </w:rPr>
      </w:pPr>
      <w:r w:rsidRPr="00A563CC">
        <w:rPr>
          <w:i/>
        </w:rPr>
        <w:lastRenderedPageBreak/>
        <w:t xml:space="preserve">How much do you support or oppose the following policy? </w:t>
      </w:r>
    </w:p>
    <w:p w:rsidR="001E2086" w:rsidRPr="00A563CC" w:rsidRDefault="001E2086" w:rsidP="001E2086">
      <w:pPr>
        <w:ind w:left="360"/>
        <w:rPr>
          <w:i/>
        </w:rPr>
      </w:pPr>
      <w:r w:rsidRPr="00A563CC">
        <w:rPr>
          <w:i/>
        </w:rPr>
        <w:t>Set strict carbon dioxide emission limits on existing coal-fired power plants to reduce global warming and improve public health. Power plants would have to reduce their emissions and/or invest in renewable energy and energy efficiency. The cost of electricity to consumers and companies would likely increase.</w:t>
      </w:r>
    </w:p>
    <w:p w:rsidR="00B97ADE" w:rsidRDefault="001E2086" w:rsidP="008C411B">
      <w:r>
        <w:t xml:space="preserve">Respondents are given the options to either somewhat or strongly support or oppose the given policy and it is taken that any support of the policy indicates at least some willingness to pay.  </w:t>
      </w:r>
      <w:r w:rsidR="0031730A">
        <w:t>We note</w:t>
      </w:r>
      <w:r>
        <w:t xml:space="preserve"> this is not a 100-percent equivalent prompt- it presents a scenario of government oversight but without suggesting a tax will be imposed.  Some respondents may be particularly opposed to such a framework while others may instead strongly oppose our primary prompt based on a tax scenario.  </w:t>
      </w:r>
      <w:r w:rsidR="001F2788">
        <w:t>For perspective, in another question</w:t>
      </w:r>
      <w:r>
        <w:t xml:space="preserve"> we query whether respondents prefer taxes or regulation (or are indifferent, uninformed, or opposed to both) and find respondents strictly prefer taxes </w:t>
      </w:r>
      <w:r w:rsidR="00195324">
        <w:t>or</w:t>
      </w:r>
      <w:r w:rsidR="001F2788">
        <w:t xml:space="preserve"> regulation in similar shares:</w:t>
      </w:r>
      <w:r>
        <w:t xml:space="preserve"> 11-percent </w:t>
      </w:r>
      <w:r w:rsidR="001F2788">
        <w:t>and 16-percent, respectively.  We also not</w:t>
      </w:r>
      <w:r w:rsidR="00195324">
        <w:t>e</w:t>
      </w:r>
      <w:r w:rsidR="001F2788">
        <w:t xml:space="preserve"> that in total</w:t>
      </w:r>
      <w:r>
        <w:t xml:space="preserve"> respondents prefer either tax, regulation, or both </w:t>
      </w:r>
      <w:r w:rsidR="001F2788">
        <w:t>in 75-percent of cases which is</w:t>
      </w:r>
      <w:r>
        <w:t xml:space="preserve"> similar to the share supporting our near-costless bid of $5 (77.5-percent support).  </w:t>
      </w:r>
      <w:r w:rsidR="00F437EB">
        <w:t>However, due to th</w:t>
      </w:r>
      <w:r w:rsidR="00195324">
        <w:t>e</w:t>
      </w:r>
      <w:r w:rsidR="00F437EB">
        <w:t xml:space="preserve"> potential mismatch</w:t>
      </w:r>
      <w:r w:rsidR="00195324">
        <w:t xml:space="preserve"> of screening and estimation questions,</w:t>
      </w:r>
      <w:r w:rsidR="00F437EB">
        <w:t xml:space="preserve"> w</w:t>
      </w:r>
      <w:r>
        <w:t xml:space="preserve">e estimate </w:t>
      </w:r>
      <w:proofErr w:type="spellStart"/>
      <w:r>
        <w:t>Kristrom’s</w:t>
      </w:r>
      <w:proofErr w:type="spellEnd"/>
      <w:r>
        <w:t xml:space="preserve"> spike mod</w:t>
      </w:r>
      <w:r w:rsidR="00195324">
        <w:t>el as a check on our WTP</w:t>
      </w:r>
      <w:r>
        <w:t xml:space="preserve"> rather than </w:t>
      </w:r>
      <w:r w:rsidR="00F437EB">
        <w:t>as</w:t>
      </w:r>
      <w:r w:rsidR="00195324">
        <w:t xml:space="preserve"> a</w:t>
      </w:r>
      <w:r w:rsidR="00F437EB">
        <w:t xml:space="preserve"> </w:t>
      </w:r>
      <w:r>
        <w:t>primary result</w:t>
      </w:r>
      <w:r w:rsidR="00195324">
        <w:t xml:space="preserve">.  The spike model result </w:t>
      </w:r>
      <w:r>
        <w:t>of $136</w:t>
      </w:r>
      <w:r w:rsidR="00F437EB">
        <w:t xml:space="preserve"> </w:t>
      </w:r>
      <w:r w:rsidR="00195324">
        <w:t>is like</w:t>
      </w:r>
      <w:r w:rsidR="00F437EB">
        <w:t xml:space="preserve"> our main estimate,</w:t>
      </w:r>
      <w:r w:rsidR="00195324">
        <w:t xml:space="preserve"> however,</w:t>
      </w:r>
      <w:r>
        <w:t xml:space="preserve"> and </w:t>
      </w:r>
      <w:r w:rsidR="00195324">
        <w:t>finding that</w:t>
      </w:r>
      <w:r>
        <w:t xml:space="preserve"> 26-percent of respondents have zero WTP</w:t>
      </w:r>
      <w:r w:rsidR="00195324">
        <w:t xml:space="preserve"> or less is </w:t>
      </w:r>
      <w:r w:rsidR="00F437EB">
        <w:t>sim</w:t>
      </w:r>
      <w:r w:rsidR="00195324">
        <w:t xml:space="preserve">ilar to the general support to </w:t>
      </w:r>
      <w:r w:rsidR="00F437EB">
        <w:t>tax and/or regulate, consistent with our other results</w:t>
      </w:r>
      <w:r>
        <w:t xml:space="preserve">.  </w:t>
      </w:r>
      <w:r w:rsidR="00F02DA1">
        <w:t xml:space="preserve"> </w:t>
      </w:r>
    </w:p>
    <w:p w:rsidR="00442144" w:rsidRDefault="00442144" w:rsidP="00442144">
      <w:pPr>
        <w:pStyle w:val="Heading1"/>
      </w:pPr>
      <w:bookmarkStart w:id="6" w:name="_Toc479082654"/>
      <w:r>
        <w:t>References</w:t>
      </w:r>
      <w:bookmarkEnd w:id="6"/>
    </w:p>
    <w:p w:rsidR="00C03F9A" w:rsidRPr="00C03F9A" w:rsidRDefault="00C03F9A" w:rsidP="006C64C2">
      <w:r w:rsidRPr="00C03F9A">
        <w:rPr>
          <w:noProof/>
        </w:rPr>
        <w:t xml:space="preserve">Aldy, J. E., Kotchen, M. J., &amp; Leiserowitz, A. A. Willingness to pay and political support for a US national clean energy standard. </w:t>
      </w:r>
      <w:r w:rsidRPr="006C64C2">
        <w:rPr>
          <w:i/>
          <w:iCs/>
          <w:noProof/>
        </w:rPr>
        <w:t xml:space="preserve">Nature Climate Change </w:t>
      </w:r>
      <w:r w:rsidRPr="006C64C2">
        <w:rPr>
          <w:b/>
          <w:iCs/>
          <w:noProof/>
        </w:rPr>
        <w:t>2</w:t>
      </w:r>
      <w:r w:rsidRPr="00C03F9A">
        <w:rPr>
          <w:noProof/>
        </w:rPr>
        <w:t>, 596-599 (2012).</w:t>
      </w:r>
    </w:p>
    <w:p w:rsidR="00C03F9A" w:rsidRDefault="00C03F9A" w:rsidP="006C64C2">
      <w:r w:rsidRPr="00C03F9A">
        <w:t xml:space="preserve">Arrow, K. et al. Report of the NOAA panel on contingent valuation. </w:t>
      </w:r>
      <w:r w:rsidRPr="006C64C2">
        <w:rPr>
          <w:i/>
        </w:rPr>
        <w:t>Federal Register</w:t>
      </w:r>
      <w:r w:rsidRPr="00C03F9A">
        <w:t xml:space="preserve"> </w:t>
      </w:r>
      <w:r w:rsidRPr="006C64C2">
        <w:rPr>
          <w:b/>
        </w:rPr>
        <w:t>58</w:t>
      </w:r>
      <w:r w:rsidRPr="00C03F9A">
        <w:t>, 4602-4614 (1993).</w:t>
      </w:r>
    </w:p>
    <w:p w:rsidR="00772B8E" w:rsidRPr="00C03F9A" w:rsidRDefault="00772B8E" w:rsidP="006C64C2">
      <w:r>
        <w:t xml:space="preserve">Baker, J. A. </w:t>
      </w:r>
      <w:r w:rsidRPr="006C64C2">
        <w:rPr>
          <w:i/>
        </w:rPr>
        <w:t>et al.</w:t>
      </w:r>
      <w:r>
        <w:t xml:space="preserve"> The </w:t>
      </w:r>
      <w:r w:rsidR="002C7234">
        <w:t xml:space="preserve">conservative case for carbon dividends. </w:t>
      </w:r>
      <w:r w:rsidR="002C7234" w:rsidRPr="006C64C2">
        <w:rPr>
          <w:i/>
        </w:rPr>
        <w:t>Climate Leadership Council</w:t>
      </w:r>
      <w:r w:rsidR="002C7234">
        <w:t>, 2017.</w:t>
      </w:r>
    </w:p>
    <w:p w:rsidR="00C03F9A" w:rsidRPr="00C03F9A" w:rsidRDefault="00C03F9A" w:rsidP="006C64C2">
      <w:r w:rsidRPr="00C03F9A">
        <w:t xml:space="preserve">Bureau of Labor Statistics </w:t>
      </w:r>
      <w:r w:rsidRPr="006C64C2">
        <w:rPr>
          <w:i/>
        </w:rPr>
        <w:t xml:space="preserve">May 2015 National Industry-Specific Occupational Employment and Wage Estimates </w:t>
      </w:r>
      <w:r w:rsidRPr="00C03F9A">
        <w:t>(NAICS 212100 - Coal Mining); available at https://www.bls.gov/oes/current/naics4_212100.htm#47-0000</w:t>
      </w:r>
    </w:p>
    <w:p w:rsidR="00C03F9A" w:rsidRPr="00C03F9A" w:rsidRDefault="00C03F9A" w:rsidP="006C64C2">
      <w:r w:rsidRPr="00C03F9A">
        <w:t xml:space="preserve">Carson, R. T. </w:t>
      </w:r>
      <w:r w:rsidRPr="006C64C2">
        <w:rPr>
          <w:i/>
        </w:rPr>
        <w:t>et al</w:t>
      </w:r>
      <w:r w:rsidRPr="00C03F9A">
        <w:t xml:space="preserve">. Prospective interim lost use value due to DDT and PCB contamination in the southern California bight. </w:t>
      </w:r>
      <w:r w:rsidRPr="006C64C2">
        <w:rPr>
          <w:i/>
        </w:rPr>
        <w:t>NOAA Contract No.</w:t>
      </w:r>
      <w:r w:rsidRPr="006C64C2">
        <w:rPr>
          <w:rFonts w:ascii="Cambria Math" w:hAnsi="Cambria Math" w:cs="Cambria Math"/>
          <w:i/>
        </w:rPr>
        <w:t>‐</w:t>
      </w:r>
      <w:r w:rsidRPr="006C64C2">
        <w:rPr>
          <w:i/>
        </w:rPr>
        <w:t>DGNC</w:t>
      </w:r>
      <w:r w:rsidRPr="006C64C2">
        <w:rPr>
          <w:rFonts w:ascii="Cambria Math" w:hAnsi="Cambria Math" w:cs="Cambria Math"/>
          <w:i/>
        </w:rPr>
        <w:t>‐</w:t>
      </w:r>
      <w:r w:rsidRPr="006C64C2">
        <w:rPr>
          <w:i/>
        </w:rPr>
        <w:t>1</w:t>
      </w:r>
      <w:r w:rsidRPr="006C64C2">
        <w:rPr>
          <w:rFonts w:ascii="Cambria Math" w:hAnsi="Cambria Math" w:cs="Cambria Math"/>
          <w:i/>
        </w:rPr>
        <w:t>‐</w:t>
      </w:r>
      <w:r w:rsidRPr="006C64C2">
        <w:rPr>
          <w:i/>
        </w:rPr>
        <w:t>00007</w:t>
      </w:r>
      <w:r w:rsidRPr="00C03F9A">
        <w:t xml:space="preserve"> (1994a).</w:t>
      </w:r>
    </w:p>
    <w:p w:rsidR="00C03F9A" w:rsidRPr="00C03F9A" w:rsidRDefault="00C03F9A" w:rsidP="006C64C2">
      <w:r w:rsidRPr="00C03F9A">
        <w:t xml:space="preserve">Carson, R. T., Wilks, L., &amp; </w:t>
      </w:r>
      <w:proofErr w:type="spellStart"/>
      <w:r w:rsidRPr="00C03F9A">
        <w:t>Imber</w:t>
      </w:r>
      <w:proofErr w:type="spellEnd"/>
      <w:r w:rsidRPr="00C03F9A">
        <w:t xml:space="preserve">, D. Valuing the preservation of Australia’s </w:t>
      </w:r>
      <w:proofErr w:type="spellStart"/>
      <w:r w:rsidRPr="00C03F9A">
        <w:t>Kakadu</w:t>
      </w:r>
      <w:proofErr w:type="spellEnd"/>
      <w:r w:rsidRPr="00C03F9A">
        <w:t xml:space="preserve"> Conservation Zone. Oxford Economic Papers </w:t>
      </w:r>
      <w:r w:rsidRPr="006C64C2">
        <w:rPr>
          <w:b/>
        </w:rPr>
        <w:t>46</w:t>
      </w:r>
      <w:r w:rsidRPr="00C03F9A">
        <w:t>, 727</w:t>
      </w:r>
      <w:r w:rsidRPr="006C64C2">
        <w:rPr>
          <w:rFonts w:ascii="Cambria Math" w:hAnsi="Cambria Math" w:cs="Cambria Math"/>
        </w:rPr>
        <w:t>‐</w:t>
      </w:r>
      <w:r w:rsidRPr="00C03F9A">
        <w:t>749 (1994b).</w:t>
      </w:r>
    </w:p>
    <w:p w:rsidR="00C03F9A" w:rsidRPr="00C03F9A" w:rsidRDefault="00C03F9A" w:rsidP="006C64C2">
      <w:r w:rsidRPr="00C03F9A">
        <w:t xml:space="preserve">Energy Information Administration </w:t>
      </w:r>
      <w:r w:rsidRPr="006C64C2">
        <w:rPr>
          <w:i/>
        </w:rPr>
        <w:t>2015 Average Monthly Bill- Residential</w:t>
      </w:r>
      <w:r w:rsidRPr="00C03F9A">
        <w:t>; available at http://www.eia.gov/electricity/sales_revenue_price/pdf/table5_a.pdf</w:t>
      </w:r>
    </w:p>
    <w:p w:rsidR="00C03F9A" w:rsidRPr="00C03F9A" w:rsidRDefault="00C03F9A" w:rsidP="006C64C2">
      <w:r w:rsidRPr="00C03F9A">
        <w:t xml:space="preserve">Greenstone, M. Americans appear willing to pay for a carbon tax policy. </w:t>
      </w:r>
      <w:r w:rsidRPr="006C64C2">
        <w:rPr>
          <w:i/>
        </w:rPr>
        <w:t>The New York Times</w:t>
      </w:r>
      <w:r w:rsidRPr="00C03F9A">
        <w:t xml:space="preserve"> (September 15, 2016); available at https://www.nytimes.com/2016/09/15/upshot/americans-appear-willing-to-pay-for-a-carbon-tax-policy.html</w:t>
      </w:r>
    </w:p>
    <w:p w:rsidR="00C03F9A" w:rsidRPr="00C03F9A" w:rsidRDefault="00C03F9A" w:rsidP="006C64C2">
      <w:proofErr w:type="spellStart"/>
      <w:r w:rsidRPr="00C03F9A">
        <w:t>Haab</w:t>
      </w:r>
      <w:proofErr w:type="spellEnd"/>
      <w:r w:rsidRPr="00C03F9A">
        <w:t xml:space="preserve">, T. &amp; McConnell, K. Referendum models and negative willingness to pay: Alternative solutions. </w:t>
      </w:r>
      <w:r w:rsidRPr="006C64C2">
        <w:rPr>
          <w:i/>
        </w:rPr>
        <w:t xml:space="preserve">J. of Environ. </w:t>
      </w:r>
      <w:proofErr w:type="spellStart"/>
      <w:r w:rsidRPr="006C64C2">
        <w:rPr>
          <w:i/>
        </w:rPr>
        <w:t>Econom</w:t>
      </w:r>
      <w:proofErr w:type="spellEnd"/>
      <w:r w:rsidRPr="006C64C2">
        <w:rPr>
          <w:i/>
        </w:rPr>
        <w:t>. and Manage.</w:t>
      </w:r>
      <w:r w:rsidRPr="00C03F9A">
        <w:t xml:space="preserve"> </w:t>
      </w:r>
      <w:r w:rsidRPr="006C64C2">
        <w:rPr>
          <w:b/>
        </w:rPr>
        <w:t>32</w:t>
      </w:r>
      <w:r w:rsidRPr="00C03F9A">
        <w:t>, 251</w:t>
      </w:r>
      <w:r w:rsidRPr="006C64C2">
        <w:rPr>
          <w:rFonts w:ascii="Cambria Math" w:hAnsi="Cambria Math" w:cs="Cambria Math"/>
        </w:rPr>
        <w:t>‐</w:t>
      </w:r>
      <w:r w:rsidRPr="00C03F9A">
        <w:t>270 (1997).</w:t>
      </w:r>
    </w:p>
    <w:p w:rsidR="00C03F9A" w:rsidRPr="00C03F9A" w:rsidRDefault="00C03F9A" w:rsidP="006C64C2">
      <w:proofErr w:type="spellStart"/>
      <w:r w:rsidRPr="00C03F9A">
        <w:t>Hanemann</w:t>
      </w:r>
      <w:proofErr w:type="spellEnd"/>
      <w:r w:rsidRPr="00C03F9A">
        <w:t xml:space="preserve">, W. M. Welfare evaluations in contingent valuation experiments with discrete responses. </w:t>
      </w:r>
      <w:r w:rsidRPr="006C64C2">
        <w:rPr>
          <w:i/>
        </w:rPr>
        <w:t xml:space="preserve">Am. J. Agric. </w:t>
      </w:r>
      <w:proofErr w:type="spellStart"/>
      <w:r w:rsidRPr="006C64C2">
        <w:rPr>
          <w:i/>
        </w:rPr>
        <w:t>Econom</w:t>
      </w:r>
      <w:proofErr w:type="spellEnd"/>
      <w:r w:rsidRPr="006C64C2">
        <w:rPr>
          <w:i/>
        </w:rPr>
        <w:t>.</w:t>
      </w:r>
      <w:r w:rsidRPr="00C03F9A">
        <w:t xml:space="preserve"> </w:t>
      </w:r>
      <w:r w:rsidRPr="006C64C2">
        <w:rPr>
          <w:b/>
        </w:rPr>
        <w:t>66</w:t>
      </w:r>
      <w:r w:rsidRPr="00C03F9A">
        <w:t>, 332-341 (1984).</w:t>
      </w:r>
    </w:p>
    <w:p w:rsidR="00C03F9A" w:rsidRPr="00C03F9A" w:rsidRDefault="00C03F9A" w:rsidP="006C64C2">
      <w:proofErr w:type="spellStart"/>
      <w:r w:rsidRPr="00C03F9A">
        <w:lastRenderedPageBreak/>
        <w:t>Hanemann</w:t>
      </w:r>
      <w:proofErr w:type="spellEnd"/>
      <w:r w:rsidRPr="00C03F9A">
        <w:t xml:space="preserve">, W. M. Welfare evaluations in contingent valuation experiments with discrete response data: Reply. </w:t>
      </w:r>
      <w:r w:rsidRPr="006C64C2">
        <w:rPr>
          <w:i/>
        </w:rPr>
        <w:t xml:space="preserve">Am. J. Agric. </w:t>
      </w:r>
      <w:proofErr w:type="spellStart"/>
      <w:r w:rsidRPr="006C64C2">
        <w:rPr>
          <w:i/>
        </w:rPr>
        <w:t>Econom</w:t>
      </w:r>
      <w:proofErr w:type="spellEnd"/>
      <w:r w:rsidRPr="006C64C2">
        <w:rPr>
          <w:i/>
        </w:rPr>
        <w:t>.</w:t>
      </w:r>
      <w:r w:rsidRPr="00C03F9A">
        <w:t xml:space="preserve"> </w:t>
      </w:r>
      <w:r w:rsidRPr="006C64C2">
        <w:rPr>
          <w:b/>
        </w:rPr>
        <w:t>71</w:t>
      </w:r>
      <w:r w:rsidRPr="00C03F9A">
        <w:t>, 1057-1061 (1989).</w:t>
      </w:r>
    </w:p>
    <w:p w:rsidR="00C03F9A" w:rsidRPr="00C03F9A" w:rsidRDefault="00C03F9A" w:rsidP="006C64C2">
      <w:r w:rsidRPr="00C03F9A">
        <w:t xml:space="preserve">Kotchen, M. J., Boyle, K. J., &amp; Leiserowitz, A. A. Willingness-to-pay and policy-instrument choice for climate-change policy in the United States. </w:t>
      </w:r>
      <w:r w:rsidRPr="006C64C2">
        <w:rPr>
          <w:i/>
        </w:rPr>
        <w:t>Energy Policy</w:t>
      </w:r>
      <w:r w:rsidRPr="00C03F9A">
        <w:t xml:space="preserve"> </w:t>
      </w:r>
      <w:r w:rsidRPr="006C64C2">
        <w:rPr>
          <w:b/>
        </w:rPr>
        <w:t>55</w:t>
      </w:r>
      <w:r w:rsidRPr="00C03F9A">
        <w:t>, 617-625 (2013).</w:t>
      </w:r>
    </w:p>
    <w:p w:rsidR="00C03F9A" w:rsidRPr="00C03F9A" w:rsidRDefault="00C03F9A" w:rsidP="006C64C2">
      <w:proofErr w:type="spellStart"/>
      <w:r w:rsidRPr="00C03F9A">
        <w:t>Krinsky</w:t>
      </w:r>
      <w:proofErr w:type="spellEnd"/>
      <w:r w:rsidRPr="00C03F9A">
        <w:t xml:space="preserve">, I., &amp; Robb, A. L. On approximating the statistical properties of elasticities. </w:t>
      </w:r>
      <w:r w:rsidRPr="006C64C2">
        <w:rPr>
          <w:i/>
        </w:rPr>
        <w:t xml:space="preserve">Rev. </w:t>
      </w:r>
      <w:proofErr w:type="spellStart"/>
      <w:r w:rsidRPr="006C64C2">
        <w:rPr>
          <w:i/>
        </w:rPr>
        <w:t>Econom</w:t>
      </w:r>
      <w:proofErr w:type="spellEnd"/>
      <w:r w:rsidRPr="006C64C2">
        <w:rPr>
          <w:i/>
        </w:rPr>
        <w:t>. Stat.</w:t>
      </w:r>
      <w:r w:rsidRPr="00C03F9A">
        <w:t xml:space="preserve"> </w:t>
      </w:r>
      <w:r w:rsidRPr="006C64C2">
        <w:rPr>
          <w:b/>
        </w:rPr>
        <w:t>68</w:t>
      </w:r>
      <w:r w:rsidRPr="00C03F9A">
        <w:t>, 715-719 (1986).</w:t>
      </w:r>
    </w:p>
    <w:p w:rsidR="00C03F9A" w:rsidRDefault="00C03F9A" w:rsidP="006C64C2">
      <w:proofErr w:type="spellStart"/>
      <w:r w:rsidRPr="00C03F9A">
        <w:t>Kristrom</w:t>
      </w:r>
      <w:proofErr w:type="spellEnd"/>
      <w:r w:rsidRPr="00C03F9A">
        <w:t>, B. A Non</w:t>
      </w:r>
      <w:r w:rsidRPr="006C64C2">
        <w:rPr>
          <w:rFonts w:ascii="Cambria Math" w:hAnsi="Cambria Math" w:cs="Cambria Math"/>
        </w:rPr>
        <w:t>‐</w:t>
      </w:r>
      <w:r w:rsidRPr="00C03F9A">
        <w:t xml:space="preserve">parametric approach to the estimation of welfare measures in discrete response valuation studies. </w:t>
      </w:r>
      <w:r w:rsidRPr="006C64C2">
        <w:rPr>
          <w:i/>
        </w:rPr>
        <w:t xml:space="preserve">Land </w:t>
      </w:r>
      <w:proofErr w:type="spellStart"/>
      <w:r w:rsidRPr="006C64C2">
        <w:rPr>
          <w:i/>
        </w:rPr>
        <w:t>Econom</w:t>
      </w:r>
      <w:proofErr w:type="spellEnd"/>
      <w:r w:rsidRPr="006C64C2">
        <w:rPr>
          <w:i/>
        </w:rPr>
        <w:t>.</w:t>
      </w:r>
      <w:r w:rsidRPr="00C03F9A">
        <w:t xml:space="preserve"> </w:t>
      </w:r>
      <w:r w:rsidRPr="006C64C2">
        <w:rPr>
          <w:b/>
        </w:rPr>
        <w:t>66</w:t>
      </w:r>
      <w:r w:rsidRPr="00C03F9A">
        <w:t>, 135</w:t>
      </w:r>
      <w:r w:rsidRPr="006C64C2">
        <w:rPr>
          <w:rFonts w:ascii="Cambria Math" w:hAnsi="Cambria Math" w:cs="Cambria Math"/>
        </w:rPr>
        <w:t>‐</w:t>
      </w:r>
      <w:r w:rsidRPr="00C03F9A">
        <w:t>139 (1990).</w:t>
      </w:r>
    </w:p>
    <w:p w:rsidR="00ED0CF0" w:rsidRPr="00C03F9A" w:rsidRDefault="00ED0CF0" w:rsidP="006C64C2">
      <w:r w:rsidRPr="001A2871">
        <w:t>Leiserowitz</w:t>
      </w:r>
      <w:r>
        <w:t>, A.</w:t>
      </w:r>
      <w:r w:rsidRPr="001A2871">
        <w:t xml:space="preserve">, </w:t>
      </w:r>
      <w:proofErr w:type="spellStart"/>
      <w:r w:rsidRPr="001A2871">
        <w:t>Maibach</w:t>
      </w:r>
      <w:proofErr w:type="spellEnd"/>
      <w:r>
        <w:t>, E.,</w:t>
      </w:r>
      <w:r w:rsidRPr="001A2871">
        <w:t xml:space="preserve"> </w:t>
      </w:r>
      <w:r>
        <w:t>&amp;</w:t>
      </w:r>
      <w:r w:rsidRPr="001A2871">
        <w:t xml:space="preserve"> </w:t>
      </w:r>
      <w:proofErr w:type="spellStart"/>
      <w:r w:rsidRPr="001A2871">
        <w:t>Roser-Renouf</w:t>
      </w:r>
      <w:proofErr w:type="spellEnd"/>
      <w:r>
        <w:t xml:space="preserve">, C. </w:t>
      </w:r>
      <w:r w:rsidRPr="00ED0CF0">
        <w:rPr>
          <w:i/>
        </w:rPr>
        <w:t>Global Warming’s Six Americas 2009: An Audience Segmentation Analysis</w:t>
      </w:r>
      <w:r>
        <w:t xml:space="preserve"> </w:t>
      </w:r>
      <w:r w:rsidRPr="00C03F9A">
        <w:t>(Yale University and George Mason University, Yale Project on Climate Change Communication)</w:t>
      </w:r>
      <w:r>
        <w:t xml:space="preserve">; available at </w:t>
      </w:r>
      <w:r w:rsidRPr="00ED0CF0">
        <w:t>http://climatecommunication.yale.edu/publications/global-warmings-six-americas-2009/</w:t>
      </w:r>
      <w:r>
        <w:tab/>
      </w:r>
    </w:p>
    <w:p w:rsidR="00C03F9A" w:rsidRPr="00C03F9A" w:rsidRDefault="00C03F9A" w:rsidP="006C64C2">
      <w:r w:rsidRPr="00C03F9A">
        <w:t xml:space="preserve">Leiserowitz, A., </w:t>
      </w:r>
      <w:proofErr w:type="spellStart"/>
      <w:r w:rsidRPr="00C03F9A">
        <w:t>Maibach</w:t>
      </w:r>
      <w:proofErr w:type="spellEnd"/>
      <w:r w:rsidRPr="00C03F9A">
        <w:t xml:space="preserve">, E., </w:t>
      </w:r>
      <w:proofErr w:type="spellStart"/>
      <w:r w:rsidRPr="00C03F9A">
        <w:t>Roser-Renauf</w:t>
      </w:r>
      <w:proofErr w:type="spellEnd"/>
      <w:r w:rsidRPr="00C03F9A">
        <w:t xml:space="preserve">, C., Rosenthal, S., &amp; Cutler, M. </w:t>
      </w:r>
      <w:r w:rsidRPr="006C64C2">
        <w:rPr>
          <w:i/>
        </w:rPr>
        <w:t xml:space="preserve">Politics &amp; Global Warming, November 2016 </w:t>
      </w:r>
      <w:r w:rsidRPr="00C03F9A">
        <w:t>(Yale University and George Mason University, Yale Project on Climate Change Communication); available at http://climatecommunication.yale.edu/publications/politics-global-warming-november-2016/</w:t>
      </w:r>
    </w:p>
    <w:p w:rsidR="00C03F9A" w:rsidRPr="00C03F9A" w:rsidRDefault="00C03F9A" w:rsidP="006C64C2">
      <w:proofErr w:type="spellStart"/>
      <w:r w:rsidRPr="00C03F9A">
        <w:t>Mundaca</w:t>
      </w:r>
      <w:proofErr w:type="spellEnd"/>
      <w:r w:rsidRPr="00C03F9A">
        <w:t xml:space="preserve">, L., &amp; Richter, J. L. Assessing ‘green energy economy’ stimulus packages: Evidence from the U.S. programs targeting renewable energy. </w:t>
      </w:r>
      <w:r w:rsidRPr="006C64C2">
        <w:rPr>
          <w:i/>
        </w:rPr>
        <w:t>Renewable and Sustainable Energy Rev.</w:t>
      </w:r>
      <w:r w:rsidRPr="00C03F9A">
        <w:t xml:space="preserve"> </w:t>
      </w:r>
      <w:r w:rsidRPr="006C64C2">
        <w:rPr>
          <w:b/>
        </w:rPr>
        <w:t>42</w:t>
      </w:r>
      <w:r w:rsidRPr="00C03F9A">
        <w:t>, 1174-1186 (2015).</w:t>
      </w:r>
    </w:p>
    <w:p w:rsidR="00C03F9A" w:rsidRPr="00C03F9A" w:rsidRDefault="00C03F9A" w:rsidP="006C64C2">
      <w:r w:rsidRPr="00C03F9A">
        <w:t>Park, T., Loomis, J. B. &amp; Creel, M. Confidence intervals for evaluating benefit estimates from dichotomous choice contingent valuation.</w:t>
      </w:r>
      <w:r w:rsidRPr="006C64C2">
        <w:rPr>
          <w:i/>
        </w:rPr>
        <w:t xml:space="preserve"> Land </w:t>
      </w:r>
      <w:proofErr w:type="spellStart"/>
      <w:r w:rsidRPr="006C64C2">
        <w:rPr>
          <w:i/>
        </w:rPr>
        <w:t>Econom</w:t>
      </w:r>
      <w:proofErr w:type="spellEnd"/>
      <w:r w:rsidRPr="006C64C2">
        <w:rPr>
          <w:i/>
        </w:rPr>
        <w:t>.</w:t>
      </w:r>
      <w:r w:rsidRPr="00C03F9A">
        <w:t xml:space="preserve"> </w:t>
      </w:r>
      <w:r w:rsidRPr="006C64C2">
        <w:rPr>
          <w:b/>
        </w:rPr>
        <w:t>67</w:t>
      </w:r>
      <w:r w:rsidRPr="00C03F9A">
        <w:t>, 64-73 (1991).</w:t>
      </w:r>
    </w:p>
    <w:p w:rsidR="00C03F9A" w:rsidRPr="00C03F9A" w:rsidRDefault="00C03F9A" w:rsidP="006C64C2">
      <w:r w:rsidRPr="00C03F9A">
        <w:t xml:space="preserve">U.S. Department of Energy </w:t>
      </w:r>
      <w:proofErr w:type="spellStart"/>
      <w:r w:rsidRPr="006C64C2">
        <w:rPr>
          <w:i/>
        </w:rPr>
        <w:t>Energy</w:t>
      </w:r>
      <w:proofErr w:type="spellEnd"/>
      <w:r w:rsidRPr="006C64C2">
        <w:rPr>
          <w:i/>
        </w:rPr>
        <w:t xml:space="preserve"> Department Announces $150 Million in Tax Credits to Invest in U.S. Clean Energy Manufacturing</w:t>
      </w:r>
      <w:r w:rsidRPr="00C03F9A">
        <w:t>; available at https://energy.gov/articles/energy-department-announces-150-million-tax-credits-invest-us-clean-energy-manufacturing</w:t>
      </w:r>
    </w:p>
    <w:p w:rsidR="00B35340" w:rsidRDefault="00C03F9A" w:rsidP="00E24526">
      <w:r w:rsidRPr="00C03F9A">
        <w:t xml:space="preserve">US Census Bureau </w:t>
      </w:r>
      <w:r w:rsidRPr="006C64C2">
        <w:rPr>
          <w:i/>
        </w:rPr>
        <w:t>March 2016 Annual Social and Economic Supplement (ASEC)</w:t>
      </w:r>
      <w:r w:rsidRPr="00C03F9A">
        <w:t>; available at https://www.census.gov/programs-surveys/cps/technical-documentation/complete.html</w:t>
      </w:r>
    </w:p>
    <w:p w:rsidR="006C64C2" w:rsidRDefault="006C64C2" w:rsidP="000F49D7">
      <w:pPr>
        <w:pStyle w:val="Heading1"/>
      </w:pPr>
      <w:bookmarkStart w:id="7" w:name="_Toc479082655"/>
      <w:r>
        <w:t>Appendix A: Coefficient estimates from multinomial regressions</w:t>
      </w:r>
      <w:bookmarkEnd w:id="7"/>
    </w:p>
    <w:p w:rsidR="006C64C2" w:rsidRDefault="00B96780" w:rsidP="006C64C2">
      <w:r>
        <w:t>While Table 3 reports the marginal e</w:t>
      </w:r>
      <w:r w:rsidR="009A31CF">
        <w:t xml:space="preserve">ffects of the variables included in the model, the coefficients are </w:t>
      </w:r>
      <w:r w:rsidR="008F4F73">
        <w:t>need to compute mean WTP.  These coefficient results are included as they, along with the summary statistics, allow replication of the WTP results in this paper.</w:t>
      </w:r>
      <w:r>
        <w:t xml:space="preserve"> </w:t>
      </w:r>
    </w:p>
    <w:tbl>
      <w:tblPr>
        <w:tblW w:w="5000" w:type="pct"/>
        <w:tblLayout w:type="fixed"/>
        <w:tblLook w:val="04A0" w:firstRow="1" w:lastRow="0" w:firstColumn="1" w:lastColumn="0" w:noHBand="0" w:noVBand="1"/>
      </w:tblPr>
      <w:tblGrid>
        <w:gridCol w:w="3867"/>
        <w:gridCol w:w="1352"/>
        <w:gridCol w:w="1501"/>
        <w:gridCol w:w="1348"/>
        <w:gridCol w:w="1292"/>
      </w:tblGrid>
      <w:tr w:rsidR="00AB3507" w:rsidRPr="003E5D9C" w:rsidTr="00AB3507">
        <w:trPr>
          <w:trHeight w:val="300"/>
        </w:trPr>
        <w:tc>
          <w:tcPr>
            <w:tcW w:w="5000" w:type="pct"/>
            <w:gridSpan w:val="5"/>
            <w:tcBorders>
              <w:top w:val="nil"/>
              <w:left w:val="nil"/>
              <w:bottom w:val="single" w:sz="4" w:space="0" w:color="auto"/>
              <w:right w:val="nil"/>
            </w:tcBorders>
            <w:shd w:val="clear" w:color="auto" w:fill="E7E6E6" w:themeFill="background2"/>
            <w:noWrap/>
            <w:vAlign w:val="bottom"/>
            <w:hideMark/>
          </w:tcPr>
          <w:p w:rsidR="00AB3507" w:rsidRPr="00582D88" w:rsidRDefault="00AB3507" w:rsidP="00740745">
            <w:pPr>
              <w:keepNext/>
              <w:spacing w:after="0" w:line="240" w:lineRule="auto"/>
              <w:rPr>
                <w:rFonts w:eastAsia="Times New Roman"/>
                <w:b/>
                <w:bCs/>
              </w:rPr>
            </w:pPr>
            <w:r w:rsidRPr="00582D88">
              <w:rPr>
                <w:rFonts w:eastAsia="Times New Roman"/>
                <w:b/>
                <w:bCs/>
              </w:rPr>
              <w:lastRenderedPageBreak/>
              <w:t xml:space="preserve">Table </w:t>
            </w:r>
            <w:r>
              <w:rPr>
                <w:rFonts w:eastAsia="Times New Roman"/>
                <w:b/>
                <w:bCs/>
              </w:rPr>
              <w:t>A1</w:t>
            </w:r>
            <w:r w:rsidRPr="00582D88">
              <w:rPr>
                <w:rFonts w:eastAsia="Times New Roman"/>
                <w:b/>
                <w:bCs/>
              </w:rPr>
              <w:t xml:space="preserve"> | </w:t>
            </w:r>
            <w:r>
              <w:rPr>
                <w:rFonts w:eastAsia="Times New Roman"/>
                <w:b/>
                <w:bCs/>
              </w:rPr>
              <w:t>Coefficien</w:t>
            </w:r>
            <w:r w:rsidR="0065006F">
              <w:rPr>
                <w:rFonts w:eastAsia="Times New Roman"/>
                <w:b/>
                <w:bCs/>
              </w:rPr>
              <w:t>t estimates for the logit model</w:t>
            </w:r>
            <w:r w:rsidRPr="00582D88">
              <w:rPr>
                <w:rFonts w:eastAsia="Times New Roman"/>
                <w:b/>
                <w:bCs/>
              </w:rPr>
              <w:t xml:space="preserve"> </w:t>
            </w:r>
            <w:r w:rsidR="0065006F">
              <w:rPr>
                <w:rFonts w:eastAsia="Times New Roman"/>
                <w:b/>
                <w:bCs/>
              </w:rPr>
              <w:t>results</w:t>
            </w:r>
            <w:r>
              <w:rPr>
                <w:rFonts w:eastAsia="Times New Roman"/>
                <w:b/>
                <w:bCs/>
              </w:rPr>
              <w:t xml:space="preserve"> in Table 3</w:t>
            </w:r>
            <w:r w:rsidRPr="00582D88">
              <w:rPr>
                <w:rFonts w:eastAsia="Times New Roman"/>
                <w:b/>
                <w:bCs/>
              </w:rPr>
              <w:t>.</w:t>
            </w:r>
          </w:p>
        </w:tc>
      </w:tr>
      <w:tr w:rsidR="00AB3507" w:rsidRPr="003E5D9C" w:rsidTr="00AB3507">
        <w:trPr>
          <w:trHeight w:val="300"/>
        </w:trPr>
        <w:tc>
          <w:tcPr>
            <w:tcW w:w="2066" w:type="pct"/>
            <w:tcBorders>
              <w:top w:val="single" w:sz="4" w:space="0" w:color="auto"/>
              <w:left w:val="nil"/>
              <w:bottom w:val="single" w:sz="4" w:space="0" w:color="auto"/>
              <w:right w:val="nil"/>
            </w:tcBorders>
            <w:shd w:val="clear" w:color="000000" w:fill="F2F2F2"/>
            <w:noWrap/>
            <w:vAlign w:val="bottom"/>
            <w:hideMark/>
          </w:tcPr>
          <w:p w:rsidR="00AB3507" w:rsidRPr="003E5D9C" w:rsidRDefault="00AB3507" w:rsidP="00740745">
            <w:pPr>
              <w:keepNext/>
              <w:spacing w:after="0" w:line="240" w:lineRule="auto"/>
              <w:rPr>
                <w:rFonts w:eastAsia="Times New Roman"/>
              </w:rPr>
            </w:pPr>
            <w:r w:rsidRPr="003E5D9C">
              <w:rPr>
                <w:rFonts w:eastAsia="Times New Roman"/>
              </w:rPr>
              <w:t> </w:t>
            </w:r>
          </w:p>
        </w:tc>
        <w:tc>
          <w:tcPr>
            <w:tcW w:w="722" w:type="pct"/>
            <w:tcBorders>
              <w:top w:val="single" w:sz="4" w:space="0" w:color="auto"/>
              <w:left w:val="nil"/>
              <w:bottom w:val="single" w:sz="4" w:space="0" w:color="auto"/>
              <w:right w:val="nil"/>
            </w:tcBorders>
            <w:shd w:val="clear" w:color="000000" w:fill="F2F2F2"/>
            <w:noWrap/>
            <w:vAlign w:val="bottom"/>
            <w:hideMark/>
          </w:tcPr>
          <w:p w:rsidR="00AB3507" w:rsidRPr="003E5D9C" w:rsidRDefault="00AB3507" w:rsidP="00740745">
            <w:pPr>
              <w:keepNext/>
              <w:spacing w:after="0" w:line="240" w:lineRule="auto"/>
              <w:jc w:val="center"/>
              <w:rPr>
                <w:rFonts w:eastAsia="Times New Roman"/>
              </w:rPr>
            </w:pPr>
            <w:r w:rsidRPr="003E5D9C">
              <w:rPr>
                <w:rFonts w:eastAsia="Times New Roman"/>
              </w:rPr>
              <w:t>(1)</w:t>
            </w:r>
          </w:p>
        </w:tc>
        <w:tc>
          <w:tcPr>
            <w:tcW w:w="802" w:type="pct"/>
            <w:tcBorders>
              <w:top w:val="single" w:sz="4" w:space="0" w:color="auto"/>
              <w:left w:val="nil"/>
              <w:bottom w:val="single" w:sz="4" w:space="0" w:color="auto"/>
              <w:right w:val="nil"/>
            </w:tcBorders>
            <w:shd w:val="clear" w:color="000000" w:fill="F2F2F2"/>
            <w:noWrap/>
            <w:vAlign w:val="bottom"/>
            <w:hideMark/>
          </w:tcPr>
          <w:p w:rsidR="00AB3507" w:rsidRPr="003E5D9C" w:rsidRDefault="00AB3507" w:rsidP="00740745">
            <w:pPr>
              <w:keepNext/>
              <w:spacing w:after="0" w:line="240" w:lineRule="auto"/>
              <w:jc w:val="center"/>
              <w:rPr>
                <w:rFonts w:eastAsia="Times New Roman"/>
              </w:rPr>
            </w:pPr>
            <w:r w:rsidRPr="003E5D9C">
              <w:rPr>
                <w:rFonts w:eastAsia="Times New Roman"/>
              </w:rPr>
              <w:t>(2)</w:t>
            </w:r>
          </w:p>
        </w:tc>
        <w:tc>
          <w:tcPr>
            <w:tcW w:w="720" w:type="pct"/>
            <w:tcBorders>
              <w:top w:val="single" w:sz="4" w:space="0" w:color="auto"/>
              <w:left w:val="nil"/>
              <w:bottom w:val="single" w:sz="4" w:space="0" w:color="auto"/>
            </w:tcBorders>
            <w:shd w:val="clear" w:color="000000" w:fill="F2F2F2"/>
            <w:noWrap/>
            <w:vAlign w:val="bottom"/>
            <w:hideMark/>
          </w:tcPr>
          <w:p w:rsidR="00AB3507" w:rsidRPr="003E5D9C" w:rsidRDefault="00AB3507" w:rsidP="00740745">
            <w:pPr>
              <w:keepNext/>
              <w:spacing w:after="0" w:line="240" w:lineRule="auto"/>
              <w:jc w:val="center"/>
              <w:rPr>
                <w:rFonts w:eastAsia="Times New Roman"/>
              </w:rPr>
            </w:pPr>
            <w:r w:rsidRPr="003E5D9C">
              <w:rPr>
                <w:rFonts w:eastAsia="Times New Roman"/>
              </w:rPr>
              <w:t>(3)</w:t>
            </w:r>
          </w:p>
        </w:tc>
        <w:tc>
          <w:tcPr>
            <w:tcW w:w="690" w:type="pct"/>
            <w:tcBorders>
              <w:top w:val="single" w:sz="4" w:space="0" w:color="auto"/>
              <w:bottom w:val="single" w:sz="4" w:space="0" w:color="auto"/>
              <w:right w:val="nil"/>
            </w:tcBorders>
            <w:shd w:val="clear" w:color="000000" w:fill="F2F2F2"/>
            <w:noWrap/>
            <w:vAlign w:val="bottom"/>
            <w:hideMark/>
          </w:tcPr>
          <w:p w:rsidR="00AB3507" w:rsidRPr="003E5D9C" w:rsidRDefault="00AB3507" w:rsidP="00740745">
            <w:pPr>
              <w:keepNext/>
              <w:spacing w:after="0" w:line="240" w:lineRule="auto"/>
              <w:jc w:val="center"/>
              <w:rPr>
                <w:rFonts w:eastAsia="Times New Roman"/>
              </w:rPr>
            </w:pPr>
            <w:r>
              <w:rPr>
                <w:rFonts w:eastAsia="Times New Roman"/>
              </w:rPr>
              <w:t>(4</w:t>
            </w:r>
            <w:r w:rsidRPr="003E5D9C">
              <w:rPr>
                <w:rFonts w:eastAsia="Times New Roman"/>
              </w:rPr>
              <w:t>)</w:t>
            </w:r>
          </w:p>
        </w:tc>
      </w:tr>
      <w:tr w:rsidR="00740745" w:rsidRPr="003E5D9C" w:rsidTr="00B107E0">
        <w:trPr>
          <w:trHeight w:val="300"/>
        </w:trPr>
        <w:tc>
          <w:tcPr>
            <w:tcW w:w="2066" w:type="pct"/>
            <w:tcBorders>
              <w:top w:val="single" w:sz="4" w:space="0" w:color="auto"/>
              <w:left w:val="nil"/>
              <w:bottom w:val="nil"/>
              <w:right w:val="nil"/>
            </w:tcBorders>
            <w:shd w:val="clear" w:color="000000" w:fill="F2F2F2"/>
            <w:noWrap/>
            <w:vAlign w:val="center"/>
            <w:hideMark/>
          </w:tcPr>
          <w:p w:rsidR="00740745" w:rsidRDefault="00740745" w:rsidP="00740745">
            <w:pPr>
              <w:keepNext/>
              <w:spacing w:after="0"/>
            </w:pPr>
            <w:r>
              <w:t>Bid amount</w:t>
            </w:r>
          </w:p>
        </w:tc>
        <w:tc>
          <w:tcPr>
            <w:tcW w:w="722" w:type="pct"/>
            <w:tcBorders>
              <w:top w:val="single" w:sz="4" w:space="0" w:color="auto"/>
              <w:left w:val="nil"/>
              <w:bottom w:val="nil"/>
              <w:right w:val="nil"/>
            </w:tcBorders>
            <w:shd w:val="clear" w:color="000000" w:fill="F2F2F2"/>
            <w:noWrap/>
            <w:vAlign w:val="bottom"/>
            <w:hideMark/>
          </w:tcPr>
          <w:p w:rsidR="00740745" w:rsidRDefault="00740745" w:rsidP="00740745">
            <w:pPr>
              <w:keepNext/>
              <w:spacing w:after="0"/>
              <w:jc w:val="center"/>
            </w:pPr>
            <w:r>
              <w:t>-0.00291*</w:t>
            </w:r>
          </w:p>
        </w:tc>
        <w:tc>
          <w:tcPr>
            <w:tcW w:w="802" w:type="pct"/>
            <w:tcBorders>
              <w:top w:val="single" w:sz="4" w:space="0" w:color="auto"/>
              <w:left w:val="nil"/>
              <w:bottom w:val="nil"/>
              <w:right w:val="nil"/>
            </w:tcBorders>
            <w:shd w:val="clear" w:color="000000" w:fill="F2F2F2"/>
            <w:noWrap/>
            <w:vAlign w:val="bottom"/>
            <w:hideMark/>
          </w:tcPr>
          <w:p w:rsidR="00740745" w:rsidRDefault="00740745" w:rsidP="00740745">
            <w:pPr>
              <w:keepNext/>
              <w:spacing w:after="0"/>
              <w:jc w:val="center"/>
            </w:pPr>
            <w:r>
              <w:t>-0.00348**</w:t>
            </w:r>
          </w:p>
        </w:tc>
        <w:tc>
          <w:tcPr>
            <w:tcW w:w="720" w:type="pct"/>
            <w:tcBorders>
              <w:top w:val="single" w:sz="4" w:space="0" w:color="auto"/>
              <w:left w:val="nil"/>
              <w:bottom w:val="nil"/>
              <w:right w:val="nil"/>
            </w:tcBorders>
            <w:shd w:val="clear" w:color="000000" w:fill="F2F2F2"/>
            <w:noWrap/>
            <w:vAlign w:val="bottom"/>
            <w:hideMark/>
          </w:tcPr>
          <w:p w:rsidR="00740745" w:rsidRDefault="00740745" w:rsidP="00740745">
            <w:pPr>
              <w:keepNext/>
              <w:spacing w:after="0"/>
              <w:jc w:val="center"/>
            </w:pPr>
            <w:r>
              <w:t>-0.00399**</w:t>
            </w:r>
          </w:p>
        </w:tc>
        <w:tc>
          <w:tcPr>
            <w:tcW w:w="690" w:type="pct"/>
            <w:tcBorders>
              <w:top w:val="single" w:sz="4" w:space="0" w:color="auto"/>
              <w:left w:val="nil"/>
              <w:bottom w:val="nil"/>
              <w:right w:val="nil"/>
            </w:tcBorders>
            <w:shd w:val="clear" w:color="000000" w:fill="F2F2F2"/>
            <w:noWrap/>
            <w:vAlign w:val="bottom"/>
            <w:hideMark/>
          </w:tcPr>
          <w:p w:rsidR="00740745" w:rsidRDefault="00740745" w:rsidP="00740745">
            <w:pPr>
              <w:keepNext/>
              <w:spacing w:after="0"/>
              <w:jc w:val="center"/>
            </w:pPr>
            <w:r>
              <w:t>-0.0405*</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(0.00157)</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(0.00174)</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(0.00177)</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(0.0221)</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Education (years)</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0.0566**</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0.0418</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0.0331</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0.0419</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(0.0265)</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(0.0279)</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(0.0282)</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(0.0280)</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Male (1=yes)</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-0.100</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-0.136</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-0.146</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-0.132</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(0.137)</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(0.147)</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(0.150)</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(0.147)</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Household size (# people)</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-0.0380</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-0.0405</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-0.0266</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-0.0415</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(0.0512)</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(0.0550)</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(0.0565)</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(0.0549)</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Income ($10,000's)</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0.0382***</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0.0357**</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0.0331**</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0.0362**</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(0.0137)</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(0.0145)</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(0.0153)</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(0.0145)</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Age (years)</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-0.00374</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-0.00441</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-0.00311</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-0.00452</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(0.00423)</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(0.00452)</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(0.00459)</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(0.00451)</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White (1=yes)</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0.325**</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0.303*</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0.209</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0.302*</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(0.162)</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(0.170)</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(0.176)</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(0.171)</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Republican (1=yes)</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-1.110***</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-0.461**</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-0.267</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-0.460**</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(0.158)</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(0.179)</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(0.185)</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(0.179)</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Independent (1=yes)</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-1.257***</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-0.813***</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-0.755***</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-0.814***</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(0.243)</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(0.239)</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(0.242)</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(0.238)</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No party (1=yes)</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-0.894***</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-0.711***</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-0.615**</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-0.708***</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(0.246)</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(0.270)</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(0.281)</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(0.270)</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Global warming (no=1)</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pP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-1.038***</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-0.623*</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-1.039***</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pP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(0.298)</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(0.335)</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(0.299)</w:t>
            </w:r>
          </w:p>
        </w:tc>
      </w:tr>
      <w:tr w:rsidR="00740745" w:rsidRPr="003E5D9C" w:rsidTr="00B107E0">
        <w:trPr>
          <w:trHeight w:val="300"/>
        </w:trPr>
        <w:tc>
          <w:tcPr>
            <w:tcW w:w="2066" w:type="pct"/>
            <w:tcBorders>
              <w:top w:val="nil"/>
              <w:left w:val="nil"/>
              <w:bottom w:val="nil"/>
              <w:right w:val="nil"/>
            </w:tcBorders>
            <w:shd w:val="clear" w:color="000000" w:fill="F2F2F2"/>
            <w:noWrap/>
            <w:vAlign w:val="center"/>
          </w:tcPr>
          <w:p w:rsidR="00740745" w:rsidRDefault="00740745" w:rsidP="00740745">
            <w:pPr>
              <w:keepNext/>
              <w:spacing w:after="0"/>
            </w:pPr>
            <w:r>
              <w:t>Global warming (yes=1)</w:t>
            </w:r>
          </w:p>
        </w:tc>
        <w:tc>
          <w:tcPr>
            <w:tcW w:w="722" w:type="pct"/>
            <w:tcBorders>
              <w:top w:val="nil"/>
              <w:left w:val="nil"/>
              <w:bottom w:val="nil"/>
              <w:right w:val="nil"/>
            </w:tcBorders>
            <w:shd w:val="clear" w:color="000000" w:fill="F2F2F2"/>
            <w:noWrap/>
            <w:vAlign w:val="bottom"/>
          </w:tcPr>
          <w:p w:rsidR="00740745" w:rsidRDefault="00740745" w:rsidP="00740745">
            <w:pPr>
              <w:keepNext/>
              <w:spacing w:after="0"/>
            </w:pPr>
          </w:p>
        </w:tc>
        <w:tc>
          <w:tcPr>
            <w:tcW w:w="802" w:type="pct"/>
            <w:tcBorders>
              <w:top w:val="nil"/>
              <w:left w:val="nil"/>
              <w:bottom w:val="nil"/>
              <w:right w:val="nil"/>
            </w:tcBorders>
            <w:shd w:val="clear" w:color="000000" w:fill="F2F2F2"/>
            <w:noWrap/>
            <w:vAlign w:val="bottom"/>
          </w:tcPr>
          <w:p w:rsidR="00740745" w:rsidRDefault="00740745" w:rsidP="00740745">
            <w:pPr>
              <w:keepNext/>
              <w:spacing w:after="0"/>
              <w:jc w:val="center"/>
            </w:pPr>
            <w:r>
              <w:t>1.473***</w:t>
            </w:r>
          </w:p>
        </w:tc>
        <w:tc>
          <w:tcPr>
            <w:tcW w:w="720" w:type="pct"/>
            <w:tcBorders>
              <w:top w:val="nil"/>
              <w:left w:val="nil"/>
              <w:bottom w:val="nil"/>
              <w:right w:val="nil"/>
            </w:tcBorders>
            <w:shd w:val="clear" w:color="000000" w:fill="F2F2F2"/>
            <w:noWrap/>
            <w:vAlign w:val="bottom"/>
          </w:tcPr>
          <w:p w:rsidR="00740745" w:rsidRDefault="00740745" w:rsidP="00740745">
            <w:pPr>
              <w:keepNext/>
              <w:spacing w:after="0"/>
              <w:jc w:val="center"/>
            </w:pPr>
            <w:r>
              <w:t>1.014***</w:t>
            </w:r>
          </w:p>
        </w:tc>
        <w:tc>
          <w:tcPr>
            <w:tcW w:w="690" w:type="pct"/>
            <w:tcBorders>
              <w:top w:val="nil"/>
              <w:left w:val="nil"/>
              <w:bottom w:val="nil"/>
              <w:right w:val="nil"/>
            </w:tcBorders>
            <w:shd w:val="clear" w:color="000000" w:fill="F2F2F2"/>
            <w:noWrap/>
            <w:vAlign w:val="bottom"/>
          </w:tcPr>
          <w:p w:rsidR="00740745" w:rsidRDefault="00740745" w:rsidP="00740745">
            <w:pPr>
              <w:keepNext/>
              <w:spacing w:after="0"/>
              <w:jc w:val="center"/>
            </w:pPr>
            <w:r>
              <w:t>1.472***</w:t>
            </w:r>
          </w:p>
        </w:tc>
      </w:tr>
      <w:tr w:rsidR="00740745" w:rsidRPr="003E5D9C" w:rsidTr="00B107E0">
        <w:trPr>
          <w:trHeight w:val="300"/>
        </w:trPr>
        <w:tc>
          <w:tcPr>
            <w:tcW w:w="2066" w:type="pct"/>
            <w:tcBorders>
              <w:top w:val="nil"/>
              <w:left w:val="nil"/>
              <w:bottom w:val="nil"/>
              <w:right w:val="nil"/>
            </w:tcBorders>
            <w:shd w:val="clear" w:color="000000" w:fill="F2F2F2"/>
            <w:noWrap/>
            <w:vAlign w:val="center"/>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tcPr>
          <w:p w:rsidR="00740745" w:rsidRDefault="00740745" w:rsidP="00740745">
            <w:pPr>
              <w:keepNext/>
              <w:spacing w:after="0"/>
            </w:pPr>
          </w:p>
        </w:tc>
        <w:tc>
          <w:tcPr>
            <w:tcW w:w="802" w:type="pct"/>
            <w:tcBorders>
              <w:top w:val="nil"/>
              <w:left w:val="nil"/>
              <w:bottom w:val="nil"/>
              <w:right w:val="nil"/>
            </w:tcBorders>
            <w:shd w:val="clear" w:color="000000" w:fill="F2F2F2"/>
            <w:noWrap/>
            <w:vAlign w:val="bottom"/>
          </w:tcPr>
          <w:p w:rsidR="00740745" w:rsidRDefault="00740745" w:rsidP="00740745">
            <w:pPr>
              <w:keepNext/>
              <w:spacing w:after="0"/>
              <w:jc w:val="center"/>
            </w:pPr>
            <w:r>
              <w:t>(0.200)</w:t>
            </w:r>
          </w:p>
        </w:tc>
        <w:tc>
          <w:tcPr>
            <w:tcW w:w="720" w:type="pct"/>
            <w:tcBorders>
              <w:top w:val="nil"/>
              <w:left w:val="nil"/>
              <w:bottom w:val="nil"/>
              <w:right w:val="nil"/>
            </w:tcBorders>
            <w:shd w:val="clear" w:color="000000" w:fill="F2F2F2"/>
            <w:noWrap/>
            <w:vAlign w:val="bottom"/>
          </w:tcPr>
          <w:p w:rsidR="00740745" w:rsidRDefault="00740745" w:rsidP="00740745">
            <w:pPr>
              <w:keepNext/>
              <w:spacing w:after="0"/>
              <w:jc w:val="center"/>
            </w:pPr>
            <w:r>
              <w:t>(0.220)</w:t>
            </w:r>
          </w:p>
        </w:tc>
        <w:tc>
          <w:tcPr>
            <w:tcW w:w="690" w:type="pct"/>
            <w:tcBorders>
              <w:top w:val="nil"/>
              <w:left w:val="nil"/>
              <w:bottom w:val="nil"/>
              <w:right w:val="nil"/>
            </w:tcBorders>
            <w:shd w:val="clear" w:color="000000" w:fill="F2F2F2"/>
            <w:noWrap/>
            <w:vAlign w:val="bottom"/>
          </w:tcPr>
          <w:p w:rsidR="00740745" w:rsidRDefault="00740745" w:rsidP="00740745">
            <w:pPr>
              <w:keepNext/>
              <w:spacing w:after="0"/>
              <w:jc w:val="center"/>
            </w:pPr>
            <w:r>
              <w:t>(0.199)</w:t>
            </w: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Global warming (no, very sure=1)</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pP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rPr>
                <w:sz w:val="20"/>
                <w:szCs w:val="20"/>
              </w:rPr>
            </w:pP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-1.001*</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pP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rPr>
                <w:sz w:val="20"/>
                <w:szCs w:val="20"/>
              </w:rPr>
            </w:pP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(0.520)</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Global warming (yes, very sure=1)</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pP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rPr>
                <w:sz w:val="20"/>
                <w:szCs w:val="20"/>
              </w:rPr>
            </w:pP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0.843***</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pP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rPr>
                <w:sz w:val="20"/>
                <w:szCs w:val="20"/>
              </w:rPr>
            </w:pP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(0.186)</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p>
        </w:tc>
      </w:tr>
      <w:tr w:rsidR="00740745" w:rsidRPr="003E5D9C" w:rsidTr="00B107E0">
        <w:trPr>
          <w:trHeight w:val="300"/>
        </w:trPr>
        <w:tc>
          <w:tcPr>
            <w:tcW w:w="2066" w:type="pct"/>
            <w:tcBorders>
              <w:top w:val="nil"/>
              <w:left w:val="nil"/>
              <w:bottom w:val="nil"/>
              <w:right w:val="nil"/>
            </w:tcBorders>
            <w:shd w:val="clear" w:color="000000" w:fill="F2F2F2"/>
            <w:noWrap/>
            <w:vAlign w:val="center"/>
            <w:hideMark/>
          </w:tcPr>
          <w:p w:rsidR="00740745" w:rsidRDefault="00740745" w:rsidP="00740745">
            <w:pPr>
              <w:keepNext/>
              <w:spacing w:after="0"/>
            </w:pPr>
            <w:r>
              <w:t>Constant</w:t>
            </w:r>
          </w:p>
        </w:tc>
        <w:tc>
          <w:tcPr>
            <w:tcW w:w="72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0.271</w:t>
            </w:r>
          </w:p>
        </w:tc>
        <w:tc>
          <w:tcPr>
            <w:tcW w:w="802"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-0.610</w:t>
            </w:r>
          </w:p>
        </w:tc>
        <w:tc>
          <w:tcPr>
            <w:tcW w:w="72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-0.587</w:t>
            </w:r>
          </w:p>
        </w:tc>
        <w:tc>
          <w:tcPr>
            <w:tcW w:w="690" w:type="pct"/>
            <w:tcBorders>
              <w:top w:val="nil"/>
              <w:left w:val="nil"/>
              <w:bottom w:val="nil"/>
              <w:right w:val="nil"/>
            </w:tcBorders>
            <w:shd w:val="clear" w:color="000000" w:fill="F2F2F2"/>
            <w:noWrap/>
            <w:vAlign w:val="bottom"/>
            <w:hideMark/>
          </w:tcPr>
          <w:p w:rsidR="00740745" w:rsidRDefault="00740745" w:rsidP="00740745">
            <w:pPr>
              <w:keepNext/>
              <w:spacing w:after="0"/>
              <w:jc w:val="center"/>
            </w:pPr>
            <w:r>
              <w:t>-0.646</w:t>
            </w:r>
          </w:p>
        </w:tc>
      </w:tr>
      <w:tr w:rsidR="00740745" w:rsidRPr="003E5D9C" w:rsidTr="007276B7">
        <w:trPr>
          <w:trHeight w:val="300"/>
        </w:trPr>
        <w:tc>
          <w:tcPr>
            <w:tcW w:w="2066" w:type="pct"/>
            <w:tcBorders>
              <w:top w:val="nil"/>
              <w:left w:val="nil"/>
              <w:bottom w:val="single" w:sz="4" w:space="0" w:color="auto"/>
              <w:right w:val="nil"/>
            </w:tcBorders>
            <w:shd w:val="clear" w:color="000000" w:fill="F2F2F2"/>
            <w:noWrap/>
            <w:vAlign w:val="center"/>
            <w:hideMark/>
          </w:tcPr>
          <w:p w:rsidR="00740745" w:rsidRDefault="00740745" w:rsidP="00740745">
            <w:pPr>
              <w:keepNext/>
              <w:spacing w:after="0"/>
            </w:pPr>
            <w:r>
              <w:t> </w:t>
            </w:r>
          </w:p>
        </w:tc>
        <w:tc>
          <w:tcPr>
            <w:tcW w:w="722" w:type="pct"/>
            <w:tcBorders>
              <w:top w:val="nil"/>
              <w:left w:val="nil"/>
              <w:bottom w:val="single" w:sz="4" w:space="0" w:color="auto"/>
              <w:right w:val="nil"/>
            </w:tcBorders>
            <w:shd w:val="clear" w:color="000000" w:fill="F2F2F2"/>
            <w:noWrap/>
            <w:vAlign w:val="bottom"/>
            <w:hideMark/>
          </w:tcPr>
          <w:p w:rsidR="00740745" w:rsidRDefault="00740745" w:rsidP="00740745">
            <w:pPr>
              <w:keepNext/>
              <w:spacing w:after="0"/>
              <w:jc w:val="center"/>
            </w:pPr>
            <w:r>
              <w:t>(0.511)</w:t>
            </w:r>
          </w:p>
        </w:tc>
        <w:tc>
          <w:tcPr>
            <w:tcW w:w="802" w:type="pct"/>
            <w:tcBorders>
              <w:top w:val="nil"/>
              <w:left w:val="nil"/>
              <w:bottom w:val="single" w:sz="4" w:space="0" w:color="auto"/>
              <w:right w:val="nil"/>
            </w:tcBorders>
            <w:shd w:val="clear" w:color="000000" w:fill="F2F2F2"/>
            <w:noWrap/>
            <w:vAlign w:val="bottom"/>
            <w:hideMark/>
          </w:tcPr>
          <w:p w:rsidR="00740745" w:rsidRDefault="00740745" w:rsidP="00740745">
            <w:pPr>
              <w:keepNext/>
              <w:spacing w:after="0"/>
              <w:jc w:val="center"/>
            </w:pPr>
            <w:r>
              <w:t>(0.548)</w:t>
            </w:r>
          </w:p>
        </w:tc>
        <w:tc>
          <w:tcPr>
            <w:tcW w:w="720" w:type="pct"/>
            <w:tcBorders>
              <w:top w:val="nil"/>
              <w:left w:val="nil"/>
              <w:bottom w:val="single" w:sz="4" w:space="0" w:color="auto"/>
              <w:right w:val="nil"/>
            </w:tcBorders>
            <w:shd w:val="clear" w:color="000000" w:fill="F2F2F2"/>
            <w:noWrap/>
            <w:vAlign w:val="bottom"/>
            <w:hideMark/>
          </w:tcPr>
          <w:p w:rsidR="00740745" w:rsidRDefault="00740745" w:rsidP="00740745">
            <w:pPr>
              <w:keepNext/>
              <w:spacing w:after="0"/>
              <w:jc w:val="center"/>
            </w:pPr>
            <w:r>
              <w:t>(0.555)</w:t>
            </w:r>
          </w:p>
        </w:tc>
        <w:tc>
          <w:tcPr>
            <w:tcW w:w="690" w:type="pct"/>
            <w:tcBorders>
              <w:top w:val="nil"/>
              <w:left w:val="nil"/>
              <w:bottom w:val="single" w:sz="4" w:space="0" w:color="auto"/>
              <w:right w:val="nil"/>
            </w:tcBorders>
            <w:shd w:val="clear" w:color="000000" w:fill="F2F2F2"/>
            <w:noWrap/>
            <w:vAlign w:val="bottom"/>
            <w:hideMark/>
          </w:tcPr>
          <w:p w:rsidR="00740745" w:rsidRDefault="00740745" w:rsidP="00740745">
            <w:pPr>
              <w:keepNext/>
              <w:spacing w:after="0"/>
              <w:jc w:val="center"/>
            </w:pPr>
            <w:r>
              <w:t>(0.547)</w:t>
            </w:r>
          </w:p>
        </w:tc>
      </w:tr>
      <w:tr w:rsidR="007276B7" w:rsidRPr="003E5D9C" w:rsidTr="007276B7">
        <w:trPr>
          <w:trHeight w:val="300"/>
        </w:trPr>
        <w:tc>
          <w:tcPr>
            <w:tcW w:w="2066" w:type="pct"/>
            <w:tcBorders>
              <w:top w:val="single" w:sz="4" w:space="0" w:color="auto"/>
              <w:left w:val="nil"/>
              <w:bottom w:val="nil"/>
              <w:right w:val="nil"/>
            </w:tcBorders>
            <w:shd w:val="clear" w:color="000000" w:fill="F2F2F2"/>
            <w:noWrap/>
            <w:vAlign w:val="center"/>
          </w:tcPr>
          <w:p w:rsidR="007276B7" w:rsidRDefault="007276B7" w:rsidP="00740745">
            <w:pPr>
              <w:keepNext/>
              <w:spacing w:after="0"/>
            </w:pPr>
            <w:r>
              <w:t>F-statistic</w:t>
            </w:r>
          </w:p>
        </w:tc>
        <w:tc>
          <w:tcPr>
            <w:tcW w:w="722" w:type="pct"/>
            <w:tcBorders>
              <w:top w:val="single" w:sz="4" w:space="0" w:color="auto"/>
              <w:left w:val="nil"/>
              <w:bottom w:val="nil"/>
              <w:right w:val="nil"/>
            </w:tcBorders>
            <w:shd w:val="clear" w:color="000000" w:fill="F2F2F2"/>
            <w:noWrap/>
            <w:vAlign w:val="bottom"/>
          </w:tcPr>
          <w:p w:rsidR="007276B7" w:rsidRDefault="007276B7" w:rsidP="00740745">
            <w:pPr>
              <w:keepNext/>
              <w:spacing w:after="0"/>
              <w:jc w:val="center"/>
            </w:pPr>
            <w:r>
              <w:t>8.87</w:t>
            </w:r>
          </w:p>
        </w:tc>
        <w:tc>
          <w:tcPr>
            <w:tcW w:w="802" w:type="pct"/>
            <w:tcBorders>
              <w:top w:val="single" w:sz="4" w:space="0" w:color="auto"/>
              <w:left w:val="nil"/>
              <w:bottom w:val="nil"/>
              <w:right w:val="nil"/>
            </w:tcBorders>
            <w:shd w:val="clear" w:color="000000" w:fill="F2F2F2"/>
            <w:noWrap/>
            <w:vAlign w:val="bottom"/>
          </w:tcPr>
          <w:p w:rsidR="007276B7" w:rsidRDefault="007276B7" w:rsidP="00740745">
            <w:pPr>
              <w:keepNext/>
              <w:spacing w:after="0"/>
              <w:jc w:val="center"/>
            </w:pPr>
            <w:r>
              <w:t>15.93</w:t>
            </w:r>
          </w:p>
        </w:tc>
        <w:tc>
          <w:tcPr>
            <w:tcW w:w="720" w:type="pct"/>
            <w:tcBorders>
              <w:top w:val="single" w:sz="4" w:space="0" w:color="auto"/>
              <w:left w:val="nil"/>
              <w:bottom w:val="nil"/>
              <w:right w:val="nil"/>
            </w:tcBorders>
            <w:shd w:val="clear" w:color="000000" w:fill="F2F2F2"/>
            <w:noWrap/>
            <w:vAlign w:val="bottom"/>
          </w:tcPr>
          <w:p w:rsidR="007276B7" w:rsidRDefault="007276B7" w:rsidP="00740745">
            <w:pPr>
              <w:keepNext/>
              <w:spacing w:after="0"/>
              <w:jc w:val="center"/>
            </w:pPr>
            <w:r>
              <w:t>13.97</w:t>
            </w:r>
          </w:p>
        </w:tc>
        <w:tc>
          <w:tcPr>
            <w:tcW w:w="690" w:type="pct"/>
            <w:tcBorders>
              <w:top w:val="single" w:sz="4" w:space="0" w:color="auto"/>
              <w:left w:val="nil"/>
              <w:bottom w:val="nil"/>
              <w:right w:val="nil"/>
            </w:tcBorders>
            <w:shd w:val="clear" w:color="000000" w:fill="F2F2F2"/>
            <w:noWrap/>
            <w:vAlign w:val="bottom"/>
          </w:tcPr>
          <w:p w:rsidR="007276B7" w:rsidRDefault="007276B7" w:rsidP="00740745">
            <w:pPr>
              <w:keepNext/>
              <w:spacing w:after="0"/>
              <w:jc w:val="center"/>
            </w:pPr>
            <w:r>
              <w:t>15.84</w:t>
            </w:r>
          </w:p>
        </w:tc>
      </w:tr>
      <w:tr w:rsidR="00AB3507" w:rsidRPr="003E5D9C" w:rsidTr="003A3140">
        <w:trPr>
          <w:trHeight w:val="1350"/>
        </w:trPr>
        <w:tc>
          <w:tcPr>
            <w:tcW w:w="5000" w:type="pct"/>
            <w:gridSpan w:val="5"/>
            <w:tcBorders>
              <w:top w:val="single" w:sz="4" w:space="0" w:color="000000"/>
              <w:left w:val="nil"/>
              <w:bottom w:val="nil"/>
              <w:right w:val="nil"/>
            </w:tcBorders>
            <w:shd w:val="clear" w:color="000000" w:fill="F2F2F2"/>
            <w:hideMark/>
          </w:tcPr>
          <w:p w:rsidR="00AB3507" w:rsidRPr="003E5D9C" w:rsidRDefault="00AB3507" w:rsidP="00740745">
            <w:pPr>
              <w:keepNext/>
              <w:spacing w:after="0" w:line="240" w:lineRule="auto"/>
              <w:rPr>
                <w:rFonts w:eastAsia="Times New Roman"/>
                <w:sz w:val="18"/>
                <w:szCs w:val="18"/>
              </w:rPr>
            </w:pPr>
            <w:r w:rsidRPr="003E5D9C">
              <w:rPr>
                <w:rFonts w:eastAsia="Times New Roman"/>
                <w:sz w:val="18"/>
                <w:szCs w:val="18"/>
              </w:rPr>
              <w:t>The dependent variable indicates whether the respondent supports a tax on fossil fuels at the randomized bid amount presented.</w:t>
            </w:r>
            <w:r>
              <w:rPr>
                <w:rFonts w:eastAsia="Times New Roman"/>
                <w:sz w:val="18"/>
                <w:szCs w:val="18"/>
              </w:rPr>
              <w:t xml:space="preserve">  The bid amount is in dollars in models 1-3 and as a percentage increase in average household energy bills in the respondent’s state in model 4.</w:t>
            </w:r>
            <w:r w:rsidRPr="003E5D9C">
              <w:rPr>
                <w:rFonts w:eastAsia="Times New Roman"/>
                <w:sz w:val="18"/>
                <w:szCs w:val="18"/>
              </w:rPr>
              <w:t xml:space="preserve">  Each model includes 1,220 observations which excludes six respondents who refused political affiliation or other questions and are weighted for survey representativeness.  Democrat and global warming 'don't know' are the omitted categories for their respective contributions. Global warming 'no, very sure' and 'yes, very sure' include responses indicating either 'very sure' or 'extremely sure'.  </w:t>
            </w:r>
            <w:r w:rsidR="005930B2">
              <w:rPr>
                <w:rFonts w:eastAsia="Times New Roman"/>
                <w:sz w:val="18"/>
                <w:szCs w:val="18"/>
              </w:rPr>
              <w:t xml:space="preserve">F-statistics reported rather than R-squared because the conditions necessary to calculate the latter are violated with survey data.  </w:t>
            </w:r>
            <w:r w:rsidRPr="003E5D9C">
              <w:rPr>
                <w:rFonts w:eastAsia="Times New Roman"/>
                <w:sz w:val="18"/>
                <w:szCs w:val="18"/>
              </w:rPr>
              <w:t>Standard errors are in parentheses and follow conventional notation: *** p&lt;0.01, ** p&lt;0.05, * p&lt;0.1</w:t>
            </w:r>
          </w:p>
        </w:tc>
      </w:tr>
    </w:tbl>
    <w:p w:rsidR="00AB3507" w:rsidRPr="006C64C2" w:rsidRDefault="00AB3507" w:rsidP="006C64C2"/>
    <w:p w:rsidR="000F49D7" w:rsidRDefault="00305C2B" w:rsidP="000F49D7">
      <w:pPr>
        <w:pStyle w:val="Heading1"/>
      </w:pPr>
      <w:bookmarkStart w:id="8" w:name="_Toc479082656"/>
      <w:r>
        <w:t>Appendix B</w:t>
      </w:r>
      <w:r w:rsidR="000F49D7">
        <w:t xml:space="preserve">: </w:t>
      </w:r>
      <w:r w:rsidR="000F4526">
        <w:t>Multinomial logit regression on policy preferences</w:t>
      </w:r>
      <w:bookmarkEnd w:id="8"/>
    </w:p>
    <w:p w:rsidR="00865BA3" w:rsidRPr="00865BA3" w:rsidRDefault="00865BA3" w:rsidP="000F4526">
      <w:pPr>
        <w:rPr>
          <w:rFonts w:eastAsia="Times New Roman"/>
        </w:rPr>
      </w:pPr>
      <w:r>
        <w:rPr>
          <w:rFonts w:eastAsia="Times New Roman"/>
        </w:rPr>
        <w:t>As a</w:t>
      </w:r>
      <w:r w:rsidR="00710554">
        <w:rPr>
          <w:rFonts w:eastAsia="Times New Roman"/>
        </w:rPr>
        <w:t>n</w:t>
      </w:r>
      <w:r>
        <w:rPr>
          <w:rFonts w:eastAsia="Times New Roman"/>
        </w:rPr>
        <w:t xml:space="preserve"> </w:t>
      </w:r>
      <w:r w:rsidR="00710554">
        <w:rPr>
          <w:rFonts w:eastAsia="Times New Roman"/>
        </w:rPr>
        <w:t>additional</w:t>
      </w:r>
      <w:r>
        <w:rPr>
          <w:rFonts w:eastAsia="Times New Roman"/>
        </w:rPr>
        <w:t xml:space="preserve"> contribution, a survey prompt querying policy instrument preference- whether respondents prefer a tax to regulation, both, or neither</w:t>
      </w:r>
      <w:r w:rsidR="00710554">
        <w:rPr>
          <w:rFonts w:eastAsia="Times New Roman"/>
        </w:rPr>
        <w:t xml:space="preserve"> is used to explore policy tool preference</w:t>
      </w:r>
      <w:r>
        <w:rPr>
          <w:rFonts w:eastAsia="Times New Roman"/>
        </w:rPr>
        <w:t xml:space="preserve">.  </w:t>
      </w:r>
      <w:r w:rsidR="00710554">
        <w:rPr>
          <w:rFonts w:eastAsia="Times New Roman"/>
        </w:rPr>
        <w:t>A</w:t>
      </w:r>
      <w:r>
        <w:rPr>
          <w:rFonts w:eastAsia="Times New Roman"/>
        </w:rPr>
        <w:t xml:space="preserve"> </w:t>
      </w:r>
      <w:r>
        <w:rPr>
          <w:rFonts w:eastAsia="Times New Roman"/>
        </w:rPr>
        <w:lastRenderedPageBreak/>
        <w:t xml:space="preserve">multinomial regression on respondent’s categorical preference </w:t>
      </w:r>
      <w:r w:rsidR="00710554">
        <w:rPr>
          <w:rFonts w:eastAsia="Times New Roman"/>
        </w:rPr>
        <w:t xml:space="preserve">is used </w:t>
      </w:r>
      <w:r>
        <w:rPr>
          <w:rFonts w:eastAsia="Times New Roman"/>
        </w:rPr>
        <w:t>where the base case is the reply “don’</w:t>
      </w:r>
      <w:r w:rsidR="00305C2B">
        <w:rPr>
          <w:rFonts w:eastAsia="Times New Roman"/>
        </w:rPr>
        <w:t>t know”.  The results in Table B</w:t>
      </w:r>
      <w:r>
        <w:rPr>
          <w:rFonts w:eastAsia="Times New Roman"/>
        </w:rPr>
        <w:t xml:space="preserve">1 then suggest characteristics related to either support or opposition of different policy tools used to regulate energy sector emissions.  </w:t>
      </w:r>
      <w:r>
        <w:t xml:space="preserve">We specify the dependent variable as the respondent’s stated policy preference to reduce global warming collected with the prompt: </w:t>
      </w:r>
    </w:p>
    <w:p w:rsidR="00865BA3" w:rsidRPr="00B008F2" w:rsidRDefault="00865BA3" w:rsidP="00865BA3">
      <w:pPr>
        <w:pStyle w:val="basicquestion"/>
        <w:ind w:left="360" w:firstLine="0"/>
        <w:rPr>
          <w:rFonts w:ascii="Times New Roman" w:hAnsi="Times New Roman" w:cs="Times New Roman"/>
          <w:i/>
          <w:szCs w:val="22"/>
        </w:rPr>
      </w:pPr>
      <w:r w:rsidRPr="00B008F2">
        <w:rPr>
          <w:rFonts w:ascii="Times New Roman" w:hAnsi="Times New Roman" w:cs="Times New Roman"/>
          <w:i/>
          <w:szCs w:val="22"/>
        </w:rPr>
        <w:t>Governments can reduce the pollution that causes global warming in two main ways:</w:t>
      </w:r>
    </w:p>
    <w:p w:rsidR="00865BA3" w:rsidRPr="00B008F2" w:rsidRDefault="00865BA3" w:rsidP="00865BA3">
      <w:pPr>
        <w:pStyle w:val="basicquestion"/>
        <w:numPr>
          <w:ilvl w:val="0"/>
          <w:numId w:val="2"/>
        </w:numPr>
        <w:ind w:left="360" w:firstLine="0"/>
        <w:rPr>
          <w:rFonts w:ascii="Times New Roman" w:hAnsi="Times New Roman" w:cs="Times New Roman"/>
          <w:i/>
          <w:szCs w:val="22"/>
        </w:rPr>
      </w:pPr>
      <w:r w:rsidRPr="00B008F2">
        <w:rPr>
          <w:rFonts w:ascii="Times New Roman" w:hAnsi="Times New Roman" w:cs="Times New Roman"/>
          <w:i/>
          <w:szCs w:val="22"/>
          <w:u w:val="single"/>
        </w:rPr>
        <w:t>Regulate pollution</w:t>
      </w:r>
      <w:r w:rsidRPr="00B008F2">
        <w:rPr>
          <w:rFonts w:ascii="Times New Roman" w:hAnsi="Times New Roman" w:cs="Times New Roman"/>
          <w:i/>
          <w:szCs w:val="22"/>
        </w:rPr>
        <w:t xml:space="preserve"> (legally require companies to limit the amount of pollution they emit)</w:t>
      </w:r>
    </w:p>
    <w:p w:rsidR="00865BA3" w:rsidRPr="00B008F2" w:rsidRDefault="00865BA3" w:rsidP="00865BA3">
      <w:pPr>
        <w:pStyle w:val="basicquestion"/>
        <w:numPr>
          <w:ilvl w:val="0"/>
          <w:numId w:val="2"/>
        </w:numPr>
        <w:spacing w:after="160"/>
        <w:ind w:left="360" w:firstLine="0"/>
        <w:rPr>
          <w:rFonts w:ascii="Times New Roman" w:hAnsi="Times New Roman" w:cs="Times New Roman"/>
          <w:i/>
          <w:szCs w:val="22"/>
        </w:rPr>
      </w:pPr>
      <w:r w:rsidRPr="00B008F2">
        <w:rPr>
          <w:rFonts w:ascii="Times New Roman" w:hAnsi="Times New Roman" w:cs="Times New Roman"/>
          <w:i/>
          <w:szCs w:val="22"/>
          <w:u w:val="single"/>
        </w:rPr>
        <w:t>Tax pollution</w:t>
      </w:r>
      <w:r w:rsidRPr="00B008F2">
        <w:rPr>
          <w:rFonts w:ascii="Times New Roman" w:hAnsi="Times New Roman" w:cs="Times New Roman"/>
          <w:i/>
          <w:szCs w:val="22"/>
        </w:rPr>
        <w:t xml:space="preserve"> (require companies to pay a tax on the pollution they emit, which encourages them to reduce their emissions)</w:t>
      </w:r>
    </w:p>
    <w:p w:rsidR="00865BA3" w:rsidRPr="00B008F2" w:rsidRDefault="00865BA3" w:rsidP="00865BA3">
      <w:pPr>
        <w:pStyle w:val="basicquestion"/>
        <w:spacing w:before="0"/>
        <w:ind w:left="360" w:firstLine="0"/>
        <w:rPr>
          <w:rFonts w:ascii="Times New Roman" w:hAnsi="Times New Roman" w:cs="Times New Roman"/>
          <w:i/>
          <w:szCs w:val="22"/>
        </w:rPr>
      </w:pPr>
      <w:r w:rsidRPr="00B008F2">
        <w:rPr>
          <w:rFonts w:ascii="Times New Roman" w:hAnsi="Times New Roman" w:cs="Times New Roman"/>
          <w:i/>
          <w:szCs w:val="22"/>
        </w:rPr>
        <w:t>In general, which of these two approaches to reducing the pollution that causes global warming do you prefer, if either?</w:t>
      </w:r>
    </w:p>
    <w:p w:rsidR="00865BA3" w:rsidRDefault="00865BA3" w:rsidP="00865BA3">
      <w:r>
        <w:t>The respondent is then presented options to control pollution levels by regulating, taxing, doing both, neither, or opting that they don’t know.  In both the prompt and reply options the order of whether “regulate pollution” or “tax pollution” appears first is randomized while the other reply options always</w:t>
      </w:r>
      <w:r w:rsidR="00305C2B">
        <w:t xml:space="preserve"> follow.  The results in Table B</w:t>
      </w:r>
      <w:r>
        <w:t>1</w:t>
      </w:r>
      <w:r w:rsidR="004C2851">
        <w:t xml:space="preserve"> suggest education and male gender contribute to a higher probability of having a policy preference, either for or against the policy tools.  Political affiliation also behaves approximately as expected- republicans and independents are more likely to prefer taking no regulatory or tax option and those claiming no party oppose government action.</w:t>
      </w:r>
      <w:r w:rsidR="00304858">
        <w:t xml:space="preserve">  Global warming beliefs also influence policy preference.</w:t>
      </w:r>
    </w:p>
    <w:tbl>
      <w:tblPr>
        <w:tblW w:w="9360" w:type="dxa"/>
        <w:tblLayout w:type="fixed"/>
        <w:tblLook w:val="04A0" w:firstRow="1" w:lastRow="0" w:firstColumn="1" w:lastColumn="0" w:noHBand="0" w:noVBand="1"/>
      </w:tblPr>
      <w:tblGrid>
        <w:gridCol w:w="3330"/>
        <w:gridCol w:w="1260"/>
        <w:gridCol w:w="1890"/>
        <w:gridCol w:w="1530"/>
        <w:gridCol w:w="1350"/>
      </w:tblGrid>
      <w:tr w:rsidR="00865BA3" w:rsidRPr="00294862" w:rsidTr="00A144C3">
        <w:trPr>
          <w:trHeight w:val="300"/>
        </w:trPr>
        <w:tc>
          <w:tcPr>
            <w:tcW w:w="9360" w:type="dxa"/>
            <w:gridSpan w:val="5"/>
            <w:tcBorders>
              <w:top w:val="nil"/>
              <w:left w:val="nil"/>
              <w:bottom w:val="single" w:sz="4" w:space="0" w:color="000000"/>
              <w:right w:val="nil"/>
            </w:tcBorders>
            <w:shd w:val="clear" w:color="000000" w:fill="E7E6E6"/>
            <w:noWrap/>
            <w:vAlign w:val="bottom"/>
            <w:hideMark/>
          </w:tcPr>
          <w:p w:rsidR="00865BA3" w:rsidRPr="00294862" w:rsidRDefault="00865BA3" w:rsidP="00A144C3">
            <w:pPr>
              <w:keepNext/>
              <w:spacing w:after="0" w:line="240" w:lineRule="auto"/>
              <w:rPr>
                <w:rFonts w:eastAsia="Times New Roman"/>
                <w:b/>
                <w:bCs/>
              </w:rPr>
            </w:pPr>
            <w:r w:rsidRPr="00294862">
              <w:rPr>
                <w:rFonts w:eastAsia="Times New Roman"/>
                <w:b/>
                <w:bCs/>
              </w:rPr>
              <w:lastRenderedPageBreak/>
              <w:t xml:space="preserve">Table </w:t>
            </w:r>
            <w:r w:rsidR="00305C2B">
              <w:rPr>
                <w:rFonts w:eastAsia="Times New Roman"/>
                <w:b/>
                <w:bCs/>
              </w:rPr>
              <w:t>B</w:t>
            </w:r>
            <w:r>
              <w:rPr>
                <w:rFonts w:eastAsia="Times New Roman"/>
                <w:b/>
                <w:bCs/>
              </w:rPr>
              <w:t>1</w:t>
            </w:r>
            <w:r w:rsidRPr="00294862">
              <w:rPr>
                <w:rFonts w:eastAsia="Times New Roman"/>
                <w:b/>
                <w:bCs/>
              </w:rPr>
              <w:t xml:space="preserve"> | Multinomial logistic model of regulation preference.</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(1)</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(2)</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(3)</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(4)</w:t>
            </w:r>
          </w:p>
        </w:tc>
      </w:tr>
      <w:tr w:rsidR="00865BA3" w:rsidRPr="00294862" w:rsidTr="00A144C3">
        <w:trPr>
          <w:trHeight w:val="300"/>
        </w:trPr>
        <w:tc>
          <w:tcPr>
            <w:tcW w:w="3330" w:type="dxa"/>
            <w:tcBorders>
              <w:top w:val="nil"/>
              <w:left w:val="nil"/>
              <w:bottom w:val="single" w:sz="4" w:space="0" w:color="auto"/>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p>
        </w:tc>
        <w:tc>
          <w:tcPr>
            <w:tcW w:w="1260" w:type="dxa"/>
            <w:tcBorders>
              <w:top w:val="nil"/>
              <w:left w:val="nil"/>
              <w:bottom w:val="single" w:sz="4" w:space="0" w:color="auto"/>
              <w:right w:val="nil"/>
            </w:tcBorders>
            <w:shd w:val="clear" w:color="000000" w:fill="F2F2F2"/>
            <w:noWrap/>
            <w:hideMark/>
          </w:tcPr>
          <w:p w:rsidR="00865BA3" w:rsidRDefault="00865BA3" w:rsidP="00A144C3">
            <w:pPr>
              <w:spacing w:after="0"/>
              <w:jc w:val="center"/>
            </w:pPr>
            <w:r>
              <w:t>Do neither</w:t>
            </w:r>
          </w:p>
        </w:tc>
        <w:tc>
          <w:tcPr>
            <w:tcW w:w="1890" w:type="dxa"/>
            <w:tcBorders>
              <w:top w:val="nil"/>
              <w:left w:val="nil"/>
              <w:bottom w:val="single" w:sz="4" w:space="0" w:color="auto"/>
              <w:right w:val="nil"/>
            </w:tcBorders>
            <w:shd w:val="clear" w:color="000000" w:fill="F2F2F2"/>
            <w:noWrap/>
            <w:hideMark/>
          </w:tcPr>
          <w:p w:rsidR="00865BA3" w:rsidRDefault="00865BA3" w:rsidP="00A144C3">
            <w:pPr>
              <w:spacing w:after="0"/>
              <w:jc w:val="center"/>
            </w:pPr>
            <w:r>
              <w:t>Regulate pollution</w:t>
            </w:r>
          </w:p>
        </w:tc>
        <w:tc>
          <w:tcPr>
            <w:tcW w:w="1530" w:type="dxa"/>
            <w:tcBorders>
              <w:top w:val="nil"/>
              <w:left w:val="nil"/>
              <w:bottom w:val="single" w:sz="4" w:space="0" w:color="auto"/>
              <w:right w:val="nil"/>
            </w:tcBorders>
            <w:shd w:val="clear" w:color="000000" w:fill="F2F2F2"/>
            <w:noWrap/>
            <w:hideMark/>
          </w:tcPr>
          <w:p w:rsidR="00865BA3" w:rsidRDefault="00865BA3" w:rsidP="00A144C3">
            <w:pPr>
              <w:spacing w:after="0"/>
              <w:jc w:val="center"/>
            </w:pPr>
            <w:r>
              <w:t>Tax pollution</w:t>
            </w:r>
          </w:p>
        </w:tc>
        <w:tc>
          <w:tcPr>
            <w:tcW w:w="1350" w:type="dxa"/>
            <w:tcBorders>
              <w:top w:val="nil"/>
              <w:left w:val="nil"/>
              <w:bottom w:val="single" w:sz="4" w:space="0" w:color="auto"/>
              <w:right w:val="nil"/>
            </w:tcBorders>
            <w:shd w:val="clear" w:color="000000" w:fill="F2F2F2"/>
            <w:noWrap/>
            <w:hideMark/>
          </w:tcPr>
          <w:p w:rsidR="00865BA3" w:rsidRDefault="00865BA3" w:rsidP="00A144C3">
            <w:pPr>
              <w:spacing w:after="0"/>
              <w:jc w:val="center"/>
            </w:pPr>
            <w:r>
              <w:t>Do both</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Education (years)</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0.230***</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0.160***</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0.171***</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0.128***</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(0.0616)</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(0.0536)</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(0.0589)</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(0.0481)</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Male (1=yes)</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1.225***</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0.602**</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0.642**</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0.588***</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(0.325)</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(0.249)</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(0.278)</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(0.223)</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Household size (# people)</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0.0528</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-0.0228</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0.0384</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0.0765</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(0.115)</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(0.0924)</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(0.100)</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(0.0852)</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Income ($10,000's)</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0.0310</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0.0195</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-0.00414</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-0.0186</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(0.0332)</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(0.0261)</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(0.0272)</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(0.0237)</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Age (years)</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0.0292***</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0.0112</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0.00935</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0.0169**</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(0.00969)</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(0.00807)</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(0.00858)</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(0.00723)</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White (1=yes)</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0.876**</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0.700**</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0.400</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0.904***</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(0.414)</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(0.278)</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(0.307)</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(0.239)</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Republican (1=yes)</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1.298**</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0.0388</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0.321</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-0.567**</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(0.534)</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(0.309)</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(0.353)</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(0.273)</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Independent (1=yes)</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1.084*</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-0.454</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-0.625</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-0.578</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(0.637)</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(0.435)</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(0.545)</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(0.383)</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No party (1=yes)</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0.647</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-0.986**</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-1.185**</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-1.080***</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(0.803)</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(0.441)</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(0.551)</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(0.353)</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Global warming (no=1)</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1.415***</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0.0346</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0.207</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-0.118</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(0.490)</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(0.464)</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(0.519)</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(0.446)</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Global warming (no, very sure=1)</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1.303**</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-0.533</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-0.234</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0.322</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(0.588)</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(0.702)</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(0.919)</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(0.675)</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Global warming (yes=1)</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1.010**</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1.124***</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1.323***</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1.447***</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(0.446)</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(0.336)</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(0.396)</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(0.293)</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Global warming (yes, very sure=1)</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-0.341</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0.508</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0.576</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1.101***</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(0.533)</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(0.346)</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(0.368)</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(0.312)</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Constant</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-8.779***</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-3.948***</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-4.490***</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-3.171***</w:t>
            </w:r>
          </w:p>
        </w:tc>
      </w:tr>
      <w:tr w:rsidR="00865BA3" w:rsidRPr="00294862" w:rsidTr="00A144C3">
        <w:trPr>
          <w:trHeight w:val="300"/>
        </w:trPr>
        <w:tc>
          <w:tcPr>
            <w:tcW w:w="3330" w:type="dxa"/>
            <w:tcBorders>
              <w:top w:val="nil"/>
              <w:left w:val="nil"/>
              <w:bottom w:val="nil"/>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 </w:t>
            </w:r>
          </w:p>
        </w:tc>
        <w:tc>
          <w:tcPr>
            <w:tcW w:w="1260" w:type="dxa"/>
            <w:tcBorders>
              <w:top w:val="nil"/>
              <w:left w:val="nil"/>
              <w:bottom w:val="nil"/>
              <w:right w:val="nil"/>
            </w:tcBorders>
            <w:shd w:val="clear" w:color="000000" w:fill="F2F2F2"/>
            <w:noWrap/>
            <w:vAlign w:val="bottom"/>
            <w:hideMark/>
          </w:tcPr>
          <w:p w:rsidR="00865BA3" w:rsidRDefault="00865BA3" w:rsidP="00A144C3">
            <w:pPr>
              <w:spacing w:after="0"/>
              <w:jc w:val="center"/>
            </w:pPr>
            <w:r>
              <w:t>(1.357)</w:t>
            </w:r>
          </w:p>
        </w:tc>
        <w:tc>
          <w:tcPr>
            <w:tcW w:w="1890" w:type="dxa"/>
            <w:tcBorders>
              <w:top w:val="nil"/>
              <w:left w:val="nil"/>
              <w:bottom w:val="nil"/>
              <w:right w:val="nil"/>
            </w:tcBorders>
            <w:shd w:val="clear" w:color="000000" w:fill="F2F2F2"/>
            <w:noWrap/>
            <w:vAlign w:val="bottom"/>
            <w:hideMark/>
          </w:tcPr>
          <w:p w:rsidR="00865BA3" w:rsidRDefault="00865BA3" w:rsidP="00A144C3">
            <w:pPr>
              <w:spacing w:after="0"/>
              <w:jc w:val="center"/>
            </w:pPr>
            <w:r>
              <w:t>(1.052)</w:t>
            </w:r>
          </w:p>
        </w:tc>
        <w:tc>
          <w:tcPr>
            <w:tcW w:w="1530" w:type="dxa"/>
            <w:tcBorders>
              <w:top w:val="nil"/>
              <w:left w:val="nil"/>
              <w:bottom w:val="nil"/>
              <w:right w:val="nil"/>
            </w:tcBorders>
            <w:shd w:val="clear" w:color="000000" w:fill="F2F2F2"/>
            <w:noWrap/>
            <w:vAlign w:val="bottom"/>
            <w:hideMark/>
          </w:tcPr>
          <w:p w:rsidR="00865BA3" w:rsidRDefault="00865BA3" w:rsidP="00A144C3">
            <w:pPr>
              <w:spacing w:after="0"/>
              <w:jc w:val="center"/>
            </w:pPr>
            <w:r>
              <w:t>(1.123)</w:t>
            </w:r>
          </w:p>
        </w:tc>
        <w:tc>
          <w:tcPr>
            <w:tcW w:w="1350" w:type="dxa"/>
            <w:tcBorders>
              <w:top w:val="nil"/>
              <w:left w:val="nil"/>
              <w:bottom w:val="nil"/>
              <w:right w:val="nil"/>
            </w:tcBorders>
            <w:shd w:val="clear" w:color="000000" w:fill="F2F2F2"/>
            <w:noWrap/>
            <w:vAlign w:val="bottom"/>
            <w:hideMark/>
          </w:tcPr>
          <w:p w:rsidR="00865BA3" w:rsidRDefault="00865BA3" w:rsidP="00A144C3">
            <w:pPr>
              <w:spacing w:after="0"/>
              <w:jc w:val="center"/>
            </w:pPr>
            <w:r>
              <w:t>(0.843)</w:t>
            </w:r>
          </w:p>
        </w:tc>
      </w:tr>
      <w:tr w:rsidR="00865BA3" w:rsidRPr="00294862" w:rsidTr="00A144C3">
        <w:trPr>
          <w:trHeight w:val="300"/>
        </w:trPr>
        <w:tc>
          <w:tcPr>
            <w:tcW w:w="3330" w:type="dxa"/>
            <w:tcBorders>
              <w:top w:val="nil"/>
              <w:left w:val="nil"/>
              <w:bottom w:val="single" w:sz="4" w:space="0" w:color="000000"/>
              <w:right w:val="nil"/>
            </w:tcBorders>
            <w:shd w:val="clear" w:color="000000" w:fill="F2F2F2"/>
            <w:noWrap/>
            <w:vAlign w:val="bottom"/>
            <w:hideMark/>
          </w:tcPr>
          <w:p w:rsidR="00865BA3" w:rsidRPr="00294862" w:rsidRDefault="00865BA3" w:rsidP="00A144C3">
            <w:pPr>
              <w:keepNext/>
              <w:spacing w:after="0" w:line="240" w:lineRule="auto"/>
              <w:rPr>
                <w:rFonts w:eastAsia="Times New Roman"/>
              </w:rPr>
            </w:pPr>
            <w:r w:rsidRPr="00294862">
              <w:rPr>
                <w:rFonts w:eastAsia="Times New Roman"/>
              </w:rPr>
              <w:t>Observations</w:t>
            </w:r>
          </w:p>
        </w:tc>
        <w:tc>
          <w:tcPr>
            <w:tcW w:w="1260" w:type="dxa"/>
            <w:tcBorders>
              <w:top w:val="nil"/>
              <w:left w:val="nil"/>
              <w:bottom w:val="single" w:sz="4" w:space="0" w:color="000000"/>
              <w:right w:val="nil"/>
            </w:tcBorders>
            <w:shd w:val="clear" w:color="000000" w:fill="F2F2F2"/>
            <w:noWrap/>
            <w:vAlign w:val="bottom"/>
            <w:hideMark/>
          </w:tcPr>
          <w:p w:rsidR="00865BA3" w:rsidRDefault="008C5D6D" w:rsidP="00A144C3">
            <w:pPr>
              <w:spacing w:after="0"/>
              <w:jc w:val="center"/>
            </w:pPr>
            <w:r>
              <w:t>10.4%</w:t>
            </w:r>
          </w:p>
        </w:tc>
        <w:tc>
          <w:tcPr>
            <w:tcW w:w="1890" w:type="dxa"/>
            <w:tcBorders>
              <w:top w:val="nil"/>
              <w:left w:val="nil"/>
              <w:bottom w:val="single" w:sz="4" w:space="0" w:color="000000"/>
              <w:right w:val="nil"/>
            </w:tcBorders>
            <w:shd w:val="clear" w:color="000000" w:fill="F2F2F2"/>
            <w:noWrap/>
            <w:vAlign w:val="bottom"/>
            <w:hideMark/>
          </w:tcPr>
          <w:p w:rsidR="00865BA3" w:rsidRDefault="008C5D6D" w:rsidP="00A144C3">
            <w:pPr>
              <w:spacing w:after="0"/>
              <w:jc w:val="center"/>
            </w:pPr>
            <w:r>
              <w:t>16.7%</w:t>
            </w:r>
          </w:p>
        </w:tc>
        <w:tc>
          <w:tcPr>
            <w:tcW w:w="1530" w:type="dxa"/>
            <w:tcBorders>
              <w:top w:val="nil"/>
              <w:left w:val="nil"/>
              <w:bottom w:val="single" w:sz="4" w:space="0" w:color="000000"/>
              <w:right w:val="nil"/>
            </w:tcBorders>
            <w:shd w:val="clear" w:color="000000" w:fill="F2F2F2"/>
            <w:noWrap/>
            <w:vAlign w:val="bottom"/>
            <w:hideMark/>
          </w:tcPr>
          <w:p w:rsidR="00865BA3" w:rsidRDefault="008C5D6D" w:rsidP="00A144C3">
            <w:pPr>
              <w:spacing w:after="0"/>
              <w:jc w:val="center"/>
            </w:pPr>
            <w:r>
              <w:t>10.8%</w:t>
            </w:r>
          </w:p>
        </w:tc>
        <w:tc>
          <w:tcPr>
            <w:tcW w:w="1350" w:type="dxa"/>
            <w:tcBorders>
              <w:top w:val="nil"/>
              <w:left w:val="nil"/>
              <w:bottom w:val="single" w:sz="4" w:space="0" w:color="000000"/>
              <w:right w:val="nil"/>
            </w:tcBorders>
            <w:shd w:val="clear" w:color="000000" w:fill="F2F2F2"/>
            <w:noWrap/>
            <w:vAlign w:val="bottom"/>
            <w:hideMark/>
          </w:tcPr>
          <w:p w:rsidR="00865BA3" w:rsidRDefault="008C5D6D" w:rsidP="00A144C3">
            <w:pPr>
              <w:spacing w:after="0"/>
              <w:jc w:val="center"/>
            </w:pPr>
            <w:r>
              <w:t>48.5%</w:t>
            </w:r>
          </w:p>
        </w:tc>
      </w:tr>
      <w:tr w:rsidR="00865BA3" w:rsidRPr="00294862" w:rsidTr="00A144C3">
        <w:trPr>
          <w:trHeight w:val="300"/>
        </w:trPr>
        <w:tc>
          <w:tcPr>
            <w:tcW w:w="9360" w:type="dxa"/>
            <w:gridSpan w:val="5"/>
            <w:tcBorders>
              <w:top w:val="single" w:sz="4" w:space="0" w:color="000000"/>
              <w:left w:val="nil"/>
              <w:bottom w:val="nil"/>
              <w:right w:val="nil"/>
            </w:tcBorders>
            <w:shd w:val="clear" w:color="000000" w:fill="F2F2F2"/>
            <w:hideMark/>
          </w:tcPr>
          <w:p w:rsidR="00865BA3" w:rsidRPr="00294862" w:rsidRDefault="00C36834" w:rsidP="00A144C3">
            <w:pPr>
              <w:keepNext/>
              <w:spacing w:after="0" w:line="240" w:lineRule="auto"/>
              <w:rPr>
                <w:rFonts w:eastAsia="Times New Roman"/>
                <w:sz w:val="18"/>
                <w:szCs w:val="18"/>
              </w:rPr>
            </w:pPr>
            <w:r>
              <w:rPr>
                <w:rFonts w:eastAsia="Times New Roman"/>
                <w:sz w:val="18"/>
                <w:szCs w:val="18"/>
              </w:rPr>
              <w:t>In the multinomial model</w:t>
            </w:r>
            <w:r w:rsidR="009434D5">
              <w:rPr>
                <w:rFonts w:eastAsia="Times New Roman"/>
                <w:sz w:val="18"/>
                <w:szCs w:val="18"/>
              </w:rPr>
              <w:t>,</w:t>
            </w:r>
            <w:r>
              <w:rPr>
                <w:rFonts w:eastAsia="Times New Roman"/>
                <w:sz w:val="18"/>
                <w:szCs w:val="18"/>
              </w:rPr>
              <w:t xml:space="preserve"> the base case is respondents selecting “don’t know”</w:t>
            </w:r>
            <w:r w:rsidR="009434D5">
              <w:rPr>
                <w:rFonts w:eastAsia="Times New Roman"/>
                <w:sz w:val="18"/>
                <w:szCs w:val="18"/>
              </w:rPr>
              <w:t xml:space="preserve"> representing 13.6-percent of responses</w:t>
            </w:r>
            <w:r>
              <w:rPr>
                <w:rFonts w:eastAsia="Times New Roman"/>
                <w:sz w:val="18"/>
                <w:szCs w:val="18"/>
              </w:rPr>
              <w:t xml:space="preserve">.  Observations for each column are the </w:t>
            </w:r>
            <w:r w:rsidR="008C5D6D">
              <w:rPr>
                <w:rFonts w:eastAsia="Times New Roman"/>
                <w:sz w:val="18"/>
                <w:szCs w:val="18"/>
              </w:rPr>
              <w:t>percent</w:t>
            </w:r>
            <w:r>
              <w:rPr>
                <w:rFonts w:eastAsia="Times New Roman"/>
                <w:sz w:val="18"/>
                <w:szCs w:val="18"/>
              </w:rPr>
              <w:t xml:space="preserve"> of respondents select</w:t>
            </w:r>
            <w:r w:rsidR="008C5D6D">
              <w:rPr>
                <w:rFonts w:eastAsia="Times New Roman"/>
                <w:sz w:val="18"/>
                <w:szCs w:val="18"/>
              </w:rPr>
              <w:t>ing</w:t>
            </w:r>
            <w:r>
              <w:rPr>
                <w:rFonts w:eastAsia="Times New Roman"/>
                <w:sz w:val="18"/>
                <w:szCs w:val="18"/>
              </w:rPr>
              <w:t xml:space="preserve"> the regulation preference out of 1,226 respondents.  </w:t>
            </w:r>
            <w:r w:rsidR="00865BA3" w:rsidRPr="00294862">
              <w:rPr>
                <w:rFonts w:eastAsia="Times New Roman"/>
                <w:sz w:val="18"/>
                <w:szCs w:val="18"/>
              </w:rPr>
              <w:t>Standard errors are in parentheses and follow conventional notation: *** p&lt;0.01, ** p&lt;0.05, * p&lt;0.1</w:t>
            </w:r>
          </w:p>
        </w:tc>
      </w:tr>
    </w:tbl>
    <w:p w:rsidR="00AA3E02" w:rsidRDefault="00305C2B" w:rsidP="00AA3E02">
      <w:pPr>
        <w:spacing w:before="240"/>
      </w:pPr>
      <w:r>
        <w:t>Table B</w:t>
      </w:r>
      <w:r w:rsidR="00AA3E02">
        <w:t>2 repeats the process where only respondents who have an opinion- those not selecting “don’t know” as a respons</w:t>
      </w:r>
      <w:r w:rsidR="00195324">
        <w:t xml:space="preserve">e, are </w:t>
      </w:r>
      <w:r w:rsidR="00B123E3">
        <w:t xml:space="preserve">not </w:t>
      </w:r>
      <w:r w:rsidR="00195324">
        <w:t xml:space="preserve">included in the model.  </w:t>
      </w:r>
      <w:r w:rsidR="00B123E3">
        <w:t>This</w:t>
      </w:r>
      <w:r w:rsidR="00AA3E02">
        <w:t xml:space="preserve"> clarifies interpr</w:t>
      </w:r>
      <w:r w:rsidR="00195324">
        <w:t>etation of the coefficients.</w:t>
      </w:r>
    </w:p>
    <w:tbl>
      <w:tblPr>
        <w:tblW w:w="5000" w:type="pct"/>
        <w:tblLook w:val="04A0" w:firstRow="1" w:lastRow="0" w:firstColumn="1" w:lastColumn="0" w:noHBand="0" w:noVBand="1"/>
      </w:tblPr>
      <w:tblGrid>
        <w:gridCol w:w="3599"/>
        <w:gridCol w:w="1891"/>
        <w:gridCol w:w="2488"/>
        <w:gridCol w:w="1382"/>
      </w:tblGrid>
      <w:tr w:rsidR="00A21400" w:rsidRPr="00A21400" w:rsidTr="00A21400">
        <w:trPr>
          <w:trHeight w:val="300"/>
        </w:trPr>
        <w:tc>
          <w:tcPr>
            <w:tcW w:w="5000" w:type="pct"/>
            <w:gridSpan w:val="4"/>
            <w:tcBorders>
              <w:top w:val="nil"/>
              <w:left w:val="nil"/>
              <w:bottom w:val="single" w:sz="4" w:space="0" w:color="auto"/>
              <w:right w:val="nil"/>
            </w:tcBorders>
            <w:shd w:val="clear" w:color="000000" w:fill="E7E6E6"/>
            <w:noWrap/>
            <w:vAlign w:val="bottom"/>
            <w:hideMark/>
          </w:tcPr>
          <w:p w:rsidR="00A21400" w:rsidRPr="00A21400" w:rsidRDefault="00A21400" w:rsidP="00D4316B">
            <w:pPr>
              <w:keepNext/>
              <w:spacing w:after="0" w:line="240" w:lineRule="auto"/>
              <w:rPr>
                <w:rFonts w:eastAsia="Times New Roman"/>
                <w:b/>
                <w:bCs/>
              </w:rPr>
            </w:pPr>
            <w:r w:rsidRPr="00A21400">
              <w:rPr>
                <w:rFonts w:eastAsia="Times New Roman"/>
                <w:b/>
                <w:bCs/>
              </w:rPr>
              <w:lastRenderedPageBreak/>
              <w:t xml:space="preserve">Table </w:t>
            </w:r>
            <w:r w:rsidR="00305C2B">
              <w:rPr>
                <w:rFonts w:eastAsia="Times New Roman"/>
                <w:b/>
                <w:bCs/>
              </w:rPr>
              <w:t>B2</w:t>
            </w:r>
            <w:r w:rsidRPr="00A21400">
              <w:rPr>
                <w:rFonts w:eastAsia="Times New Roman"/>
                <w:b/>
                <w:bCs/>
              </w:rPr>
              <w:t xml:space="preserve"> | Multinomial logistic model of regulation preference.</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(2)</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(3)</w:t>
            </w:r>
          </w:p>
        </w:tc>
      </w:tr>
      <w:tr w:rsidR="00A21400" w:rsidRPr="00A21400" w:rsidTr="00C23704">
        <w:trPr>
          <w:trHeight w:val="300"/>
        </w:trPr>
        <w:tc>
          <w:tcPr>
            <w:tcW w:w="1923" w:type="pct"/>
            <w:tcBorders>
              <w:top w:val="nil"/>
              <w:left w:val="nil"/>
              <w:bottom w:val="single" w:sz="4" w:space="0" w:color="auto"/>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p>
        </w:tc>
        <w:tc>
          <w:tcPr>
            <w:tcW w:w="1010" w:type="pct"/>
            <w:tcBorders>
              <w:top w:val="nil"/>
              <w:left w:val="nil"/>
              <w:bottom w:val="single" w:sz="4" w:space="0" w:color="auto"/>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Regulate pollution</w:t>
            </w:r>
          </w:p>
        </w:tc>
        <w:tc>
          <w:tcPr>
            <w:tcW w:w="1329" w:type="pct"/>
            <w:tcBorders>
              <w:top w:val="nil"/>
              <w:left w:val="nil"/>
              <w:bottom w:val="single" w:sz="4" w:space="0" w:color="auto"/>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Tax pollution</w:t>
            </w:r>
          </w:p>
        </w:tc>
        <w:tc>
          <w:tcPr>
            <w:tcW w:w="738" w:type="pct"/>
            <w:tcBorders>
              <w:top w:val="nil"/>
              <w:left w:val="nil"/>
              <w:bottom w:val="single" w:sz="4" w:space="0" w:color="auto"/>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Do both</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Education (years)</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-0.0468</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-0.0361</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-0.0811</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(0.0521)</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(0.0578)</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(0.0495)</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Male (1=yes)</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-0.700**</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-0.654**</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-0.722**</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(0.310)</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(0.330)</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(0.294)</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Household size (# people)</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-0.119</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-0.0542</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-0.0280</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(0.118)</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(0.128)</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(0.110)</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Income ($10,000's)</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-0.0284</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-0.0519*</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-0.0674***</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(0.0260)</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(0.0273)</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(0.0234)</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Age (years)</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-0.0157*</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-0.0176*</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-0.0101</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(0.00925)</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(0.00970)</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(0.00881)</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White (1=yes)</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-0.318</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-0.596</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-0.128</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(0.419)</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(0.435)</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(0.407)</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Republican (1=yes)</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-1.348***</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-1.075**</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-1.953***</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(0.508)</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(0.536)</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(0.485)</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Independent (1=yes)</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-1.628***</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-1.811***</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-1.789***</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(0.628)</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(0.693)</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(0.574)</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No party (1=yes)</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-1.400</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-1.606</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-1.528*</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(0.938)</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(1.024)</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(0.918)</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Global warming (no=1)</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-1.382***</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-1.194**</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-1.522***</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(0.505)</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(0.564)</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(0.482)</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Global warming (no, very sure=1)</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-1.911***</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-1.639**</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-1.111**</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(0.621)</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(0.727)</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(0.510)</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Global warming (yes=1)</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0.107</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0.302</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0.450</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(0.440)</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(0.487)</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(0.428)</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Global warming (yes, very sure=1)</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0.864*</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0.938*</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1.459***</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(0.484)</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(0.501)</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(0.464)</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Constant</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4.861***</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4.313***</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5.718***</w:t>
            </w:r>
          </w:p>
        </w:tc>
      </w:tr>
      <w:tr w:rsidR="00A21400" w:rsidRPr="00A21400" w:rsidTr="00C23704">
        <w:trPr>
          <w:trHeight w:val="300"/>
        </w:trPr>
        <w:tc>
          <w:tcPr>
            <w:tcW w:w="1923"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rPr>
                <w:rFonts w:eastAsia="Times New Roman"/>
              </w:rPr>
            </w:pPr>
            <w:r w:rsidRPr="00A21400">
              <w:rPr>
                <w:rFonts w:eastAsia="Times New Roman"/>
              </w:rPr>
              <w:t> </w:t>
            </w:r>
          </w:p>
        </w:tc>
        <w:tc>
          <w:tcPr>
            <w:tcW w:w="1010"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(1.327)</w:t>
            </w:r>
          </w:p>
        </w:tc>
        <w:tc>
          <w:tcPr>
            <w:tcW w:w="1329"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(1.417)</w:t>
            </w:r>
          </w:p>
        </w:tc>
        <w:tc>
          <w:tcPr>
            <w:tcW w:w="738" w:type="pct"/>
            <w:tcBorders>
              <w:top w:val="nil"/>
              <w:left w:val="nil"/>
              <w:bottom w:val="nil"/>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(1.262)</w:t>
            </w:r>
          </w:p>
        </w:tc>
      </w:tr>
      <w:tr w:rsidR="00A21400" w:rsidRPr="00A21400" w:rsidTr="00C23704">
        <w:trPr>
          <w:trHeight w:val="300"/>
        </w:trPr>
        <w:tc>
          <w:tcPr>
            <w:tcW w:w="1923" w:type="pct"/>
            <w:tcBorders>
              <w:top w:val="nil"/>
              <w:left w:val="nil"/>
              <w:bottom w:val="single" w:sz="4" w:space="0" w:color="auto"/>
              <w:right w:val="nil"/>
            </w:tcBorders>
            <w:shd w:val="clear" w:color="000000" w:fill="F2F2F2"/>
            <w:noWrap/>
            <w:vAlign w:val="bottom"/>
            <w:hideMark/>
          </w:tcPr>
          <w:p w:rsidR="00A21400" w:rsidRPr="00A21400" w:rsidRDefault="00AA3E02" w:rsidP="00D4316B">
            <w:pPr>
              <w:keepNext/>
              <w:spacing w:after="0" w:line="240" w:lineRule="auto"/>
              <w:rPr>
                <w:rFonts w:eastAsia="Times New Roman"/>
              </w:rPr>
            </w:pPr>
            <w:r>
              <w:rPr>
                <w:rFonts w:eastAsia="Times New Roman"/>
              </w:rPr>
              <w:t>Observations</w:t>
            </w:r>
          </w:p>
        </w:tc>
        <w:tc>
          <w:tcPr>
            <w:tcW w:w="1010" w:type="pct"/>
            <w:tcBorders>
              <w:top w:val="nil"/>
              <w:left w:val="nil"/>
              <w:bottom w:val="single" w:sz="4" w:space="0" w:color="000000"/>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19.4%</w:t>
            </w:r>
          </w:p>
        </w:tc>
        <w:tc>
          <w:tcPr>
            <w:tcW w:w="1329" w:type="pct"/>
            <w:tcBorders>
              <w:top w:val="nil"/>
              <w:left w:val="nil"/>
              <w:bottom w:val="single" w:sz="4" w:space="0" w:color="000000"/>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12.5%</w:t>
            </w:r>
          </w:p>
        </w:tc>
        <w:tc>
          <w:tcPr>
            <w:tcW w:w="738" w:type="pct"/>
            <w:tcBorders>
              <w:top w:val="nil"/>
              <w:left w:val="nil"/>
              <w:bottom w:val="single" w:sz="4" w:space="0" w:color="000000"/>
              <w:right w:val="nil"/>
            </w:tcBorders>
            <w:shd w:val="clear" w:color="000000" w:fill="F2F2F2"/>
            <w:noWrap/>
            <w:vAlign w:val="bottom"/>
            <w:hideMark/>
          </w:tcPr>
          <w:p w:rsidR="00A21400" w:rsidRPr="00A21400" w:rsidRDefault="00A21400" w:rsidP="00D4316B">
            <w:pPr>
              <w:keepNext/>
              <w:spacing w:after="0" w:line="240" w:lineRule="auto"/>
              <w:jc w:val="center"/>
              <w:rPr>
                <w:rFonts w:eastAsia="Times New Roman"/>
              </w:rPr>
            </w:pPr>
            <w:r w:rsidRPr="00A21400">
              <w:rPr>
                <w:rFonts w:eastAsia="Times New Roman"/>
              </w:rPr>
              <w:t>56.2%</w:t>
            </w:r>
          </w:p>
        </w:tc>
      </w:tr>
      <w:tr w:rsidR="00A21400" w:rsidRPr="00A21400" w:rsidTr="00A21400">
        <w:trPr>
          <w:trHeight w:val="300"/>
        </w:trPr>
        <w:tc>
          <w:tcPr>
            <w:tcW w:w="5000" w:type="pct"/>
            <w:gridSpan w:val="4"/>
            <w:tcBorders>
              <w:top w:val="single" w:sz="4" w:space="0" w:color="auto"/>
              <w:left w:val="nil"/>
              <w:bottom w:val="nil"/>
              <w:right w:val="nil"/>
            </w:tcBorders>
            <w:shd w:val="clear" w:color="000000" w:fill="F2F2F2"/>
            <w:hideMark/>
          </w:tcPr>
          <w:p w:rsidR="00A21400" w:rsidRPr="00A21400" w:rsidRDefault="00C23704" w:rsidP="00D4316B">
            <w:pPr>
              <w:keepNext/>
              <w:spacing w:after="0" w:line="240" w:lineRule="auto"/>
              <w:rPr>
                <w:rFonts w:eastAsia="Times New Roman"/>
                <w:sz w:val="18"/>
                <w:szCs w:val="18"/>
              </w:rPr>
            </w:pPr>
            <w:r>
              <w:rPr>
                <w:rFonts w:eastAsia="Times New Roman"/>
                <w:sz w:val="18"/>
                <w:szCs w:val="18"/>
              </w:rPr>
              <w:t xml:space="preserve">In this model, the base case is respondents selecting “do neither” which represent 12.0-percent of 1,059 responses.  This regression only includes respondents who indicate having an opinion by not selecting “don’t know” as their response. </w:t>
            </w:r>
            <w:r w:rsidR="00A21400" w:rsidRPr="00A21400">
              <w:rPr>
                <w:rFonts w:eastAsia="Times New Roman"/>
                <w:sz w:val="18"/>
                <w:szCs w:val="18"/>
              </w:rPr>
              <w:t>Standard errors are in parentheses and follow conventional notation: *** p&lt;0.01, ** p&lt;0.05, * p&lt;0.1</w:t>
            </w:r>
          </w:p>
        </w:tc>
      </w:tr>
    </w:tbl>
    <w:p w:rsidR="006729FD" w:rsidRDefault="00305C2B" w:rsidP="000F4526">
      <w:pPr>
        <w:pStyle w:val="Heading1"/>
      </w:pPr>
      <w:bookmarkStart w:id="9" w:name="_Toc479082657"/>
      <w:r>
        <w:t>Appendix C</w:t>
      </w:r>
      <w:r w:rsidR="006729FD">
        <w:t>: Respondent preferences expanded table</w:t>
      </w:r>
      <w:bookmarkEnd w:id="9"/>
    </w:p>
    <w:p w:rsidR="006729FD" w:rsidRDefault="00195324" w:rsidP="006729FD">
      <w:r>
        <w:t>In the main body, we present respondent preferences for the distribution of fossil fuel tax revenue.  Prior, we presented the percent that support the category and the mean allotment from all respondents including those with zero interest in the category.  Here we also present t</w:t>
      </w:r>
      <w:r w:rsidR="00011971">
        <w:t>he distributional preferences of only those respondents who support the category.  This is the middle column “Conditional allotment (%)” which are the distributional preferences, conditional on the respondent first replying that the support the category.</w:t>
      </w:r>
      <w:r>
        <w:t xml:space="preserve"> </w:t>
      </w:r>
    </w:p>
    <w:tbl>
      <w:tblPr>
        <w:tblW w:w="5000" w:type="pct"/>
        <w:tblLayout w:type="fixed"/>
        <w:tblLook w:val="04A0" w:firstRow="1" w:lastRow="0" w:firstColumn="1" w:lastColumn="0" w:noHBand="0" w:noVBand="1"/>
      </w:tblPr>
      <w:tblGrid>
        <w:gridCol w:w="5581"/>
        <w:gridCol w:w="990"/>
        <w:gridCol w:w="1619"/>
        <w:gridCol w:w="1170"/>
      </w:tblGrid>
      <w:tr w:rsidR="001E39B7" w:rsidRPr="004B6794" w:rsidTr="001E39B7">
        <w:trPr>
          <w:trHeight w:val="600"/>
        </w:trPr>
        <w:tc>
          <w:tcPr>
            <w:tcW w:w="5000" w:type="pct"/>
            <w:gridSpan w:val="4"/>
            <w:tcBorders>
              <w:top w:val="nil"/>
              <w:left w:val="nil"/>
              <w:bottom w:val="single" w:sz="4" w:space="0" w:color="auto"/>
              <w:right w:val="nil"/>
            </w:tcBorders>
            <w:shd w:val="clear" w:color="000000" w:fill="E7E6E6"/>
          </w:tcPr>
          <w:p w:rsidR="001E39B7" w:rsidRPr="004B6794" w:rsidRDefault="00305C2B" w:rsidP="003A3140">
            <w:pPr>
              <w:keepNext/>
              <w:spacing w:after="0" w:line="240" w:lineRule="auto"/>
              <w:rPr>
                <w:rFonts w:eastAsia="Times New Roman"/>
                <w:b/>
                <w:bCs/>
              </w:rPr>
            </w:pPr>
            <w:r>
              <w:rPr>
                <w:rFonts w:eastAsia="Times New Roman"/>
                <w:b/>
                <w:bCs/>
              </w:rPr>
              <w:lastRenderedPageBreak/>
              <w:t>Table C</w:t>
            </w:r>
            <w:r w:rsidR="001E39B7">
              <w:rPr>
                <w:rFonts w:eastAsia="Times New Roman"/>
                <w:b/>
                <w:bCs/>
              </w:rPr>
              <w:t>1</w:t>
            </w:r>
            <w:r w:rsidR="001E39B7" w:rsidRPr="001C271C">
              <w:rPr>
                <w:rFonts w:eastAsia="Times New Roman"/>
                <w:b/>
                <w:bCs/>
              </w:rPr>
              <w:t xml:space="preserve"> | Respondent preferences for the expenditure of revenues from a fossil fuel tax to help reduce global warming.</w:t>
            </w:r>
          </w:p>
        </w:tc>
      </w:tr>
      <w:tr w:rsidR="00B42EF4" w:rsidRPr="004B6794" w:rsidTr="00062CFE">
        <w:trPr>
          <w:trHeight w:val="300"/>
        </w:trPr>
        <w:tc>
          <w:tcPr>
            <w:tcW w:w="2981" w:type="pct"/>
            <w:tcBorders>
              <w:top w:val="single" w:sz="4" w:space="0" w:color="auto"/>
              <w:left w:val="nil"/>
              <w:bottom w:val="single" w:sz="4" w:space="0" w:color="auto"/>
              <w:right w:val="nil"/>
            </w:tcBorders>
            <w:shd w:val="clear" w:color="000000" w:fill="F2F2F2"/>
            <w:noWrap/>
            <w:hideMark/>
          </w:tcPr>
          <w:p w:rsidR="00B42EF4" w:rsidRPr="004B6794" w:rsidRDefault="00B42EF4" w:rsidP="00B42EF4">
            <w:pPr>
              <w:keepNext/>
              <w:spacing w:after="0" w:line="240" w:lineRule="auto"/>
              <w:rPr>
                <w:rFonts w:eastAsia="Times New Roman"/>
                <w:b/>
                <w:bCs/>
              </w:rPr>
            </w:pPr>
            <w:r w:rsidRPr="004B6794">
              <w:rPr>
                <w:rFonts w:eastAsia="Times New Roman"/>
                <w:b/>
                <w:bCs/>
              </w:rPr>
              <w:t> </w:t>
            </w:r>
          </w:p>
        </w:tc>
        <w:tc>
          <w:tcPr>
            <w:tcW w:w="529" w:type="pct"/>
            <w:tcBorders>
              <w:top w:val="single" w:sz="4" w:space="0" w:color="auto"/>
              <w:left w:val="nil"/>
              <w:bottom w:val="single" w:sz="4" w:space="0" w:color="auto"/>
              <w:right w:val="nil"/>
            </w:tcBorders>
            <w:shd w:val="clear" w:color="000000" w:fill="F2F2F2"/>
            <w:noWrap/>
            <w:hideMark/>
          </w:tcPr>
          <w:p w:rsidR="00B42EF4" w:rsidRPr="004B6794" w:rsidRDefault="00B42EF4" w:rsidP="00B42EF4">
            <w:pPr>
              <w:keepNext/>
              <w:spacing w:after="0" w:line="240" w:lineRule="auto"/>
              <w:jc w:val="center"/>
              <w:rPr>
                <w:rFonts w:eastAsia="Times New Roman"/>
                <w:b/>
                <w:bCs/>
              </w:rPr>
            </w:pPr>
            <w:r w:rsidRPr="004B6794">
              <w:rPr>
                <w:rFonts w:eastAsia="Times New Roman"/>
                <w:b/>
                <w:bCs/>
              </w:rPr>
              <w:t>Support (%)</w:t>
            </w:r>
          </w:p>
        </w:tc>
        <w:tc>
          <w:tcPr>
            <w:tcW w:w="865" w:type="pct"/>
            <w:tcBorders>
              <w:top w:val="single" w:sz="4" w:space="0" w:color="auto"/>
              <w:left w:val="nil"/>
              <w:bottom w:val="single" w:sz="4" w:space="0" w:color="auto"/>
              <w:right w:val="nil"/>
            </w:tcBorders>
            <w:shd w:val="clear" w:color="000000" w:fill="F2F2F2"/>
            <w:noWrap/>
            <w:hideMark/>
          </w:tcPr>
          <w:p w:rsidR="00B42EF4" w:rsidRPr="004B6794" w:rsidRDefault="001E39B7" w:rsidP="00B42EF4">
            <w:pPr>
              <w:keepNext/>
              <w:spacing w:after="0" w:line="240" w:lineRule="auto"/>
              <w:jc w:val="center"/>
              <w:rPr>
                <w:rFonts w:eastAsia="Times New Roman"/>
                <w:b/>
                <w:bCs/>
              </w:rPr>
            </w:pPr>
            <w:r>
              <w:rPr>
                <w:rFonts w:eastAsia="Times New Roman"/>
                <w:b/>
                <w:bCs/>
              </w:rPr>
              <w:t>Conditional a</w:t>
            </w:r>
            <w:r w:rsidRPr="001C271C">
              <w:rPr>
                <w:rFonts w:eastAsia="Times New Roman"/>
                <w:b/>
                <w:bCs/>
              </w:rPr>
              <w:t>llotment (%)</w:t>
            </w:r>
          </w:p>
        </w:tc>
        <w:tc>
          <w:tcPr>
            <w:tcW w:w="625" w:type="pct"/>
            <w:tcBorders>
              <w:top w:val="single" w:sz="4" w:space="0" w:color="auto"/>
              <w:left w:val="nil"/>
              <w:bottom w:val="single" w:sz="4" w:space="0" w:color="auto"/>
              <w:right w:val="nil"/>
            </w:tcBorders>
            <w:shd w:val="clear" w:color="000000" w:fill="F2F2F2"/>
          </w:tcPr>
          <w:p w:rsidR="00B42EF4" w:rsidRPr="004B6794" w:rsidRDefault="00B42EF4" w:rsidP="00B42EF4">
            <w:pPr>
              <w:keepNext/>
              <w:spacing w:after="0" w:line="240" w:lineRule="auto"/>
              <w:jc w:val="center"/>
              <w:rPr>
                <w:rFonts w:eastAsia="Times New Roman"/>
                <w:b/>
                <w:bCs/>
              </w:rPr>
            </w:pPr>
            <w:r w:rsidRPr="004B6794">
              <w:rPr>
                <w:rFonts w:eastAsia="Times New Roman"/>
                <w:b/>
                <w:bCs/>
              </w:rPr>
              <w:t>Allotment (%)</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Support the development of clean energy (solar, wind)</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79.8</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sidRPr="001C271C">
              <w:rPr>
                <w:rFonts w:eastAsia="Times New Roman"/>
              </w:rPr>
              <w:t>20.5</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17.3</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Fund improvements to America’s infrastructure (roads, bridges, etc.)</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77.4</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sidRPr="001C271C">
              <w:rPr>
                <w:rFonts w:eastAsia="Times New Roman"/>
              </w:rPr>
              <w:t>18.0</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14.5</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Pay down the national debt</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65.5</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sidRPr="001C271C">
              <w:rPr>
                <w:rFonts w:eastAsia="Times New Roman"/>
              </w:rPr>
              <w:t>18.4</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12.7</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Assist workers in the coal industry that may lose their jobs as a result of the tax</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71.9</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sidRPr="001C271C">
              <w:rPr>
                <w:rFonts w:eastAsia="Times New Roman"/>
              </w:rPr>
              <w:t>14.0</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10.4</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Reduce Federal income taxes</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59.3</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sidRPr="001C271C">
              <w:rPr>
                <w:rFonts w:eastAsia="Times New Roman"/>
              </w:rPr>
              <w:t>15.3</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9.9</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Return the money to all American households in equal amounts</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45.9</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Pr>
                <w:rFonts w:eastAsia="Times New Roman"/>
              </w:rPr>
              <w:t>15.6</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8.1</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Assist low-income communities that are most vulnerable to the impacts of global warming</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57.3</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Pr>
                <w:rFonts w:eastAsia="Times New Roman"/>
              </w:rPr>
              <w:t>12.7</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7.8</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Fund programs to help American communities prepare for and adapt to global warming</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54.6</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sidRPr="001C271C">
              <w:rPr>
                <w:rFonts w:eastAsia="Times New Roman"/>
              </w:rPr>
              <w:t>12.1</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7.2</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Reduce Federal payroll taxes (Social Security and Medicare taxes that are deducted from paychecks)</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44.2</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sidRPr="001C271C">
              <w:rPr>
                <w:rFonts w:eastAsia="Times New Roman"/>
              </w:rPr>
              <w:t>14.2</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7.2</w:t>
            </w:r>
          </w:p>
        </w:tc>
      </w:tr>
      <w:tr w:rsidR="001E39B7" w:rsidRPr="004B6794" w:rsidTr="00062CFE">
        <w:trPr>
          <w:trHeight w:val="288"/>
        </w:trPr>
        <w:tc>
          <w:tcPr>
            <w:tcW w:w="2981" w:type="pct"/>
            <w:tcBorders>
              <w:top w:val="nil"/>
              <w:left w:val="nil"/>
              <w:bottom w:val="nil"/>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Reduce corporate taxes</w:t>
            </w:r>
          </w:p>
        </w:tc>
        <w:tc>
          <w:tcPr>
            <w:tcW w:w="529" w:type="pct"/>
            <w:tcBorders>
              <w:top w:val="nil"/>
              <w:left w:val="nil"/>
              <w:bottom w:val="nil"/>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24.4</w:t>
            </w:r>
          </w:p>
        </w:tc>
        <w:tc>
          <w:tcPr>
            <w:tcW w:w="865" w:type="pct"/>
            <w:tcBorders>
              <w:top w:val="nil"/>
              <w:left w:val="nil"/>
              <w:bottom w:val="nil"/>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sidRPr="001C271C">
              <w:rPr>
                <w:rFonts w:eastAsia="Times New Roman"/>
              </w:rPr>
              <w:t>11.2</w:t>
            </w:r>
          </w:p>
        </w:tc>
        <w:tc>
          <w:tcPr>
            <w:tcW w:w="625" w:type="pct"/>
            <w:tcBorders>
              <w:top w:val="nil"/>
              <w:left w:val="nil"/>
              <w:bottom w:val="nil"/>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3.2</w:t>
            </w:r>
          </w:p>
        </w:tc>
      </w:tr>
      <w:tr w:rsidR="001E39B7" w:rsidRPr="004B6794" w:rsidTr="00062CFE">
        <w:trPr>
          <w:trHeight w:val="288"/>
        </w:trPr>
        <w:tc>
          <w:tcPr>
            <w:tcW w:w="2981" w:type="pct"/>
            <w:tcBorders>
              <w:top w:val="nil"/>
              <w:left w:val="nil"/>
              <w:bottom w:val="single" w:sz="4" w:space="0" w:color="auto"/>
              <w:right w:val="nil"/>
            </w:tcBorders>
            <w:shd w:val="clear" w:color="000000" w:fill="F2F2F2"/>
            <w:hideMark/>
          </w:tcPr>
          <w:p w:rsidR="001E39B7" w:rsidRPr="004B6794" w:rsidRDefault="001E39B7" w:rsidP="001E39B7">
            <w:pPr>
              <w:keepNext/>
              <w:spacing w:after="0" w:line="240" w:lineRule="auto"/>
              <w:rPr>
                <w:rFonts w:eastAsia="Times New Roman"/>
              </w:rPr>
            </w:pPr>
            <w:r w:rsidRPr="004B6794">
              <w:rPr>
                <w:rFonts w:eastAsia="Times New Roman"/>
              </w:rPr>
              <w:t xml:space="preserve">Other (please specify) </w:t>
            </w:r>
          </w:p>
        </w:tc>
        <w:tc>
          <w:tcPr>
            <w:tcW w:w="529" w:type="pct"/>
            <w:tcBorders>
              <w:top w:val="nil"/>
              <w:left w:val="nil"/>
              <w:bottom w:val="single" w:sz="4" w:space="0" w:color="auto"/>
              <w:right w:val="nil"/>
            </w:tcBorders>
            <w:shd w:val="clear" w:color="000000" w:fill="F2F2F2"/>
            <w:noWrap/>
            <w:hideMark/>
          </w:tcPr>
          <w:p w:rsidR="001E39B7" w:rsidRPr="004B6794" w:rsidRDefault="001E39B7" w:rsidP="001E39B7">
            <w:pPr>
              <w:keepNext/>
              <w:spacing w:after="0" w:line="240" w:lineRule="auto"/>
              <w:jc w:val="center"/>
              <w:rPr>
                <w:rFonts w:eastAsia="Times New Roman"/>
              </w:rPr>
            </w:pPr>
            <w:r w:rsidRPr="004B6794">
              <w:rPr>
                <w:rFonts w:eastAsia="Times New Roman"/>
              </w:rPr>
              <w:t>7.8</w:t>
            </w:r>
          </w:p>
        </w:tc>
        <w:tc>
          <w:tcPr>
            <w:tcW w:w="865" w:type="pct"/>
            <w:tcBorders>
              <w:top w:val="nil"/>
              <w:left w:val="nil"/>
              <w:bottom w:val="single" w:sz="4" w:space="0" w:color="auto"/>
              <w:right w:val="nil"/>
            </w:tcBorders>
            <w:shd w:val="clear" w:color="000000" w:fill="F2F2F2"/>
            <w:noWrap/>
            <w:hideMark/>
          </w:tcPr>
          <w:p w:rsidR="001E39B7" w:rsidRPr="001C271C" w:rsidRDefault="001E39B7" w:rsidP="001E39B7">
            <w:pPr>
              <w:keepNext/>
              <w:spacing w:after="0" w:line="240" w:lineRule="auto"/>
              <w:jc w:val="center"/>
              <w:rPr>
                <w:rFonts w:eastAsia="Times New Roman"/>
              </w:rPr>
            </w:pPr>
            <w:r w:rsidRPr="001C271C">
              <w:rPr>
                <w:rFonts w:eastAsia="Times New Roman"/>
              </w:rPr>
              <w:t>23.1</w:t>
            </w:r>
          </w:p>
        </w:tc>
        <w:tc>
          <w:tcPr>
            <w:tcW w:w="625" w:type="pct"/>
            <w:tcBorders>
              <w:top w:val="nil"/>
              <w:left w:val="nil"/>
              <w:bottom w:val="single" w:sz="4" w:space="0" w:color="auto"/>
              <w:right w:val="nil"/>
            </w:tcBorders>
            <w:shd w:val="clear" w:color="000000" w:fill="F2F2F2"/>
          </w:tcPr>
          <w:p w:rsidR="001E39B7" w:rsidRPr="004B6794" w:rsidRDefault="001E39B7" w:rsidP="001E39B7">
            <w:pPr>
              <w:keepNext/>
              <w:spacing w:after="0" w:line="240" w:lineRule="auto"/>
              <w:jc w:val="center"/>
              <w:rPr>
                <w:rFonts w:eastAsia="Times New Roman"/>
              </w:rPr>
            </w:pPr>
            <w:r w:rsidRPr="004B6794">
              <w:rPr>
                <w:rFonts w:eastAsia="Times New Roman"/>
              </w:rPr>
              <w:t>1.7</w:t>
            </w:r>
          </w:p>
        </w:tc>
      </w:tr>
      <w:tr w:rsidR="00B42EF4" w:rsidRPr="004B6794" w:rsidTr="00B42EF4">
        <w:trPr>
          <w:trHeight w:val="750"/>
        </w:trPr>
        <w:tc>
          <w:tcPr>
            <w:tcW w:w="5000" w:type="pct"/>
            <w:gridSpan w:val="4"/>
            <w:tcBorders>
              <w:top w:val="single" w:sz="4" w:space="0" w:color="auto"/>
              <w:left w:val="nil"/>
              <w:bottom w:val="nil"/>
              <w:right w:val="nil"/>
            </w:tcBorders>
            <w:shd w:val="clear" w:color="000000" w:fill="F2F2F2"/>
          </w:tcPr>
          <w:p w:rsidR="00B42EF4" w:rsidRPr="004B6794" w:rsidRDefault="001E39B7" w:rsidP="00B42EF4">
            <w:pPr>
              <w:keepNext/>
              <w:spacing w:after="0" w:line="240" w:lineRule="auto"/>
              <w:rPr>
                <w:rFonts w:eastAsia="Times New Roman"/>
                <w:sz w:val="18"/>
                <w:szCs w:val="18"/>
              </w:rPr>
            </w:pPr>
            <w:r w:rsidRPr="001C271C">
              <w:rPr>
                <w:rFonts w:eastAsia="Times New Roman"/>
                <w:sz w:val="18"/>
                <w:szCs w:val="18"/>
              </w:rPr>
              <w:t>Reported as survey weighted statistics.  Support (%) indicates share of respondents that support using the revenue ge</w:t>
            </w:r>
            <w:r>
              <w:rPr>
                <w:rFonts w:eastAsia="Times New Roman"/>
                <w:sz w:val="18"/>
                <w:szCs w:val="18"/>
              </w:rPr>
              <w:t>nerated in the stated manner.  Conditional a</w:t>
            </w:r>
            <w:r w:rsidRPr="001C271C">
              <w:rPr>
                <w:rFonts w:eastAsia="Times New Roman"/>
                <w:sz w:val="18"/>
                <w:szCs w:val="18"/>
              </w:rPr>
              <w:t>llotment (%) reports the mean allotment by</w:t>
            </w:r>
            <w:r>
              <w:rPr>
                <w:rFonts w:eastAsia="Times New Roman"/>
                <w:sz w:val="18"/>
                <w:szCs w:val="18"/>
              </w:rPr>
              <w:t xml:space="preserve"> the</w:t>
            </w:r>
            <w:r w:rsidRPr="001C271C">
              <w:rPr>
                <w:rFonts w:eastAsia="Times New Roman"/>
                <w:sz w:val="18"/>
                <w:szCs w:val="18"/>
              </w:rPr>
              <w:t xml:space="preserve"> respondents</w:t>
            </w:r>
            <w:r>
              <w:rPr>
                <w:rFonts w:eastAsia="Times New Roman"/>
                <w:sz w:val="18"/>
                <w:szCs w:val="18"/>
              </w:rPr>
              <w:t xml:space="preserve"> who support</w:t>
            </w:r>
            <w:r w:rsidRPr="001C271C">
              <w:rPr>
                <w:rFonts w:eastAsia="Times New Roman"/>
                <w:sz w:val="18"/>
                <w:szCs w:val="18"/>
              </w:rPr>
              <w:t xml:space="preserve"> its use on the category</w:t>
            </w:r>
            <w:r>
              <w:rPr>
                <w:rFonts w:eastAsia="Times New Roman"/>
                <w:sz w:val="18"/>
                <w:szCs w:val="18"/>
              </w:rPr>
              <w:t xml:space="preserve"> and so does not include the preferences of respondents who do not want money spent in the indicated way</w:t>
            </w:r>
            <w:r w:rsidRPr="001C271C">
              <w:rPr>
                <w:rFonts w:eastAsia="Times New Roman"/>
                <w:sz w:val="18"/>
                <w:szCs w:val="18"/>
              </w:rPr>
              <w:t xml:space="preserve">.  </w:t>
            </w:r>
            <w:r>
              <w:rPr>
                <w:rFonts w:eastAsia="Times New Roman"/>
                <w:sz w:val="18"/>
                <w:szCs w:val="18"/>
              </w:rPr>
              <w:t>A</w:t>
            </w:r>
            <w:r w:rsidRPr="001C271C">
              <w:rPr>
                <w:rFonts w:eastAsia="Times New Roman"/>
                <w:sz w:val="18"/>
                <w:szCs w:val="18"/>
              </w:rPr>
              <w:t>llotment (%) is</w:t>
            </w:r>
            <w:r>
              <w:rPr>
                <w:rFonts w:eastAsia="Times New Roman"/>
                <w:sz w:val="18"/>
                <w:szCs w:val="18"/>
              </w:rPr>
              <w:t xml:space="preserve"> the mean revenue allocation accounting for both </w:t>
            </w:r>
            <w:r w:rsidRPr="001C271C">
              <w:rPr>
                <w:rFonts w:eastAsia="Times New Roman"/>
                <w:sz w:val="18"/>
                <w:szCs w:val="18"/>
              </w:rPr>
              <w:t>respondents that</w:t>
            </w:r>
            <w:r>
              <w:rPr>
                <w:rFonts w:eastAsia="Times New Roman"/>
                <w:sz w:val="18"/>
                <w:szCs w:val="18"/>
              </w:rPr>
              <w:t xml:space="preserve"> do and</w:t>
            </w:r>
            <w:r w:rsidRPr="001C271C">
              <w:rPr>
                <w:rFonts w:eastAsia="Times New Roman"/>
                <w:sz w:val="18"/>
                <w:szCs w:val="18"/>
              </w:rPr>
              <w:t xml:space="preserve"> do not support the revenue's use on the </w:t>
            </w:r>
            <w:r>
              <w:rPr>
                <w:rFonts w:eastAsia="Times New Roman"/>
                <w:sz w:val="18"/>
                <w:szCs w:val="18"/>
              </w:rPr>
              <w:t xml:space="preserve">expenditure </w:t>
            </w:r>
            <w:r w:rsidRPr="001C271C">
              <w:rPr>
                <w:rFonts w:eastAsia="Times New Roman"/>
                <w:sz w:val="18"/>
                <w:szCs w:val="18"/>
              </w:rPr>
              <w:t>category.</w:t>
            </w:r>
          </w:p>
        </w:tc>
      </w:tr>
    </w:tbl>
    <w:p w:rsidR="00B42EF4" w:rsidRDefault="00B42EF4" w:rsidP="006729FD"/>
    <w:p w:rsidR="000F4526" w:rsidRDefault="000F4526" w:rsidP="000F4526">
      <w:pPr>
        <w:pStyle w:val="Heading1"/>
      </w:pPr>
      <w:bookmarkStart w:id="10" w:name="_Toc479082658"/>
      <w:r>
        <w:t xml:space="preserve">Appendix </w:t>
      </w:r>
      <w:r w:rsidR="00305C2B">
        <w:t>D</w:t>
      </w:r>
      <w:r>
        <w:t xml:space="preserve">: State-level </w:t>
      </w:r>
      <w:r w:rsidR="00A750F4">
        <w:t>average</w:t>
      </w:r>
      <w:r>
        <w:t xml:space="preserve"> household energy bill data</w:t>
      </w:r>
      <w:bookmarkEnd w:id="10"/>
    </w:p>
    <w:p w:rsidR="000F4526" w:rsidRDefault="00C2723A" w:rsidP="000F4526">
      <w:r>
        <w:t>As we also</w:t>
      </w:r>
      <w:r w:rsidR="00670D76">
        <w:t xml:space="preserve"> present</w:t>
      </w:r>
      <w:r>
        <w:t xml:space="preserve"> bid amounts in terms of</w:t>
      </w:r>
      <w:r w:rsidR="00670D76">
        <w:t xml:space="preserve"> average</w:t>
      </w:r>
      <w:r>
        <w:t xml:space="preserve"> hous</w:t>
      </w:r>
      <w:r w:rsidR="00CC0DDF">
        <w:t>ehold energy bill increases in t</w:t>
      </w:r>
      <w:r>
        <w:t>able 2 and estimate a supplemental model in this</w:t>
      </w:r>
      <w:r w:rsidR="00CC0DDF">
        <w:t xml:space="preserve"> form in column 4 of t</w:t>
      </w:r>
      <w:r>
        <w:t xml:space="preserve">able 3, we share </w:t>
      </w:r>
      <w:r w:rsidR="000359D0">
        <w:t>household energy</w:t>
      </w:r>
      <w:r w:rsidR="00670D76">
        <w:t xml:space="preserve"> data by state</w:t>
      </w:r>
      <w:r w:rsidR="00CC0DDF">
        <w:t xml:space="preserve"> in this section</w:t>
      </w:r>
      <w:r w:rsidR="00670D76">
        <w:t>.  To this data</w:t>
      </w:r>
      <w:r w:rsidR="00CC0DDF">
        <w:t>,</w:t>
      </w:r>
      <w:r w:rsidR="00670D76">
        <w:t xml:space="preserve"> publicly available</w:t>
      </w:r>
      <w:r w:rsidR="00CC0DDF">
        <w:t xml:space="preserve"> from the EIA (</w:t>
      </w:r>
      <w:r w:rsidR="00670D76">
        <w:t>2015)</w:t>
      </w:r>
      <w:r w:rsidR="00CC0DDF">
        <w:t>, we</w:t>
      </w:r>
      <w:r w:rsidR="00670D76">
        <w:t xml:space="preserve"> add the implied in</w:t>
      </w:r>
      <w:r w:rsidR="008826EF">
        <w:t xml:space="preserve">crease in average state energy </w:t>
      </w:r>
      <w:r w:rsidR="00670D76">
        <w:t>bills from a policy set at the derived mean WTP measure</w:t>
      </w:r>
      <w:r w:rsidR="00CC0DDF">
        <w:t>d</w:t>
      </w:r>
      <w:r w:rsidR="00670D76">
        <w:t>.</w:t>
      </w:r>
      <w:r w:rsidR="000C4A80">
        <w:t xml:space="preserve">  </w:t>
      </w:r>
      <w:r w:rsidR="00CC0DDF">
        <w:t>Our</w:t>
      </w:r>
      <w:r w:rsidR="008826EF">
        <w:t xml:space="preserve"> </w:t>
      </w:r>
      <w:r w:rsidR="00CC0DDF">
        <w:t>estimated</w:t>
      </w:r>
      <w:r w:rsidR="008826EF">
        <w:t xml:space="preserve"> mean WTP of $1</w:t>
      </w:r>
      <w:r w:rsidR="00305C2B">
        <w:t>77</w:t>
      </w:r>
      <w:r w:rsidR="008826EF">
        <w:t xml:space="preserve"> </w:t>
      </w:r>
      <w:r w:rsidR="00CC0DDF">
        <w:t>implies</w:t>
      </w:r>
      <w:r w:rsidR="008826EF">
        <w:t xml:space="preserve"> an</w:t>
      </w:r>
      <w:r w:rsidR="00CC0DDF">
        <w:t xml:space="preserve"> average</w:t>
      </w:r>
      <w:r w:rsidR="008826EF">
        <w:t xml:space="preserve"> annual energy bill increase of 12.</w:t>
      </w:r>
      <w:r w:rsidR="00305C2B">
        <w:t>9</w:t>
      </w:r>
      <w:r w:rsidR="008826EF">
        <w:t>-percent.  This varies substantially, however, from 1</w:t>
      </w:r>
      <w:r w:rsidR="00EF55F2">
        <w:t>8.6-percent in New Mexico to 9.6</w:t>
      </w:r>
      <w:r w:rsidR="008826EF">
        <w:t>-percent in Connecticut.</w:t>
      </w:r>
    </w:p>
    <w:tbl>
      <w:tblPr>
        <w:tblW w:w="4952" w:type="pct"/>
        <w:tblLook w:val="04A0" w:firstRow="1" w:lastRow="0" w:firstColumn="1" w:lastColumn="0" w:noHBand="0" w:noVBand="1"/>
      </w:tblPr>
      <w:tblGrid>
        <w:gridCol w:w="2037"/>
        <w:gridCol w:w="1441"/>
        <w:gridCol w:w="1222"/>
        <w:gridCol w:w="951"/>
        <w:gridCol w:w="1094"/>
        <w:gridCol w:w="347"/>
        <w:gridCol w:w="886"/>
        <w:gridCol w:w="343"/>
        <w:gridCol w:w="949"/>
      </w:tblGrid>
      <w:tr w:rsidR="00F4544F" w:rsidRPr="00EF55F2" w:rsidTr="00F4544F">
        <w:trPr>
          <w:trHeight w:val="315"/>
        </w:trPr>
        <w:tc>
          <w:tcPr>
            <w:tcW w:w="3048" w:type="pct"/>
            <w:gridSpan w:val="4"/>
            <w:tcBorders>
              <w:top w:val="nil"/>
              <w:left w:val="nil"/>
              <w:bottom w:val="single" w:sz="4" w:space="0" w:color="auto"/>
              <w:right w:val="nil"/>
            </w:tcBorders>
            <w:shd w:val="clear" w:color="000000" w:fill="E7E6E6"/>
            <w:noWrap/>
            <w:vAlign w:val="bottom"/>
            <w:hideMark/>
          </w:tcPr>
          <w:p w:rsidR="00F4544F" w:rsidRPr="00EF55F2" w:rsidRDefault="00F4544F" w:rsidP="00EF55F2">
            <w:pPr>
              <w:keepNext/>
              <w:spacing w:after="0" w:line="240" w:lineRule="auto"/>
              <w:rPr>
                <w:rFonts w:eastAsia="Times New Roman"/>
                <w:b/>
                <w:bCs/>
              </w:rPr>
            </w:pPr>
            <w:r w:rsidRPr="00EF55F2">
              <w:rPr>
                <w:rFonts w:eastAsia="Times New Roman"/>
                <w:b/>
                <w:bCs/>
              </w:rPr>
              <w:lastRenderedPageBreak/>
              <w:t>Table C1 | Average household energy bill by state</w:t>
            </w:r>
          </w:p>
        </w:tc>
        <w:tc>
          <w:tcPr>
            <w:tcW w:w="777" w:type="pct"/>
            <w:gridSpan w:val="2"/>
            <w:tcBorders>
              <w:top w:val="nil"/>
              <w:left w:val="nil"/>
              <w:bottom w:val="single" w:sz="4" w:space="0" w:color="auto"/>
              <w:right w:val="nil"/>
            </w:tcBorders>
            <w:shd w:val="clear" w:color="000000" w:fill="E7E6E6"/>
          </w:tcPr>
          <w:p w:rsidR="00F4544F" w:rsidRPr="00EF55F2" w:rsidRDefault="00F4544F" w:rsidP="00EF55F2">
            <w:pPr>
              <w:keepNext/>
              <w:spacing w:after="0" w:line="240" w:lineRule="auto"/>
              <w:rPr>
                <w:rFonts w:eastAsia="Times New Roman"/>
                <w:b/>
                <w:bCs/>
              </w:rPr>
            </w:pPr>
          </w:p>
        </w:tc>
        <w:tc>
          <w:tcPr>
            <w:tcW w:w="663" w:type="pct"/>
            <w:gridSpan w:val="2"/>
            <w:tcBorders>
              <w:top w:val="nil"/>
              <w:left w:val="nil"/>
              <w:bottom w:val="single" w:sz="4" w:space="0" w:color="auto"/>
              <w:right w:val="nil"/>
            </w:tcBorders>
            <w:shd w:val="clear" w:color="000000" w:fill="E7E6E6"/>
          </w:tcPr>
          <w:p w:rsidR="00F4544F" w:rsidRPr="00EF55F2" w:rsidRDefault="00F4544F" w:rsidP="00EF55F2">
            <w:pPr>
              <w:keepNext/>
              <w:spacing w:after="0" w:line="240" w:lineRule="auto"/>
              <w:rPr>
                <w:rFonts w:eastAsia="Times New Roman"/>
                <w:b/>
                <w:bCs/>
              </w:rPr>
            </w:pPr>
          </w:p>
        </w:tc>
        <w:tc>
          <w:tcPr>
            <w:tcW w:w="511" w:type="pct"/>
            <w:tcBorders>
              <w:top w:val="nil"/>
              <w:left w:val="nil"/>
              <w:bottom w:val="single" w:sz="4" w:space="0" w:color="auto"/>
              <w:right w:val="nil"/>
            </w:tcBorders>
            <w:shd w:val="clear" w:color="000000" w:fill="E7E6E6"/>
          </w:tcPr>
          <w:p w:rsidR="00F4544F" w:rsidRPr="00EF55F2" w:rsidRDefault="00F4544F" w:rsidP="00EF55F2">
            <w:pPr>
              <w:keepNext/>
              <w:spacing w:after="0" w:line="240" w:lineRule="auto"/>
              <w:rPr>
                <w:rFonts w:eastAsia="Times New Roman"/>
                <w:b/>
                <w:bCs/>
              </w:rPr>
            </w:pPr>
          </w:p>
        </w:tc>
      </w:tr>
      <w:tr w:rsidR="00F4544F" w:rsidRPr="00EF55F2" w:rsidTr="00F4544F">
        <w:trPr>
          <w:trHeight w:val="512"/>
        </w:trPr>
        <w:tc>
          <w:tcPr>
            <w:tcW w:w="1099" w:type="pct"/>
            <w:tcBorders>
              <w:top w:val="nil"/>
              <w:left w:val="nil"/>
              <w:bottom w:val="single" w:sz="4" w:space="0" w:color="auto"/>
              <w:right w:val="nil"/>
            </w:tcBorders>
            <w:shd w:val="clear" w:color="000000" w:fill="F2F2F2"/>
            <w:vAlign w:val="center"/>
            <w:hideMark/>
          </w:tcPr>
          <w:p w:rsidR="00F4544F" w:rsidRPr="00EF55F2" w:rsidRDefault="00F4544F" w:rsidP="00F4544F">
            <w:pPr>
              <w:keepNext/>
              <w:spacing w:after="0" w:line="240" w:lineRule="auto"/>
              <w:jc w:val="center"/>
              <w:rPr>
                <w:rFonts w:eastAsia="Times New Roman"/>
              </w:rPr>
            </w:pPr>
            <w:r w:rsidRPr="00EF55F2">
              <w:rPr>
                <w:rFonts w:eastAsia="Times New Roman"/>
              </w:rPr>
              <w:t>State</w:t>
            </w:r>
          </w:p>
        </w:tc>
        <w:tc>
          <w:tcPr>
            <w:tcW w:w="777" w:type="pct"/>
            <w:tcBorders>
              <w:top w:val="nil"/>
              <w:left w:val="nil"/>
              <w:bottom w:val="single" w:sz="4" w:space="0" w:color="auto"/>
              <w:right w:val="nil"/>
            </w:tcBorders>
            <w:shd w:val="clear" w:color="000000" w:fill="F2F2F2"/>
            <w:vAlign w:val="center"/>
            <w:hideMark/>
          </w:tcPr>
          <w:p w:rsidR="00F4544F" w:rsidRPr="00EF55F2" w:rsidRDefault="00F4544F" w:rsidP="00F4544F">
            <w:pPr>
              <w:keepNext/>
              <w:spacing w:after="0" w:line="240" w:lineRule="auto"/>
              <w:jc w:val="center"/>
              <w:rPr>
                <w:rFonts w:eastAsia="Times New Roman"/>
              </w:rPr>
            </w:pPr>
            <w:r w:rsidRPr="00EF55F2">
              <w:rPr>
                <w:rFonts w:eastAsia="Times New Roman"/>
              </w:rPr>
              <w:t>Average monthly energy bill ($)</w:t>
            </w:r>
          </w:p>
        </w:tc>
        <w:tc>
          <w:tcPr>
            <w:tcW w:w="659" w:type="pct"/>
            <w:tcBorders>
              <w:top w:val="nil"/>
              <w:left w:val="nil"/>
              <w:bottom w:val="single" w:sz="4" w:space="0" w:color="auto"/>
              <w:right w:val="nil"/>
            </w:tcBorders>
            <w:shd w:val="clear" w:color="000000" w:fill="F2F2F2"/>
            <w:vAlign w:val="center"/>
            <w:hideMark/>
          </w:tcPr>
          <w:p w:rsidR="00F4544F" w:rsidRPr="00EF55F2" w:rsidRDefault="00F4544F" w:rsidP="00F4544F">
            <w:pPr>
              <w:keepNext/>
              <w:spacing w:after="0" w:line="240" w:lineRule="auto"/>
              <w:jc w:val="center"/>
              <w:rPr>
                <w:rFonts w:eastAsia="Times New Roman"/>
              </w:rPr>
            </w:pPr>
            <w:r w:rsidRPr="00EF55F2">
              <w:rPr>
                <w:rFonts w:eastAsia="Times New Roman"/>
              </w:rPr>
              <w:t>Increase based on $177 WTP (%)</w:t>
            </w:r>
          </w:p>
        </w:tc>
        <w:tc>
          <w:tcPr>
            <w:tcW w:w="1103" w:type="pct"/>
            <w:gridSpan w:val="2"/>
            <w:tcBorders>
              <w:top w:val="nil"/>
              <w:left w:val="nil"/>
              <w:bottom w:val="single" w:sz="4" w:space="0" w:color="auto"/>
              <w:right w:val="nil"/>
            </w:tcBorders>
            <w:shd w:val="clear" w:color="000000" w:fill="F2F2F2"/>
            <w:vAlign w:val="center"/>
          </w:tcPr>
          <w:p w:rsidR="00F4544F" w:rsidRPr="00EF55F2" w:rsidRDefault="00F4544F" w:rsidP="00F4544F">
            <w:pPr>
              <w:keepNext/>
              <w:spacing w:after="0" w:line="240" w:lineRule="auto"/>
              <w:jc w:val="center"/>
              <w:rPr>
                <w:rFonts w:eastAsia="Times New Roman"/>
              </w:rPr>
            </w:pPr>
            <w:r w:rsidRPr="00EF55F2">
              <w:rPr>
                <w:rFonts w:eastAsia="Times New Roman"/>
              </w:rPr>
              <w:t>State</w:t>
            </w:r>
          </w:p>
        </w:tc>
        <w:tc>
          <w:tcPr>
            <w:tcW w:w="665" w:type="pct"/>
            <w:gridSpan w:val="2"/>
            <w:tcBorders>
              <w:top w:val="nil"/>
              <w:left w:val="nil"/>
              <w:bottom w:val="single" w:sz="4" w:space="0" w:color="auto"/>
              <w:right w:val="nil"/>
            </w:tcBorders>
            <w:shd w:val="clear" w:color="000000" w:fill="F2F2F2"/>
            <w:vAlign w:val="center"/>
          </w:tcPr>
          <w:p w:rsidR="00F4544F" w:rsidRPr="00EF55F2" w:rsidRDefault="00F4544F" w:rsidP="00F4544F">
            <w:pPr>
              <w:keepNext/>
              <w:spacing w:after="0" w:line="240" w:lineRule="auto"/>
              <w:jc w:val="center"/>
              <w:rPr>
                <w:rFonts w:eastAsia="Times New Roman"/>
              </w:rPr>
            </w:pPr>
            <w:r w:rsidRPr="00EF55F2">
              <w:rPr>
                <w:rFonts w:eastAsia="Times New Roman"/>
              </w:rPr>
              <w:t>Average monthly energy bill ($)</w:t>
            </w:r>
          </w:p>
        </w:tc>
        <w:tc>
          <w:tcPr>
            <w:tcW w:w="697" w:type="pct"/>
            <w:gridSpan w:val="2"/>
            <w:tcBorders>
              <w:top w:val="nil"/>
              <w:left w:val="nil"/>
              <w:bottom w:val="single" w:sz="4" w:space="0" w:color="auto"/>
              <w:right w:val="nil"/>
            </w:tcBorders>
            <w:shd w:val="clear" w:color="000000" w:fill="F2F2F2"/>
            <w:vAlign w:val="center"/>
          </w:tcPr>
          <w:p w:rsidR="00F4544F" w:rsidRPr="00EF55F2" w:rsidRDefault="00F4544F" w:rsidP="00F4544F">
            <w:pPr>
              <w:keepNext/>
              <w:spacing w:after="0" w:line="240" w:lineRule="auto"/>
              <w:jc w:val="center"/>
              <w:rPr>
                <w:rFonts w:eastAsia="Times New Roman"/>
              </w:rPr>
            </w:pPr>
            <w:r w:rsidRPr="00EF55F2">
              <w:rPr>
                <w:rFonts w:eastAsia="Times New Roman"/>
              </w:rPr>
              <w:t>Increase based on $177 WTP (%)</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Alabama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142.48</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10.4%</w:t>
            </w:r>
          </w:p>
        </w:tc>
        <w:tc>
          <w:tcPr>
            <w:tcW w:w="1103" w:type="pct"/>
            <w:gridSpan w:val="2"/>
            <w:tcBorders>
              <w:top w:val="single" w:sz="4" w:space="0" w:color="auto"/>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Montana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89.03</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16.6%</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Alaska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119.64</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12.3%</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Nebraska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101.96</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14.5%</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Arizona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124.67</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11.8%</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Nevada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116.47</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12.7%</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Arkansas</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110.22</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13.4%</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New Hampshire</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114.90</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12.8%</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California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94.59</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15.6%</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New Jersey</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110.04</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13.4%</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Colorado</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83.42</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17.7%</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New Mexico</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79.23</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18.6%</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Connecticut</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153.13</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9.6%</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New York</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111.32</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13.3%</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Delaware</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131.18</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11.2%</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North Carolina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125.51</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11.8%</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District of Columbia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109.21</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13.5%</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North Dakota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104.96</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14.1%</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Florida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132.16</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11.2%</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Ohio</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112.25</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13.1%</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Georgia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129.46</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11.4%</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Oklahoma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110.87</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13.3%</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Hawaii</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152.12</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9.7%</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Oregon</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96.24</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15.3%</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Idaho</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95.01</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15.5%</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Pennsylvania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116.62</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12.6%</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Illinois</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89.91</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16.4%</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Rhode Island</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114.50</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12.9%</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Indiana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111.51</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13.2%</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South Carolina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144.04</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10.2%</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Iowa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98.53</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15.0%</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South Dakota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108.68</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13.6%</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Kansas</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110.58</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13.3%</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Tennessee</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128.51</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11.5%</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Kentucky</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114.72</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12.9%</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Texas</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136.00</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10.8%</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Louisiana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120.02</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12.3%</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Utah</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80.92</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18.2%</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Maine</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86.75</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17.0%</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Vermont</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95.33</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15.5%</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Maryland</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139.91</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10.5%</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Virginia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130.58</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11.3%</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Massachusetts</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119.26</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12.4%</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Washington</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87.64</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16.8%</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Michigan</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93.61</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15.8%</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West Virginia</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111.59</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13.2%</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Minnesota</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92.32</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16.0%</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Wisconsin</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94.26</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15.6%</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Mississippi</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137.24</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10.7%</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Wyoming</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91.19</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16.2%</w:t>
            </w:r>
          </w:p>
        </w:tc>
      </w:tr>
      <w:tr w:rsidR="00F4544F" w:rsidRPr="00EF55F2" w:rsidTr="00F4544F">
        <w:trPr>
          <w:trHeight w:val="300"/>
        </w:trPr>
        <w:tc>
          <w:tcPr>
            <w:tcW w:w="1099"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rPr>
                <w:rFonts w:eastAsia="Times New Roman"/>
              </w:rPr>
            </w:pPr>
            <w:r w:rsidRPr="00EF55F2">
              <w:rPr>
                <w:rFonts w:eastAsia="Times New Roman"/>
              </w:rPr>
              <w:t>Missouri</w:t>
            </w:r>
          </w:p>
        </w:tc>
        <w:tc>
          <w:tcPr>
            <w:tcW w:w="777" w:type="pct"/>
            <w:tcBorders>
              <w:top w:val="nil"/>
              <w:left w:val="nil"/>
              <w:bottom w:val="nil"/>
              <w:right w:val="nil"/>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115.80</w:t>
            </w:r>
          </w:p>
        </w:tc>
        <w:tc>
          <w:tcPr>
            <w:tcW w:w="659" w:type="pct"/>
            <w:tcBorders>
              <w:top w:val="nil"/>
              <w:left w:val="nil"/>
              <w:bottom w:val="nil"/>
              <w:right w:val="single" w:sz="4" w:space="0" w:color="auto"/>
            </w:tcBorders>
            <w:shd w:val="clear" w:color="000000" w:fill="F2F2F2"/>
            <w:noWrap/>
            <w:hideMark/>
          </w:tcPr>
          <w:p w:rsidR="00F4544F" w:rsidRPr="00EF55F2" w:rsidRDefault="00F4544F" w:rsidP="00F4544F">
            <w:pPr>
              <w:keepNext/>
              <w:spacing w:after="0" w:line="240" w:lineRule="auto"/>
              <w:jc w:val="center"/>
              <w:rPr>
                <w:rFonts w:eastAsia="Times New Roman"/>
              </w:rPr>
            </w:pPr>
            <w:r w:rsidRPr="00EF55F2">
              <w:rPr>
                <w:rFonts w:eastAsia="Times New Roman"/>
              </w:rPr>
              <w:t>12.7%</w:t>
            </w:r>
          </w:p>
        </w:tc>
        <w:tc>
          <w:tcPr>
            <w:tcW w:w="1103" w:type="pct"/>
            <w:gridSpan w:val="2"/>
            <w:tcBorders>
              <w:top w:val="nil"/>
              <w:left w:val="single" w:sz="4" w:space="0" w:color="auto"/>
              <w:bottom w:val="nil"/>
              <w:right w:val="nil"/>
            </w:tcBorders>
            <w:shd w:val="clear" w:color="000000" w:fill="F2F2F2"/>
          </w:tcPr>
          <w:p w:rsidR="00F4544F" w:rsidRPr="00EF55F2" w:rsidRDefault="00F4544F" w:rsidP="00F4544F">
            <w:pPr>
              <w:keepNext/>
              <w:spacing w:after="0" w:line="240" w:lineRule="auto"/>
              <w:rPr>
                <w:rFonts w:eastAsia="Times New Roman"/>
              </w:rPr>
            </w:pPr>
            <w:r w:rsidRPr="00EF55F2">
              <w:rPr>
                <w:rFonts w:eastAsia="Times New Roman"/>
              </w:rPr>
              <w:t>U.S. Total</w:t>
            </w:r>
          </w:p>
        </w:tc>
        <w:tc>
          <w:tcPr>
            <w:tcW w:w="665"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114.03</w:t>
            </w:r>
          </w:p>
        </w:tc>
        <w:tc>
          <w:tcPr>
            <w:tcW w:w="697" w:type="pct"/>
            <w:gridSpan w:val="2"/>
            <w:tcBorders>
              <w:top w:val="nil"/>
              <w:left w:val="nil"/>
              <w:bottom w:val="nil"/>
              <w:right w:val="nil"/>
            </w:tcBorders>
            <w:shd w:val="clear" w:color="000000" w:fill="F2F2F2"/>
          </w:tcPr>
          <w:p w:rsidR="00F4544F" w:rsidRPr="00EF55F2" w:rsidRDefault="00F4544F" w:rsidP="00F4544F">
            <w:pPr>
              <w:keepNext/>
              <w:spacing w:after="0" w:line="240" w:lineRule="auto"/>
              <w:jc w:val="center"/>
              <w:rPr>
                <w:rFonts w:eastAsia="Times New Roman"/>
              </w:rPr>
            </w:pPr>
            <w:r w:rsidRPr="00EF55F2">
              <w:rPr>
                <w:rFonts w:eastAsia="Times New Roman"/>
              </w:rPr>
              <w:t>12.9%</w:t>
            </w:r>
          </w:p>
        </w:tc>
      </w:tr>
      <w:tr w:rsidR="00F4544F" w:rsidRPr="00EF55F2" w:rsidTr="00F4544F">
        <w:trPr>
          <w:trHeight w:val="539"/>
        </w:trPr>
        <w:tc>
          <w:tcPr>
            <w:tcW w:w="3048" w:type="pct"/>
            <w:gridSpan w:val="4"/>
            <w:tcBorders>
              <w:top w:val="single" w:sz="4" w:space="0" w:color="auto"/>
              <w:left w:val="nil"/>
              <w:bottom w:val="nil"/>
              <w:right w:val="nil"/>
            </w:tcBorders>
            <w:shd w:val="clear" w:color="000000" w:fill="F2F2F2"/>
            <w:hideMark/>
          </w:tcPr>
          <w:p w:rsidR="00F4544F" w:rsidRPr="00EF55F2" w:rsidRDefault="00F4544F" w:rsidP="00F4544F">
            <w:pPr>
              <w:keepNext/>
              <w:spacing w:after="0" w:line="240" w:lineRule="auto"/>
              <w:rPr>
                <w:rFonts w:eastAsia="Times New Roman"/>
                <w:sz w:val="18"/>
                <w:szCs w:val="18"/>
              </w:rPr>
            </w:pPr>
            <w:r w:rsidRPr="00EF55F2">
              <w:rPr>
                <w:rFonts w:eastAsia="Times New Roman"/>
                <w:sz w:val="18"/>
                <w:szCs w:val="18"/>
              </w:rPr>
              <w:t>2015 average monthly residential energy bill data from the U.S. Energy Information Administration, retrieved from: http://www.eia.gov/electricity/sales_revenue_price/index.cfm</w:t>
            </w:r>
          </w:p>
        </w:tc>
        <w:tc>
          <w:tcPr>
            <w:tcW w:w="777" w:type="pct"/>
            <w:gridSpan w:val="2"/>
            <w:tcBorders>
              <w:top w:val="single" w:sz="4" w:space="0" w:color="auto"/>
              <w:left w:val="nil"/>
              <w:bottom w:val="nil"/>
              <w:right w:val="nil"/>
            </w:tcBorders>
            <w:shd w:val="clear" w:color="000000" w:fill="F2F2F2"/>
          </w:tcPr>
          <w:p w:rsidR="00F4544F" w:rsidRPr="00EF55F2" w:rsidRDefault="00F4544F" w:rsidP="00F4544F">
            <w:pPr>
              <w:keepNext/>
              <w:spacing w:after="0" w:line="240" w:lineRule="auto"/>
              <w:rPr>
                <w:rFonts w:eastAsia="Times New Roman"/>
                <w:sz w:val="18"/>
                <w:szCs w:val="18"/>
              </w:rPr>
            </w:pPr>
          </w:p>
        </w:tc>
        <w:tc>
          <w:tcPr>
            <w:tcW w:w="663" w:type="pct"/>
            <w:gridSpan w:val="2"/>
            <w:tcBorders>
              <w:top w:val="single" w:sz="4" w:space="0" w:color="auto"/>
              <w:left w:val="nil"/>
              <w:bottom w:val="nil"/>
              <w:right w:val="nil"/>
            </w:tcBorders>
            <w:shd w:val="clear" w:color="000000" w:fill="F2F2F2"/>
          </w:tcPr>
          <w:p w:rsidR="00F4544F" w:rsidRPr="00EF55F2" w:rsidRDefault="00F4544F" w:rsidP="00F4544F">
            <w:pPr>
              <w:keepNext/>
              <w:spacing w:after="0" w:line="240" w:lineRule="auto"/>
              <w:rPr>
                <w:rFonts w:eastAsia="Times New Roman"/>
                <w:sz w:val="18"/>
                <w:szCs w:val="18"/>
              </w:rPr>
            </w:pPr>
          </w:p>
        </w:tc>
        <w:tc>
          <w:tcPr>
            <w:tcW w:w="511" w:type="pct"/>
            <w:tcBorders>
              <w:top w:val="single" w:sz="4" w:space="0" w:color="auto"/>
              <w:left w:val="nil"/>
              <w:bottom w:val="nil"/>
              <w:right w:val="nil"/>
            </w:tcBorders>
            <w:shd w:val="clear" w:color="000000" w:fill="F2F2F2"/>
          </w:tcPr>
          <w:p w:rsidR="00F4544F" w:rsidRPr="00EF55F2" w:rsidRDefault="00F4544F" w:rsidP="00F4544F">
            <w:pPr>
              <w:keepNext/>
              <w:spacing w:after="0" w:line="240" w:lineRule="auto"/>
              <w:rPr>
                <w:rFonts w:eastAsia="Times New Roman"/>
                <w:sz w:val="18"/>
                <w:szCs w:val="18"/>
              </w:rPr>
            </w:pPr>
          </w:p>
        </w:tc>
      </w:tr>
    </w:tbl>
    <w:p w:rsidR="006D5D8A" w:rsidRPr="000F4526" w:rsidRDefault="006D5D8A" w:rsidP="000F4526"/>
    <w:sectPr w:rsidR="006D5D8A" w:rsidRPr="000F4526" w:rsidSect="00FD65F5">
      <w:type w:val="continuous"/>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293" w:rsidRDefault="00BB4293" w:rsidP="00F10F9C">
      <w:pPr>
        <w:spacing w:after="0" w:line="240" w:lineRule="auto"/>
      </w:pPr>
      <w:r>
        <w:separator/>
      </w:r>
    </w:p>
  </w:endnote>
  <w:endnote w:type="continuationSeparator" w:id="0">
    <w:p w:rsidR="00BB4293" w:rsidRDefault="00BB4293" w:rsidP="00F1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005996"/>
      <w:docPartObj>
        <w:docPartGallery w:val="Page Numbers (Bottom of Page)"/>
        <w:docPartUnique/>
      </w:docPartObj>
    </w:sdtPr>
    <w:sdtEndPr>
      <w:rPr>
        <w:noProof/>
      </w:rPr>
    </w:sdtEndPr>
    <w:sdtContent>
      <w:p w:rsidR="00DE2A27" w:rsidRDefault="00DE2A27">
        <w:pPr>
          <w:pStyle w:val="Footer"/>
        </w:pPr>
        <w:r>
          <w:fldChar w:fldCharType="begin"/>
        </w:r>
        <w:r>
          <w:instrText xml:space="preserve"> PAGE   \* MERGEFORMAT </w:instrText>
        </w:r>
        <w:r>
          <w:fldChar w:fldCharType="separate"/>
        </w:r>
        <w:r w:rsidR="00FD65F5">
          <w:rPr>
            <w:noProof/>
          </w:rPr>
          <w:t>22</w:t>
        </w:r>
        <w:r>
          <w:rPr>
            <w:noProof/>
          </w:rPr>
          <w:fldChar w:fldCharType="end"/>
        </w:r>
      </w:p>
    </w:sdtContent>
  </w:sdt>
  <w:p w:rsidR="00DE2A27" w:rsidRDefault="00DE2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293" w:rsidRDefault="00BB4293" w:rsidP="00F10F9C">
      <w:pPr>
        <w:spacing w:after="0" w:line="240" w:lineRule="auto"/>
      </w:pPr>
      <w:r>
        <w:separator/>
      </w:r>
    </w:p>
  </w:footnote>
  <w:footnote w:type="continuationSeparator" w:id="0">
    <w:p w:rsidR="00BB4293" w:rsidRDefault="00BB4293" w:rsidP="00F10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E0893"/>
    <w:multiLevelType w:val="hybridMultilevel"/>
    <w:tmpl w:val="443A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9352C"/>
    <w:multiLevelType w:val="hybridMultilevel"/>
    <w:tmpl w:val="1966A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62"/>
    <w:rsid w:val="00011971"/>
    <w:rsid w:val="00011D5B"/>
    <w:rsid w:val="00012EAA"/>
    <w:rsid w:val="0001343B"/>
    <w:rsid w:val="00017EF9"/>
    <w:rsid w:val="000257DD"/>
    <w:rsid w:val="000314C9"/>
    <w:rsid w:val="000344E2"/>
    <w:rsid w:val="000359D0"/>
    <w:rsid w:val="00037E78"/>
    <w:rsid w:val="00043433"/>
    <w:rsid w:val="00051782"/>
    <w:rsid w:val="000519A8"/>
    <w:rsid w:val="00053798"/>
    <w:rsid w:val="00053AA6"/>
    <w:rsid w:val="00062C92"/>
    <w:rsid w:val="00062CFE"/>
    <w:rsid w:val="000655CD"/>
    <w:rsid w:val="0006570E"/>
    <w:rsid w:val="000700E0"/>
    <w:rsid w:val="00072AD7"/>
    <w:rsid w:val="00076D7D"/>
    <w:rsid w:val="00077662"/>
    <w:rsid w:val="00081C35"/>
    <w:rsid w:val="00086EAC"/>
    <w:rsid w:val="000A51AE"/>
    <w:rsid w:val="000A5C0F"/>
    <w:rsid w:val="000A7065"/>
    <w:rsid w:val="000B73DB"/>
    <w:rsid w:val="000C287B"/>
    <w:rsid w:val="000C3461"/>
    <w:rsid w:val="000C4A80"/>
    <w:rsid w:val="000D453D"/>
    <w:rsid w:val="000D67C9"/>
    <w:rsid w:val="000E4379"/>
    <w:rsid w:val="000E6881"/>
    <w:rsid w:val="000E7B55"/>
    <w:rsid w:val="000F081E"/>
    <w:rsid w:val="000F1D1B"/>
    <w:rsid w:val="000F3E16"/>
    <w:rsid w:val="000F4526"/>
    <w:rsid w:val="000F49D7"/>
    <w:rsid w:val="0011566E"/>
    <w:rsid w:val="00123F1A"/>
    <w:rsid w:val="00124848"/>
    <w:rsid w:val="00130175"/>
    <w:rsid w:val="00130E26"/>
    <w:rsid w:val="00130E8E"/>
    <w:rsid w:val="00131015"/>
    <w:rsid w:val="00142257"/>
    <w:rsid w:val="001444F3"/>
    <w:rsid w:val="0014659B"/>
    <w:rsid w:val="00151F80"/>
    <w:rsid w:val="001573B7"/>
    <w:rsid w:val="00160A69"/>
    <w:rsid w:val="001637FB"/>
    <w:rsid w:val="00163FBC"/>
    <w:rsid w:val="00186AB4"/>
    <w:rsid w:val="00192C03"/>
    <w:rsid w:val="001947C4"/>
    <w:rsid w:val="00195324"/>
    <w:rsid w:val="00195353"/>
    <w:rsid w:val="0019791C"/>
    <w:rsid w:val="001A2871"/>
    <w:rsid w:val="001B0110"/>
    <w:rsid w:val="001B0CD5"/>
    <w:rsid w:val="001B3F5F"/>
    <w:rsid w:val="001C271C"/>
    <w:rsid w:val="001C41D8"/>
    <w:rsid w:val="001D4BF1"/>
    <w:rsid w:val="001D523F"/>
    <w:rsid w:val="001D762F"/>
    <w:rsid w:val="001E2086"/>
    <w:rsid w:val="001E39B7"/>
    <w:rsid w:val="001F2788"/>
    <w:rsid w:val="001F693D"/>
    <w:rsid w:val="001F69D2"/>
    <w:rsid w:val="00200DE0"/>
    <w:rsid w:val="0020365C"/>
    <w:rsid w:val="00207A38"/>
    <w:rsid w:val="00220337"/>
    <w:rsid w:val="00220BE2"/>
    <w:rsid w:val="002270CF"/>
    <w:rsid w:val="00234962"/>
    <w:rsid w:val="0023630C"/>
    <w:rsid w:val="0023764D"/>
    <w:rsid w:val="00262FE1"/>
    <w:rsid w:val="0027303A"/>
    <w:rsid w:val="002773D2"/>
    <w:rsid w:val="00277E36"/>
    <w:rsid w:val="00280100"/>
    <w:rsid w:val="00293B7D"/>
    <w:rsid w:val="00294512"/>
    <w:rsid w:val="00294862"/>
    <w:rsid w:val="00295B9C"/>
    <w:rsid w:val="002B00EB"/>
    <w:rsid w:val="002B0892"/>
    <w:rsid w:val="002B176A"/>
    <w:rsid w:val="002B5887"/>
    <w:rsid w:val="002B6C46"/>
    <w:rsid w:val="002C4867"/>
    <w:rsid w:val="002C7234"/>
    <w:rsid w:val="002D14B0"/>
    <w:rsid w:val="002E0B39"/>
    <w:rsid w:val="002F233A"/>
    <w:rsid w:val="002F37F1"/>
    <w:rsid w:val="00301DFF"/>
    <w:rsid w:val="00302605"/>
    <w:rsid w:val="00303628"/>
    <w:rsid w:val="00304858"/>
    <w:rsid w:val="00305C2B"/>
    <w:rsid w:val="0031086C"/>
    <w:rsid w:val="0031730A"/>
    <w:rsid w:val="00317BAE"/>
    <w:rsid w:val="00323DDC"/>
    <w:rsid w:val="00326A43"/>
    <w:rsid w:val="00327A92"/>
    <w:rsid w:val="00330EA7"/>
    <w:rsid w:val="0033141D"/>
    <w:rsid w:val="00334E0B"/>
    <w:rsid w:val="00340755"/>
    <w:rsid w:val="00340B8A"/>
    <w:rsid w:val="00342B96"/>
    <w:rsid w:val="003504AA"/>
    <w:rsid w:val="003607C2"/>
    <w:rsid w:val="00361D4E"/>
    <w:rsid w:val="00363BCA"/>
    <w:rsid w:val="00364233"/>
    <w:rsid w:val="00372A9C"/>
    <w:rsid w:val="003828D1"/>
    <w:rsid w:val="00396B84"/>
    <w:rsid w:val="003A3140"/>
    <w:rsid w:val="003A7D3E"/>
    <w:rsid w:val="003B0977"/>
    <w:rsid w:val="003B53C2"/>
    <w:rsid w:val="003C6F58"/>
    <w:rsid w:val="003D3305"/>
    <w:rsid w:val="003D65DB"/>
    <w:rsid w:val="003D6DB4"/>
    <w:rsid w:val="003D76CA"/>
    <w:rsid w:val="003E0437"/>
    <w:rsid w:val="003E2956"/>
    <w:rsid w:val="003E5D9C"/>
    <w:rsid w:val="003F4A73"/>
    <w:rsid w:val="003F57D6"/>
    <w:rsid w:val="004006C3"/>
    <w:rsid w:val="00403811"/>
    <w:rsid w:val="00413C51"/>
    <w:rsid w:val="00416B8C"/>
    <w:rsid w:val="0042242C"/>
    <w:rsid w:val="0042768B"/>
    <w:rsid w:val="004324A6"/>
    <w:rsid w:val="00432B8F"/>
    <w:rsid w:val="00432DED"/>
    <w:rsid w:val="00436CA7"/>
    <w:rsid w:val="0044063D"/>
    <w:rsid w:val="00442144"/>
    <w:rsid w:val="00442AAF"/>
    <w:rsid w:val="00443490"/>
    <w:rsid w:val="00443852"/>
    <w:rsid w:val="00444334"/>
    <w:rsid w:val="00461C74"/>
    <w:rsid w:val="00466108"/>
    <w:rsid w:val="00472512"/>
    <w:rsid w:val="00473D8E"/>
    <w:rsid w:val="004809A8"/>
    <w:rsid w:val="004926B2"/>
    <w:rsid w:val="00493F84"/>
    <w:rsid w:val="00495B26"/>
    <w:rsid w:val="004967B1"/>
    <w:rsid w:val="004A4770"/>
    <w:rsid w:val="004A6E25"/>
    <w:rsid w:val="004B59A8"/>
    <w:rsid w:val="004C2851"/>
    <w:rsid w:val="004C53C5"/>
    <w:rsid w:val="004D0B02"/>
    <w:rsid w:val="004D5E3B"/>
    <w:rsid w:val="004E61FE"/>
    <w:rsid w:val="004E7AF6"/>
    <w:rsid w:val="004F1BC0"/>
    <w:rsid w:val="00501A0D"/>
    <w:rsid w:val="00503505"/>
    <w:rsid w:val="00513A6A"/>
    <w:rsid w:val="00514418"/>
    <w:rsid w:val="005235C8"/>
    <w:rsid w:val="00524508"/>
    <w:rsid w:val="00526D49"/>
    <w:rsid w:val="00530B7E"/>
    <w:rsid w:val="00535C75"/>
    <w:rsid w:val="00541684"/>
    <w:rsid w:val="005423FB"/>
    <w:rsid w:val="00546144"/>
    <w:rsid w:val="005522D6"/>
    <w:rsid w:val="00555305"/>
    <w:rsid w:val="00556B0D"/>
    <w:rsid w:val="00571E35"/>
    <w:rsid w:val="00575888"/>
    <w:rsid w:val="0058039B"/>
    <w:rsid w:val="00580466"/>
    <w:rsid w:val="00582896"/>
    <w:rsid w:val="00582D88"/>
    <w:rsid w:val="00584D69"/>
    <w:rsid w:val="005930B2"/>
    <w:rsid w:val="00594A6E"/>
    <w:rsid w:val="005963DF"/>
    <w:rsid w:val="005A02CD"/>
    <w:rsid w:val="005A3C51"/>
    <w:rsid w:val="005A5325"/>
    <w:rsid w:val="005B02DC"/>
    <w:rsid w:val="005B772E"/>
    <w:rsid w:val="005C1786"/>
    <w:rsid w:val="005C18DC"/>
    <w:rsid w:val="005C3C41"/>
    <w:rsid w:val="005C4DDC"/>
    <w:rsid w:val="005D7B6D"/>
    <w:rsid w:val="005E299E"/>
    <w:rsid w:val="005E419C"/>
    <w:rsid w:val="005E523E"/>
    <w:rsid w:val="005E771A"/>
    <w:rsid w:val="005F4280"/>
    <w:rsid w:val="00614CE3"/>
    <w:rsid w:val="00617C73"/>
    <w:rsid w:val="006270FD"/>
    <w:rsid w:val="0062766F"/>
    <w:rsid w:val="00640DBC"/>
    <w:rsid w:val="00641232"/>
    <w:rsid w:val="0065006F"/>
    <w:rsid w:val="0065441E"/>
    <w:rsid w:val="00654A7E"/>
    <w:rsid w:val="00656214"/>
    <w:rsid w:val="006626D1"/>
    <w:rsid w:val="00662BB6"/>
    <w:rsid w:val="006658C1"/>
    <w:rsid w:val="00670D76"/>
    <w:rsid w:val="0067212A"/>
    <w:rsid w:val="006729FD"/>
    <w:rsid w:val="006756C5"/>
    <w:rsid w:val="00682A71"/>
    <w:rsid w:val="0068733F"/>
    <w:rsid w:val="006964E1"/>
    <w:rsid w:val="006966E2"/>
    <w:rsid w:val="006A7177"/>
    <w:rsid w:val="006B2274"/>
    <w:rsid w:val="006C1F1C"/>
    <w:rsid w:val="006C3A2E"/>
    <w:rsid w:val="006C64C2"/>
    <w:rsid w:val="006D5D8A"/>
    <w:rsid w:val="006E2367"/>
    <w:rsid w:val="006F1E43"/>
    <w:rsid w:val="0070155F"/>
    <w:rsid w:val="00703565"/>
    <w:rsid w:val="00710554"/>
    <w:rsid w:val="00726E44"/>
    <w:rsid w:val="007276B7"/>
    <w:rsid w:val="00731D94"/>
    <w:rsid w:val="00740745"/>
    <w:rsid w:val="00741CAA"/>
    <w:rsid w:val="007431D2"/>
    <w:rsid w:val="0075464E"/>
    <w:rsid w:val="00755724"/>
    <w:rsid w:val="00755A1B"/>
    <w:rsid w:val="00755AF9"/>
    <w:rsid w:val="00755F8B"/>
    <w:rsid w:val="00760915"/>
    <w:rsid w:val="00760DD2"/>
    <w:rsid w:val="007709F4"/>
    <w:rsid w:val="00772B8E"/>
    <w:rsid w:val="00772D47"/>
    <w:rsid w:val="007761B9"/>
    <w:rsid w:val="007770BF"/>
    <w:rsid w:val="00782510"/>
    <w:rsid w:val="007871FA"/>
    <w:rsid w:val="007877C7"/>
    <w:rsid w:val="00793271"/>
    <w:rsid w:val="00796ACC"/>
    <w:rsid w:val="007A0A36"/>
    <w:rsid w:val="007A2B0C"/>
    <w:rsid w:val="007A796C"/>
    <w:rsid w:val="007B1F77"/>
    <w:rsid w:val="007C04F3"/>
    <w:rsid w:val="007C68B3"/>
    <w:rsid w:val="007C7A5C"/>
    <w:rsid w:val="007D1C81"/>
    <w:rsid w:val="007E319C"/>
    <w:rsid w:val="007E3BD1"/>
    <w:rsid w:val="007E78B3"/>
    <w:rsid w:val="007F2ABD"/>
    <w:rsid w:val="007F4173"/>
    <w:rsid w:val="00807211"/>
    <w:rsid w:val="0081039C"/>
    <w:rsid w:val="00815489"/>
    <w:rsid w:val="00816866"/>
    <w:rsid w:val="00826207"/>
    <w:rsid w:val="0083468A"/>
    <w:rsid w:val="00836639"/>
    <w:rsid w:val="00836E7A"/>
    <w:rsid w:val="0084003D"/>
    <w:rsid w:val="008404B2"/>
    <w:rsid w:val="008517E3"/>
    <w:rsid w:val="00860E9E"/>
    <w:rsid w:val="00862241"/>
    <w:rsid w:val="00864752"/>
    <w:rsid w:val="00865BA3"/>
    <w:rsid w:val="00865C35"/>
    <w:rsid w:val="00871687"/>
    <w:rsid w:val="00871F27"/>
    <w:rsid w:val="008726EF"/>
    <w:rsid w:val="00882692"/>
    <w:rsid w:val="008826EF"/>
    <w:rsid w:val="008861CE"/>
    <w:rsid w:val="00887F77"/>
    <w:rsid w:val="00892D32"/>
    <w:rsid w:val="008955F8"/>
    <w:rsid w:val="008A2692"/>
    <w:rsid w:val="008A4AC7"/>
    <w:rsid w:val="008A7020"/>
    <w:rsid w:val="008B355C"/>
    <w:rsid w:val="008C2F72"/>
    <w:rsid w:val="008C411B"/>
    <w:rsid w:val="008C5D6D"/>
    <w:rsid w:val="008C75DB"/>
    <w:rsid w:val="008C7C1C"/>
    <w:rsid w:val="008D2424"/>
    <w:rsid w:val="008D7B19"/>
    <w:rsid w:val="008E2286"/>
    <w:rsid w:val="008E5339"/>
    <w:rsid w:val="008F46C6"/>
    <w:rsid w:val="008F4F73"/>
    <w:rsid w:val="008F6407"/>
    <w:rsid w:val="00911CBC"/>
    <w:rsid w:val="00915A3C"/>
    <w:rsid w:val="00923F18"/>
    <w:rsid w:val="00925755"/>
    <w:rsid w:val="00930094"/>
    <w:rsid w:val="00933A22"/>
    <w:rsid w:val="00934745"/>
    <w:rsid w:val="00935C1D"/>
    <w:rsid w:val="009434D5"/>
    <w:rsid w:val="00943612"/>
    <w:rsid w:val="00945793"/>
    <w:rsid w:val="00946B9F"/>
    <w:rsid w:val="009519C2"/>
    <w:rsid w:val="00951B27"/>
    <w:rsid w:val="009556DF"/>
    <w:rsid w:val="00970345"/>
    <w:rsid w:val="00972905"/>
    <w:rsid w:val="0097426E"/>
    <w:rsid w:val="009803E8"/>
    <w:rsid w:val="0098647B"/>
    <w:rsid w:val="009A05F8"/>
    <w:rsid w:val="009A0B2D"/>
    <w:rsid w:val="009A31CF"/>
    <w:rsid w:val="009A3F07"/>
    <w:rsid w:val="009A5F74"/>
    <w:rsid w:val="009B2764"/>
    <w:rsid w:val="009C00E5"/>
    <w:rsid w:val="009D6C97"/>
    <w:rsid w:val="009F510E"/>
    <w:rsid w:val="009F631A"/>
    <w:rsid w:val="00A13CFA"/>
    <w:rsid w:val="00A144C3"/>
    <w:rsid w:val="00A15CC4"/>
    <w:rsid w:val="00A21400"/>
    <w:rsid w:val="00A25AF6"/>
    <w:rsid w:val="00A2628B"/>
    <w:rsid w:val="00A26CE8"/>
    <w:rsid w:val="00A33DD0"/>
    <w:rsid w:val="00A36059"/>
    <w:rsid w:val="00A3639D"/>
    <w:rsid w:val="00A40900"/>
    <w:rsid w:val="00A43AE6"/>
    <w:rsid w:val="00A44F15"/>
    <w:rsid w:val="00A4500B"/>
    <w:rsid w:val="00A47113"/>
    <w:rsid w:val="00A50A67"/>
    <w:rsid w:val="00A5444B"/>
    <w:rsid w:val="00A563CC"/>
    <w:rsid w:val="00A56F6B"/>
    <w:rsid w:val="00A721A2"/>
    <w:rsid w:val="00A750F4"/>
    <w:rsid w:val="00A77F94"/>
    <w:rsid w:val="00A838AF"/>
    <w:rsid w:val="00A85971"/>
    <w:rsid w:val="00A86512"/>
    <w:rsid w:val="00A91B01"/>
    <w:rsid w:val="00AA22A5"/>
    <w:rsid w:val="00AA3E02"/>
    <w:rsid w:val="00AA574F"/>
    <w:rsid w:val="00AB05D3"/>
    <w:rsid w:val="00AB0A80"/>
    <w:rsid w:val="00AB3507"/>
    <w:rsid w:val="00AB5D22"/>
    <w:rsid w:val="00AC2B4C"/>
    <w:rsid w:val="00AC5657"/>
    <w:rsid w:val="00AD3381"/>
    <w:rsid w:val="00AD5668"/>
    <w:rsid w:val="00AE2C59"/>
    <w:rsid w:val="00AE7E33"/>
    <w:rsid w:val="00AF0F54"/>
    <w:rsid w:val="00AF47DE"/>
    <w:rsid w:val="00AF4B5A"/>
    <w:rsid w:val="00AF7B01"/>
    <w:rsid w:val="00B001A8"/>
    <w:rsid w:val="00B008F2"/>
    <w:rsid w:val="00B00FF8"/>
    <w:rsid w:val="00B04A68"/>
    <w:rsid w:val="00B106C7"/>
    <w:rsid w:val="00B107E0"/>
    <w:rsid w:val="00B1218A"/>
    <w:rsid w:val="00B123E3"/>
    <w:rsid w:val="00B24304"/>
    <w:rsid w:val="00B26D42"/>
    <w:rsid w:val="00B35340"/>
    <w:rsid w:val="00B40F46"/>
    <w:rsid w:val="00B42EF4"/>
    <w:rsid w:val="00B433F4"/>
    <w:rsid w:val="00B456FA"/>
    <w:rsid w:val="00B56B8D"/>
    <w:rsid w:val="00B668ED"/>
    <w:rsid w:val="00B70482"/>
    <w:rsid w:val="00B732B0"/>
    <w:rsid w:val="00B771C7"/>
    <w:rsid w:val="00B811E4"/>
    <w:rsid w:val="00B87E9B"/>
    <w:rsid w:val="00B91B81"/>
    <w:rsid w:val="00B91D2D"/>
    <w:rsid w:val="00B91D6D"/>
    <w:rsid w:val="00B936C2"/>
    <w:rsid w:val="00B9515B"/>
    <w:rsid w:val="00B96780"/>
    <w:rsid w:val="00B97AA0"/>
    <w:rsid w:val="00B97ADE"/>
    <w:rsid w:val="00BB3BCA"/>
    <w:rsid w:val="00BB3FF9"/>
    <w:rsid w:val="00BB4293"/>
    <w:rsid w:val="00BB4D1C"/>
    <w:rsid w:val="00BC3471"/>
    <w:rsid w:val="00BD6524"/>
    <w:rsid w:val="00BE6DED"/>
    <w:rsid w:val="00BF14A1"/>
    <w:rsid w:val="00C02B07"/>
    <w:rsid w:val="00C03F9A"/>
    <w:rsid w:val="00C101B5"/>
    <w:rsid w:val="00C11110"/>
    <w:rsid w:val="00C11B93"/>
    <w:rsid w:val="00C15723"/>
    <w:rsid w:val="00C2178D"/>
    <w:rsid w:val="00C2195F"/>
    <w:rsid w:val="00C2314A"/>
    <w:rsid w:val="00C23704"/>
    <w:rsid w:val="00C2723A"/>
    <w:rsid w:val="00C31888"/>
    <w:rsid w:val="00C36834"/>
    <w:rsid w:val="00C37FB3"/>
    <w:rsid w:val="00C463A8"/>
    <w:rsid w:val="00C5139F"/>
    <w:rsid w:val="00C5500F"/>
    <w:rsid w:val="00C6354D"/>
    <w:rsid w:val="00C74799"/>
    <w:rsid w:val="00C768FF"/>
    <w:rsid w:val="00C87632"/>
    <w:rsid w:val="00C947F1"/>
    <w:rsid w:val="00C95E9F"/>
    <w:rsid w:val="00C95ECF"/>
    <w:rsid w:val="00C9623B"/>
    <w:rsid w:val="00C9645C"/>
    <w:rsid w:val="00CA16DE"/>
    <w:rsid w:val="00CA21A4"/>
    <w:rsid w:val="00CA41DB"/>
    <w:rsid w:val="00CA75C6"/>
    <w:rsid w:val="00CB23B0"/>
    <w:rsid w:val="00CB615E"/>
    <w:rsid w:val="00CB6A13"/>
    <w:rsid w:val="00CC0DDF"/>
    <w:rsid w:val="00CD1F47"/>
    <w:rsid w:val="00CD3A21"/>
    <w:rsid w:val="00CE0C6F"/>
    <w:rsid w:val="00CE1710"/>
    <w:rsid w:val="00CE1B66"/>
    <w:rsid w:val="00CE1D03"/>
    <w:rsid w:val="00CE6961"/>
    <w:rsid w:val="00CF1196"/>
    <w:rsid w:val="00CF217E"/>
    <w:rsid w:val="00CF564F"/>
    <w:rsid w:val="00D030DA"/>
    <w:rsid w:val="00D10267"/>
    <w:rsid w:val="00D11188"/>
    <w:rsid w:val="00D11B47"/>
    <w:rsid w:val="00D126B7"/>
    <w:rsid w:val="00D174EA"/>
    <w:rsid w:val="00D27C82"/>
    <w:rsid w:val="00D4316B"/>
    <w:rsid w:val="00D4406A"/>
    <w:rsid w:val="00D47365"/>
    <w:rsid w:val="00D51D2E"/>
    <w:rsid w:val="00D575B3"/>
    <w:rsid w:val="00D57BED"/>
    <w:rsid w:val="00D65C16"/>
    <w:rsid w:val="00D66FCB"/>
    <w:rsid w:val="00D7582F"/>
    <w:rsid w:val="00D7757F"/>
    <w:rsid w:val="00D77A97"/>
    <w:rsid w:val="00D92441"/>
    <w:rsid w:val="00D92966"/>
    <w:rsid w:val="00D974C3"/>
    <w:rsid w:val="00DA6D4F"/>
    <w:rsid w:val="00DB6E74"/>
    <w:rsid w:val="00DC4C95"/>
    <w:rsid w:val="00DD45B0"/>
    <w:rsid w:val="00DD4F5E"/>
    <w:rsid w:val="00DE2A27"/>
    <w:rsid w:val="00DE69B4"/>
    <w:rsid w:val="00DE78BB"/>
    <w:rsid w:val="00DF0CFD"/>
    <w:rsid w:val="00DF2895"/>
    <w:rsid w:val="00DF47F4"/>
    <w:rsid w:val="00DF7EE2"/>
    <w:rsid w:val="00E00F35"/>
    <w:rsid w:val="00E136B9"/>
    <w:rsid w:val="00E14821"/>
    <w:rsid w:val="00E23111"/>
    <w:rsid w:val="00E2353D"/>
    <w:rsid w:val="00E2424E"/>
    <w:rsid w:val="00E24526"/>
    <w:rsid w:val="00E260C2"/>
    <w:rsid w:val="00E43399"/>
    <w:rsid w:val="00E5028B"/>
    <w:rsid w:val="00E6565E"/>
    <w:rsid w:val="00E66AAC"/>
    <w:rsid w:val="00E70CA3"/>
    <w:rsid w:val="00E72B29"/>
    <w:rsid w:val="00E73041"/>
    <w:rsid w:val="00E7736A"/>
    <w:rsid w:val="00E804CF"/>
    <w:rsid w:val="00E8066F"/>
    <w:rsid w:val="00E92CEB"/>
    <w:rsid w:val="00E92D82"/>
    <w:rsid w:val="00E973A8"/>
    <w:rsid w:val="00EA794F"/>
    <w:rsid w:val="00EB2131"/>
    <w:rsid w:val="00EB26CD"/>
    <w:rsid w:val="00EB3219"/>
    <w:rsid w:val="00EB66E3"/>
    <w:rsid w:val="00ED0CF0"/>
    <w:rsid w:val="00ED7D17"/>
    <w:rsid w:val="00EE17A8"/>
    <w:rsid w:val="00EF3F69"/>
    <w:rsid w:val="00EF55F2"/>
    <w:rsid w:val="00EF5E7E"/>
    <w:rsid w:val="00F02A37"/>
    <w:rsid w:val="00F02DA1"/>
    <w:rsid w:val="00F030A2"/>
    <w:rsid w:val="00F10F9C"/>
    <w:rsid w:val="00F1347A"/>
    <w:rsid w:val="00F14794"/>
    <w:rsid w:val="00F20305"/>
    <w:rsid w:val="00F20C49"/>
    <w:rsid w:val="00F218E1"/>
    <w:rsid w:val="00F2483F"/>
    <w:rsid w:val="00F303C2"/>
    <w:rsid w:val="00F30715"/>
    <w:rsid w:val="00F437EB"/>
    <w:rsid w:val="00F4544F"/>
    <w:rsid w:val="00F47697"/>
    <w:rsid w:val="00F50DA9"/>
    <w:rsid w:val="00F56A0D"/>
    <w:rsid w:val="00F629C0"/>
    <w:rsid w:val="00F65A34"/>
    <w:rsid w:val="00F7287E"/>
    <w:rsid w:val="00F72F66"/>
    <w:rsid w:val="00F75DD0"/>
    <w:rsid w:val="00F76875"/>
    <w:rsid w:val="00F8025C"/>
    <w:rsid w:val="00F802C1"/>
    <w:rsid w:val="00F919F0"/>
    <w:rsid w:val="00F94623"/>
    <w:rsid w:val="00F96B83"/>
    <w:rsid w:val="00FB089D"/>
    <w:rsid w:val="00FB6B2F"/>
    <w:rsid w:val="00FC607B"/>
    <w:rsid w:val="00FD65F5"/>
    <w:rsid w:val="00FD7B0D"/>
    <w:rsid w:val="00FE4802"/>
    <w:rsid w:val="00FE49CD"/>
    <w:rsid w:val="00FE7F1D"/>
    <w:rsid w:val="00FF1611"/>
    <w:rsid w:val="00FF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5004F6-CA38-4749-B1FE-61C26898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80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FE4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44E2"/>
    <w:pPr>
      <w:autoSpaceDE w:val="0"/>
      <w:autoSpaceDN w:val="0"/>
      <w:adjustRightInd w:val="0"/>
      <w:spacing w:after="0" w:line="240" w:lineRule="auto"/>
    </w:pPr>
    <w:rPr>
      <w:rFonts w:ascii="Garamond" w:hAnsi="Garamond" w:cs="Garamond"/>
      <w:color w:val="000000"/>
      <w:sz w:val="24"/>
      <w:szCs w:val="24"/>
    </w:rPr>
  </w:style>
  <w:style w:type="paragraph" w:styleId="FootnoteText">
    <w:name w:val="footnote text"/>
    <w:basedOn w:val="Normal"/>
    <w:link w:val="FootnoteTextChar"/>
    <w:uiPriority w:val="99"/>
    <w:semiHidden/>
    <w:unhideWhenUsed/>
    <w:rsid w:val="00F10F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0F9C"/>
    <w:rPr>
      <w:sz w:val="20"/>
      <w:szCs w:val="20"/>
    </w:rPr>
  </w:style>
  <w:style w:type="character" w:styleId="FootnoteReference">
    <w:name w:val="footnote reference"/>
    <w:basedOn w:val="DefaultParagraphFont"/>
    <w:uiPriority w:val="99"/>
    <w:semiHidden/>
    <w:unhideWhenUsed/>
    <w:rsid w:val="00F10F9C"/>
    <w:rPr>
      <w:vertAlign w:val="superscript"/>
    </w:rPr>
  </w:style>
  <w:style w:type="paragraph" w:styleId="EndnoteText">
    <w:name w:val="endnote text"/>
    <w:basedOn w:val="Normal"/>
    <w:link w:val="EndnoteTextChar"/>
    <w:uiPriority w:val="99"/>
    <w:semiHidden/>
    <w:unhideWhenUsed/>
    <w:rsid w:val="00F10F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0F9C"/>
    <w:rPr>
      <w:sz w:val="20"/>
      <w:szCs w:val="20"/>
    </w:rPr>
  </w:style>
  <w:style w:type="character" w:styleId="EndnoteReference">
    <w:name w:val="endnote reference"/>
    <w:basedOn w:val="DefaultParagraphFont"/>
    <w:uiPriority w:val="99"/>
    <w:semiHidden/>
    <w:unhideWhenUsed/>
    <w:rsid w:val="00F10F9C"/>
    <w:rPr>
      <w:vertAlign w:val="superscript"/>
    </w:rPr>
  </w:style>
  <w:style w:type="character" w:customStyle="1" w:styleId="Heading1Char">
    <w:name w:val="Heading 1 Char"/>
    <w:basedOn w:val="DefaultParagraphFont"/>
    <w:link w:val="Heading1"/>
    <w:uiPriority w:val="9"/>
    <w:rsid w:val="00FE4802"/>
    <w:rPr>
      <w:rFonts w:eastAsiaTheme="majorEastAsia" w:cstheme="majorBidi"/>
      <w:b/>
      <w:szCs w:val="32"/>
    </w:rPr>
  </w:style>
  <w:style w:type="paragraph" w:styleId="ListParagraph">
    <w:name w:val="List Paragraph"/>
    <w:basedOn w:val="Normal"/>
    <w:uiPriority w:val="34"/>
    <w:qFormat/>
    <w:rsid w:val="00442144"/>
    <w:pPr>
      <w:ind w:left="720"/>
      <w:contextualSpacing/>
    </w:pPr>
  </w:style>
  <w:style w:type="paragraph" w:styleId="Bibliography">
    <w:name w:val="Bibliography"/>
    <w:basedOn w:val="Normal"/>
    <w:next w:val="Normal"/>
    <w:uiPriority w:val="37"/>
    <w:unhideWhenUsed/>
    <w:rsid w:val="00442144"/>
  </w:style>
  <w:style w:type="table" w:customStyle="1" w:styleId="Style1">
    <w:name w:val="Style1"/>
    <w:basedOn w:val="TableNormal"/>
    <w:uiPriority w:val="99"/>
    <w:rsid w:val="00FF1611"/>
    <w:pPr>
      <w:spacing w:after="0" w:line="240" w:lineRule="auto"/>
    </w:pPr>
    <w:tblPr/>
    <w:tcPr>
      <w:shd w:val="clear" w:color="auto" w:fill="F2F2F2" w:themeFill="background1" w:themeFillShade="F2"/>
    </w:tcPr>
    <w:tblStylePr w:type="firstRow">
      <w:tblPr/>
      <w:tcPr>
        <w:shd w:val="clear" w:color="auto" w:fill="E7E6E6" w:themeFill="background2"/>
      </w:tcPr>
    </w:tblStylePr>
  </w:style>
  <w:style w:type="character" w:styleId="Hyperlink">
    <w:name w:val="Hyperlink"/>
    <w:basedOn w:val="DefaultParagraphFont"/>
    <w:uiPriority w:val="99"/>
    <w:unhideWhenUsed/>
    <w:rsid w:val="005C3C41"/>
    <w:rPr>
      <w:color w:val="0563C1" w:themeColor="hyperlink"/>
      <w:u w:val="single"/>
    </w:rPr>
  </w:style>
  <w:style w:type="character" w:customStyle="1" w:styleId="Heading2Char">
    <w:name w:val="Heading 2 Char"/>
    <w:basedOn w:val="DefaultParagraphFont"/>
    <w:link w:val="Heading2"/>
    <w:uiPriority w:val="9"/>
    <w:semiHidden/>
    <w:rsid w:val="00FE480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2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755"/>
  </w:style>
  <w:style w:type="paragraph" w:styleId="Footer">
    <w:name w:val="footer"/>
    <w:basedOn w:val="Normal"/>
    <w:link w:val="FooterChar"/>
    <w:uiPriority w:val="99"/>
    <w:unhideWhenUsed/>
    <w:rsid w:val="0092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755"/>
  </w:style>
  <w:style w:type="paragraph" w:customStyle="1" w:styleId="basicquestion">
    <w:name w:val="basic question"/>
    <w:basedOn w:val="Normal"/>
    <w:link w:val="basicquestionChar"/>
    <w:qFormat/>
    <w:rsid w:val="00B008F2"/>
    <w:pPr>
      <w:spacing w:before="60" w:after="0" w:line="240" w:lineRule="auto"/>
      <w:ind w:left="720" w:hanging="720"/>
    </w:pPr>
    <w:rPr>
      <w:rFonts w:ascii="Arial" w:eastAsia="Times New Roman" w:hAnsi="Arial" w:cs="Arial"/>
      <w:szCs w:val="24"/>
    </w:rPr>
  </w:style>
  <w:style w:type="character" w:customStyle="1" w:styleId="basicquestionChar">
    <w:name w:val="basic question Char"/>
    <w:link w:val="basicquestion"/>
    <w:locked/>
    <w:rsid w:val="00B008F2"/>
    <w:rPr>
      <w:rFonts w:ascii="Arial" w:eastAsia="Times New Roman" w:hAnsi="Arial" w:cs="Arial"/>
      <w:szCs w:val="24"/>
    </w:rPr>
  </w:style>
  <w:style w:type="table" w:styleId="TableGrid">
    <w:name w:val="Table Grid"/>
    <w:basedOn w:val="TableNormal"/>
    <w:uiPriority w:val="59"/>
    <w:rsid w:val="00741CAA"/>
    <w:pPr>
      <w:spacing w:after="0" w:line="240" w:lineRule="auto"/>
    </w:pPr>
    <w:rPr>
      <w:rFonts w:eastAsia="Times New Roman"/>
      <w:sz w:val="20"/>
      <w:szCs w:val="20"/>
      <w:lang w:val="nl-NL"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sicChar">
    <w:name w:val="basic Char"/>
    <w:link w:val="basic"/>
    <w:locked/>
    <w:rsid w:val="00741CAA"/>
    <w:rPr>
      <w:rFonts w:ascii="Arial" w:hAnsi="Arial" w:cs="Arial"/>
      <w:szCs w:val="24"/>
    </w:rPr>
  </w:style>
  <w:style w:type="paragraph" w:customStyle="1" w:styleId="basic">
    <w:name w:val="basic"/>
    <w:basedOn w:val="Normal"/>
    <w:link w:val="basicChar"/>
    <w:qFormat/>
    <w:rsid w:val="00741CAA"/>
    <w:pPr>
      <w:spacing w:after="0" w:line="240" w:lineRule="auto"/>
    </w:pPr>
    <w:rPr>
      <w:rFonts w:ascii="Arial" w:hAnsi="Arial" w:cs="Arial"/>
      <w:szCs w:val="24"/>
    </w:rPr>
  </w:style>
  <w:style w:type="paragraph" w:styleId="BalloonText">
    <w:name w:val="Balloon Text"/>
    <w:basedOn w:val="Normal"/>
    <w:link w:val="BalloonTextChar"/>
    <w:uiPriority w:val="99"/>
    <w:semiHidden/>
    <w:unhideWhenUsed/>
    <w:rsid w:val="00772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B8E"/>
    <w:rPr>
      <w:rFonts w:ascii="Segoe UI" w:hAnsi="Segoe UI" w:cs="Segoe UI"/>
      <w:sz w:val="18"/>
      <w:szCs w:val="18"/>
    </w:rPr>
  </w:style>
  <w:style w:type="character" w:styleId="Mention">
    <w:name w:val="Mention"/>
    <w:basedOn w:val="DefaultParagraphFont"/>
    <w:uiPriority w:val="99"/>
    <w:semiHidden/>
    <w:unhideWhenUsed/>
    <w:rsid w:val="007A2B0C"/>
    <w:rPr>
      <w:color w:val="2B579A"/>
      <w:shd w:val="clear" w:color="auto" w:fill="E6E6E6"/>
    </w:rPr>
  </w:style>
  <w:style w:type="paragraph" w:styleId="TOCHeading">
    <w:name w:val="TOC Heading"/>
    <w:basedOn w:val="Heading1"/>
    <w:next w:val="Normal"/>
    <w:uiPriority w:val="39"/>
    <w:unhideWhenUsed/>
    <w:qFormat/>
    <w:rsid w:val="00062C92"/>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62C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0844">
      <w:bodyDiv w:val="1"/>
      <w:marLeft w:val="0"/>
      <w:marRight w:val="0"/>
      <w:marTop w:val="0"/>
      <w:marBottom w:val="0"/>
      <w:divBdr>
        <w:top w:val="none" w:sz="0" w:space="0" w:color="auto"/>
        <w:left w:val="none" w:sz="0" w:space="0" w:color="auto"/>
        <w:bottom w:val="none" w:sz="0" w:space="0" w:color="auto"/>
        <w:right w:val="none" w:sz="0" w:space="0" w:color="auto"/>
      </w:divBdr>
    </w:div>
    <w:div w:id="127555045">
      <w:bodyDiv w:val="1"/>
      <w:marLeft w:val="0"/>
      <w:marRight w:val="0"/>
      <w:marTop w:val="0"/>
      <w:marBottom w:val="0"/>
      <w:divBdr>
        <w:top w:val="none" w:sz="0" w:space="0" w:color="auto"/>
        <w:left w:val="none" w:sz="0" w:space="0" w:color="auto"/>
        <w:bottom w:val="none" w:sz="0" w:space="0" w:color="auto"/>
        <w:right w:val="none" w:sz="0" w:space="0" w:color="auto"/>
      </w:divBdr>
    </w:div>
    <w:div w:id="244918924">
      <w:bodyDiv w:val="1"/>
      <w:marLeft w:val="0"/>
      <w:marRight w:val="0"/>
      <w:marTop w:val="0"/>
      <w:marBottom w:val="0"/>
      <w:divBdr>
        <w:top w:val="none" w:sz="0" w:space="0" w:color="auto"/>
        <w:left w:val="none" w:sz="0" w:space="0" w:color="auto"/>
        <w:bottom w:val="none" w:sz="0" w:space="0" w:color="auto"/>
        <w:right w:val="none" w:sz="0" w:space="0" w:color="auto"/>
      </w:divBdr>
    </w:div>
    <w:div w:id="246115975">
      <w:bodyDiv w:val="1"/>
      <w:marLeft w:val="0"/>
      <w:marRight w:val="0"/>
      <w:marTop w:val="0"/>
      <w:marBottom w:val="0"/>
      <w:divBdr>
        <w:top w:val="none" w:sz="0" w:space="0" w:color="auto"/>
        <w:left w:val="none" w:sz="0" w:space="0" w:color="auto"/>
        <w:bottom w:val="none" w:sz="0" w:space="0" w:color="auto"/>
        <w:right w:val="none" w:sz="0" w:space="0" w:color="auto"/>
      </w:divBdr>
    </w:div>
    <w:div w:id="316956778">
      <w:bodyDiv w:val="1"/>
      <w:marLeft w:val="0"/>
      <w:marRight w:val="0"/>
      <w:marTop w:val="0"/>
      <w:marBottom w:val="0"/>
      <w:divBdr>
        <w:top w:val="none" w:sz="0" w:space="0" w:color="auto"/>
        <w:left w:val="none" w:sz="0" w:space="0" w:color="auto"/>
        <w:bottom w:val="none" w:sz="0" w:space="0" w:color="auto"/>
        <w:right w:val="none" w:sz="0" w:space="0" w:color="auto"/>
      </w:divBdr>
    </w:div>
    <w:div w:id="323289517">
      <w:bodyDiv w:val="1"/>
      <w:marLeft w:val="0"/>
      <w:marRight w:val="0"/>
      <w:marTop w:val="0"/>
      <w:marBottom w:val="0"/>
      <w:divBdr>
        <w:top w:val="none" w:sz="0" w:space="0" w:color="auto"/>
        <w:left w:val="none" w:sz="0" w:space="0" w:color="auto"/>
        <w:bottom w:val="none" w:sz="0" w:space="0" w:color="auto"/>
        <w:right w:val="none" w:sz="0" w:space="0" w:color="auto"/>
      </w:divBdr>
    </w:div>
    <w:div w:id="339242360">
      <w:bodyDiv w:val="1"/>
      <w:marLeft w:val="0"/>
      <w:marRight w:val="0"/>
      <w:marTop w:val="0"/>
      <w:marBottom w:val="0"/>
      <w:divBdr>
        <w:top w:val="none" w:sz="0" w:space="0" w:color="auto"/>
        <w:left w:val="none" w:sz="0" w:space="0" w:color="auto"/>
        <w:bottom w:val="none" w:sz="0" w:space="0" w:color="auto"/>
        <w:right w:val="none" w:sz="0" w:space="0" w:color="auto"/>
      </w:divBdr>
    </w:div>
    <w:div w:id="404762922">
      <w:bodyDiv w:val="1"/>
      <w:marLeft w:val="0"/>
      <w:marRight w:val="0"/>
      <w:marTop w:val="0"/>
      <w:marBottom w:val="0"/>
      <w:divBdr>
        <w:top w:val="none" w:sz="0" w:space="0" w:color="auto"/>
        <w:left w:val="none" w:sz="0" w:space="0" w:color="auto"/>
        <w:bottom w:val="none" w:sz="0" w:space="0" w:color="auto"/>
        <w:right w:val="none" w:sz="0" w:space="0" w:color="auto"/>
      </w:divBdr>
    </w:div>
    <w:div w:id="421342887">
      <w:bodyDiv w:val="1"/>
      <w:marLeft w:val="0"/>
      <w:marRight w:val="0"/>
      <w:marTop w:val="0"/>
      <w:marBottom w:val="0"/>
      <w:divBdr>
        <w:top w:val="none" w:sz="0" w:space="0" w:color="auto"/>
        <w:left w:val="none" w:sz="0" w:space="0" w:color="auto"/>
        <w:bottom w:val="none" w:sz="0" w:space="0" w:color="auto"/>
        <w:right w:val="none" w:sz="0" w:space="0" w:color="auto"/>
      </w:divBdr>
    </w:div>
    <w:div w:id="480269537">
      <w:bodyDiv w:val="1"/>
      <w:marLeft w:val="0"/>
      <w:marRight w:val="0"/>
      <w:marTop w:val="0"/>
      <w:marBottom w:val="0"/>
      <w:divBdr>
        <w:top w:val="none" w:sz="0" w:space="0" w:color="auto"/>
        <w:left w:val="none" w:sz="0" w:space="0" w:color="auto"/>
        <w:bottom w:val="none" w:sz="0" w:space="0" w:color="auto"/>
        <w:right w:val="none" w:sz="0" w:space="0" w:color="auto"/>
      </w:divBdr>
    </w:div>
    <w:div w:id="488710883">
      <w:bodyDiv w:val="1"/>
      <w:marLeft w:val="0"/>
      <w:marRight w:val="0"/>
      <w:marTop w:val="0"/>
      <w:marBottom w:val="0"/>
      <w:divBdr>
        <w:top w:val="none" w:sz="0" w:space="0" w:color="auto"/>
        <w:left w:val="none" w:sz="0" w:space="0" w:color="auto"/>
        <w:bottom w:val="none" w:sz="0" w:space="0" w:color="auto"/>
        <w:right w:val="none" w:sz="0" w:space="0" w:color="auto"/>
      </w:divBdr>
    </w:div>
    <w:div w:id="502207869">
      <w:bodyDiv w:val="1"/>
      <w:marLeft w:val="0"/>
      <w:marRight w:val="0"/>
      <w:marTop w:val="0"/>
      <w:marBottom w:val="0"/>
      <w:divBdr>
        <w:top w:val="none" w:sz="0" w:space="0" w:color="auto"/>
        <w:left w:val="none" w:sz="0" w:space="0" w:color="auto"/>
        <w:bottom w:val="none" w:sz="0" w:space="0" w:color="auto"/>
        <w:right w:val="none" w:sz="0" w:space="0" w:color="auto"/>
      </w:divBdr>
    </w:div>
    <w:div w:id="516965228">
      <w:bodyDiv w:val="1"/>
      <w:marLeft w:val="0"/>
      <w:marRight w:val="0"/>
      <w:marTop w:val="0"/>
      <w:marBottom w:val="0"/>
      <w:divBdr>
        <w:top w:val="none" w:sz="0" w:space="0" w:color="auto"/>
        <w:left w:val="none" w:sz="0" w:space="0" w:color="auto"/>
        <w:bottom w:val="none" w:sz="0" w:space="0" w:color="auto"/>
        <w:right w:val="none" w:sz="0" w:space="0" w:color="auto"/>
      </w:divBdr>
    </w:div>
    <w:div w:id="646858813">
      <w:bodyDiv w:val="1"/>
      <w:marLeft w:val="0"/>
      <w:marRight w:val="0"/>
      <w:marTop w:val="0"/>
      <w:marBottom w:val="0"/>
      <w:divBdr>
        <w:top w:val="none" w:sz="0" w:space="0" w:color="auto"/>
        <w:left w:val="none" w:sz="0" w:space="0" w:color="auto"/>
        <w:bottom w:val="none" w:sz="0" w:space="0" w:color="auto"/>
        <w:right w:val="none" w:sz="0" w:space="0" w:color="auto"/>
      </w:divBdr>
      <w:divsChild>
        <w:div w:id="1819414980">
          <w:marLeft w:val="0"/>
          <w:marRight w:val="0"/>
          <w:marTop w:val="0"/>
          <w:marBottom w:val="0"/>
          <w:divBdr>
            <w:top w:val="none" w:sz="0" w:space="0" w:color="auto"/>
            <w:left w:val="none" w:sz="0" w:space="0" w:color="auto"/>
            <w:bottom w:val="none" w:sz="0" w:space="0" w:color="auto"/>
            <w:right w:val="none" w:sz="0" w:space="0" w:color="auto"/>
          </w:divBdr>
          <w:divsChild>
            <w:div w:id="135954023">
              <w:marLeft w:val="0"/>
              <w:marRight w:val="0"/>
              <w:marTop w:val="0"/>
              <w:marBottom w:val="0"/>
              <w:divBdr>
                <w:top w:val="none" w:sz="0" w:space="0" w:color="auto"/>
                <w:left w:val="single" w:sz="6" w:space="0" w:color="E2E2E2"/>
                <w:bottom w:val="none" w:sz="0" w:space="0" w:color="auto"/>
                <w:right w:val="single" w:sz="6" w:space="0" w:color="E2E2E2"/>
              </w:divBdr>
              <w:divsChild>
                <w:div w:id="688413209">
                  <w:marLeft w:val="0"/>
                  <w:marRight w:val="0"/>
                  <w:marTop w:val="0"/>
                  <w:marBottom w:val="0"/>
                  <w:divBdr>
                    <w:top w:val="none" w:sz="0" w:space="0" w:color="auto"/>
                    <w:left w:val="none" w:sz="0" w:space="0" w:color="auto"/>
                    <w:bottom w:val="none" w:sz="0" w:space="0" w:color="auto"/>
                    <w:right w:val="none" w:sz="0" w:space="0" w:color="auto"/>
                  </w:divBdr>
                  <w:divsChild>
                    <w:div w:id="20087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6231">
      <w:bodyDiv w:val="1"/>
      <w:marLeft w:val="0"/>
      <w:marRight w:val="0"/>
      <w:marTop w:val="0"/>
      <w:marBottom w:val="0"/>
      <w:divBdr>
        <w:top w:val="none" w:sz="0" w:space="0" w:color="auto"/>
        <w:left w:val="none" w:sz="0" w:space="0" w:color="auto"/>
        <w:bottom w:val="none" w:sz="0" w:space="0" w:color="auto"/>
        <w:right w:val="none" w:sz="0" w:space="0" w:color="auto"/>
      </w:divBdr>
    </w:div>
    <w:div w:id="690303427">
      <w:bodyDiv w:val="1"/>
      <w:marLeft w:val="0"/>
      <w:marRight w:val="0"/>
      <w:marTop w:val="0"/>
      <w:marBottom w:val="0"/>
      <w:divBdr>
        <w:top w:val="none" w:sz="0" w:space="0" w:color="auto"/>
        <w:left w:val="none" w:sz="0" w:space="0" w:color="auto"/>
        <w:bottom w:val="none" w:sz="0" w:space="0" w:color="auto"/>
        <w:right w:val="none" w:sz="0" w:space="0" w:color="auto"/>
      </w:divBdr>
    </w:div>
    <w:div w:id="694968269">
      <w:bodyDiv w:val="1"/>
      <w:marLeft w:val="0"/>
      <w:marRight w:val="0"/>
      <w:marTop w:val="0"/>
      <w:marBottom w:val="0"/>
      <w:divBdr>
        <w:top w:val="none" w:sz="0" w:space="0" w:color="auto"/>
        <w:left w:val="none" w:sz="0" w:space="0" w:color="auto"/>
        <w:bottom w:val="none" w:sz="0" w:space="0" w:color="auto"/>
        <w:right w:val="none" w:sz="0" w:space="0" w:color="auto"/>
      </w:divBdr>
    </w:div>
    <w:div w:id="708532816">
      <w:bodyDiv w:val="1"/>
      <w:marLeft w:val="0"/>
      <w:marRight w:val="0"/>
      <w:marTop w:val="0"/>
      <w:marBottom w:val="0"/>
      <w:divBdr>
        <w:top w:val="none" w:sz="0" w:space="0" w:color="auto"/>
        <w:left w:val="none" w:sz="0" w:space="0" w:color="auto"/>
        <w:bottom w:val="none" w:sz="0" w:space="0" w:color="auto"/>
        <w:right w:val="none" w:sz="0" w:space="0" w:color="auto"/>
      </w:divBdr>
    </w:div>
    <w:div w:id="792141328">
      <w:bodyDiv w:val="1"/>
      <w:marLeft w:val="0"/>
      <w:marRight w:val="0"/>
      <w:marTop w:val="0"/>
      <w:marBottom w:val="0"/>
      <w:divBdr>
        <w:top w:val="none" w:sz="0" w:space="0" w:color="auto"/>
        <w:left w:val="none" w:sz="0" w:space="0" w:color="auto"/>
        <w:bottom w:val="none" w:sz="0" w:space="0" w:color="auto"/>
        <w:right w:val="none" w:sz="0" w:space="0" w:color="auto"/>
      </w:divBdr>
    </w:div>
    <w:div w:id="802187871">
      <w:bodyDiv w:val="1"/>
      <w:marLeft w:val="0"/>
      <w:marRight w:val="0"/>
      <w:marTop w:val="0"/>
      <w:marBottom w:val="0"/>
      <w:divBdr>
        <w:top w:val="none" w:sz="0" w:space="0" w:color="auto"/>
        <w:left w:val="none" w:sz="0" w:space="0" w:color="auto"/>
        <w:bottom w:val="none" w:sz="0" w:space="0" w:color="auto"/>
        <w:right w:val="none" w:sz="0" w:space="0" w:color="auto"/>
      </w:divBdr>
    </w:div>
    <w:div w:id="813184803">
      <w:bodyDiv w:val="1"/>
      <w:marLeft w:val="0"/>
      <w:marRight w:val="0"/>
      <w:marTop w:val="0"/>
      <w:marBottom w:val="0"/>
      <w:divBdr>
        <w:top w:val="none" w:sz="0" w:space="0" w:color="auto"/>
        <w:left w:val="none" w:sz="0" w:space="0" w:color="auto"/>
        <w:bottom w:val="none" w:sz="0" w:space="0" w:color="auto"/>
        <w:right w:val="none" w:sz="0" w:space="0" w:color="auto"/>
      </w:divBdr>
    </w:div>
    <w:div w:id="837503605">
      <w:bodyDiv w:val="1"/>
      <w:marLeft w:val="0"/>
      <w:marRight w:val="0"/>
      <w:marTop w:val="0"/>
      <w:marBottom w:val="0"/>
      <w:divBdr>
        <w:top w:val="none" w:sz="0" w:space="0" w:color="auto"/>
        <w:left w:val="none" w:sz="0" w:space="0" w:color="auto"/>
        <w:bottom w:val="none" w:sz="0" w:space="0" w:color="auto"/>
        <w:right w:val="none" w:sz="0" w:space="0" w:color="auto"/>
      </w:divBdr>
      <w:divsChild>
        <w:div w:id="800731754">
          <w:marLeft w:val="0"/>
          <w:marRight w:val="0"/>
          <w:marTop w:val="0"/>
          <w:marBottom w:val="0"/>
          <w:divBdr>
            <w:top w:val="none" w:sz="0" w:space="0" w:color="auto"/>
            <w:left w:val="none" w:sz="0" w:space="0" w:color="auto"/>
            <w:bottom w:val="none" w:sz="0" w:space="0" w:color="auto"/>
            <w:right w:val="none" w:sz="0" w:space="0" w:color="auto"/>
          </w:divBdr>
          <w:divsChild>
            <w:div w:id="1940530036">
              <w:marLeft w:val="-225"/>
              <w:marRight w:val="-225"/>
              <w:marTop w:val="0"/>
              <w:marBottom w:val="0"/>
              <w:divBdr>
                <w:top w:val="none" w:sz="0" w:space="0" w:color="auto"/>
                <w:left w:val="none" w:sz="0" w:space="0" w:color="auto"/>
                <w:bottom w:val="none" w:sz="0" w:space="0" w:color="auto"/>
                <w:right w:val="none" w:sz="0" w:space="0" w:color="auto"/>
              </w:divBdr>
              <w:divsChild>
                <w:div w:id="1887521296">
                  <w:marLeft w:val="0"/>
                  <w:marRight w:val="0"/>
                  <w:marTop w:val="0"/>
                  <w:marBottom w:val="0"/>
                  <w:divBdr>
                    <w:top w:val="none" w:sz="0" w:space="0" w:color="auto"/>
                    <w:left w:val="none" w:sz="0" w:space="0" w:color="auto"/>
                    <w:bottom w:val="none" w:sz="0" w:space="0" w:color="auto"/>
                    <w:right w:val="none" w:sz="0" w:space="0" w:color="auto"/>
                  </w:divBdr>
                  <w:divsChild>
                    <w:div w:id="1582324712">
                      <w:marLeft w:val="0"/>
                      <w:marRight w:val="0"/>
                      <w:marTop w:val="0"/>
                      <w:marBottom w:val="0"/>
                      <w:divBdr>
                        <w:top w:val="single" w:sz="6" w:space="4" w:color="CCCCCC"/>
                        <w:left w:val="single" w:sz="6" w:space="0" w:color="CCCCCC"/>
                        <w:bottom w:val="single" w:sz="6" w:space="4" w:color="CCCCCC"/>
                        <w:right w:val="single" w:sz="6" w:space="0" w:color="CCCCCC"/>
                      </w:divBdr>
                      <w:divsChild>
                        <w:div w:id="1294022552">
                          <w:marLeft w:val="0"/>
                          <w:marRight w:val="0"/>
                          <w:marTop w:val="0"/>
                          <w:marBottom w:val="0"/>
                          <w:divBdr>
                            <w:top w:val="none" w:sz="0" w:space="0" w:color="auto"/>
                            <w:left w:val="none" w:sz="0" w:space="0" w:color="auto"/>
                            <w:bottom w:val="none" w:sz="0" w:space="0" w:color="auto"/>
                            <w:right w:val="none" w:sz="0" w:space="0" w:color="auto"/>
                          </w:divBdr>
                          <w:divsChild>
                            <w:div w:id="55979046">
                              <w:marLeft w:val="0"/>
                              <w:marRight w:val="0"/>
                              <w:marTop w:val="0"/>
                              <w:marBottom w:val="0"/>
                              <w:divBdr>
                                <w:top w:val="none" w:sz="0" w:space="0" w:color="auto"/>
                                <w:left w:val="none" w:sz="0" w:space="0" w:color="auto"/>
                                <w:bottom w:val="none" w:sz="0" w:space="0" w:color="auto"/>
                                <w:right w:val="none" w:sz="0" w:space="0" w:color="auto"/>
                              </w:divBdr>
                              <w:divsChild>
                                <w:div w:id="916324625">
                                  <w:marLeft w:val="0"/>
                                  <w:marRight w:val="0"/>
                                  <w:marTop w:val="0"/>
                                  <w:marBottom w:val="0"/>
                                  <w:divBdr>
                                    <w:top w:val="none" w:sz="0" w:space="0" w:color="auto"/>
                                    <w:left w:val="none" w:sz="0" w:space="0" w:color="auto"/>
                                    <w:bottom w:val="none" w:sz="0" w:space="0" w:color="auto"/>
                                    <w:right w:val="none" w:sz="0" w:space="0" w:color="auto"/>
                                  </w:divBdr>
                                  <w:divsChild>
                                    <w:div w:id="1734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785203">
      <w:bodyDiv w:val="1"/>
      <w:marLeft w:val="0"/>
      <w:marRight w:val="0"/>
      <w:marTop w:val="0"/>
      <w:marBottom w:val="0"/>
      <w:divBdr>
        <w:top w:val="none" w:sz="0" w:space="0" w:color="auto"/>
        <w:left w:val="none" w:sz="0" w:space="0" w:color="auto"/>
        <w:bottom w:val="none" w:sz="0" w:space="0" w:color="auto"/>
        <w:right w:val="none" w:sz="0" w:space="0" w:color="auto"/>
      </w:divBdr>
    </w:div>
    <w:div w:id="928733064">
      <w:bodyDiv w:val="1"/>
      <w:marLeft w:val="0"/>
      <w:marRight w:val="0"/>
      <w:marTop w:val="0"/>
      <w:marBottom w:val="0"/>
      <w:divBdr>
        <w:top w:val="none" w:sz="0" w:space="0" w:color="auto"/>
        <w:left w:val="none" w:sz="0" w:space="0" w:color="auto"/>
        <w:bottom w:val="none" w:sz="0" w:space="0" w:color="auto"/>
        <w:right w:val="none" w:sz="0" w:space="0" w:color="auto"/>
      </w:divBdr>
    </w:div>
    <w:div w:id="928925597">
      <w:bodyDiv w:val="1"/>
      <w:marLeft w:val="0"/>
      <w:marRight w:val="0"/>
      <w:marTop w:val="0"/>
      <w:marBottom w:val="0"/>
      <w:divBdr>
        <w:top w:val="none" w:sz="0" w:space="0" w:color="auto"/>
        <w:left w:val="none" w:sz="0" w:space="0" w:color="auto"/>
        <w:bottom w:val="none" w:sz="0" w:space="0" w:color="auto"/>
        <w:right w:val="none" w:sz="0" w:space="0" w:color="auto"/>
      </w:divBdr>
    </w:div>
    <w:div w:id="932129407">
      <w:bodyDiv w:val="1"/>
      <w:marLeft w:val="0"/>
      <w:marRight w:val="0"/>
      <w:marTop w:val="0"/>
      <w:marBottom w:val="0"/>
      <w:divBdr>
        <w:top w:val="none" w:sz="0" w:space="0" w:color="auto"/>
        <w:left w:val="none" w:sz="0" w:space="0" w:color="auto"/>
        <w:bottom w:val="none" w:sz="0" w:space="0" w:color="auto"/>
        <w:right w:val="none" w:sz="0" w:space="0" w:color="auto"/>
      </w:divBdr>
    </w:div>
    <w:div w:id="942104765">
      <w:bodyDiv w:val="1"/>
      <w:marLeft w:val="0"/>
      <w:marRight w:val="0"/>
      <w:marTop w:val="0"/>
      <w:marBottom w:val="0"/>
      <w:divBdr>
        <w:top w:val="none" w:sz="0" w:space="0" w:color="auto"/>
        <w:left w:val="none" w:sz="0" w:space="0" w:color="auto"/>
        <w:bottom w:val="none" w:sz="0" w:space="0" w:color="auto"/>
        <w:right w:val="none" w:sz="0" w:space="0" w:color="auto"/>
      </w:divBdr>
    </w:div>
    <w:div w:id="963391730">
      <w:bodyDiv w:val="1"/>
      <w:marLeft w:val="0"/>
      <w:marRight w:val="0"/>
      <w:marTop w:val="0"/>
      <w:marBottom w:val="0"/>
      <w:divBdr>
        <w:top w:val="none" w:sz="0" w:space="0" w:color="auto"/>
        <w:left w:val="none" w:sz="0" w:space="0" w:color="auto"/>
        <w:bottom w:val="none" w:sz="0" w:space="0" w:color="auto"/>
        <w:right w:val="none" w:sz="0" w:space="0" w:color="auto"/>
      </w:divBdr>
    </w:div>
    <w:div w:id="964849047">
      <w:bodyDiv w:val="1"/>
      <w:marLeft w:val="0"/>
      <w:marRight w:val="0"/>
      <w:marTop w:val="0"/>
      <w:marBottom w:val="0"/>
      <w:divBdr>
        <w:top w:val="none" w:sz="0" w:space="0" w:color="auto"/>
        <w:left w:val="none" w:sz="0" w:space="0" w:color="auto"/>
        <w:bottom w:val="none" w:sz="0" w:space="0" w:color="auto"/>
        <w:right w:val="none" w:sz="0" w:space="0" w:color="auto"/>
      </w:divBdr>
    </w:div>
    <w:div w:id="988679354">
      <w:bodyDiv w:val="1"/>
      <w:marLeft w:val="0"/>
      <w:marRight w:val="0"/>
      <w:marTop w:val="0"/>
      <w:marBottom w:val="0"/>
      <w:divBdr>
        <w:top w:val="none" w:sz="0" w:space="0" w:color="auto"/>
        <w:left w:val="none" w:sz="0" w:space="0" w:color="auto"/>
        <w:bottom w:val="none" w:sz="0" w:space="0" w:color="auto"/>
        <w:right w:val="none" w:sz="0" w:space="0" w:color="auto"/>
      </w:divBdr>
    </w:div>
    <w:div w:id="1009330215">
      <w:bodyDiv w:val="1"/>
      <w:marLeft w:val="0"/>
      <w:marRight w:val="0"/>
      <w:marTop w:val="0"/>
      <w:marBottom w:val="0"/>
      <w:divBdr>
        <w:top w:val="none" w:sz="0" w:space="0" w:color="auto"/>
        <w:left w:val="none" w:sz="0" w:space="0" w:color="auto"/>
        <w:bottom w:val="none" w:sz="0" w:space="0" w:color="auto"/>
        <w:right w:val="none" w:sz="0" w:space="0" w:color="auto"/>
      </w:divBdr>
    </w:div>
    <w:div w:id="1082948545">
      <w:bodyDiv w:val="1"/>
      <w:marLeft w:val="0"/>
      <w:marRight w:val="0"/>
      <w:marTop w:val="0"/>
      <w:marBottom w:val="0"/>
      <w:divBdr>
        <w:top w:val="none" w:sz="0" w:space="0" w:color="auto"/>
        <w:left w:val="none" w:sz="0" w:space="0" w:color="auto"/>
        <w:bottom w:val="none" w:sz="0" w:space="0" w:color="auto"/>
        <w:right w:val="none" w:sz="0" w:space="0" w:color="auto"/>
      </w:divBdr>
    </w:div>
    <w:div w:id="1094131967">
      <w:bodyDiv w:val="1"/>
      <w:marLeft w:val="0"/>
      <w:marRight w:val="0"/>
      <w:marTop w:val="0"/>
      <w:marBottom w:val="0"/>
      <w:divBdr>
        <w:top w:val="none" w:sz="0" w:space="0" w:color="auto"/>
        <w:left w:val="none" w:sz="0" w:space="0" w:color="auto"/>
        <w:bottom w:val="none" w:sz="0" w:space="0" w:color="auto"/>
        <w:right w:val="none" w:sz="0" w:space="0" w:color="auto"/>
      </w:divBdr>
    </w:div>
    <w:div w:id="1211115727">
      <w:bodyDiv w:val="1"/>
      <w:marLeft w:val="0"/>
      <w:marRight w:val="0"/>
      <w:marTop w:val="0"/>
      <w:marBottom w:val="0"/>
      <w:divBdr>
        <w:top w:val="none" w:sz="0" w:space="0" w:color="auto"/>
        <w:left w:val="none" w:sz="0" w:space="0" w:color="auto"/>
        <w:bottom w:val="none" w:sz="0" w:space="0" w:color="auto"/>
        <w:right w:val="none" w:sz="0" w:space="0" w:color="auto"/>
      </w:divBdr>
    </w:div>
    <w:div w:id="1247031389">
      <w:bodyDiv w:val="1"/>
      <w:marLeft w:val="0"/>
      <w:marRight w:val="0"/>
      <w:marTop w:val="0"/>
      <w:marBottom w:val="0"/>
      <w:divBdr>
        <w:top w:val="none" w:sz="0" w:space="0" w:color="auto"/>
        <w:left w:val="none" w:sz="0" w:space="0" w:color="auto"/>
        <w:bottom w:val="none" w:sz="0" w:space="0" w:color="auto"/>
        <w:right w:val="none" w:sz="0" w:space="0" w:color="auto"/>
      </w:divBdr>
    </w:div>
    <w:div w:id="1364750622">
      <w:bodyDiv w:val="1"/>
      <w:marLeft w:val="0"/>
      <w:marRight w:val="0"/>
      <w:marTop w:val="0"/>
      <w:marBottom w:val="0"/>
      <w:divBdr>
        <w:top w:val="none" w:sz="0" w:space="0" w:color="auto"/>
        <w:left w:val="none" w:sz="0" w:space="0" w:color="auto"/>
        <w:bottom w:val="none" w:sz="0" w:space="0" w:color="auto"/>
        <w:right w:val="none" w:sz="0" w:space="0" w:color="auto"/>
      </w:divBdr>
    </w:div>
    <w:div w:id="1382170075">
      <w:bodyDiv w:val="1"/>
      <w:marLeft w:val="0"/>
      <w:marRight w:val="0"/>
      <w:marTop w:val="0"/>
      <w:marBottom w:val="0"/>
      <w:divBdr>
        <w:top w:val="none" w:sz="0" w:space="0" w:color="auto"/>
        <w:left w:val="none" w:sz="0" w:space="0" w:color="auto"/>
        <w:bottom w:val="none" w:sz="0" w:space="0" w:color="auto"/>
        <w:right w:val="none" w:sz="0" w:space="0" w:color="auto"/>
      </w:divBdr>
    </w:div>
    <w:div w:id="1415473274">
      <w:bodyDiv w:val="1"/>
      <w:marLeft w:val="0"/>
      <w:marRight w:val="0"/>
      <w:marTop w:val="0"/>
      <w:marBottom w:val="0"/>
      <w:divBdr>
        <w:top w:val="none" w:sz="0" w:space="0" w:color="auto"/>
        <w:left w:val="none" w:sz="0" w:space="0" w:color="auto"/>
        <w:bottom w:val="none" w:sz="0" w:space="0" w:color="auto"/>
        <w:right w:val="none" w:sz="0" w:space="0" w:color="auto"/>
      </w:divBdr>
    </w:div>
    <w:div w:id="1446146700">
      <w:bodyDiv w:val="1"/>
      <w:marLeft w:val="0"/>
      <w:marRight w:val="0"/>
      <w:marTop w:val="0"/>
      <w:marBottom w:val="0"/>
      <w:divBdr>
        <w:top w:val="none" w:sz="0" w:space="0" w:color="auto"/>
        <w:left w:val="none" w:sz="0" w:space="0" w:color="auto"/>
        <w:bottom w:val="none" w:sz="0" w:space="0" w:color="auto"/>
        <w:right w:val="none" w:sz="0" w:space="0" w:color="auto"/>
      </w:divBdr>
    </w:div>
    <w:div w:id="1565674640">
      <w:bodyDiv w:val="1"/>
      <w:marLeft w:val="0"/>
      <w:marRight w:val="0"/>
      <w:marTop w:val="0"/>
      <w:marBottom w:val="0"/>
      <w:divBdr>
        <w:top w:val="none" w:sz="0" w:space="0" w:color="auto"/>
        <w:left w:val="none" w:sz="0" w:space="0" w:color="auto"/>
        <w:bottom w:val="none" w:sz="0" w:space="0" w:color="auto"/>
        <w:right w:val="none" w:sz="0" w:space="0" w:color="auto"/>
      </w:divBdr>
    </w:div>
    <w:div w:id="1612780066">
      <w:bodyDiv w:val="1"/>
      <w:marLeft w:val="0"/>
      <w:marRight w:val="0"/>
      <w:marTop w:val="0"/>
      <w:marBottom w:val="0"/>
      <w:divBdr>
        <w:top w:val="none" w:sz="0" w:space="0" w:color="auto"/>
        <w:left w:val="none" w:sz="0" w:space="0" w:color="auto"/>
        <w:bottom w:val="none" w:sz="0" w:space="0" w:color="auto"/>
        <w:right w:val="none" w:sz="0" w:space="0" w:color="auto"/>
      </w:divBdr>
    </w:div>
    <w:div w:id="1660767636">
      <w:bodyDiv w:val="1"/>
      <w:marLeft w:val="0"/>
      <w:marRight w:val="0"/>
      <w:marTop w:val="0"/>
      <w:marBottom w:val="0"/>
      <w:divBdr>
        <w:top w:val="none" w:sz="0" w:space="0" w:color="auto"/>
        <w:left w:val="none" w:sz="0" w:space="0" w:color="auto"/>
        <w:bottom w:val="none" w:sz="0" w:space="0" w:color="auto"/>
        <w:right w:val="none" w:sz="0" w:space="0" w:color="auto"/>
      </w:divBdr>
    </w:div>
    <w:div w:id="1787235165">
      <w:bodyDiv w:val="1"/>
      <w:marLeft w:val="0"/>
      <w:marRight w:val="0"/>
      <w:marTop w:val="0"/>
      <w:marBottom w:val="0"/>
      <w:divBdr>
        <w:top w:val="none" w:sz="0" w:space="0" w:color="auto"/>
        <w:left w:val="none" w:sz="0" w:space="0" w:color="auto"/>
        <w:bottom w:val="none" w:sz="0" w:space="0" w:color="auto"/>
        <w:right w:val="none" w:sz="0" w:space="0" w:color="auto"/>
      </w:divBdr>
    </w:div>
    <w:div w:id="1915699073">
      <w:bodyDiv w:val="1"/>
      <w:marLeft w:val="0"/>
      <w:marRight w:val="0"/>
      <w:marTop w:val="0"/>
      <w:marBottom w:val="0"/>
      <w:divBdr>
        <w:top w:val="none" w:sz="0" w:space="0" w:color="auto"/>
        <w:left w:val="none" w:sz="0" w:space="0" w:color="auto"/>
        <w:bottom w:val="none" w:sz="0" w:space="0" w:color="auto"/>
        <w:right w:val="none" w:sz="0" w:space="0" w:color="auto"/>
      </w:divBdr>
    </w:div>
    <w:div w:id="1958293378">
      <w:bodyDiv w:val="1"/>
      <w:marLeft w:val="0"/>
      <w:marRight w:val="0"/>
      <w:marTop w:val="0"/>
      <w:marBottom w:val="0"/>
      <w:divBdr>
        <w:top w:val="none" w:sz="0" w:space="0" w:color="auto"/>
        <w:left w:val="none" w:sz="0" w:space="0" w:color="auto"/>
        <w:bottom w:val="none" w:sz="0" w:space="0" w:color="auto"/>
        <w:right w:val="none" w:sz="0" w:space="0" w:color="auto"/>
      </w:divBdr>
    </w:div>
    <w:div w:id="20876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{BE1586A3-EB89-415A-B429-567ED853D08C}</b:Guid>
    <b:Author>
      <b:Author>
        <b:NameList>
          <b:Person>
            <b:Last>Aldy</b:Last>
            <b:First>J.</b:First>
            <b:Middle>E., Kotchen, M. J., &amp; Leiserowitz, A. A.</b:Middle>
          </b:Person>
        </b:NameList>
      </b:Author>
    </b:Author>
    <b:Title>Willingness to pay and political support for a US national clean energy standard</b:Title>
    <b:JournalName>Nature Climate Change 2</b:JournalName>
    <b:Year>2012</b:Year>
    <b:Pages>596-599</b:Pages>
    <b:RefOrder>1</b:RefOrder>
  </b:Source>
</b:Sources>
</file>

<file path=customXml/itemProps1.xml><?xml version="1.0" encoding="utf-8"?>
<ds:datastoreItem xmlns:ds="http://schemas.openxmlformats.org/officeDocument/2006/customXml" ds:itemID="{A04777CB-3FA3-4458-A967-BA289387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4382</TotalTime>
  <Pages>21</Pages>
  <Words>8555</Words>
  <Characters>48765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Turk</dc:creator>
  <cp:keywords/>
  <dc:description/>
  <cp:lastModifiedBy>Zachary Turk</cp:lastModifiedBy>
  <cp:revision>446</cp:revision>
  <cp:lastPrinted>2017-02-10T16:28:00Z</cp:lastPrinted>
  <dcterms:created xsi:type="dcterms:W3CDTF">2017-01-01T18:53:00Z</dcterms:created>
  <dcterms:modified xsi:type="dcterms:W3CDTF">2017-04-04T19:38:00Z</dcterms:modified>
</cp:coreProperties>
</file>