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57F" w:rsidRPr="00E93251" w:rsidRDefault="0036257F" w:rsidP="0036257F">
      <w:pPr>
        <w:spacing w:after="0"/>
        <w:jc w:val="center"/>
        <w:rPr>
          <w:sz w:val="20"/>
        </w:rPr>
      </w:pPr>
      <w:r>
        <w:rPr>
          <w:sz w:val="20"/>
        </w:rPr>
        <w:t>Demand for Sulfur</w:t>
      </w:r>
      <w:r w:rsidRPr="00E93251">
        <w:rPr>
          <w:sz w:val="20"/>
        </w:rPr>
        <w:t xml:space="preserve"> </w:t>
      </w:r>
      <w:r>
        <w:rPr>
          <w:sz w:val="20"/>
        </w:rPr>
        <w:t>at</w:t>
      </w:r>
      <w:r w:rsidRPr="00E93251">
        <w:rPr>
          <w:sz w:val="20"/>
        </w:rPr>
        <w:t xml:space="preserve"> U.S. </w:t>
      </w:r>
      <w:r>
        <w:rPr>
          <w:sz w:val="20"/>
        </w:rPr>
        <w:t>Power Plants</w:t>
      </w:r>
    </w:p>
    <w:p w:rsidR="00A320A0" w:rsidRPr="00E93251" w:rsidRDefault="00A320A0" w:rsidP="0036257F">
      <w:pPr>
        <w:spacing w:after="0"/>
        <w:jc w:val="center"/>
        <w:rPr>
          <w:sz w:val="20"/>
        </w:rPr>
      </w:pPr>
      <w:r w:rsidRPr="00E93251">
        <w:rPr>
          <w:sz w:val="20"/>
        </w:rPr>
        <w:t>Zachary M. Turk</w:t>
      </w:r>
    </w:p>
    <w:p w:rsidR="00A320A0" w:rsidRPr="00E93251" w:rsidRDefault="0036257F" w:rsidP="0036257F">
      <w:pPr>
        <w:spacing w:after="0"/>
        <w:jc w:val="center"/>
        <w:rPr>
          <w:sz w:val="20"/>
        </w:rPr>
      </w:pPr>
      <w:r>
        <w:rPr>
          <w:sz w:val="20"/>
        </w:rPr>
        <w:t>Final Project 2</w:t>
      </w:r>
      <w:bookmarkStart w:id="0" w:name="_GoBack"/>
      <w:bookmarkEnd w:id="0"/>
    </w:p>
    <w:p w:rsidR="00A320A0" w:rsidRPr="00E93251" w:rsidRDefault="00A320A0" w:rsidP="0036257F">
      <w:pPr>
        <w:spacing w:after="0"/>
        <w:jc w:val="center"/>
        <w:rPr>
          <w:sz w:val="20"/>
        </w:rPr>
      </w:pPr>
      <w:r w:rsidRPr="00E93251">
        <w:rPr>
          <w:sz w:val="20"/>
        </w:rPr>
        <w:t>F&amp;ES 720 Introduction to R</w:t>
      </w:r>
    </w:p>
    <w:p w:rsidR="00606DC8" w:rsidRPr="00E93251" w:rsidRDefault="00606DC8" w:rsidP="00337AC7">
      <w:pPr>
        <w:pStyle w:val="Heading1"/>
        <w:spacing w:before="0"/>
        <w:rPr>
          <w:sz w:val="22"/>
        </w:rPr>
      </w:pPr>
      <w:bookmarkStart w:id="1" w:name="_Toc469666861"/>
      <w:r w:rsidRPr="00E93251">
        <w:rPr>
          <w:sz w:val="22"/>
        </w:rPr>
        <w:t>Question and hypothesis</w:t>
      </w:r>
      <w:bookmarkEnd w:id="1"/>
    </w:p>
    <w:p w:rsidR="00606DC8" w:rsidRPr="0080203B" w:rsidRDefault="00E50E12" w:rsidP="00606DC8">
      <w:pPr>
        <w:rPr>
          <w:sz w:val="20"/>
        </w:rPr>
      </w:pPr>
      <w:r>
        <w:rPr>
          <w:sz w:val="20"/>
        </w:rPr>
        <w:t xml:space="preserve">Do U.S. power plants with emission abatement technologies </w:t>
      </w:r>
      <w:r w:rsidR="005A5D8D">
        <w:rPr>
          <w:sz w:val="20"/>
        </w:rPr>
        <w:t>such as</w:t>
      </w:r>
      <w:r>
        <w:rPr>
          <w:sz w:val="20"/>
        </w:rPr>
        <w:t xml:space="preserve"> flue gas desulfurization (FGD) have a higher demand for dirtier fuels?  Is this demand driven </w:t>
      </w:r>
      <w:r w:rsidR="00BD718B">
        <w:rPr>
          <w:sz w:val="20"/>
        </w:rPr>
        <w:t xml:space="preserve">purely </w:t>
      </w:r>
      <w:r>
        <w:rPr>
          <w:sz w:val="20"/>
        </w:rPr>
        <w:t xml:space="preserve">by </w:t>
      </w:r>
      <w:r w:rsidR="00BD718B">
        <w:rPr>
          <w:sz w:val="20"/>
        </w:rPr>
        <w:t>the ability of FGD-enabled</w:t>
      </w:r>
      <w:r>
        <w:rPr>
          <w:sz w:val="20"/>
        </w:rPr>
        <w:t xml:space="preserve"> </w:t>
      </w:r>
      <w:r w:rsidR="00BD718B">
        <w:rPr>
          <w:sz w:val="20"/>
        </w:rPr>
        <w:t>plants to purchase</w:t>
      </w:r>
      <w:r w:rsidR="008D610C">
        <w:rPr>
          <w:sz w:val="20"/>
        </w:rPr>
        <w:t xml:space="preserve"> dirtier,</w:t>
      </w:r>
      <w:r w:rsidR="00BD718B">
        <w:rPr>
          <w:sz w:val="20"/>
        </w:rPr>
        <w:t xml:space="preserve"> cheaper fuel</w:t>
      </w:r>
      <w:r>
        <w:rPr>
          <w:sz w:val="20"/>
        </w:rPr>
        <w:t xml:space="preserve"> while still </w:t>
      </w:r>
      <w:r w:rsidR="00BD718B">
        <w:rPr>
          <w:sz w:val="20"/>
        </w:rPr>
        <w:t>in compliance with emission regulations, or does the FGD process itself matter, i.e. does</w:t>
      </w:r>
      <w:r w:rsidR="008D610C">
        <w:rPr>
          <w:sz w:val="20"/>
        </w:rPr>
        <w:t xml:space="preserve"> FGD</w:t>
      </w:r>
      <w:r w:rsidR="00155EC4">
        <w:rPr>
          <w:sz w:val="20"/>
        </w:rPr>
        <w:t xml:space="preserve"> byproduct production incentivize </w:t>
      </w:r>
      <w:r w:rsidR="00C06399">
        <w:rPr>
          <w:sz w:val="20"/>
        </w:rPr>
        <w:t>the purchase of dirtier fuels which are its input</w:t>
      </w:r>
      <w:r w:rsidR="008D610C">
        <w:rPr>
          <w:sz w:val="20"/>
        </w:rPr>
        <w:t>s</w:t>
      </w:r>
      <w:r w:rsidR="00C06399">
        <w:rPr>
          <w:sz w:val="20"/>
        </w:rPr>
        <w:t>?</w:t>
      </w:r>
      <w:r w:rsidR="0080203B">
        <w:rPr>
          <w:sz w:val="20"/>
        </w:rPr>
        <w:t xml:space="preserve">  As null hypotheses, I have that the installation of FGD technology and produc</w:t>
      </w:r>
      <w:r w:rsidR="008D610C">
        <w:rPr>
          <w:sz w:val="20"/>
        </w:rPr>
        <w:t>tion of</w:t>
      </w:r>
      <w:r w:rsidR="0080203B">
        <w:rPr>
          <w:sz w:val="20"/>
        </w:rPr>
        <w:t xml:space="preserve"> a byproduct from the FGD process have no effect on the demand for the sulfur content of coal at U.S. power plants.  The alternative hypothesis is then that each influences</w:t>
      </w:r>
      <w:r w:rsidR="008D610C">
        <w:rPr>
          <w:sz w:val="20"/>
        </w:rPr>
        <w:t xml:space="preserve"> sulfur</w:t>
      </w:r>
      <w:r w:rsidR="0080203B">
        <w:rPr>
          <w:sz w:val="20"/>
        </w:rPr>
        <w:t xml:space="preserve"> demand, specifically increasing it.  </w:t>
      </w:r>
      <w:r w:rsidR="00824FB1">
        <w:rPr>
          <w:sz w:val="20"/>
        </w:rPr>
        <w:t>I also test whether this relationship is constant (null hypothesis of no difference in</w:t>
      </w:r>
      <w:r w:rsidR="008D610C">
        <w:rPr>
          <w:sz w:val="20"/>
        </w:rPr>
        <w:t xml:space="preserve"> a</w:t>
      </w:r>
      <w:r w:rsidR="00824FB1">
        <w:rPr>
          <w:sz w:val="20"/>
        </w:rPr>
        <w:t xml:space="preserve"> time trend) or </w:t>
      </w:r>
      <w:r w:rsidR="008D610C">
        <w:rPr>
          <w:sz w:val="20"/>
        </w:rPr>
        <w:t>differs</w:t>
      </w:r>
      <w:r w:rsidR="00824FB1">
        <w:rPr>
          <w:sz w:val="20"/>
        </w:rPr>
        <w:t xml:space="preserve"> relative to </w:t>
      </w:r>
      <w:r w:rsidR="008D610C">
        <w:rPr>
          <w:sz w:val="20"/>
        </w:rPr>
        <w:t>a</w:t>
      </w:r>
      <w:r w:rsidR="00824FB1">
        <w:rPr>
          <w:sz w:val="20"/>
        </w:rPr>
        <w:t xml:space="preserve"> no-FGD and no-byproduct </w:t>
      </w:r>
      <w:r w:rsidR="008D610C">
        <w:rPr>
          <w:sz w:val="20"/>
        </w:rPr>
        <w:t>base</w:t>
      </w:r>
      <w:r w:rsidR="00824FB1">
        <w:rPr>
          <w:sz w:val="20"/>
        </w:rPr>
        <w:t xml:space="preserve"> group.</w:t>
      </w:r>
    </w:p>
    <w:p w:rsidR="00606DC8" w:rsidRPr="00E93251" w:rsidRDefault="00606DC8" w:rsidP="0038207E">
      <w:pPr>
        <w:pStyle w:val="Heading1"/>
        <w:spacing w:before="0"/>
        <w:rPr>
          <w:sz w:val="22"/>
        </w:rPr>
      </w:pPr>
      <w:bookmarkStart w:id="2" w:name="_Toc469666863"/>
      <w:r w:rsidRPr="00E93251">
        <w:rPr>
          <w:sz w:val="22"/>
        </w:rPr>
        <w:t>Methods</w:t>
      </w:r>
      <w:bookmarkEnd w:id="2"/>
    </w:p>
    <w:p w:rsidR="008D610C" w:rsidRDefault="008D610C" w:rsidP="008D610C">
      <w:pPr>
        <w:rPr>
          <w:sz w:val="20"/>
        </w:rPr>
      </w:pPr>
      <w:r>
        <w:rPr>
          <w:sz w:val="20"/>
        </w:rPr>
        <w:t xml:space="preserve">Following </w:t>
      </w:r>
      <w:r w:rsidR="0036257F">
        <w:rPr>
          <w:sz w:val="20"/>
        </w:rPr>
        <w:t>from my first project which analyzed fuel purchase data in a hedonic price model, in this study I analyze how demand for the sulfur content of coal at U.S. power plants differs by plant characteristics.  Specifically, I use a fixed effects model of U.S. power plants to analyze the role of FGD installation on sulfur demand.  This specification, while providing a conservative estimate of sulfur demand, is simple in practice and leads to relatively robust results.</w:t>
      </w:r>
      <w:r>
        <w:rPr>
          <w:sz w:val="20"/>
        </w:rPr>
        <w:t xml:space="preserve"> </w:t>
      </w:r>
      <w:r w:rsidR="0036257F">
        <w:rPr>
          <w:sz w:val="20"/>
        </w:rPr>
        <w:t xml:space="preserve"> I draw on </w:t>
      </w:r>
      <w:r w:rsidR="00071B09" w:rsidRPr="00E93251">
        <w:rPr>
          <w:sz w:val="20"/>
        </w:rPr>
        <w:t xml:space="preserve">Energy Information Administration (EIA) </w:t>
      </w:r>
      <w:r w:rsidR="0036257F">
        <w:rPr>
          <w:sz w:val="20"/>
        </w:rPr>
        <w:t xml:space="preserve">data </w:t>
      </w:r>
      <w:r w:rsidR="00071B09" w:rsidRPr="00E93251">
        <w:rPr>
          <w:sz w:val="20"/>
        </w:rPr>
        <w:t>from 20</w:t>
      </w:r>
      <w:r w:rsidR="0036257F">
        <w:rPr>
          <w:sz w:val="20"/>
        </w:rPr>
        <w:t>08</w:t>
      </w:r>
      <w:r w:rsidR="00071B09" w:rsidRPr="00E93251">
        <w:rPr>
          <w:sz w:val="20"/>
        </w:rPr>
        <w:t xml:space="preserve"> through 2014</w:t>
      </w:r>
      <w:r w:rsidR="0036257F">
        <w:rPr>
          <w:sz w:val="20"/>
        </w:rPr>
        <w:t xml:space="preserve"> which was collected </w:t>
      </w:r>
      <w:r w:rsidR="004312E0" w:rsidRPr="00E93251">
        <w:rPr>
          <w:sz w:val="20"/>
        </w:rPr>
        <w:t xml:space="preserve">through mandatory reporting requirements </w:t>
      </w:r>
      <w:r w:rsidR="00A26217" w:rsidRPr="00E93251">
        <w:rPr>
          <w:sz w:val="20"/>
        </w:rPr>
        <w:t xml:space="preserve">at U.S. power plants </w:t>
      </w:r>
      <w:r>
        <w:rPr>
          <w:sz w:val="20"/>
        </w:rPr>
        <w:t>through</w:t>
      </w:r>
      <w:r w:rsidR="004312E0" w:rsidRPr="00E93251">
        <w:rPr>
          <w:sz w:val="20"/>
        </w:rPr>
        <w:t xml:space="preserve"> forms </w:t>
      </w:r>
      <w:r w:rsidR="004312E0" w:rsidRPr="00E93251">
        <w:rPr>
          <w:i/>
          <w:sz w:val="20"/>
        </w:rPr>
        <w:t>Annual electric generator report</w:t>
      </w:r>
      <w:r w:rsidR="004312E0" w:rsidRPr="00E93251">
        <w:rPr>
          <w:sz w:val="20"/>
        </w:rPr>
        <w:t xml:space="preserve"> (EIA-860) and </w:t>
      </w:r>
      <w:r w:rsidR="004312E0" w:rsidRPr="00E93251">
        <w:rPr>
          <w:i/>
          <w:sz w:val="20"/>
        </w:rPr>
        <w:t>Power plant operations</w:t>
      </w:r>
      <w:r w:rsidR="004312E0" w:rsidRPr="00E93251">
        <w:rPr>
          <w:sz w:val="20"/>
        </w:rPr>
        <w:t xml:space="preserve"> (EIA-923) and is publicly</w:t>
      </w:r>
      <w:r w:rsidR="0056655A" w:rsidRPr="00E93251">
        <w:rPr>
          <w:sz w:val="20"/>
        </w:rPr>
        <w:t xml:space="preserve"> available</w:t>
      </w:r>
      <w:r w:rsidR="004312E0" w:rsidRPr="00E93251">
        <w:rPr>
          <w:sz w:val="20"/>
        </w:rPr>
        <w:t>.</w:t>
      </w:r>
      <w:r w:rsidR="0036257F">
        <w:rPr>
          <w:sz w:val="20"/>
        </w:rPr>
        <w:t xml:space="preserve">  </w:t>
      </w:r>
      <w:r w:rsidR="004C2B0A" w:rsidRPr="00E93251">
        <w:rPr>
          <w:sz w:val="20"/>
        </w:rPr>
        <w:t xml:space="preserve">I download </w:t>
      </w:r>
      <w:r w:rsidR="0036257F">
        <w:rPr>
          <w:sz w:val="20"/>
        </w:rPr>
        <w:t xml:space="preserve">it </w:t>
      </w:r>
      <w:r w:rsidR="004C2B0A" w:rsidRPr="00E93251">
        <w:rPr>
          <w:sz w:val="20"/>
        </w:rPr>
        <w:t xml:space="preserve">from the EIA </w:t>
      </w:r>
      <w:r>
        <w:rPr>
          <w:sz w:val="20"/>
        </w:rPr>
        <w:t xml:space="preserve">website and </w:t>
      </w:r>
      <w:r w:rsidR="004C2B0A" w:rsidRPr="00E93251">
        <w:rPr>
          <w:sz w:val="20"/>
        </w:rPr>
        <w:t>merge</w:t>
      </w:r>
      <w:r>
        <w:rPr>
          <w:sz w:val="20"/>
        </w:rPr>
        <w:t xml:space="preserve"> the several separate EIA data files</w:t>
      </w:r>
      <w:r w:rsidR="004C2B0A" w:rsidRPr="00E93251">
        <w:rPr>
          <w:sz w:val="20"/>
        </w:rPr>
        <w:t xml:space="preserve"> for use in R</w:t>
      </w:r>
      <w:r w:rsidR="0036257F">
        <w:rPr>
          <w:sz w:val="20"/>
        </w:rPr>
        <w:t xml:space="preserve"> using </w:t>
      </w:r>
      <w:r>
        <w:rPr>
          <w:sz w:val="20"/>
        </w:rPr>
        <w:t>another program</w:t>
      </w:r>
      <w:r w:rsidR="004C2B0A" w:rsidRPr="00E93251">
        <w:rPr>
          <w:sz w:val="20"/>
        </w:rPr>
        <w:t>.</w:t>
      </w:r>
      <w:r w:rsidR="008A442E" w:rsidRPr="00E93251">
        <w:rPr>
          <w:sz w:val="20"/>
        </w:rPr>
        <w:t xml:space="preserve">  I use </w:t>
      </w:r>
      <w:r w:rsidR="00F35E77">
        <w:rPr>
          <w:sz w:val="20"/>
        </w:rPr>
        <w:t>sub-</w:t>
      </w:r>
      <w:r w:rsidR="008A442E" w:rsidRPr="00E93251">
        <w:rPr>
          <w:sz w:val="20"/>
        </w:rPr>
        <w:t xml:space="preserve">plant </w:t>
      </w:r>
      <w:r w:rsidR="00F35E77">
        <w:rPr>
          <w:sz w:val="20"/>
        </w:rPr>
        <w:t>consumption data at the boiler level on a monthly timescale for a large set of plants.  It includes several hundred plants which have an enhanced monthly reporting requirement by the EIA and where each plant may contain one to several boilers each of which has consumption data that is reported separately.</w:t>
      </w:r>
      <w:r w:rsidR="00185116">
        <w:rPr>
          <w:sz w:val="20"/>
        </w:rPr>
        <w:t xml:space="preserve">  </w:t>
      </w:r>
    </w:p>
    <w:p w:rsidR="008D610C" w:rsidRDefault="00185116" w:rsidP="008D610C">
      <w:pPr>
        <w:spacing w:after="0"/>
        <w:rPr>
          <w:sz w:val="20"/>
        </w:rPr>
      </w:pPr>
      <w:r>
        <w:rPr>
          <w:sz w:val="20"/>
        </w:rPr>
        <w:t>Due to the fixed effect nature of my model</w:t>
      </w:r>
      <w:r w:rsidR="007E1477">
        <w:rPr>
          <w:sz w:val="20"/>
        </w:rPr>
        <w:t>-</w:t>
      </w:r>
      <w:r>
        <w:rPr>
          <w:sz w:val="20"/>
        </w:rPr>
        <w:t xml:space="preserve"> fixed at the plant level</w:t>
      </w:r>
      <w:r w:rsidR="008D610C">
        <w:rPr>
          <w:sz w:val="20"/>
        </w:rPr>
        <w:t xml:space="preserve"> which is the level of decision</w:t>
      </w:r>
      <w:r w:rsidR="008A0244">
        <w:rPr>
          <w:sz w:val="20"/>
        </w:rPr>
        <w:t xml:space="preserve"> making</w:t>
      </w:r>
      <w:r w:rsidR="00A507E9">
        <w:rPr>
          <w:sz w:val="20"/>
        </w:rPr>
        <w:t>,</w:t>
      </w:r>
      <w:r w:rsidR="008A0244">
        <w:rPr>
          <w:sz w:val="20"/>
        </w:rPr>
        <w:t xml:space="preserve"> </w:t>
      </w:r>
      <w:r>
        <w:rPr>
          <w:sz w:val="20"/>
        </w:rPr>
        <w:t>and allowing a by-month time trend across the data, the model spe</w:t>
      </w:r>
      <w:r w:rsidR="007E1477">
        <w:rPr>
          <w:sz w:val="20"/>
        </w:rPr>
        <w:t xml:space="preserve">cification </w:t>
      </w:r>
      <w:r w:rsidR="008D610C">
        <w:rPr>
          <w:sz w:val="20"/>
        </w:rPr>
        <w:t xml:space="preserve">can be simple.  </w:t>
      </w:r>
      <w:r w:rsidR="008D610C">
        <w:rPr>
          <w:rFonts w:eastAsiaTheme="minorEastAsia"/>
          <w:sz w:val="20"/>
        </w:rPr>
        <w:t xml:space="preserve">In formulating model 1, I initially specified the monthly time trend as a set of 84 month-by-year factor variables but find little impact on the primary coefficient of interest when switching monthly to a linear time trend from factors.  The primary coefficient of interest </w:t>
      </w: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oMath>
      <w:r w:rsidR="008D610C">
        <w:rPr>
          <w:rFonts w:eastAsiaTheme="minorEastAsia"/>
          <w:sz w:val="20"/>
        </w:rPr>
        <w:t xml:space="preserve"> on </w:t>
      </w:r>
      <w:r w:rsidR="008D610C">
        <w:rPr>
          <w:rFonts w:eastAsiaTheme="minorEastAsia"/>
          <w:i/>
          <w:sz w:val="20"/>
        </w:rPr>
        <w:t>SO2controls</w:t>
      </w:r>
      <w:r w:rsidR="008D610C">
        <w:rPr>
          <w:rFonts w:eastAsiaTheme="minorEastAsia"/>
          <w:sz w:val="20"/>
        </w:rPr>
        <w:t>, indicates the impact on sulfur demand of a plant operating an SO</w:t>
      </w:r>
      <w:r w:rsidR="008D610C">
        <w:rPr>
          <w:rFonts w:eastAsiaTheme="minorEastAsia"/>
          <w:sz w:val="20"/>
          <w:vertAlign w:val="subscript"/>
        </w:rPr>
        <w:t>2</w:t>
      </w:r>
      <w:r w:rsidR="008D610C">
        <w:rPr>
          <w:rFonts w:eastAsiaTheme="minorEastAsia"/>
          <w:sz w:val="20"/>
        </w:rPr>
        <w:t xml:space="preserve"> abatement technology: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2F4874" w:rsidTr="002F4874">
        <w:tc>
          <w:tcPr>
            <w:tcW w:w="8815" w:type="dxa"/>
          </w:tcPr>
          <w:p w:rsidR="002F4874" w:rsidRDefault="002F4874" w:rsidP="00606DC8">
            <w:pPr>
              <w:rPr>
                <w:sz w:val="20"/>
              </w:rPr>
            </w:pPr>
            <m:oMathPara>
              <m:oMath>
                <m:r>
                  <w:rPr>
                    <w:rFonts w:ascii="Cambria Math" w:hAnsi="Cambria Math"/>
                    <w:sz w:val="20"/>
                  </w:rPr>
                  <m:t>lnadjsulfur=</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r>
                  <w:rPr>
                    <w:rFonts w:ascii="Cambria Math" w:hAnsi="Cambria Math"/>
                    <w:sz w:val="20"/>
                  </w:rPr>
                  <m:t>SO2control</m:t>
                </m:r>
                <m:r>
                  <w:rPr>
                    <w:rFonts w:ascii="Cambria Math" w:hAnsi="Cambria Math" w:cs="Cambria Math"/>
                    <w:sz w:val="20"/>
                  </w:rPr>
                  <m:t>s</m:t>
                </m:r>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2</m:t>
                    </m:r>
                  </m:sub>
                </m:sSub>
                <m:r>
                  <w:rPr>
                    <w:rFonts w:ascii="Cambria Math" w:hAnsi="Cambria Math"/>
                    <w:sz w:val="20"/>
                  </w:rPr>
                  <m:t>monthly</m:t>
                </m:r>
              </m:oMath>
            </m:oMathPara>
          </w:p>
        </w:tc>
        <w:tc>
          <w:tcPr>
            <w:tcW w:w="535" w:type="dxa"/>
          </w:tcPr>
          <w:p w:rsidR="002F4874" w:rsidRDefault="002F4874" w:rsidP="002F4874">
            <w:pPr>
              <w:jc w:val="right"/>
              <w:rPr>
                <w:sz w:val="20"/>
              </w:rPr>
            </w:pPr>
            <w:r>
              <w:rPr>
                <w:sz w:val="20"/>
              </w:rPr>
              <w:t>(1)</w:t>
            </w:r>
          </w:p>
        </w:tc>
      </w:tr>
    </w:tbl>
    <w:p w:rsidR="002F4874" w:rsidRDefault="00CB50DB" w:rsidP="008D610C">
      <w:pPr>
        <w:spacing w:before="120"/>
        <w:rPr>
          <w:rFonts w:eastAsiaTheme="minorEastAsia"/>
          <w:sz w:val="20"/>
        </w:rPr>
      </w:pPr>
      <w:r>
        <w:rPr>
          <w:rFonts w:eastAsiaTheme="minorEastAsia"/>
          <w:sz w:val="20"/>
        </w:rPr>
        <w:t xml:space="preserve">I </w:t>
      </w:r>
      <w:r w:rsidR="008D610C">
        <w:rPr>
          <w:rFonts w:eastAsiaTheme="minorEastAsia"/>
          <w:sz w:val="20"/>
        </w:rPr>
        <w:t>next add to the model</w:t>
      </w:r>
      <w:r w:rsidR="002F4874">
        <w:rPr>
          <w:rFonts w:eastAsiaTheme="minorEastAsia"/>
          <w:sz w:val="20"/>
        </w:rPr>
        <w:t xml:space="preserve"> </w:t>
      </w:r>
      <w:r w:rsidR="002F4874">
        <w:rPr>
          <w:rFonts w:eastAsiaTheme="minorEastAsia"/>
          <w:i/>
          <w:sz w:val="20"/>
        </w:rPr>
        <w:t>SO2byproductproduction</w:t>
      </w:r>
      <w:r w:rsidR="002F4874">
        <w:rPr>
          <w:rFonts w:eastAsiaTheme="minorEastAsia"/>
          <w:sz w:val="20"/>
        </w:rPr>
        <w:t xml:space="preserve"> which indicates as a dichotomous </w:t>
      </w:r>
      <w:r w:rsidR="008D610C">
        <w:rPr>
          <w:rFonts w:eastAsiaTheme="minorEastAsia"/>
          <w:sz w:val="20"/>
        </w:rPr>
        <w:t>choice</w:t>
      </w:r>
      <w:r w:rsidR="002F4874">
        <w:rPr>
          <w:rFonts w:eastAsiaTheme="minorEastAsia"/>
          <w:sz w:val="20"/>
        </w:rPr>
        <w:t xml:space="preserve"> whether the plant produces any abatement technology byproduct.  These have the potential to offset some of the operating expense of the abatement technology as a marketable input to agriculture and industry</w:t>
      </w:r>
      <w:r w:rsidR="008D610C">
        <w:rPr>
          <w:rFonts w:eastAsiaTheme="minorEastAsia"/>
          <w:sz w:val="20"/>
        </w:rPr>
        <w:t xml:space="preserve"> is produced</w:t>
      </w:r>
      <w:r w:rsidR="002F4874">
        <w:rPr>
          <w:rFonts w:eastAsiaTheme="minorEastAsia"/>
          <w:sz w:val="20"/>
        </w:rPr>
        <w:t xml:space="preserve"> in many cases.  </w:t>
      </w:r>
      <w:r w:rsidR="00441B6F">
        <w:rPr>
          <w:rFonts w:eastAsiaTheme="minorEastAsia"/>
          <w:sz w:val="20"/>
        </w:rPr>
        <w:t>Noting that byproduct production only occurs at plants with SO</w:t>
      </w:r>
      <w:r w:rsidR="00441B6F">
        <w:rPr>
          <w:rFonts w:eastAsiaTheme="minorEastAsia"/>
          <w:sz w:val="20"/>
          <w:vertAlign w:val="subscript"/>
        </w:rPr>
        <w:t>2</w:t>
      </w:r>
      <w:r w:rsidR="00441B6F">
        <w:rPr>
          <w:rFonts w:eastAsiaTheme="minorEastAsia"/>
          <w:sz w:val="20"/>
        </w:rPr>
        <w:t xml:space="preserve"> abatement controls installed, m</w:t>
      </w:r>
      <w:r w:rsidR="002F4874">
        <w:rPr>
          <w:rFonts w:eastAsiaTheme="minorEastAsia"/>
          <w:sz w:val="20"/>
        </w:rPr>
        <w:t xml:space="preserve">odel 2 </w:t>
      </w:r>
      <w:r w:rsidR="00441B6F">
        <w:rPr>
          <w:rFonts w:eastAsiaTheme="minorEastAsia"/>
          <w:sz w:val="20"/>
        </w:rPr>
        <w:t xml:space="preserve">is </w:t>
      </w:r>
      <w:r w:rsidR="008D610C">
        <w:rPr>
          <w:rFonts w:eastAsiaTheme="minorEastAsia"/>
          <w:sz w:val="20"/>
        </w:rPr>
        <w:t xml:space="preserve">simply </w:t>
      </w:r>
      <w:r w:rsidR="00441B6F">
        <w:rPr>
          <w:rFonts w:eastAsiaTheme="minorEastAsia"/>
          <w:sz w:val="20"/>
        </w:rPr>
        <w:t>specified as</w:t>
      </w:r>
      <w:r w:rsidR="002F4874">
        <w:rPr>
          <w:rFonts w:eastAsiaTheme="minorEastAsia"/>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2F4874" w:rsidTr="00602A23">
        <w:tc>
          <w:tcPr>
            <w:tcW w:w="8815" w:type="dxa"/>
          </w:tcPr>
          <w:p w:rsidR="002F4874" w:rsidRDefault="002F4874" w:rsidP="00602A23">
            <w:pPr>
              <w:rPr>
                <w:sz w:val="20"/>
              </w:rPr>
            </w:pPr>
            <m:oMathPara>
              <m:oMath>
                <m:r>
                  <w:rPr>
                    <w:rFonts w:ascii="Cambria Math" w:hAnsi="Cambria Math"/>
                    <w:sz w:val="20"/>
                  </w:rPr>
                  <m:t>lnadjsulfur=</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r>
                  <w:rPr>
                    <w:rFonts w:ascii="Cambria Math" w:hAnsi="Cambria Math"/>
                    <w:sz w:val="20"/>
                  </w:rPr>
                  <m:t>SO2control</m:t>
                </m:r>
                <m:r>
                  <w:rPr>
                    <w:rFonts w:ascii="Cambria Math" w:hAnsi="Cambria Math" w:cs="Cambria Math"/>
                    <w:sz w:val="20"/>
                  </w:rPr>
                  <m:t>s+</m:t>
                </m:r>
                <m:sSub>
                  <m:sSubPr>
                    <m:ctrlPr>
                      <w:rPr>
                        <w:rFonts w:ascii="Cambria Math" w:hAnsi="Cambria Math" w:cs="Cambria Math"/>
                        <w:i/>
                        <w:sz w:val="20"/>
                      </w:rPr>
                    </m:ctrlPr>
                  </m:sSubPr>
                  <m:e>
                    <m:r>
                      <w:rPr>
                        <w:rFonts w:ascii="Cambria Math" w:hAnsi="Cambria Math" w:cs="Cambria Math"/>
                        <w:sz w:val="20"/>
                      </w:rPr>
                      <m:t>β</m:t>
                    </m:r>
                  </m:e>
                  <m:sub>
                    <m:r>
                      <w:rPr>
                        <w:rFonts w:ascii="Cambria Math" w:hAnsi="Cambria Math" w:cs="Cambria Math"/>
                        <w:sz w:val="20"/>
                      </w:rPr>
                      <m:t>2</m:t>
                    </m:r>
                  </m:sub>
                </m:sSub>
                <m:r>
                  <w:rPr>
                    <w:rFonts w:ascii="Cambria Math" w:hAnsi="Cambria Math"/>
                    <w:sz w:val="20"/>
                  </w:rPr>
                  <m:t>SO2byproductprodn+</m:t>
                </m:r>
                <m:sSub>
                  <m:sSubPr>
                    <m:ctrlPr>
                      <w:rPr>
                        <w:rFonts w:ascii="Cambria Math" w:hAnsi="Cambria Math"/>
                        <w:i/>
                        <w:sz w:val="20"/>
                      </w:rPr>
                    </m:ctrlPr>
                  </m:sSubPr>
                  <m:e>
                    <m:r>
                      <w:rPr>
                        <w:rFonts w:ascii="Cambria Math" w:hAnsi="Cambria Math"/>
                        <w:sz w:val="20"/>
                      </w:rPr>
                      <m:t>β</m:t>
                    </m:r>
                  </m:e>
                  <m:sub>
                    <m:r>
                      <w:rPr>
                        <w:rFonts w:ascii="Cambria Math" w:hAnsi="Cambria Math"/>
                        <w:sz w:val="20"/>
                      </w:rPr>
                      <m:t>3</m:t>
                    </m:r>
                  </m:sub>
                </m:sSub>
                <m:r>
                  <w:rPr>
                    <w:rFonts w:ascii="Cambria Math" w:hAnsi="Cambria Math"/>
                    <w:sz w:val="20"/>
                  </w:rPr>
                  <m:t>monthly</m:t>
                </m:r>
              </m:oMath>
            </m:oMathPara>
          </w:p>
        </w:tc>
        <w:tc>
          <w:tcPr>
            <w:tcW w:w="535" w:type="dxa"/>
          </w:tcPr>
          <w:p w:rsidR="002F4874" w:rsidRDefault="002F4874" w:rsidP="00602A23">
            <w:pPr>
              <w:jc w:val="right"/>
              <w:rPr>
                <w:sz w:val="20"/>
              </w:rPr>
            </w:pPr>
            <w:r>
              <w:rPr>
                <w:sz w:val="20"/>
              </w:rPr>
              <w:t>(2)</w:t>
            </w:r>
          </w:p>
        </w:tc>
      </w:tr>
    </w:tbl>
    <w:p w:rsidR="002F4874" w:rsidRDefault="00B454E4" w:rsidP="0038207E">
      <w:pPr>
        <w:spacing w:before="120" w:after="120"/>
        <w:rPr>
          <w:rFonts w:eastAsiaTheme="minorEastAsia"/>
          <w:sz w:val="20"/>
        </w:rPr>
      </w:pPr>
      <w:r>
        <w:rPr>
          <w:rFonts w:eastAsiaTheme="minorEastAsia"/>
          <w:sz w:val="20"/>
        </w:rPr>
        <w:t xml:space="preserve">Finally, I interact the monthly time trend with </w:t>
      </w:r>
      <w:r>
        <w:rPr>
          <w:rFonts w:eastAsiaTheme="minorEastAsia"/>
          <w:i/>
          <w:sz w:val="20"/>
        </w:rPr>
        <w:t>SO2controls</w:t>
      </w:r>
      <w:r w:rsidR="0038207E">
        <w:rPr>
          <w:rFonts w:eastAsiaTheme="minorEastAsia"/>
          <w:sz w:val="20"/>
        </w:rPr>
        <w:t xml:space="preserve"> and </w:t>
      </w:r>
      <w:r w:rsidR="0038207E">
        <w:rPr>
          <w:rFonts w:eastAsiaTheme="minorEastAsia"/>
          <w:i/>
          <w:sz w:val="20"/>
        </w:rPr>
        <w:t>SO2byproductprodn</w:t>
      </w:r>
      <w:r>
        <w:rPr>
          <w:rFonts w:eastAsiaTheme="minorEastAsia"/>
          <w:sz w:val="20"/>
        </w:rPr>
        <w:t xml:space="preserve"> to </w:t>
      </w:r>
      <w:r w:rsidR="0038207E">
        <w:rPr>
          <w:rFonts w:eastAsiaTheme="minorEastAsia"/>
          <w:sz w:val="20"/>
        </w:rPr>
        <w:t>analyze</w:t>
      </w:r>
      <w:r>
        <w:rPr>
          <w:rFonts w:eastAsiaTheme="minorEastAsia"/>
          <w:sz w:val="20"/>
        </w:rPr>
        <w:t xml:space="preserve"> how sulfur demand is changing over the period of observation.  </w:t>
      </w:r>
      <w:r w:rsidR="00236E41">
        <w:rPr>
          <w:rFonts w:eastAsiaTheme="minorEastAsia"/>
          <w:sz w:val="20"/>
        </w:rPr>
        <w:t xml:space="preserve">It is hypothesized that sulfur demand increases for plants with SO2 controls </w:t>
      </w:r>
      <w:r w:rsidR="0038207E">
        <w:rPr>
          <w:rFonts w:eastAsiaTheme="minorEastAsia"/>
          <w:sz w:val="20"/>
        </w:rPr>
        <w:t xml:space="preserve">and byproduct production </w:t>
      </w:r>
      <w:r w:rsidR="00236E41">
        <w:rPr>
          <w:rFonts w:eastAsiaTheme="minorEastAsia"/>
          <w:sz w:val="20"/>
        </w:rPr>
        <w:t xml:space="preserve">but not for plants without.  Due to regulation and monitoring, plants without abatement technology have </w:t>
      </w:r>
      <w:r w:rsidR="0038207E">
        <w:rPr>
          <w:rFonts w:eastAsiaTheme="minorEastAsia"/>
          <w:sz w:val="20"/>
        </w:rPr>
        <w:t xml:space="preserve">comparatively </w:t>
      </w:r>
      <w:r w:rsidR="00236E41">
        <w:rPr>
          <w:rFonts w:eastAsiaTheme="minorEastAsia"/>
          <w:sz w:val="20"/>
        </w:rPr>
        <w:t>fixed demand for sulfur content while plants with controls can change thei</w:t>
      </w:r>
      <w:r w:rsidR="0038207E">
        <w:rPr>
          <w:rFonts w:eastAsiaTheme="minorEastAsia"/>
          <w:sz w:val="20"/>
        </w:rPr>
        <w:t>r demand as abatement technologies become</w:t>
      </w:r>
      <w:r w:rsidR="00236E41">
        <w:rPr>
          <w:rFonts w:eastAsiaTheme="minorEastAsia"/>
          <w:sz w:val="20"/>
        </w:rPr>
        <w:t xml:space="preserve"> more efficient, cheaper to operate, or byproduct resale markets develop.  The final specification then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236E41" w:rsidTr="00530442">
        <w:trPr>
          <w:trHeight w:val="558"/>
        </w:trPr>
        <w:tc>
          <w:tcPr>
            <w:tcW w:w="8815" w:type="dxa"/>
          </w:tcPr>
          <w:p w:rsidR="00530442" w:rsidRPr="00530442" w:rsidRDefault="00236E41" w:rsidP="00602A23">
            <w:pPr>
              <w:rPr>
                <w:rFonts w:eastAsiaTheme="minorEastAsia"/>
                <w:sz w:val="20"/>
              </w:rPr>
            </w:pPr>
            <m:oMathPara>
              <m:oMath>
                <m:r>
                  <w:rPr>
                    <w:rFonts w:ascii="Cambria Math" w:hAnsi="Cambria Math"/>
                    <w:sz w:val="20"/>
                  </w:rPr>
                  <m:t>lnadjsulfur=</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r>
                  <w:rPr>
                    <w:rFonts w:ascii="Cambria Math" w:hAnsi="Cambria Math"/>
                    <w:sz w:val="20"/>
                  </w:rPr>
                  <m:t>SO2control</m:t>
                </m:r>
                <m:r>
                  <w:rPr>
                    <w:rFonts w:ascii="Cambria Math" w:hAnsi="Cambria Math" w:cs="Cambria Math"/>
                    <w:sz w:val="20"/>
                  </w:rPr>
                  <m:t>s+</m:t>
                </m:r>
                <m:sSub>
                  <m:sSubPr>
                    <m:ctrlPr>
                      <w:rPr>
                        <w:rFonts w:ascii="Cambria Math" w:hAnsi="Cambria Math" w:cs="Cambria Math"/>
                        <w:i/>
                        <w:sz w:val="20"/>
                      </w:rPr>
                    </m:ctrlPr>
                  </m:sSubPr>
                  <m:e>
                    <m:r>
                      <w:rPr>
                        <w:rFonts w:ascii="Cambria Math" w:hAnsi="Cambria Math" w:cs="Cambria Math"/>
                        <w:sz w:val="20"/>
                      </w:rPr>
                      <m:t>β</m:t>
                    </m:r>
                  </m:e>
                  <m:sub>
                    <m:r>
                      <w:rPr>
                        <w:rFonts w:ascii="Cambria Math" w:hAnsi="Cambria Math" w:cs="Cambria Math"/>
                        <w:sz w:val="20"/>
                      </w:rPr>
                      <m:t>2</m:t>
                    </m:r>
                  </m:sub>
                </m:sSub>
                <m:r>
                  <w:rPr>
                    <w:rFonts w:ascii="Cambria Math" w:hAnsi="Cambria Math"/>
                    <w:sz w:val="20"/>
                  </w:rPr>
                  <m:t>SO2byproductprodn+</m:t>
                </m:r>
                <m:sSub>
                  <m:sSubPr>
                    <m:ctrlPr>
                      <w:rPr>
                        <w:rFonts w:ascii="Cambria Math" w:hAnsi="Cambria Math"/>
                        <w:i/>
                        <w:sz w:val="20"/>
                      </w:rPr>
                    </m:ctrlPr>
                  </m:sSubPr>
                  <m:e>
                    <m:r>
                      <w:rPr>
                        <w:rFonts w:ascii="Cambria Math" w:hAnsi="Cambria Math"/>
                        <w:sz w:val="20"/>
                      </w:rPr>
                      <m:t>β</m:t>
                    </m:r>
                  </m:e>
                  <m:sub>
                    <m:r>
                      <w:rPr>
                        <w:rFonts w:ascii="Cambria Math" w:hAnsi="Cambria Math"/>
                        <w:sz w:val="20"/>
                      </w:rPr>
                      <m:t>3</m:t>
                    </m:r>
                  </m:sub>
                </m:sSub>
                <m:r>
                  <w:rPr>
                    <w:rFonts w:ascii="Cambria Math" w:hAnsi="Cambria Math"/>
                    <w:sz w:val="20"/>
                  </w:rPr>
                  <m:t>monthly</m:t>
                </m:r>
                <m:r>
                  <w:rPr>
                    <w:rFonts w:ascii="Cambria Math" w:hAnsi="Cambria Math" w:cs="Cambria Math"/>
                    <w:sz w:val="20"/>
                  </w:rPr>
                  <m:t>+</m:t>
                </m:r>
              </m:oMath>
            </m:oMathPara>
          </w:p>
          <w:p w:rsidR="00236E41" w:rsidRDefault="00DC43E3" w:rsidP="00602A23">
            <w:pPr>
              <w:rPr>
                <w:sz w:val="20"/>
              </w:rPr>
            </w:pPr>
            <m:oMathPara>
              <m:oMath>
                <m:sSub>
                  <m:sSubPr>
                    <m:ctrlPr>
                      <w:rPr>
                        <w:rFonts w:ascii="Cambria Math" w:hAnsi="Cambria Math" w:cs="Cambria Math"/>
                        <w:i/>
                        <w:sz w:val="20"/>
                      </w:rPr>
                    </m:ctrlPr>
                  </m:sSubPr>
                  <m:e>
                    <m:r>
                      <w:rPr>
                        <w:rFonts w:ascii="Cambria Math" w:hAnsi="Cambria Math" w:cs="Cambria Math"/>
                        <w:sz w:val="20"/>
                      </w:rPr>
                      <m:t>β</m:t>
                    </m:r>
                  </m:e>
                  <m:sub>
                    <m:r>
                      <w:rPr>
                        <w:rFonts w:ascii="Cambria Math" w:hAnsi="Cambria Math" w:cs="Cambria Math"/>
                        <w:sz w:val="20"/>
                      </w:rPr>
                      <m:t>4</m:t>
                    </m:r>
                  </m:sub>
                </m:sSub>
                <m:r>
                  <w:rPr>
                    <w:rFonts w:ascii="Cambria Math" w:hAnsi="Cambria Math"/>
                    <w:sz w:val="20"/>
                  </w:rPr>
                  <m:t>SO2byproductprodn</m:t>
                </m:r>
                <m:r>
                  <w:rPr>
                    <w:rFonts w:ascii="Cambria Math" w:eastAsiaTheme="minorEastAsia" w:hAnsi="Cambria Math"/>
                    <w:sz w:val="20"/>
                  </w:rPr>
                  <m:t>*monthly</m:t>
                </m:r>
                <m:r>
                  <w:rPr>
                    <w:rFonts w:ascii="Cambria Math" w:hAnsi="Cambria Math" w:cs="Cambria Math"/>
                    <w:sz w:val="20"/>
                  </w:rPr>
                  <m:t>+</m:t>
                </m:r>
                <m:sSub>
                  <m:sSubPr>
                    <m:ctrlPr>
                      <w:rPr>
                        <w:rFonts w:ascii="Cambria Math" w:hAnsi="Cambria Math" w:cs="Cambria Math"/>
                        <w:i/>
                        <w:sz w:val="20"/>
                      </w:rPr>
                    </m:ctrlPr>
                  </m:sSubPr>
                  <m:e>
                    <m:r>
                      <w:rPr>
                        <w:rFonts w:ascii="Cambria Math" w:hAnsi="Cambria Math" w:cs="Cambria Math"/>
                        <w:sz w:val="20"/>
                      </w:rPr>
                      <m:t>β</m:t>
                    </m:r>
                  </m:e>
                  <m:sub>
                    <m:r>
                      <w:rPr>
                        <w:rFonts w:ascii="Cambria Math" w:hAnsi="Cambria Math" w:cs="Cambria Math"/>
                        <w:sz w:val="20"/>
                      </w:rPr>
                      <m:t>5</m:t>
                    </m:r>
                  </m:sub>
                </m:sSub>
                <m:r>
                  <w:rPr>
                    <w:rFonts w:ascii="Cambria Math" w:hAnsi="Cambria Math"/>
                    <w:sz w:val="20"/>
                  </w:rPr>
                  <m:t>SO2byproductprodn</m:t>
                </m:r>
                <m:r>
                  <w:rPr>
                    <w:rFonts w:ascii="Cambria Math" w:eastAsiaTheme="minorEastAsia" w:hAnsi="Cambria Math"/>
                    <w:sz w:val="20"/>
                  </w:rPr>
                  <m:t>*monthly</m:t>
                </m:r>
              </m:oMath>
            </m:oMathPara>
          </w:p>
        </w:tc>
        <w:tc>
          <w:tcPr>
            <w:tcW w:w="535" w:type="dxa"/>
            <w:vAlign w:val="center"/>
          </w:tcPr>
          <w:p w:rsidR="00236E41" w:rsidRDefault="00236E41" w:rsidP="00530442">
            <w:pPr>
              <w:jc w:val="right"/>
              <w:rPr>
                <w:sz w:val="20"/>
              </w:rPr>
            </w:pPr>
            <w:r>
              <w:rPr>
                <w:sz w:val="20"/>
              </w:rPr>
              <w:t>(3)</w:t>
            </w:r>
          </w:p>
        </w:tc>
      </w:tr>
    </w:tbl>
    <w:p w:rsidR="00236E41" w:rsidRPr="00530442" w:rsidRDefault="00530442" w:rsidP="00530442">
      <w:pPr>
        <w:rPr>
          <w:rFonts w:eastAsiaTheme="minorEastAsia"/>
          <w:sz w:val="20"/>
        </w:rPr>
      </w:pPr>
      <w:r>
        <w:rPr>
          <w:rFonts w:eastAsiaTheme="minorEastAsia"/>
          <w:sz w:val="20"/>
        </w:rPr>
        <w:t>where the two add</w:t>
      </w:r>
      <w:r w:rsidR="0038207E">
        <w:rPr>
          <w:rFonts w:eastAsiaTheme="minorEastAsia"/>
          <w:sz w:val="20"/>
        </w:rPr>
        <w:t>ed</w:t>
      </w:r>
      <w:r>
        <w:rPr>
          <w:rFonts w:eastAsiaTheme="minorEastAsia"/>
          <w:sz w:val="20"/>
        </w:rPr>
        <w:t xml:space="preserve"> covariates estimate how demand for sulfur </w:t>
      </w:r>
      <w:r w:rsidR="0038207E">
        <w:rPr>
          <w:rFonts w:eastAsiaTheme="minorEastAsia"/>
          <w:sz w:val="20"/>
        </w:rPr>
        <w:t>diverges</w:t>
      </w:r>
      <w:r>
        <w:rPr>
          <w:rFonts w:eastAsiaTheme="minorEastAsia"/>
          <w:sz w:val="20"/>
        </w:rPr>
        <w:t xml:space="preserve"> over time for the subset of power plants with sulfur abatement technology installed.</w:t>
      </w:r>
      <w:r w:rsidR="0084619C">
        <w:rPr>
          <w:rFonts w:eastAsiaTheme="minorEastAsia"/>
          <w:sz w:val="20"/>
        </w:rPr>
        <w:t xml:space="preserve">  Their compari</w:t>
      </w:r>
      <w:r w:rsidR="00441B6F">
        <w:rPr>
          <w:rFonts w:eastAsiaTheme="minorEastAsia"/>
          <w:sz w:val="20"/>
        </w:rPr>
        <w:t>son</w:t>
      </w:r>
      <w:r w:rsidR="00462904">
        <w:rPr>
          <w:rFonts w:eastAsiaTheme="minorEastAsia"/>
          <w:sz w:val="20"/>
        </w:rPr>
        <w:t xml:space="preserve"> further</w:t>
      </w:r>
      <w:r w:rsidR="00441B6F">
        <w:rPr>
          <w:rFonts w:eastAsiaTheme="minorEastAsia"/>
          <w:sz w:val="20"/>
        </w:rPr>
        <w:t xml:space="preserve"> suggests how the returns to</w:t>
      </w:r>
      <w:r w:rsidR="00430E61">
        <w:rPr>
          <w:rFonts w:eastAsiaTheme="minorEastAsia"/>
          <w:sz w:val="20"/>
        </w:rPr>
        <w:t xml:space="preserve"> </w:t>
      </w:r>
      <w:r w:rsidR="00797DC3">
        <w:rPr>
          <w:rFonts w:eastAsiaTheme="minorEastAsia"/>
          <w:sz w:val="20"/>
        </w:rPr>
        <w:t xml:space="preserve">plants with </w:t>
      </w:r>
      <w:r w:rsidR="00797DC3">
        <w:rPr>
          <w:rFonts w:eastAsiaTheme="minorEastAsia"/>
          <w:sz w:val="20"/>
        </w:rPr>
        <w:lastRenderedPageBreak/>
        <w:t xml:space="preserve">abatement technology </w:t>
      </w:r>
      <w:r w:rsidR="00462904">
        <w:rPr>
          <w:rFonts w:eastAsiaTheme="minorEastAsia"/>
          <w:sz w:val="20"/>
        </w:rPr>
        <w:t>are</w:t>
      </w:r>
      <w:r w:rsidR="00797DC3">
        <w:rPr>
          <w:rFonts w:eastAsiaTheme="minorEastAsia"/>
          <w:sz w:val="20"/>
        </w:rPr>
        <w:t xml:space="preserve"> changing</w:t>
      </w:r>
      <w:r w:rsidR="00462904">
        <w:rPr>
          <w:rFonts w:eastAsiaTheme="minorEastAsia"/>
          <w:sz w:val="20"/>
        </w:rPr>
        <w:t xml:space="preserve"> </w:t>
      </w:r>
      <w:r w:rsidR="00797DC3">
        <w:rPr>
          <w:rFonts w:eastAsiaTheme="minorEastAsia"/>
          <w:sz w:val="20"/>
        </w:rPr>
        <w:t xml:space="preserve">- whether </w:t>
      </w:r>
      <w:r w:rsidR="00462904">
        <w:rPr>
          <w:rFonts w:eastAsiaTheme="minorEastAsia"/>
          <w:sz w:val="20"/>
        </w:rPr>
        <w:t>accumulating to all plants equally</w:t>
      </w:r>
      <w:r w:rsidR="00797DC3">
        <w:rPr>
          <w:rFonts w:eastAsiaTheme="minorEastAsia"/>
          <w:sz w:val="20"/>
        </w:rPr>
        <w:t xml:space="preserve"> or more so to plants that produce a byproduct.</w:t>
      </w:r>
    </w:p>
    <w:p w:rsidR="00606DC8" w:rsidRPr="00E93251" w:rsidRDefault="00606DC8" w:rsidP="00462904">
      <w:pPr>
        <w:pStyle w:val="Heading1"/>
        <w:spacing w:before="0"/>
        <w:rPr>
          <w:sz w:val="22"/>
        </w:rPr>
      </w:pPr>
      <w:bookmarkStart w:id="3" w:name="_Toc469666864"/>
      <w:r w:rsidRPr="00E93251">
        <w:rPr>
          <w:sz w:val="22"/>
        </w:rPr>
        <w:t>Results</w:t>
      </w:r>
      <w:bookmarkEnd w:id="3"/>
    </w:p>
    <w:p w:rsidR="003E2AFE" w:rsidRDefault="004A0D74" w:rsidP="004A0D74">
      <w:pPr>
        <w:rPr>
          <w:rFonts w:eastAsiaTheme="minorEastAsia"/>
          <w:sz w:val="20"/>
        </w:rPr>
      </w:pPr>
      <w:r>
        <w:rPr>
          <w:rFonts w:eastAsiaTheme="minorEastAsia"/>
          <w:sz w:val="20"/>
        </w:rPr>
        <w:t>Figure 1 presents average sulfur demand</w:t>
      </w:r>
      <w:r w:rsidR="00E70213">
        <w:rPr>
          <w:rFonts w:eastAsiaTheme="minorEastAsia"/>
          <w:sz w:val="20"/>
        </w:rPr>
        <w:t xml:space="preserve"> for power plants with FGD installed an</w:t>
      </w:r>
      <w:r w:rsidR="00C376BE">
        <w:rPr>
          <w:rFonts w:eastAsiaTheme="minorEastAsia"/>
          <w:sz w:val="20"/>
        </w:rPr>
        <w:t xml:space="preserve">d that produce a byproduct </w:t>
      </w:r>
      <w:r w:rsidR="00E70213">
        <w:rPr>
          <w:rFonts w:eastAsiaTheme="minorEastAsia"/>
          <w:sz w:val="20"/>
        </w:rPr>
        <w:t xml:space="preserve">against plants that are not so equipped.  </w:t>
      </w:r>
      <w:r w:rsidR="001231CC">
        <w:rPr>
          <w:rFonts w:eastAsiaTheme="minorEastAsia"/>
          <w:sz w:val="20"/>
        </w:rPr>
        <w:t>In both cases</w:t>
      </w:r>
      <w:r w:rsidR="00C376BE">
        <w:rPr>
          <w:rFonts w:eastAsiaTheme="minorEastAsia"/>
          <w:sz w:val="20"/>
        </w:rPr>
        <w:t>,</w:t>
      </w:r>
      <w:r w:rsidR="001231CC">
        <w:rPr>
          <w:rFonts w:eastAsiaTheme="minorEastAsia"/>
          <w:sz w:val="20"/>
        </w:rPr>
        <w:t xml:space="preserve"> sulfur demand is higher for the non-baseline case.  This would </w:t>
      </w:r>
      <w:r w:rsidR="00AA180B">
        <w:rPr>
          <w:rFonts w:eastAsiaTheme="minorEastAsia"/>
          <w:sz w:val="20"/>
        </w:rPr>
        <w:t xml:space="preserve">likely be </w:t>
      </w:r>
      <w:r w:rsidR="001231CC">
        <w:rPr>
          <w:rFonts w:eastAsiaTheme="minorEastAsia"/>
          <w:sz w:val="20"/>
        </w:rPr>
        <w:t xml:space="preserve">even more pronounced if </w:t>
      </w:r>
      <w:r w:rsidR="00AA180B">
        <w:rPr>
          <w:rFonts w:eastAsiaTheme="minorEastAsia"/>
          <w:sz w:val="20"/>
        </w:rPr>
        <w:t>several</w:t>
      </w:r>
      <w:r w:rsidR="001231CC">
        <w:rPr>
          <w:rFonts w:eastAsiaTheme="minorEastAsia"/>
          <w:sz w:val="20"/>
        </w:rPr>
        <w:t xml:space="preserve"> outliers in th</w:t>
      </w:r>
      <w:r w:rsidR="00C376BE">
        <w:rPr>
          <w:rFonts w:eastAsiaTheme="minorEastAsia"/>
          <w:sz w:val="20"/>
        </w:rPr>
        <w:t>e non-FGD case were not present w</w:t>
      </w:r>
      <w:r w:rsidR="001231CC">
        <w:rPr>
          <w:rFonts w:eastAsiaTheme="minorEastAsia"/>
          <w:sz w:val="20"/>
        </w:rPr>
        <w:t>hich may indicate plants in nonattainment</w:t>
      </w:r>
      <w:r w:rsidR="00AA180B">
        <w:rPr>
          <w:rFonts w:eastAsiaTheme="minorEastAsia"/>
          <w:sz w:val="20"/>
        </w:rPr>
        <w:t xml:space="preserve"> or </w:t>
      </w:r>
      <w:r w:rsidR="00C376BE">
        <w:rPr>
          <w:rFonts w:eastAsiaTheme="minorEastAsia"/>
          <w:sz w:val="20"/>
        </w:rPr>
        <w:t>not required to meet regulation for political purposes</w:t>
      </w:r>
      <w:r w:rsidR="000E1D1F">
        <w:rPr>
          <w:rFonts w:eastAsiaTheme="minorEastAsia"/>
          <w:sz w:val="20"/>
        </w:rPr>
        <w:t xml:space="preserve">.  The difference in sulfur demand for plants that produce a byproduct </w:t>
      </w:r>
      <w:r w:rsidR="00C376BE">
        <w:rPr>
          <w:rFonts w:eastAsiaTheme="minorEastAsia"/>
          <w:sz w:val="20"/>
        </w:rPr>
        <w:t>versus non-</w:t>
      </w:r>
      <w:r w:rsidR="000E1D1F">
        <w:rPr>
          <w:rFonts w:eastAsiaTheme="minorEastAsia"/>
          <w:sz w:val="20"/>
        </w:rPr>
        <w:t xml:space="preserve"> FGD is </w:t>
      </w:r>
      <w:r w:rsidR="00C376BE">
        <w:rPr>
          <w:rFonts w:eastAsiaTheme="minorEastAsia"/>
          <w:sz w:val="20"/>
        </w:rPr>
        <w:t xml:space="preserve">also </w:t>
      </w:r>
      <w:r w:rsidR="000E1D1F">
        <w:rPr>
          <w:rFonts w:eastAsiaTheme="minorEastAsia"/>
          <w:sz w:val="20"/>
        </w:rPr>
        <w:t>particularly pronounced.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tblGrid>
      <w:tr w:rsidR="003E2AFE" w:rsidTr="00DA5DCC">
        <w:tc>
          <w:tcPr>
            <w:tcW w:w="6385" w:type="dxa"/>
          </w:tcPr>
          <w:p w:rsidR="003E2AFE" w:rsidRPr="00997C2F" w:rsidRDefault="003E2AFE" w:rsidP="00337AC7">
            <w:pPr>
              <w:keepNext/>
              <w:rPr>
                <w:b/>
                <w:sz w:val="20"/>
              </w:rPr>
            </w:pPr>
            <w:r w:rsidRPr="00997C2F">
              <w:rPr>
                <w:b/>
                <w:sz w:val="20"/>
              </w:rPr>
              <w:t>Figure 1. Sulfur demand by whether the power plant has FGD installed and whether it produces a marketable byproduct from FGD operation.</w:t>
            </w:r>
          </w:p>
        </w:tc>
      </w:tr>
      <w:tr w:rsidR="003E2AFE" w:rsidTr="00DA5DCC">
        <w:tc>
          <w:tcPr>
            <w:tcW w:w="6385" w:type="dxa"/>
          </w:tcPr>
          <w:p w:rsidR="003E2AFE" w:rsidRDefault="003E2AFE" w:rsidP="00337AC7">
            <w:pPr>
              <w:keepNext/>
              <w:rPr>
                <w:sz w:val="20"/>
              </w:rPr>
            </w:pPr>
            <w:r>
              <w:rPr>
                <w:noProof/>
              </w:rPr>
              <w:drawing>
                <wp:inline distT="0" distB="0" distL="0" distR="0" wp14:anchorId="21AEB3ED" wp14:editId="4639470A">
                  <wp:extent cx="3205863"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5863" cy="3200400"/>
                          </a:xfrm>
                          <a:prstGeom prst="rect">
                            <a:avLst/>
                          </a:prstGeom>
                        </pic:spPr>
                      </pic:pic>
                    </a:graphicData>
                  </a:graphic>
                </wp:inline>
              </w:drawing>
            </w:r>
          </w:p>
        </w:tc>
      </w:tr>
    </w:tbl>
    <w:p w:rsidR="003D362A" w:rsidRDefault="00A62743" w:rsidP="00DD3DC7">
      <w:pPr>
        <w:rPr>
          <w:rFonts w:eastAsiaTheme="minorEastAsia"/>
          <w:sz w:val="20"/>
        </w:rPr>
      </w:pPr>
      <w:r>
        <w:rPr>
          <w:rFonts w:eastAsiaTheme="minorEastAsia"/>
          <w:sz w:val="20"/>
        </w:rPr>
        <w:t>The results of models 1 through 3</w:t>
      </w:r>
      <w:r w:rsidR="003D362A">
        <w:rPr>
          <w:rFonts w:eastAsiaTheme="minorEastAsia"/>
          <w:sz w:val="20"/>
        </w:rPr>
        <w:t xml:space="preserve"> are presented in table 1.  Model 1 looks at the impact of SO</w:t>
      </w:r>
      <w:r w:rsidR="003D362A">
        <w:rPr>
          <w:rFonts w:eastAsiaTheme="minorEastAsia"/>
          <w:sz w:val="20"/>
          <w:vertAlign w:val="subscript"/>
        </w:rPr>
        <w:t>2</w:t>
      </w:r>
      <w:r w:rsidR="003D362A">
        <w:rPr>
          <w:rFonts w:eastAsiaTheme="minorEastAsia"/>
          <w:sz w:val="20"/>
        </w:rPr>
        <w:t xml:space="preserve"> abatement technology, alternatively referred to as FGD, installation within a fixed effects model </w:t>
      </w:r>
      <w:r w:rsidR="00842C67">
        <w:rPr>
          <w:rFonts w:eastAsiaTheme="minorEastAsia"/>
          <w:sz w:val="20"/>
        </w:rPr>
        <w:t>with the dependent variable in natural log form</w:t>
      </w:r>
      <w:r w:rsidR="003D362A">
        <w:rPr>
          <w:rFonts w:eastAsiaTheme="minorEastAsia"/>
          <w:sz w:val="20"/>
        </w:rPr>
        <w:t>.  It suggests, all else equal, FGD installation</w:t>
      </w:r>
      <w:r w:rsidR="00842C67">
        <w:rPr>
          <w:rFonts w:eastAsiaTheme="minorEastAsia"/>
          <w:sz w:val="20"/>
        </w:rPr>
        <w:t xml:space="preserve"> results in a 25-percent increase in sulfur </w:t>
      </w:r>
      <w:r w:rsidR="001F5D07">
        <w:rPr>
          <w:rFonts w:eastAsiaTheme="minorEastAsia"/>
          <w:sz w:val="20"/>
        </w:rPr>
        <w:t>content</w:t>
      </w:r>
      <w:r w:rsidR="008D012A">
        <w:rPr>
          <w:rFonts w:eastAsiaTheme="minorEastAsia"/>
          <w:sz w:val="20"/>
        </w:rPr>
        <w:t xml:space="preserve"> </w:t>
      </w:r>
      <w:r w:rsidR="00842C67">
        <w:rPr>
          <w:rFonts w:eastAsiaTheme="minorEastAsia"/>
          <w:sz w:val="20"/>
        </w:rPr>
        <w:t>at power plants</w:t>
      </w:r>
      <w:r w:rsidR="008D012A">
        <w:rPr>
          <w:rFonts w:eastAsiaTheme="minorEastAsia"/>
          <w:sz w:val="20"/>
        </w:rPr>
        <w:t xml:space="preserve"> (sulfur demand)</w:t>
      </w:r>
      <w:r w:rsidR="00842C67">
        <w:rPr>
          <w:rFonts w:eastAsiaTheme="minorEastAsia"/>
          <w:sz w:val="20"/>
        </w:rPr>
        <w:t xml:space="preserve">.  </w:t>
      </w:r>
      <w:r w:rsidR="00642850">
        <w:rPr>
          <w:rFonts w:eastAsiaTheme="minorEastAsia"/>
          <w:sz w:val="20"/>
        </w:rPr>
        <w:t>From final project 1</w:t>
      </w:r>
      <w:r w:rsidR="00844AC6">
        <w:rPr>
          <w:rFonts w:eastAsiaTheme="minorEastAsia"/>
          <w:sz w:val="20"/>
        </w:rPr>
        <w:t xml:space="preserve">, </w:t>
      </w:r>
      <w:r w:rsidR="00844AC6" w:rsidRPr="00844AC6">
        <w:rPr>
          <w:rFonts w:eastAsiaTheme="minorEastAsia"/>
          <w:i/>
          <w:sz w:val="20"/>
        </w:rPr>
        <w:t>A Hedonic Price Model of Coal Purchase</w:t>
      </w:r>
      <w:r w:rsidR="008D012A">
        <w:rPr>
          <w:rFonts w:eastAsiaTheme="minorEastAsia"/>
          <w:i/>
          <w:sz w:val="20"/>
        </w:rPr>
        <w:t>s in</w:t>
      </w:r>
      <w:r w:rsidR="00844AC6" w:rsidRPr="00844AC6">
        <w:rPr>
          <w:rFonts w:eastAsiaTheme="minorEastAsia"/>
          <w:i/>
          <w:sz w:val="20"/>
        </w:rPr>
        <w:t xml:space="preserve"> the U.S. Energy Sector</w:t>
      </w:r>
      <w:r w:rsidR="00642850">
        <w:rPr>
          <w:rFonts w:eastAsiaTheme="minorEastAsia"/>
          <w:sz w:val="20"/>
        </w:rPr>
        <w:t xml:space="preserve">, the ability to purchase and consume higher sulfur content coal results in substantial savings, </w:t>
      </w:r>
      <w:r w:rsidR="00844AC6">
        <w:rPr>
          <w:rFonts w:eastAsiaTheme="minorEastAsia"/>
          <w:sz w:val="20"/>
        </w:rPr>
        <w:t xml:space="preserve">likely </w:t>
      </w:r>
      <w:r w:rsidR="00642850">
        <w:rPr>
          <w:rFonts w:eastAsiaTheme="minorEastAsia"/>
          <w:sz w:val="20"/>
        </w:rPr>
        <w:t>driving this result.</w:t>
      </w:r>
    </w:p>
    <w:p w:rsidR="00844AC6" w:rsidRDefault="00844AC6" w:rsidP="0008285A">
      <w:pPr>
        <w:spacing w:before="240"/>
        <w:rPr>
          <w:rFonts w:eastAsiaTheme="minorEastAsia"/>
          <w:sz w:val="20"/>
        </w:rPr>
      </w:pPr>
      <w:r>
        <w:rPr>
          <w:rFonts w:eastAsiaTheme="minorEastAsia"/>
          <w:sz w:val="20"/>
        </w:rPr>
        <w:t xml:space="preserve">Model 2 </w:t>
      </w:r>
      <w:r w:rsidR="001F5D07">
        <w:rPr>
          <w:rFonts w:eastAsiaTheme="minorEastAsia"/>
          <w:sz w:val="20"/>
        </w:rPr>
        <w:t xml:space="preserve">further divides the group of electricity generators with FGD by whether they produced a marketable byproduct in the period.  He &amp; Lee (2016) claim railroads transporting coal price discriminate based on whether power plants produce </w:t>
      </w:r>
      <w:r w:rsidR="008D012A">
        <w:rPr>
          <w:rFonts w:eastAsiaTheme="minorEastAsia"/>
          <w:sz w:val="20"/>
        </w:rPr>
        <w:t>a</w:t>
      </w:r>
      <w:r w:rsidR="001F5D07">
        <w:rPr>
          <w:rFonts w:eastAsiaTheme="minorEastAsia"/>
          <w:sz w:val="20"/>
        </w:rPr>
        <w:t xml:space="preserve"> byproduct.  While that is not tested in my model, FGD byproduct producers do appear to purchase higher sulfur coal indicating higher demand for sulfur and therefore may be susceptible to discriminatory pricing.  </w:t>
      </w:r>
      <w:r w:rsidR="00B8080F">
        <w:rPr>
          <w:rFonts w:eastAsiaTheme="minorEastAsia"/>
          <w:sz w:val="20"/>
        </w:rPr>
        <w:t xml:space="preserve">While both FGD </w:t>
      </w:r>
      <w:r w:rsidR="008D012A">
        <w:rPr>
          <w:rFonts w:eastAsiaTheme="minorEastAsia"/>
          <w:sz w:val="20"/>
        </w:rPr>
        <w:t xml:space="preserve">non-byproduct producers and FGD </w:t>
      </w:r>
      <w:r w:rsidR="00B8080F">
        <w:rPr>
          <w:rFonts w:eastAsiaTheme="minorEastAsia"/>
          <w:sz w:val="20"/>
        </w:rPr>
        <w:t>byproduct producers have higher sulfur demand,</w:t>
      </w:r>
      <w:r w:rsidR="008D012A">
        <w:rPr>
          <w:rFonts w:eastAsiaTheme="minorEastAsia"/>
          <w:sz w:val="20"/>
        </w:rPr>
        <w:t xml:space="preserve"> the demand of</w:t>
      </w:r>
      <w:r w:rsidR="00B8080F">
        <w:rPr>
          <w:rFonts w:eastAsiaTheme="minorEastAsia"/>
          <w:sz w:val="20"/>
        </w:rPr>
        <w:t xml:space="preserve"> those producing</w:t>
      </w:r>
      <w:r w:rsidR="008D012A">
        <w:rPr>
          <w:rFonts w:eastAsiaTheme="minorEastAsia"/>
          <w:sz w:val="20"/>
        </w:rPr>
        <w:t xml:space="preserve"> a</w:t>
      </w:r>
      <w:r w:rsidR="00B8080F">
        <w:rPr>
          <w:rFonts w:eastAsiaTheme="minorEastAsia"/>
          <w:sz w:val="20"/>
        </w:rPr>
        <w:t xml:space="preserve"> byproduct </w:t>
      </w:r>
      <w:r w:rsidR="008D012A">
        <w:rPr>
          <w:rFonts w:eastAsiaTheme="minorEastAsia"/>
          <w:sz w:val="20"/>
        </w:rPr>
        <w:t>is</w:t>
      </w:r>
      <w:r w:rsidR="00B8080F">
        <w:rPr>
          <w:rFonts w:eastAsiaTheme="minorEastAsia"/>
          <w:sz w:val="20"/>
        </w:rPr>
        <w:t xml:space="preserve"> markedly higher.</w:t>
      </w:r>
    </w:p>
    <w:p w:rsidR="0008285A" w:rsidRPr="00E665F3" w:rsidRDefault="00A62743" w:rsidP="00E665F3">
      <w:pPr>
        <w:spacing w:before="240"/>
        <w:rPr>
          <w:rFonts w:eastAsiaTheme="minorEastAsia"/>
          <w:sz w:val="20"/>
        </w:rPr>
      </w:pPr>
      <w:r>
        <w:rPr>
          <w:rFonts w:eastAsiaTheme="minorEastAsia"/>
          <w:sz w:val="20"/>
        </w:rPr>
        <w:t>Model 3 then analyzes time trends across the data.  In models 1 and 2</w:t>
      </w:r>
      <w:r w:rsidR="0086706C">
        <w:rPr>
          <w:rFonts w:eastAsiaTheme="minorEastAsia"/>
          <w:sz w:val="20"/>
        </w:rPr>
        <w:t>,</w:t>
      </w:r>
      <w:r>
        <w:rPr>
          <w:rFonts w:eastAsiaTheme="minorEastAsia"/>
          <w:sz w:val="20"/>
        </w:rPr>
        <w:t xml:space="preserve"> a decreasing trend for sulfur demand appears in the overall data, consistent with generally tightening sulfur regulation</w:t>
      </w:r>
      <w:r w:rsidR="0086706C">
        <w:rPr>
          <w:rFonts w:eastAsiaTheme="minorEastAsia"/>
          <w:sz w:val="20"/>
        </w:rPr>
        <w:t>,</w:t>
      </w:r>
      <w:r>
        <w:rPr>
          <w:rFonts w:eastAsiaTheme="minorEastAsia"/>
          <w:sz w:val="20"/>
        </w:rPr>
        <w:t xml:space="preserve"> at least without FGD i</w:t>
      </w:r>
      <w:r w:rsidR="0086706C">
        <w:rPr>
          <w:rFonts w:eastAsiaTheme="minorEastAsia"/>
          <w:sz w:val="20"/>
        </w:rPr>
        <w:t>mprovements</w:t>
      </w:r>
      <w:r>
        <w:rPr>
          <w:rFonts w:eastAsiaTheme="minorEastAsia"/>
          <w:sz w:val="20"/>
        </w:rPr>
        <w:t xml:space="preserve">.  Model 3, through interaction terms for FGD operation and byproduct production with the monthly time trend suggests industry divergence.  </w:t>
      </w:r>
      <w:r w:rsidR="0086706C">
        <w:rPr>
          <w:rFonts w:eastAsiaTheme="minorEastAsia"/>
          <w:sz w:val="20"/>
        </w:rPr>
        <w:t>Plants without FGD have</w:t>
      </w:r>
      <w:r w:rsidR="000B1AE0">
        <w:rPr>
          <w:rFonts w:eastAsiaTheme="minorEastAsia"/>
          <w:sz w:val="20"/>
        </w:rPr>
        <w:t xml:space="preserve"> generally decreasing sulfur demand, at a rate of 0.27</w:t>
      </w:r>
      <w:r w:rsidR="008C657B">
        <w:rPr>
          <w:rFonts w:eastAsiaTheme="minorEastAsia"/>
          <w:sz w:val="20"/>
        </w:rPr>
        <w:t>-percent</w:t>
      </w:r>
      <w:r w:rsidR="000B1AE0">
        <w:rPr>
          <w:rFonts w:eastAsiaTheme="minorEastAsia"/>
          <w:sz w:val="20"/>
        </w:rPr>
        <w:t xml:space="preserve"> a month</w:t>
      </w:r>
      <w:r w:rsidR="0086706C">
        <w:rPr>
          <w:rFonts w:eastAsiaTheme="minorEastAsia"/>
          <w:sz w:val="20"/>
        </w:rPr>
        <w:t>.</w:t>
      </w:r>
      <w:r w:rsidR="000B1AE0">
        <w:rPr>
          <w:rFonts w:eastAsiaTheme="minorEastAsia"/>
          <w:sz w:val="20"/>
        </w:rPr>
        <w:t xml:space="preserve">  </w:t>
      </w:r>
      <w:r w:rsidR="008C657B">
        <w:rPr>
          <w:rFonts w:eastAsiaTheme="minorEastAsia"/>
          <w:sz w:val="20"/>
        </w:rPr>
        <w:t>Plants with FGD installed</w:t>
      </w:r>
      <w:r w:rsidR="0086706C">
        <w:rPr>
          <w:rFonts w:eastAsiaTheme="minorEastAsia"/>
          <w:sz w:val="20"/>
        </w:rPr>
        <w:t xml:space="preserve"> in comparison</w:t>
      </w:r>
      <w:r w:rsidR="008C657B">
        <w:rPr>
          <w:rFonts w:eastAsiaTheme="minorEastAsia"/>
          <w:sz w:val="20"/>
        </w:rPr>
        <w:t xml:space="preserve"> </w:t>
      </w:r>
      <w:r w:rsidR="0086706C">
        <w:rPr>
          <w:rFonts w:eastAsiaTheme="minorEastAsia"/>
          <w:sz w:val="20"/>
        </w:rPr>
        <w:t>show</w:t>
      </w:r>
      <w:r w:rsidR="008C657B">
        <w:rPr>
          <w:rFonts w:eastAsiaTheme="minorEastAsia"/>
          <w:sz w:val="20"/>
        </w:rPr>
        <w:t xml:space="preserve"> an increasing trend of 0.2-percent per month and an additional 0.26-percent monthly increase for those producing a byproduct.  This is consistent with national scale, </w:t>
      </w:r>
      <w:r w:rsidR="008C657B">
        <w:rPr>
          <w:rFonts w:eastAsiaTheme="minorEastAsia"/>
          <w:sz w:val="20"/>
        </w:rPr>
        <w:lastRenderedPageBreak/>
        <w:t>aggregate sulfur demand data from the EIA</w:t>
      </w:r>
      <w:r w:rsidR="0086706C">
        <w:rPr>
          <w:rFonts w:eastAsiaTheme="minorEastAsia"/>
          <w:sz w:val="20"/>
        </w:rPr>
        <w:t xml:space="preserve"> which shows a general upward trend in sulfur content in some coal purchases</w:t>
      </w:r>
      <w:r w:rsidR="004807BA">
        <w:rPr>
          <w:rFonts w:eastAsiaTheme="minorEastAsia"/>
          <w:sz w:val="20"/>
        </w:rPr>
        <w:t xml:space="preserve"> (</w:t>
      </w:r>
      <w:r w:rsidR="004807BA" w:rsidRPr="00801493">
        <w:rPr>
          <w:sz w:val="20"/>
        </w:rPr>
        <w:t>U.S. Ener</w:t>
      </w:r>
      <w:r w:rsidR="004807BA">
        <w:rPr>
          <w:sz w:val="20"/>
        </w:rPr>
        <w:t xml:space="preserve">gy Information Administration, </w:t>
      </w:r>
      <w:r w:rsidR="004807BA" w:rsidRPr="00801493">
        <w:rPr>
          <w:sz w:val="20"/>
        </w:rPr>
        <w:t>2016)</w:t>
      </w:r>
      <w:r w:rsidR="008C657B">
        <w:rPr>
          <w:rFonts w:eastAsiaTheme="minorEastAsia"/>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2"/>
      </w:tblGrid>
      <w:tr w:rsidR="00962646" w:rsidTr="00A23358">
        <w:tc>
          <w:tcPr>
            <w:tcW w:w="6840" w:type="dxa"/>
          </w:tcPr>
          <w:p w:rsidR="00962646" w:rsidRPr="00263740" w:rsidRDefault="00263740" w:rsidP="00337AC7">
            <w:pPr>
              <w:keepNext/>
              <w:rPr>
                <w:b/>
                <w:sz w:val="20"/>
              </w:rPr>
            </w:pPr>
            <w:r>
              <w:rPr>
                <w:b/>
                <w:sz w:val="20"/>
              </w:rPr>
              <w:t xml:space="preserve">Table 1. </w:t>
            </w:r>
            <w:r w:rsidR="00A23358">
              <w:rPr>
                <w:b/>
                <w:sz w:val="20"/>
              </w:rPr>
              <w:t>E</w:t>
            </w:r>
            <w:r>
              <w:rPr>
                <w:b/>
                <w:sz w:val="20"/>
              </w:rPr>
              <w:t>stimates</w:t>
            </w:r>
            <w:r w:rsidR="00A23358">
              <w:rPr>
                <w:b/>
                <w:sz w:val="20"/>
              </w:rPr>
              <w:t xml:space="preserve"> of FGD installation and byproduct production on the demand for sulfur content in coal at U.S. power plants</w:t>
            </w:r>
          </w:p>
        </w:tc>
      </w:tr>
      <w:tr w:rsidR="00962646" w:rsidTr="00A23358">
        <w:tc>
          <w:tcPr>
            <w:tcW w:w="6840" w:type="dxa"/>
          </w:tcPr>
          <w:tbl>
            <w:tblPr>
              <w:tblW w:w="6636" w:type="dxa"/>
              <w:tblLook w:val="04A0" w:firstRow="1" w:lastRow="0" w:firstColumn="1" w:lastColumn="0" w:noHBand="0" w:noVBand="1"/>
            </w:tblPr>
            <w:tblGrid>
              <w:gridCol w:w="2594"/>
              <w:gridCol w:w="1342"/>
              <w:gridCol w:w="1350"/>
              <w:gridCol w:w="1350"/>
            </w:tblGrid>
            <w:tr w:rsidR="00962646" w:rsidRPr="00962646" w:rsidTr="00263740">
              <w:trPr>
                <w:trHeight w:val="255"/>
              </w:trPr>
              <w:tc>
                <w:tcPr>
                  <w:tcW w:w="259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62646" w:rsidRPr="00962646" w:rsidRDefault="00962646" w:rsidP="00337AC7">
                  <w:pPr>
                    <w:keepNext/>
                    <w:spacing w:after="0" w:line="240" w:lineRule="auto"/>
                    <w:jc w:val="right"/>
                    <w:rPr>
                      <w:rFonts w:eastAsia="Times New Roman"/>
                      <w:color w:val="000000"/>
                      <w:sz w:val="20"/>
                      <w:szCs w:val="20"/>
                    </w:rPr>
                  </w:pPr>
                  <w:proofErr w:type="spellStart"/>
                  <w:r w:rsidRPr="00962646">
                    <w:rPr>
                      <w:rFonts w:eastAsia="Times New Roman"/>
                      <w:color w:val="000000"/>
                      <w:sz w:val="20"/>
                      <w:szCs w:val="20"/>
                    </w:rPr>
                    <w:t>lnAdjsulfur</w:t>
                  </w:r>
                  <w:proofErr w:type="spellEnd"/>
                </w:p>
              </w:tc>
              <w:tc>
                <w:tcPr>
                  <w:tcW w:w="4042" w:type="dxa"/>
                  <w:gridSpan w:val="3"/>
                  <w:tcBorders>
                    <w:top w:val="single" w:sz="4" w:space="0" w:color="auto"/>
                    <w:left w:val="nil"/>
                    <w:bottom w:val="single" w:sz="4" w:space="0" w:color="auto"/>
                    <w:right w:val="single" w:sz="4" w:space="0" w:color="000000"/>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Model</w:t>
                  </w:r>
                </w:p>
              </w:tc>
            </w:tr>
            <w:tr w:rsidR="00263740" w:rsidRPr="00962646" w:rsidTr="00263740">
              <w:trPr>
                <w:trHeight w:val="255"/>
              </w:trPr>
              <w:tc>
                <w:tcPr>
                  <w:tcW w:w="2594" w:type="dxa"/>
                  <w:vMerge/>
                  <w:tcBorders>
                    <w:top w:val="single" w:sz="4" w:space="0" w:color="auto"/>
                    <w:left w:val="single" w:sz="4" w:space="0" w:color="auto"/>
                    <w:bottom w:val="single" w:sz="4" w:space="0" w:color="000000"/>
                    <w:right w:val="single" w:sz="4" w:space="0" w:color="auto"/>
                  </w:tcBorders>
                  <w:vAlign w:val="center"/>
                  <w:hideMark/>
                </w:tcPr>
                <w:p w:rsidR="00962646" w:rsidRPr="00962646" w:rsidRDefault="00962646" w:rsidP="00337AC7">
                  <w:pPr>
                    <w:keepNext/>
                    <w:spacing w:after="0" w:line="240" w:lineRule="auto"/>
                    <w:rPr>
                      <w:rFonts w:eastAsia="Times New Roman"/>
                      <w:color w:val="000000"/>
                      <w:sz w:val="20"/>
                      <w:szCs w:val="20"/>
                    </w:rPr>
                  </w:pPr>
                </w:p>
              </w:tc>
              <w:tc>
                <w:tcPr>
                  <w:tcW w:w="1342" w:type="dxa"/>
                  <w:tcBorders>
                    <w:top w:val="nil"/>
                    <w:left w:val="nil"/>
                    <w:bottom w:val="single" w:sz="4" w:space="0" w:color="auto"/>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(1)</w:t>
                  </w:r>
                </w:p>
              </w:tc>
              <w:tc>
                <w:tcPr>
                  <w:tcW w:w="1350" w:type="dxa"/>
                  <w:tcBorders>
                    <w:top w:val="nil"/>
                    <w:left w:val="nil"/>
                    <w:bottom w:val="single" w:sz="4" w:space="0" w:color="auto"/>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(2)</w:t>
                  </w:r>
                </w:p>
              </w:tc>
              <w:tc>
                <w:tcPr>
                  <w:tcW w:w="1350" w:type="dxa"/>
                  <w:tcBorders>
                    <w:top w:val="nil"/>
                    <w:left w:val="nil"/>
                    <w:bottom w:val="single" w:sz="4" w:space="0" w:color="auto"/>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(3)</w:t>
                  </w:r>
                </w:p>
              </w:tc>
            </w:tr>
            <w:tr w:rsidR="00263740" w:rsidRPr="00962646" w:rsidTr="00263740">
              <w:trPr>
                <w:trHeight w:val="255"/>
              </w:trPr>
              <w:tc>
                <w:tcPr>
                  <w:tcW w:w="2594" w:type="dxa"/>
                  <w:tcBorders>
                    <w:top w:val="nil"/>
                    <w:left w:val="single" w:sz="4" w:space="0" w:color="auto"/>
                    <w:bottom w:val="nil"/>
                    <w:right w:val="single" w:sz="4" w:space="0" w:color="auto"/>
                  </w:tcBorders>
                  <w:shd w:val="clear" w:color="auto" w:fill="auto"/>
                  <w:noWrap/>
                  <w:vAlign w:val="center"/>
                  <w:hideMark/>
                </w:tcPr>
                <w:p w:rsidR="00962646" w:rsidRPr="00962646" w:rsidRDefault="00962646" w:rsidP="00337AC7">
                  <w:pPr>
                    <w:keepNext/>
                    <w:spacing w:after="0" w:line="240" w:lineRule="auto"/>
                    <w:jc w:val="right"/>
                    <w:rPr>
                      <w:rFonts w:eastAsia="Times New Roman"/>
                      <w:color w:val="000000"/>
                      <w:sz w:val="20"/>
                      <w:szCs w:val="20"/>
                    </w:rPr>
                  </w:pPr>
                  <w:r w:rsidRPr="00962646">
                    <w:rPr>
                      <w:rFonts w:eastAsia="Times New Roman"/>
                      <w:color w:val="000000"/>
                      <w:sz w:val="20"/>
                      <w:szCs w:val="20"/>
                    </w:rPr>
                    <w:t>SO2controls</w:t>
                  </w:r>
                </w:p>
              </w:tc>
              <w:tc>
                <w:tcPr>
                  <w:tcW w:w="1342"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0.2556</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0.1722</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0.1023</w:t>
                  </w:r>
                </w:p>
              </w:tc>
            </w:tr>
            <w:tr w:rsidR="00263740" w:rsidRPr="00962646" w:rsidTr="00263740">
              <w:trPr>
                <w:trHeight w:val="255"/>
              </w:trPr>
              <w:tc>
                <w:tcPr>
                  <w:tcW w:w="2594" w:type="dxa"/>
                  <w:tcBorders>
                    <w:top w:val="nil"/>
                    <w:left w:val="single" w:sz="4" w:space="0" w:color="auto"/>
                    <w:bottom w:val="nil"/>
                    <w:right w:val="single" w:sz="4" w:space="0" w:color="auto"/>
                  </w:tcBorders>
                  <w:shd w:val="clear" w:color="auto" w:fill="auto"/>
                  <w:noWrap/>
                  <w:vAlign w:val="center"/>
                  <w:hideMark/>
                </w:tcPr>
                <w:p w:rsidR="00962646" w:rsidRPr="00962646" w:rsidRDefault="00962646" w:rsidP="00337AC7">
                  <w:pPr>
                    <w:keepNext/>
                    <w:spacing w:after="0" w:line="240" w:lineRule="auto"/>
                    <w:jc w:val="right"/>
                    <w:rPr>
                      <w:rFonts w:eastAsia="Times New Roman"/>
                      <w:color w:val="000000"/>
                      <w:sz w:val="20"/>
                      <w:szCs w:val="20"/>
                    </w:rPr>
                  </w:pPr>
                  <w:r w:rsidRPr="00962646">
                    <w:rPr>
                      <w:rFonts w:eastAsia="Times New Roman"/>
                      <w:color w:val="000000"/>
                      <w:sz w:val="20"/>
                      <w:szCs w:val="20"/>
                    </w:rPr>
                    <w:t> </w:t>
                  </w:r>
                </w:p>
              </w:tc>
              <w:tc>
                <w:tcPr>
                  <w:tcW w:w="1342"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(0.0095)</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(0.0102)</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(0.0138)</w:t>
                  </w:r>
                </w:p>
              </w:tc>
            </w:tr>
            <w:tr w:rsidR="00263740" w:rsidRPr="00962646" w:rsidTr="00263740">
              <w:trPr>
                <w:trHeight w:val="255"/>
              </w:trPr>
              <w:tc>
                <w:tcPr>
                  <w:tcW w:w="2594" w:type="dxa"/>
                  <w:tcBorders>
                    <w:top w:val="nil"/>
                    <w:left w:val="single" w:sz="4" w:space="0" w:color="auto"/>
                    <w:bottom w:val="nil"/>
                    <w:right w:val="single" w:sz="4" w:space="0" w:color="auto"/>
                  </w:tcBorders>
                  <w:shd w:val="clear" w:color="auto" w:fill="auto"/>
                  <w:noWrap/>
                  <w:vAlign w:val="center"/>
                  <w:hideMark/>
                </w:tcPr>
                <w:p w:rsidR="00962646" w:rsidRPr="00962646" w:rsidRDefault="00962646" w:rsidP="00337AC7">
                  <w:pPr>
                    <w:keepNext/>
                    <w:spacing w:after="0" w:line="240" w:lineRule="auto"/>
                    <w:jc w:val="right"/>
                    <w:rPr>
                      <w:rFonts w:eastAsia="Times New Roman"/>
                      <w:color w:val="000000"/>
                      <w:sz w:val="20"/>
                      <w:szCs w:val="20"/>
                    </w:rPr>
                  </w:pPr>
                  <w:r w:rsidRPr="00962646">
                    <w:rPr>
                      <w:rFonts w:eastAsia="Times New Roman"/>
                      <w:color w:val="000000"/>
                      <w:sz w:val="20"/>
                      <w:szCs w:val="20"/>
                    </w:rPr>
                    <w:t>SO2byproductprodn</w:t>
                  </w:r>
                </w:p>
              </w:tc>
              <w:tc>
                <w:tcPr>
                  <w:tcW w:w="1342"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0.3280</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0.1885</w:t>
                  </w:r>
                </w:p>
              </w:tc>
            </w:tr>
            <w:tr w:rsidR="00263740" w:rsidRPr="00962646" w:rsidTr="00263740">
              <w:trPr>
                <w:trHeight w:val="255"/>
              </w:trPr>
              <w:tc>
                <w:tcPr>
                  <w:tcW w:w="2594" w:type="dxa"/>
                  <w:tcBorders>
                    <w:top w:val="nil"/>
                    <w:left w:val="single" w:sz="4" w:space="0" w:color="auto"/>
                    <w:bottom w:val="nil"/>
                    <w:right w:val="single" w:sz="4" w:space="0" w:color="auto"/>
                  </w:tcBorders>
                  <w:shd w:val="clear" w:color="auto" w:fill="auto"/>
                  <w:noWrap/>
                  <w:vAlign w:val="center"/>
                  <w:hideMark/>
                </w:tcPr>
                <w:p w:rsidR="00962646" w:rsidRPr="00962646" w:rsidRDefault="00962646" w:rsidP="00337AC7">
                  <w:pPr>
                    <w:keepNext/>
                    <w:spacing w:after="0" w:line="240" w:lineRule="auto"/>
                    <w:jc w:val="right"/>
                    <w:rPr>
                      <w:rFonts w:eastAsia="Times New Roman"/>
                      <w:color w:val="000000"/>
                      <w:sz w:val="20"/>
                      <w:szCs w:val="20"/>
                    </w:rPr>
                  </w:pPr>
                  <w:r w:rsidRPr="00962646">
                    <w:rPr>
                      <w:rFonts w:eastAsia="Times New Roman"/>
                      <w:color w:val="000000"/>
                      <w:sz w:val="20"/>
                      <w:szCs w:val="20"/>
                    </w:rPr>
                    <w:t> </w:t>
                  </w:r>
                </w:p>
              </w:tc>
              <w:tc>
                <w:tcPr>
                  <w:tcW w:w="1342"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(0.0152)</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(0.0209)</w:t>
                  </w:r>
                </w:p>
              </w:tc>
            </w:tr>
            <w:tr w:rsidR="00263740" w:rsidRPr="00962646" w:rsidTr="00263740">
              <w:trPr>
                <w:trHeight w:val="255"/>
              </w:trPr>
              <w:tc>
                <w:tcPr>
                  <w:tcW w:w="2594" w:type="dxa"/>
                  <w:tcBorders>
                    <w:top w:val="nil"/>
                    <w:left w:val="single" w:sz="4" w:space="0" w:color="auto"/>
                    <w:bottom w:val="nil"/>
                    <w:right w:val="single" w:sz="4" w:space="0" w:color="auto"/>
                  </w:tcBorders>
                  <w:shd w:val="clear" w:color="auto" w:fill="auto"/>
                  <w:noWrap/>
                  <w:vAlign w:val="center"/>
                  <w:hideMark/>
                </w:tcPr>
                <w:p w:rsidR="00962646" w:rsidRPr="00962646" w:rsidRDefault="00962646" w:rsidP="00337AC7">
                  <w:pPr>
                    <w:keepNext/>
                    <w:spacing w:after="0" w:line="240" w:lineRule="auto"/>
                    <w:jc w:val="right"/>
                    <w:rPr>
                      <w:rFonts w:eastAsia="Times New Roman"/>
                      <w:color w:val="000000"/>
                      <w:sz w:val="20"/>
                      <w:szCs w:val="20"/>
                    </w:rPr>
                  </w:pPr>
                  <w:r w:rsidRPr="00962646">
                    <w:rPr>
                      <w:rFonts w:eastAsia="Times New Roman"/>
                      <w:color w:val="000000"/>
                      <w:sz w:val="20"/>
                      <w:szCs w:val="20"/>
                    </w:rPr>
                    <w:t>Monthly</w:t>
                  </w:r>
                </w:p>
              </w:tc>
              <w:tc>
                <w:tcPr>
                  <w:tcW w:w="1342"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-0.0013</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-0.0015</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-0.0027</w:t>
                  </w:r>
                </w:p>
              </w:tc>
            </w:tr>
            <w:tr w:rsidR="00263740" w:rsidRPr="00962646" w:rsidTr="00263740">
              <w:trPr>
                <w:trHeight w:val="255"/>
              </w:trPr>
              <w:tc>
                <w:tcPr>
                  <w:tcW w:w="2594" w:type="dxa"/>
                  <w:tcBorders>
                    <w:top w:val="nil"/>
                    <w:left w:val="single" w:sz="4" w:space="0" w:color="auto"/>
                    <w:bottom w:val="nil"/>
                    <w:right w:val="single" w:sz="4" w:space="0" w:color="auto"/>
                  </w:tcBorders>
                  <w:shd w:val="clear" w:color="auto" w:fill="auto"/>
                  <w:noWrap/>
                  <w:vAlign w:val="center"/>
                  <w:hideMark/>
                </w:tcPr>
                <w:p w:rsidR="00962646" w:rsidRPr="00962646" w:rsidRDefault="00962646" w:rsidP="00337AC7">
                  <w:pPr>
                    <w:keepNext/>
                    <w:spacing w:after="0" w:line="240" w:lineRule="auto"/>
                    <w:jc w:val="right"/>
                    <w:rPr>
                      <w:rFonts w:eastAsia="Times New Roman"/>
                      <w:color w:val="000000"/>
                      <w:sz w:val="20"/>
                      <w:szCs w:val="20"/>
                    </w:rPr>
                  </w:pPr>
                  <w:r w:rsidRPr="00962646">
                    <w:rPr>
                      <w:rFonts w:eastAsia="Times New Roman"/>
                      <w:color w:val="000000"/>
                      <w:sz w:val="20"/>
                      <w:szCs w:val="20"/>
                    </w:rPr>
                    <w:t> </w:t>
                  </w:r>
                </w:p>
              </w:tc>
              <w:tc>
                <w:tcPr>
                  <w:tcW w:w="1342"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(0.0001)</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(0.0001)</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(0.0001)</w:t>
                  </w:r>
                </w:p>
              </w:tc>
            </w:tr>
            <w:tr w:rsidR="00263740" w:rsidRPr="00962646" w:rsidTr="00263740">
              <w:trPr>
                <w:trHeight w:val="255"/>
              </w:trPr>
              <w:tc>
                <w:tcPr>
                  <w:tcW w:w="2594" w:type="dxa"/>
                  <w:tcBorders>
                    <w:top w:val="nil"/>
                    <w:left w:val="single" w:sz="4" w:space="0" w:color="auto"/>
                    <w:bottom w:val="nil"/>
                    <w:right w:val="single" w:sz="4" w:space="0" w:color="auto"/>
                  </w:tcBorders>
                  <w:shd w:val="clear" w:color="auto" w:fill="auto"/>
                  <w:noWrap/>
                  <w:vAlign w:val="center"/>
                  <w:hideMark/>
                </w:tcPr>
                <w:p w:rsidR="00962646" w:rsidRPr="00962646" w:rsidRDefault="00962646" w:rsidP="00337AC7">
                  <w:pPr>
                    <w:keepNext/>
                    <w:spacing w:after="0" w:line="240" w:lineRule="auto"/>
                    <w:jc w:val="right"/>
                    <w:rPr>
                      <w:rFonts w:eastAsia="Times New Roman"/>
                      <w:color w:val="000000"/>
                      <w:sz w:val="20"/>
                      <w:szCs w:val="20"/>
                    </w:rPr>
                  </w:pPr>
                  <w:r w:rsidRPr="00962646">
                    <w:rPr>
                      <w:rFonts w:eastAsia="Times New Roman"/>
                      <w:color w:val="000000"/>
                      <w:sz w:val="20"/>
                      <w:szCs w:val="20"/>
                    </w:rPr>
                    <w:t>Monthly:SO2controls</w:t>
                  </w:r>
                </w:p>
              </w:tc>
              <w:tc>
                <w:tcPr>
                  <w:tcW w:w="1342"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0.0020</w:t>
                  </w:r>
                </w:p>
              </w:tc>
            </w:tr>
            <w:tr w:rsidR="00263740" w:rsidRPr="00962646" w:rsidTr="00263740">
              <w:trPr>
                <w:trHeight w:val="255"/>
              </w:trPr>
              <w:tc>
                <w:tcPr>
                  <w:tcW w:w="2594" w:type="dxa"/>
                  <w:tcBorders>
                    <w:top w:val="nil"/>
                    <w:left w:val="single" w:sz="4" w:space="0" w:color="auto"/>
                    <w:bottom w:val="nil"/>
                    <w:right w:val="single" w:sz="4" w:space="0" w:color="auto"/>
                  </w:tcBorders>
                  <w:shd w:val="clear" w:color="auto" w:fill="auto"/>
                  <w:noWrap/>
                  <w:vAlign w:val="center"/>
                  <w:hideMark/>
                </w:tcPr>
                <w:p w:rsidR="00962646" w:rsidRPr="00962646" w:rsidRDefault="00962646" w:rsidP="00337AC7">
                  <w:pPr>
                    <w:keepNext/>
                    <w:spacing w:after="0" w:line="240" w:lineRule="auto"/>
                    <w:jc w:val="right"/>
                    <w:rPr>
                      <w:rFonts w:eastAsia="Times New Roman"/>
                      <w:color w:val="000000"/>
                      <w:sz w:val="20"/>
                      <w:szCs w:val="20"/>
                    </w:rPr>
                  </w:pPr>
                  <w:r w:rsidRPr="00962646">
                    <w:rPr>
                      <w:rFonts w:eastAsia="Times New Roman"/>
                      <w:color w:val="000000"/>
                      <w:sz w:val="20"/>
                      <w:szCs w:val="20"/>
                    </w:rPr>
                    <w:t> </w:t>
                  </w:r>
                </w:p>
              </w:tc>
              <w:tc>
                <w:tcPr>
                  <w:tcW w:w="1342"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(0.0002)</w:t>
                  </w:r>
                </w:p>
              </w:tc>
            </w:tr>
            <w:tr w:rsidR="00263740" w:rsidRPr="00962646" w:rsidTr="00263740">
              <w:trPr>
                <w:trHeight w:val="255"/>
              </w:trPr>
              <w:tc>
                <w:tcPr>
                  <w:tcW w:w="2594" w:type="dxa"/>
                  <w:tcBorders>
                    <w:top w:val="nil"/>
                    <w:left w:val="single" w:sz="4" w:space="0" w:color="auto"/>
                    <w:bottom w:val="nil"/>
                    <w:right w:val="single" w:sz="4" w:space="0" w:color="auto"/>
                  </w:tcBorders>
                  <w:shd w:val="clear" w:color="auto" w:fill="auto"/>
                  <w:noWrap/>
                  <w:vAlign w:val="center"/>
                  <w:hideMark/>
                </w:tcPr>
                <w:p w:rsidR="00962646" w:rsidRPr="00962646" w:rsidRDefault="00962646" w:rsidP="00337AC7">
                  <w:pPr>
                    <w:keepNext/>
                    <w:spacing w:after="0" w:line="240" w:lineRule="auto"/>
                    <w:jc w:val="right"/>
                    <w:rPr>
                      <w:rFonts w:eastAsia="Times New Roman"/>
                      <w:color w:val="000000"/>
                      <w:sz w:val="20"/>
                      <w:szCs w:val="20"/>
                    </w:rPr>
                  </w:pPr>
                  <w:r w:rsidRPr="00962646">
                    <w:rPr>
                      <w:rFonts w:eastAsia="Times New Roman"/>
                      <w:color w:val="000000"/>
                      <w:sz w:val="20"/>
                      <w:szCs w:val="20"/>
                    </w:rPr>
                    <w:t>Monthly:SO2byproductprodn</w:t>
                  </w:r>
                </w:p>
              </w:tc>
              <w:tc>
                <w:tcPr>
                  <w:tcW w:w="1342"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w:t>
                  </w:r>
                </w:p>
              </w:tc>
              <w:tc>
                <w:tcPr>
                  <w:tcW w:w="1350" w:type="dxa"/>
                  <w:tcBorders>
                    <w:top w:val="nil"/>
                    <w:left w:val="nil"/>
                    <w:bottom w:val="nil"/>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0.0026</w:t>
                  </w:r>
                </w:p>
              </w:tc>
            </w:tr>
            <w:tr w:rsidR="00263740" w:rsidRPr="00962646" w:rsidTr="00263740">
              <w:trPr>
                <w:trHeight w:val="255"/>
              </w:trPr>
              <w:tc>
                <w:tcPr>
                  <w:tcW w:w="2594" w:type="dxa"/>
                  <w:tcBorders>
                    <w:top w:val="nil"/>
                    <w:left w:val="single" w:sz="4" w:space="0" w:color="auto"/>
                    <w:bottom w:val="single" w:sz="4" w:space="0" w:color="auto"/>
                    <w:right w:val="single" w:sz="4" w:space="0" w:color="auto"/>
                  </w:tcBorders>
                  <w:shd w:val="clear" w:color="auto" w:fill="auto"/>
                  <w:noWrap/>
                  <w:vAlign w:val="bottom"/>
                  <w:hideMark/>
                </w:tcPr>
                <w:p w:rsidR="00962646" w:rsidRPr="00962646" w:rsidRDefault="00962646" w:rsidP="00337AC7">
                  <w:pPr>
                    <w:keepNext/>
                    <w:spacing w:after="0" w:line="240" w:lineRule="auto"/>
                    <w:jc w:val="right"/>
                    <w:rPr>
                      <w:rFonts w:eastAsia="Times New Roman"/>
                      <w:color w:val="000000"/>
                      <w:sz w:val="20"/>
                      <w:szCs w:val="20"/>
                    </w:rPr>
                  </w:pPr>
                  <w:r w:rsidRPr="00962646">
                    <w:rPr>
                      <w:rFonts w:eastAsia="Times New Roman"/>
                      <w:color w:val="000000"/>
                      <w:sz w:val="20"/>
                      <w:szCs w:val="20"/>
                    </w:rPr>
                    <w:t> </w:t>
                  </w:r>
                </w:p>
              </w:tc>
              <w:tc>
                <w:tcPr>
                  <w:tcW w:w="1342" w:type="dxa"/>
                  <w:tcBorders>
                    <w:top w:val="nil"/>
                    <w:left w:val="nil"/>
                    <w:bottom w:val="single" w:sz="4" w:space="0" w:color="auto"/>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w:t>
                  </w:r>
                </w:p>
              </w:tc>
              <w:tc>
                <w:tcPr>
                  <w:tcW w:w="1350" w:type="dxa"/>
                  <w:tcBorders>
                    <w:top w:val="nil"/>
                    <w:left w:val="nil"/>
                    <w:bottom w:val="single" w:sz="4" w:space="0" w:color="auto"/>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w:t>
                  </w:r>
                </w:p>
              </w:tc>
              <w:tc>
                <w:tcPr>
                  <w:tcW w:w="1350" w:type="dxa"/>
                  <w:tcBorders>
                    <w:top w:val="nil"/>
                    <w:left w:val="nil"/>
                    <w:bottom w:val="single" w:sz="4" w:space="0" w:color="auto"/>
                    <w:right w:val="single" w:sz="4" w:space="0" w:color="auto"/>
                  </w:tcBorders>
                  <w:shd w:val="clear" w:color="auto" w:fill="auto"/>
                  <w:noWrap/>
                  <w:vAlign w:val="bottom"/>
                  <w:hideMark/>
                </w:tcPr>
                <w:p w:rsidR="00962646" w:rsidRPr="00962646" w:rsidRDefault="00962646" w:rsidP="00337AC7">
                  <w:pPr>
                    <w:keepNext/>
                    <w:spacing w:after="0" w:line="240" w:lineRule="auto"/>
                    <w:jc w:val="center"/>
                    <w:rPr>
                      <w:rFonts w:eastAsia="Times New Roman"/>
                      <w:color w:val="000000"/>
                      <w:sz w:val="20"/>
                      <w:szCs w:val="20"/>
                    </w:rPr>
                  </w:pPr>
                  <w:r w:rsidRPr="00962646">
                    <w:rPr>
                      <w:rFonts w:eastAsia="Times New Roman"/>
                      <w:color w:val="000000"/>
                      <w:sz w:val="20"/>
                      <w:szCs w:val="20"/>
                    </w:rPr>
                    <w:t>(0.0003)</w:t>
                  </w:r>
                </w:p>
              </w:tc>
            </w:tr>
            <w:tr w:rsidR="00962646" w:rsidRPr="00962646" w:rsidTr="00263740">
              <w:trPr>
                <w:trHeight w:val="255"/>
              </w:trPr>
              <w:tc>
                <w:tcPr>
                  <w:tcW w:w="6636" w:type="dxa"/>
                  <w:gridSpan w:val="4"/>
                  <w:tcBorders>
                    <w:top w:val="single" w:sz="4" w:space="0" w:color="auto"/>
                    <w:left w:val="single" w:sz="4" w:space="0" w:color="auto"/>
                    <w:bottom w:val="nil"/>
                    <w:right w:val="single" w:sz="4" w:space="0" w:color="000000"/>
                  </w:tcBorders>
                  <w:shd w:val="clear" w:color="auto" w:fill="auto"/>
                  <w:noWrap/>
                  <w:hideMark/>
                </w:tcPr>
                <w:p w:rsidR="00962646" w:rsidRPr="00962646" w:rsidRDefault="00962646" w:rsidP="00337AC7">
                  <w:pPr>
                    <w:keepNext/>
                    <w:spacing w:after="0" w:line="240" w:lineRule="auto"/>
                    <w:rPr>
                      <w:rFonts w:eastAsia="Times New Roman"/>
                      <w:color w:val="000000"/>
                      <w:sz w:val="20"/>
                      <w:szCs w:val="20"/>
                    </w:rPr>
                  </w:pPr>
                  <w:r w:rsidRPr="00962646">
                    <w:rPr>
                      <w:rFonts w:eastAsia="Times New Roman"/>
                      <w:color w:val="000000"/>
                      <w:sz w:val="20"/>
                      <w:szCs w:val="20"/>
                    </w:rPr>
                    <w:t xml:space="preserve">Standard errors in </w:t>
                  </w:r>
                  <w:r w:rsidR="00263740" w:rsidRPr="00962646">
                    <w:rPr>
                      <w:rFonts w:eastAsia="Times New Roman"/>
                      <w:color w:val="000000"/>
                      <w:sz w:val="20"/>
                      <w:szCs w:val="20"/>
                    </w:rPr>
                    <w:t>parentheses</w:t>
                  </w:r>
                  <w:r w:rsidRPr="00962646">
                    <w:rPr>
                      <w:rFonts w:eastAsia="Times New Roman"/>
                      <w:color w:val="000000"/>
                      <w:sz w:val="20"/>
                      <w:szCs w:val="20"/>
                    </w:rPr>
                    <w:t xml:space="preserve">  </w:t>
                  </w:r>
                </w:p>
              </w:tc>
            </w:tr>
            <w:tr w:rsidR="00962646" w:rsidRPr="00962646" w:rsidTr="00263740">
              <w:trPr>
                <w:trHeight w:val="255"/>
              </w:trPr>
              <w:tc>
                <w:tcPr>
                  <w:tcW w:w="6636" w:type="dxa"/>
                  <w:gridSpan w:val="4"/>
                  <w:tcBorders>
                    <w:top w:val="nil"/>
                    <w:left w:val="single" w:sz="4" w:space="0" w:color="auto"/>
                    <w:bottom w:val="single" w:sz="4" w:space="0" w:color="auto"/>
                    <w:right w:val="single" w:sz="4" w:space="0" w:color="000000"/>
                  </w:tcBorders>
                  <w:shd w:val="clear" w:color="auto" w:fill="auto"/>
                  <w:noWrap/>
                  <w:hideMark/>
                </w:tcPr>
                <w:p w:rsidR="00962646" w:rsidRPr="00962646" w:rsidRDefault="00263740" w:rsidP="00337AC7">
                  <w:pPr>
                    <w:keepNext/>
                    <w:spacing w:after="0" w:line="240" w:lineRule="auto"/>
                    <w:rPr>
                      <w:rFonts w:eastAsia="Times New Roman"/>
                      <w:color w:val="000000"/>
                      <w:sz w:val="20"/>
                      <w:szCs w:val="20"/>
                    </w:rPr>
                  </w:pPr>
                  <w:r>
                    <w:rPr>
                      <w:rFonts w:eastAsia="Times New Roman"/>
                      <w:color w:val="000000"/>
                      <w:sz w:val="20"/>
                      <w:szCs w:val="20"/>
                    </w:rPr>
                    <w:t>Significance</w:t>
                  </w:r>
                  <w:r w:rsidR="00962646" w:rsidRPr="00962646">
                    <w:rPr>
                      <w:rFonts w:eastAsia="Times New Roman"/>
                      <w:color w:val="000000"/>
                      <w:sz w:val="20"/>
                      <w:szCs w:val="20"/>
                    </w:rPr>
                    <w:t xml:space="preserve"> codes:  0 ‘***’, 0.001 ‘**’, 0.01 ‘*’, 0.05 ‘.’, 0.1 ‘ ’ 1</w:t>
                  </w:r>
                </w:p>
              </w:tc>
            </w:tr>
          </w:tbl>
          <w:p w:rsidR="00962646" w:rsidRDefault="00962646" w:rsidP="00337AC7">
            <w:pPr>
              <w:keepNext/>
              <w:rPr>
                <w:sz w:val="20"/>
              </w:rPr>
            </w:pPr>
          </w:p>
        </w:tc>
      </w:tr>
    </w:tbl>
    <w:p w:rsidR="00CC255E" w:rsidRDefault="00BA1026" w:rsidP="00BA1026">
      <w:pPr>
        <w:spacing w:before="240"/>
        <w:rPr>
          <w:sz w:val="20"/>
        </w:rPr>
      </w:pPr>
      <w:r>
        <w:rPr>
          <w:sz w:val="20"/>
        </w:rPr>
        <w:t xml:space="preserve">Figure 2 </w:t>
      </w:r>
      <w:r w:rsidR="00335C22">
        <w:rPr>
          <w:sz w:val="20"/>
        </w:rPr>
        <w:t xml:space="preserve">presents the time trend for sulfur demand separately for FGD enabled and non-FGD plants.  </w:t>
      </w:r>
      <w:r w:rsidR="00CD54B8">
        <w:rPr>
          <w:sz w:val="20"/>
        </w:rPr>
        <w:t xml:space="preserve">The FGD enabled plants show </w:t>
      </w:r>
      <w:r w:rsidR="0086706C">
        <w:rPr>
          <w:sz w:val="20"/>
        </w:rPr>
        <w:t>a</w:t>
      </w:r>
      <w:r w:rsidR="00CD54B8">
        <w:rPr>
          <w:sz w:val="20"/>
        </w:rPr>
        <w:t xml:space="preserve"> general upward trend while the non-FGD plants show </w:t>
      </w:r>
      <w:r w:rsidR="0086706C">
        <w:rPr>
          <w:sz w:val="20"/>
        </w:rPr>
        <w:t>a</w:t>
      </w:r>
      <w:r w:rsidR="00CD54B8">
        <w:rPr>
          <w:sz w:val="20"/>
        </w:rPr>
        <w:t xml:space="preserve"> downward trend</w:t>
      </w:r>
      <w:r w:rsidR="0086706C">
        <w:rPr>
          <w:sz w:val="20"/>
        </w:rPr>
        <w:t xml:space="preserve"> as</w:t>
      </w:r>
      <w:r w:rsidR="00CD54B8">
        <w:rPr>
          <w:sz w:val="20"/>
        </w:rPr>
        <w:t xml:space="preserve"> </w:t>
      </w:r>
      <w:r w:rsidR="001951DB">
        <w:rPr>
          <w:sz w:val="20"/>
        </w:rPr>
        <w:t xml:space="preserve">indicated </w:t>
      </w:r>
      <w:r w:rsidR="0086706C">
        <w:rPr>
          <w:sz w:val="20"/>
        </w:rPr>
        <w:t>in</w:t>
      </w:r>
      <w:r w:rsidR="001951DB">
        <w:rPr>
          <w:sz w:val="20"/>
        </w:rPr>
        <w:t xml:space="preserve"> model 3.  Plotting as annual box plots provides additional information.  </w:t>
      </w:r>
      <w:r w:rsidR="007B1819">
        <w:rPr>
          <w:sz w:val="20"/>
        </w:rPr>
        <w:t xml:space="preserve">While the trend is generally upward for FGD enabled plants, the boxes </w:t>
      </w:r>
      <w:r w:rsidR="00FF2687">
        <w:rPr>
          <w:sz w:val="20"/>
        </w:rPr>
        <w:t>suggest increasing variability- some plants are increasing sulfur consumption ov</w:t>
      </w:r>
      <w:r w:rsidR="0086706C">
        <w:rPr>
          <w:sz w:val="20"/>
        </w:rPr>
        <w:t>er time while others are not.  Some of t</w:t>
      </w:r>
      <w:r w:rsidR="00FF2687">
        <w:rPr>
          <w:sz w:val="20"/>
        </w:rPr>
        <w:t xml:space="preserve">hese may be plants that </w:t>
      </w:r>
      <w:r w:rsidR="0086706C">
        <w:rPr>
          <w:sz w:val="20"/>
        </w:rPr>
        <w:t>have begun</w:t>
      </w:r>
      <w:r w:rsidR="00FF2687">
        <w:rPr>
          <w:sz w:val="20"/>
        </w:rPr>
        <w:t xml:space="preserve"> producing a byproduct.  In comparison, the boxes for non-FGD plants are shrinking over the period, indicating less variability in sulfur demand.  Substantial outliers of high sulfur demanders remain</w:t>
      </w:r>
      <w:r w:rsidR="0086706C">
        <w:rPr>
          <w:sz w:val="20"/>
        </w:rPr>
        <w:t xml:space="preserve"> across the period</w:t>
      </w:r>
      <w:r w:rsidR="00FF2687">
        <w:rPr>
          <w:sz w:val="20"/>
        </w:rPr>
        <w:t>.  These may indicate plants not in compliance</w:t>
      </w:r>
      <w:r w:rsidR="0086706C">
        <w:rPr>
          <w:sz w:val="20"/>
        </w:rPr>
        <w:t>,</w:t>
      </w:r>
      <w:r w:rsidR="00FF2687">
        <w:rPr>
          <w:sz w:val="20"/>
        </w:rPr>
        <w:t xml:space="preserve"> waived </w:t>
      </w:r>
      <w:r w:rsidR="0086706C">
        <w:rPr>
          <w:sz w:val="20"/>
        </w:rPr>
        <w:t xml:space="preserve">from doing so, or </w:t>
      </w:r>
      <w:r w:rsidR="00FF2687">
        <w:rPr>
          <w:sz w:val="20"/>
        </w:rPr>
        <w:t xml:space="preserve">not operating under </w:t>
      </w:r>
      <w:r w:rsidR="0086706C">
        <w:rPr>
          <w:sz w:val="20"/>
        </w:rPr>
        <w:t>sulfur</w:t>
      </w:r>
      <w:r w:rsidR="00FF2687">
        <w:rPr>
          <w:sz w:val="20"/>
        </w:rPr>
        <w:t xml:space="preserve"> regulation due to being grandfathered in</w:t>
      </w:r>
      <w:r w:rsidR="0086706C">
        <w:rPr>
          <w:sz w:val="20"/>
        </w:rPr>
        <w:t xml:space="preserve"> and</w:t>
      </w:r>
      <w:r w:rsidR="00FF2687">
        <w:rPr>
          <w:sz w:val="20"/>
        </w:rPr>
        <w:t xml:space="preserve"> suggest an avenue for further exploration.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tblGrid>
      <w:tr w:rsidR="00CC255E" w:rsidTr="006B43FD">
        <w:tc>
          <w:tcPr>
            <w:tcW w:w="6120" w:type="dxa"/>
          </w:tcPr>
          <w:p w:rsidR="00CC255E" w:rsidRPr="008E0BE4" w:rsidRDefault="00CC255E" w:rsidP="00337AC7">
            <w:pPr>
              <w:keepNext/>
              <w:rPr>
                <w:b/>
                <w:sz w:val="20"/>
              </w:rPr>
            </w:pPr>
            <w:r w:rsidRPr="008E0BE4">
              <w:rPr>
                <w:b/>
                <w:sz w:val="20"/>
              </w:rPr>
              <w:lastRenderedPageBreak/>
              <w:t>Figure 2.</w:t>
            </w:r>
            <w:r w:rsidR="006B43FD">
              <w:rPr>
                <w:b/>
                <w:sz w:val="20"/>
              </w:rPr>
              <w:t xml:space="preserve"> Comparison of</w:t>
            </w:r>
            <w:r w:rsidR="003A6216" w:rsidRPr="008E0BE4">
              <w:rPr>
                <w:b/>
                <w:sz w:val="20"/>
              </w:rPr>
              <w:t xml:space="preserve"> the general time trend in sulfur demand for plants with FGD installed against those wit</w:t>
            </w:r>
            <w:r w:rsidR="008E0BE4" w:rsidRPr="008E0BE4">
              <w:rPr>
                <w:b/>
                <w:sz w:val="20"/>
              </w:rPr>
              <w:t>hout FGD.  Presenting as annual boxplots provides additional information on the trends.</w:t>
            </w:r>
          </w:p>
        </w:tc>
      </w:tr>
      <w:tr w:rsidR="00CC255E" w:rsidTr="006B43FD">
        <w:tc>
          <w:tcPr>
            <w:tcW w:w="6120" w:type="dxa"/>
          </w:tcPr>
          <w:p w:rsidR="00CC255E" w:rsidRDefault="00CC255E" w:rsidP="00337AC7">
            <w:pPr>
              <w:keepNext/>
              <w:rPr>
                <w:sz w:val="20"/>
              </w:rPr>
            </w:pPr>
            <w:r>
              <w:rPr>
                <w:noProof/>
              </w:rPr>
              <w:drawing>
                <wp:inline distT="0" distB="0" distL="0" distR="0" wp14:anchorId="728BD27D" wp14:editId="314AC2C6">
                  <wp:extent cx="3205861"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5861" cy="3200400"/>
                          </a:xfrm>
                          <a:prstGeom prst="rect">
                            <a:avLst/>
                          </a:prstGeom>
                        </pic:spPr>
                      </pic:pic>
                    </a:graphicData>
                  </a:graphic>
                </wp:inline>
              </w:drawing>
            </w:r>
          </w:p>
        </w:tc>
      </w:tr>
    </w:tbl>
    <w:p w:rsidR="00633139" w:rsidRPr="00910C42" w:rsidRDefault="004019F7" w:rsidP="00FF2687">
      <w:pPr>
        <w:pStyle w:val="Heading1"/>
        <w:spacing w:before="0"/>
        <w:rPr>
          <w:sz w:val="20"/>
        </w:rPr>
      </w:pPr>
      <w:r>
        <w:rPr>
          <w:sz w:val="20"/>
        </w:rPr>
        <w:t>References</w:t>
      </w:r>
    </w:p>
    <w:p w:rsidR="00910C42" w:rsidRPr="00910C42" w:rsidRDefault="00910C42" w:rsidP="00FF2687">
      <w:pPr>
        <w:spacing w:after="0"/>
        <w:rPr>
          <w:sz w:val="20"/>
        </w:rPr>
      </w:pPr>
      <w:r w:rsidRPr="00910C42">
        <w:rPr>
          <w:sz w:val="20"/>
        </w:rPr>
        <w:t xml:space="preserve">He, Q., &amp; Lee, J. M. (2016). The effect of coal combustion byproducts on price discrimination by </w:t>
      </w:r>
    </w:p>
    <w:p w:rsidR="00057BAD" w:rsidRPr="00801493" w:rsidRDefault="00910C42" w:rsidP="00801493">
      <w:pPr>
        <w:spacing w:after="0"/>
        <w:ind w:firstLine="360"/>
      </w:pPr>
      <w:r w:rsidRPr="00910C42">
        <w:rPr>
          <w:sz w:val="20"/>
        </w:rPr>
        <w:t xml:space="preserve">upstream industries. </w:t>
      </w:r>
      <w:r w:rsidRPr="00910C42">
        <w:rPr>
          <w:i/>
          <w:sz w:val="20"/>
        </w:rPr>
        <w:t xml:space="preserve">International </w:t>
      </w:r>
      <w:r>
        <w:rPr>
          <w:i/>
        </w:rPr>
        <w:t>Journal of Industrial Organization, 44</w:t>
      </w:r>
      <w:r>
        <w:t>, 11-26.</w:t>
      </w:r>
    </w:p>
    <w:p w:rsidR="00801493" w:rsidRPr="00801493" w:rsidRDefault="00801493" w:rsidP="00801493">
      <w:pPr>
        <w:contextualSpacing/>
        <w:rPr>
          <w:i/>
          <w:sz w:val="20"/>
        </w:rPr>
      </w:pPr>
      <w:r w:rsidRPr="00801493">
        <w:rPr>
          <w:sz w:val="20"/>
        </w:rPr>
        <w:t xml:space="preserve">U.S. Energy Information Administration. (2016). </w:t>
      </w:r>
      <w:r w:rsidRPr="00801493">
        <w:rPr>
          <w:i/>
          <w:sz w:val="20"/>
        </w:rPr>
        <w:t xml:space="preserve">Quality of fossil fuels in electricity generation: </w:t>
      </w:r>
    </w:p>
    <w:p w:rsidR="00801493" w:rsidRPr="00801493" w:rsidRDefault="00801493" w:rsidP="00801493">
      <w:pPr>
        <w:ind w:firstLine="360"/>
        <w:contextualSpacing/>
        <w:rPr>
          <w:sz w:val="20"/>
        </w:rPr>
      </w:pPr>
      <w:r w:rsidRPr="00801493">
        <w:rPr>
          <w:i/>
          <w:sz w:val="20"/>
        </w:rPr>
        <w:t>Sulfur content for all sectors, monthly</w:t>
      </w:r>
      <w:r w:rsidRPr="00801493">
        <w:rPr>
          <w:sz w:val="20"/>
        </w:rPr>
        <w:t xml:space="preserve">. Washington, DC: U.S. Department of Energy. Retrieved </w:t>
      </w:r>
    </w:p>
    <w:p w:rsidR="00057BAD" w:rsidRPr="00FF2687" w:rsidRDefault="00801493" w:rsidP="00FF2687">
      <w:pPr>
        <w:ind w:firstLine="360"/>
        <w:contextualSpacing/>
        <w:rPr>
          <w:i/>
          <w:sz w:val="20"/>
        </w:rPr>
      </w:pPr>
      <w:r w:rsidRPr="00801493">
        <w:rPr>
          <w:sz w:val="20"/>
        </w:rPr>
        <w:t>from</w:t>
      </w:r>
      <w:r w:rsidRPr="00801493">
        <w:rPr>
          <w:i/>
          <w:sz w:val="20"/>
        </w:rPr>
        <w:t xml:space="preserve"> </w:t>
      </w:r>
      <w:r w:rsidRPr="00801493">
        <w:rPr>
          <w:sz w:val="20"/>
        </w:rPr>
        <w:t>http://www.eia.gov/electricity/data/browser/</w:t>
      </w:r>
    </w:p>
    <w:p w:rsidR="00057BAD" w:rsidRPr="00633139" w:rsidRDefault="00057BAD" w:rsidP="00FF2687">
      <w:pPr>
        <w:spacing w:after="0" w:line="240" w:lineRule="auto"/>
        <w:rPr>
          <w:rFonts w:eastAsia="Times New Roman"/>
          <w:sz w:val="20"/>
          <w:szCs w:val="24"/>
        </w:rPr>
      </w:pPr>
      <w:r w:rsidRPr="00633139">
        <w:rPr>
          <w:rFonts w:eastAsia="Times New Roman"/>
          <w:sz w:val="20"/>
          <w:szCs w:val="24"/>
        </w:rPr>
        <w:t>U.S. Environmental Protection Agency. (</w:t>
      </w:r>
      <w:proofErr w:type="spellStart"/>
      <w:r w:rsidRPr="00633139">
        <w:rPr>
          <w:rFonts w:eastAsia="Times New Roman"/>
          <w:sz w:val="20"/>
          <w:szCs w:val="24"/>
        </w:rPr>
        <w:t>n.d.</w:t>
      </w:r>
      <w:proofErr w:type="spellEnd"/>
      <w:r w:rsidRPr="00633139">
        <w:rPr>
          <w:rFonts w:eastAsia="Times New Roman"/>
          <w:sz w:val="20"/>
          <w:szCs w:val="24"/>
        </w:rPr>
        <w:t xml:space="preserve">). </w:t>
      </w:r>
      <w:r w:rsidRPr="00633139">
        <w:rPr>
          <w:rFonts w:eastAsia="Times New Roman"/>
          <w:i/>
          <w:sz w:val="20"/>
          <w:szCs w:val="24"/>
        </w:rPr>
        <w:t xml:space="preserve">Air pollution control technology fact sheet </w:t>
      </w:r>
      <w:r w:rsidRPr="00633139">
        <w:rPr>
          <w:rFonts w:eastAsia="Times New Roman"/>
          <w:sz w:val="20"/>
          <w:szCs w:val="24"/>
        </w:rPr>
        <w:t>(EPA-</w:t>
      </w:r>
    </w:p>
    <w:p w:rsidR="00057BAD" w:rsidRPr="00633139" w:rsidRDefault="00057BAD" w:rsidP="00057BAD">
      <w:pPr>
        <w:spacing w:after="0" w:line="240" w:lineRule="auto"/>
        <w:ind w:firstLine="360"/>
        <w:rPr>
          <w:rFonts w:eastAsia="Times New Roman"/>
          <w:sz w:val="20"/>
          <w:szCs w:val="24"/>
        </w:rPr>
      </w:pPr>
      <w:r w:rsidRPr="00633139">
        <w:rPr>
          <w:rFonts w:eastAsia="Times New Roman"/>
          <w:sz w:val="20"/>
          <w:szCs w:val="24"/>
        </w:rPr>
        <w:t xml:space="preserve">452/F-03-034). Washington, DC: U.S. Environmental Protection Agency. Retrieved from </w:t>
      </w:r>
    </w:p>
    <w:p w:rsidR="00057BAD" w:rsidRPr="00633139" w:rsidRDefault="00057BAD" w:rsidP="00057BAD">
      <w:pPr>
        <w:spacing w:after="0" w:line="240" w:lineRule="auto"/>
        <w:ind w:firstLine="360"/>
        <w:rPr>
          <w:rFonts w:eastAsia="Times New Roman"/>
          <w:sz w:val="20"/>
          <w:szCs w:val="24"/>
        </w:rPr>
      </w:pPr>
      <w:r w:rsidRPr="00633139">
        <w:rPr>
          <w:rFonts w:eastAsia="Times New Roman"/>
          <w:sz w:val="20"/>
          <w:szCs w:val="24"/>
        </w:rPr>
        <w:t>https://www3.epa.gov/ttn/catc/dir1/ffdg.pdf</w:t>
      </w:r>
    </w:p>
    <w:p w:rsidR="004019F7" w:rsidRPr="00FF2687" w:rsidRDefault="00633139" w:rsidP="00E84262">
      <w:pPr>
        <w:pStyle w:val="Heading1"/>
        <w:spacing w:before="0"/>
        <w:rPr>
          <w:sz w:val="22"/>
          <w:szCs w:val="22"/>
        </w:rPr>
      </w:pPr>
      <w:r w:rsidRPr="00FF2687">
        <w:rPr>
          <w:sz w:val="22"/>
          <w:szCs w:val="22"/>
        </w:rPr>
        <w:t>Data sources:</w:t>
      </w:r>
    </w:p>
    <w:p w:rsidR="004019F7" w:rsidRDefault="004019F7" w:rsidP="004019F7">
      <w:pPr>
        <w:spacing w:after="0" w:line="240" w:lineRule="auto"/>
        <w:rPr>
          <w:rFonts w:eastAsia="Times New Roman"/>
          <w:sz w:val="20"/>
          <w:szCs w:val="24"/>
        </w:rPr>
      </w:pPr>
      <w:r w:rsidRPr="004019F7">
        <w:rPr>
          <w:rFonts w:eastAsia="Times New Roman"/>
          <w:sz w:val="20"/>
          <w:szCs w:val="24"/>
        </w:rPr>
        <w:t>U.S. Energy Information Administration. (201</w:t>
      </w:r>
      <w:r w:rsidR="00BB0A0F">
        <w:rPr>
          <w:rFonts w:eastAsia="Times New Roman"/>
          <w:sz w:val="20"/>
          <w:szCs w:val="24"/>
        </w:rPr>
        <w:t>5</w:t>
      </w:r>
      <w:r w:rsidRPr="004019F7">
        <w:rPr>
          <w:rFonts w:eastAsia="Times New Roman"/>
          <w:sz w:val="20"/>
          <w:szCs w:val="24"/>
        </w:rPr>
        <w:t xml:space="preserve">). </w:t>
      </w:r>
      <w:r w:rsidRPr="004019F7">
        <w:rPr>
          <w:rFonts w:eastAsia="Times New Roman"/>
          <w:i/>
          <w:sz w:val="20"/>
          <w:szCs w:val="24"/>
        </w:rPr>
        <w:t xml:space="preserve">Annual Electric Generator Data </w:t>
      </w:r>
      <w:r w:rsidRPr="004019F7">
        <w:rPr>
          <w:rFonts w:eastAsia="Times New Roman"/>
          <w:sz w:val="20"/>
          <w:szCs w:val="24"/>
        </w:rPr>
        <w:t>(EIA-860) [2008-201</w:t>
      </w:r>
      <w:r w:rsidR="00BB0A0F">
        <w:rPr>
          <w:rFonts w:eastAsia="Times New Roman"/>
          <w:sz w:val="20"/>
          <w:szCs w:val="24"/>
        </w:rPr>
        <w:t>4</w:t>
      </w:r>
      <w:r w:rsidRPr="004019F7">
        <w:rPr>
          <w:rFonts w:eastAsia="Times New Roman"/>
          <w:sz w:val="20"/>
          <w:szCs w:val="24"/>
        </w:rPr>
        <w:t xml:space="preserve">]. </w:t>
      </w:r>
    </w:p>
    <w:p w:rsidR="004019F7" w:rsidRPr="004019F7" w:rsidRDefault="004019F7" w:rsidP="004019F7">
      <w:pPr>
        <w:spacing w:after="0" w:line="240" w:lineRule="auto"/>
        <w:ind w:firstLine="720"/>
        <w:rPr>
          <w:rFonts w:eastAsia="Times New Roman"/>
          <w:sz w:val="20"/>
          <w:szCs w:val="24"/>
        </w:rPr>
      </w:pPr>
      <w:r w:rsidRPr="004019F7">
        <w:rPr>
          <w:rFonts w:eastAsia="Times New Roman"/>
          <w:sz w:val="20"/>
          <w:szCs w:val="24"/>
        </w:rPr>
        <w:t>Retrieved from http://www.eia.gov/electricity/data/eia860/</w:t>
      </w:r>
    </w:p>
    <w:p w:rsidR="004019F7" w:rsidRDefault="004019F7" w:rsidP="004019F7">
      <w:pPr>
        <w:spacing w:after="0" w:line="240" w:lineRule="auto"/>
        <w:contextualSpacing/>
        <w:rPr>
          <w:rFonts w:eastAsia="Times New Roman"/>
          <w:sz w:val="20"/>
          <w:szCs w:val="24"/>
        </w:rPr>
      </w:pPr>
      <w:r w:rsidRPr="004019F7">
        <w:rPr>
          <w:rFonts w:eastAsia="Times New Roman"/>
          <w:sz w:val="20"/>
          <w:szCs w:val="24"/>
        </w:rPr>
        <w:t>U.S. Energy I</w:t>
      </w:r>
      <w:r w:rsidR="00BB0A0F">
        <w:rPr>
          <w:rFonts w:eastAsia="Times New Roman"/>
          <w:sz w:val="20"/>
          <w:szCs w:val="24"/>
        </w:rPr>
        <w:t>nformation Administration. (2015</w:t>
      </w:r>
      <w:r w:rsidRPr="004019F7">
        <w:rPr>
          <w:rFonts w:eastAsia="Times New Roman"/>
          <w:sz w:val="20"/>
          <w:szCs w:val="24"/>
        </w:rPr>
        <w:t xml:space="preserve">). </w:t>
      </w:r>
      <w:r w:rsidRPr="004019F7">
        <w:rPr>
          <w:rFonts w:eastAsia="Times New Roman"/>
          <w:i/>
          <w:sz w:val="20"/>
          <w:szCs w:val="24"/>
        </w:rPr>
        <w:t xml:space="preserve">Power Plant Operations Report </w:t>
      </w:r>
      <w:r w:rsidRPr="004019F7">
        <w:rPr>
          <w:rFonts w:eastAsia="Times New Roman"/>
          <w:sz w:val="20"/>
          <w:szCs w:val="24"/>
        </w:rPr>
        <w:t>(EIA-923) [2008-201</w:t>
      </w:r>
      <w:r w:rsidR="00BB0A0F">
        <w:rPr>
          <w:rFonts w:eastAsia="Times New Roman"/>
          <w:sz w:val="20"/>
          <w:szCs w:val="24"/>
        </w:rPr>
        <w:t>4</w:t>
      </w:r>
      <w:r w:rsidRPr="004019F7">
        <w:rPr>
          <w:rFonts w:eastAsia="Times New Roman"/>
          <w:sz w:val="20"/>
          <w:szCs w:val="24"/>
        </w:rPr>
        <w:t xml:space="preserve">]. </w:t>
      </w:r>
    </w:p>
    <w:p w:rsidR="004019F7" w:rsidRPr="004019F7" w:rsidRDefault="004019F7" w:rsidP="004019F7">
      <w:pPr>
        <w:spacing w:after="0" w:line="240" w:lineRule="auto"/>
        <w:ind w:firstLine="720"/>
        <w:contextualSpacing/>
        <w:rPr>
          <w:rFonts w:eastAsia="Times New Roman"/>
          <w:sz w:val="20"/>
          <w:szCs w:val="24"/>
        </w:rPr>
      </w:pPr>
      <w:r w:rsidRPr="004019F7">
        <w:rPr>
          <w:rFonts w:eastAsia="Times New Roman"/>
          <w:sz w:val="20"/>
          <w:szCs w:val="24"/>
        </w:rPr>
        <w:t>Retrieved from http://www.eia.gov/electricity/data/eia923/</w:t>
      </w:r>
    </w:p>
    <w:p w:rsidR="004019F7" w:rsidRDefault="002D4653" w:rsidP="002D4653">
      <w:pPr>
        <w:pStyle w:val="Heading1"/>
        <w:rPr>
          <w:sz w:val="22"/>
        </w:rPr>
      </w:pPr>
      <w:r>
        <w:rPr>
          <w:sz w:val="22"/>
        </w:rPr>
        <w:lastRenderedPageBreak/>
        <w:t>Appendices: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D4653" w:rsidTr="002D4653">
        <w:tc>
          <w:tcPr>
            <w:tcW w:w="9350" w:type="dxa"/>
          </w:tcPr>
          <w:p w:rsidR="002D4653" w:rsidRDefault="002D4653" w:rsidP="00337AC7">
            <w:pPr>
              <w:keepNext/>
            </w:pPr>
            <w:r>
              <w:t xml:space="preserve">Appendix A. Full regression results for the three </w:t>
            </w:r>
            <w:r w:rsidR="001B6309">
              <w:t xml:space="preserve">model </w:t>
            </w:r>
            <w:r>
              <w:t>specifi</w:t>
            </w:r>
            <w:r w:rsidR="000C4A96">
              <w:t>cations</w:t>
            </w:r>
            <w:r>
              <w:t>.</w:t>
            </w:r>
          </w:p>
        </w:tc>
      </w:tr>
      <w:tr w:rsidR="002D4653" w:rsidTr="002D4653">
        <w:tc>
          <w:tcPr>
            <w:tcW w:w="9350" w:type="dxa"/>
          </w:tcPr>
          <w:tbl>
            <w:tblPr>
              <w:tblW w:w="7157" w:type="dxa"/>
              <w:tblLook w:val="04A0" w:firstRow="1" w:lastRow="0" w:firstColumn="1" w:lastColumn="0" w:noHBand="0" w:noVBand="1"/>
            </w:tblPr>
            <w:tblGrid>
              <w:gridCol w:w="2757"/>
              <w:gridCol w:w="916"/>
              <w:gridCol w:w="1168"/>
              <w:gridCol w:w="990"/>
              <w:gridCol w:w="810"/>
              <w:gridCol w:w="516"/>
            </w:tblGrid>
            <w:tr w:rsidR="002D4653" w:rsidRPr="002D4653" w:rsidTr="00CD45DC">
              <w:trPr>
                <w:trHeight w:val="255"/>
              </w:trPr>
              <w:tc>
                <w:tcPr>
                  <w:tcW w:w="7157" w:type="dxa"/>
                  <w:gridSpan w:val="6"/>
                  <w:tcBorders>
                    <w:top w:val="nil"/>
                    <w:left w:val="nil"/>
                    <w:bottom w:val="nil"/>
                    <w:right w:val="nil"/>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Model 1:</w:t>
                  </w:r>
                </w:p>
              </w:tc>
            </w:tr>
            <w:tr w:rsidR="002D4653" w:rsidRPr="002D4653" w:rsidTr="00CD45DC">
              <w:trPr>
                <w:trHeight w:val="255"/>
              </w:trPr>
              <w:tc>
                <w:tcPr>
                  <w:tcW w:w="2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4653" w:rsidRPr="002D4653" w:rsidRDefault="002C16C2" w:rsidP="00337AC7">
                  <w:pPr>
                    <w:keepNext/>
                    <w:spacing w:after="0" w:line="240" w:lineRule="auto"/>
                    <w:jc w:val="right"/>
                    <w:rPr>
                      <w:rFonts w:eastAsia="Times New Roman"/>
                      <w:color w:val="000000"/>
                      <w:sz w:val="20"/>
                      <w:szCs w:val="20"/>
                    </w:rPr>
                  </w:pPr>
                  <w:proofErr w:type="spellStart"/>
                  <w:r>
                    <w:rPr>
                      <w:rFonts w:eastAsia="Times New Roman"/>
                      <w:color w:val="000000"/>
                      <w:sz w:val="20"/>
                      <w:szCs w:val="20"/>
                    </w:rPr>
                    <w:t>lnAdjsulfur</w:t>
                  </w:r>
                  <w:proofErr w:type="spellEnd"/>
                </w:p>
              </w:tc>
              <w:tc>
                <w:tcPr>
                  <w:tcW w:w="916" w:type="dxa"/>
                  <w:tcBorders>
                    <w:top w:val="single" w:sz="4" w:space="0" w:color="auto"/>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center"/>
                    <w:rPr>
                      <w:rFonts w:eastAsia="Times New Roman"/>
                      <w:color w:val="000000"/>
                      <w:sz w:val="20"/>
                      <w:szCs w:val="20"/>
                      <w:u w:val="single"/>
                    </w:rPr>
                  </w:pPr>
                  <w:r w:rsidRPr="002D4653">
                    <w:rPr>
                      <w:rFonts w:eastAsia="Times New Roman"/>
                      <w:color w:val="000000"/>
                      <w:sz w:val="20"/>
                      <w:szCs w:val="20"/>
                      <w:u w:val="single"/>
                    </w:rPr>
                    <w:t>Estimate</w:t>
                  </w:r>
                </w:p>
              </w:tc>
              <w:tc>
                <w:tcPr>
                  <w:tcW w:w="1168" w:type="dxa"/>
                  <w:tcBorders>
                    <w:top w:val="single" w:sz="4" w:space="0" w:color="auto"/>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center"/>
                    <w:rPr>
                      <w:rFonts w:eastAsia="Times New Roman"/>
                      <w:color w:val="000000"/>
                      <w:sz w:val="20"/>
                      <w:szCs w:val="20"/>
                      <w:u w:val="single"/>
                    </w:rPr>
                  </w:pPr>
                  <w:r w:rsidRPr="002D4653">
                    <w:rPr>
                      <w:rFonts w:eastAsia="Times New Roman"/>
                      <w:color w:val="000000"/>
                      <w:sz w:val="20"/>
                      <w:szCs w:val="20"/>
                      <w:u w:val="single"/>
                    </w:rPr>
                    <w:t>Std. Error</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center"/>
                    <w:rPr>
                      <w:rFonts w:eastAsia="Times New Roman"/>
                      <w:color w:val="000000"/>
                      <w:sz w:val="20"/>
                      <w:szCs w:val="20"/>
                      <w:u w:val="single"/>
                    </w:rPr>
                  </w:pPr>
                  <w:r w:rsidRPr="002D4653">
                    <w:rPr>
                      <w:rFonts w:eastAsia="Times New Roman"/>
                      <w:color w:val="000000"/>
                      <w:sz w:val="20"/>
                      <w:szCs w:val="20"/>
                      <w:u w:val="single"/>
                    </w:rPr>
                    <w:t>t-value</w:t>
                  </w:r>
                </w:p>
              </w:tc>
              <w:tc>
                <w:tcPr>
                  <w:tcW w:w="810" w:type="dxa"/>
                  <w:tcBorders>
                    <w:top w:val="single" w:sz="4" w:space="0" w:color="auto"/>
                    <w:left w:val="nil"/>
                    <w:bottom w:val="single" w:sz="4" w:space="0" w:color="auto"/>
                    <w:right w:val="nil"/>
                  </w:tcBorders>
                  <w:shd w:val="clear" w:color="auto" w:fill="auto"/>
                  <w:noWrap/>
                  <w:vAlign w:val="bottom"/>
                  <w:hideMark/>
                </w:tcPr>
                <w:p w:rsidR="002D4653" w:rsidRPr="002D4653" w:rsidRDefault="002D4653" w:rsidP="00337AC7">
                  <w:pPr>
                    <w:keepNext/>
                    <w:spacing w:after="0" w:line="240" w:lineRule="auto"/>
                    <w:jc w:val="center"/>
                    <w:rPr>
                      <w:rFonts w:eastAsia="Times New Roman"/>
                      <w:color w:val="000000"/>
                      <w:sz w:val="20"/>
                      <w:szCs w:val="20"/>
                      <w:u w:val="single"/>
                    </w:rPr>
                  </w:pPr>
                  <w:proofErr w:type="spellStart"/>
                  <w:r w:rsidRPr="002D4653">
                    <w:rPr>
                      <w:rFonts w:eastAsia="Times New Roman"/>
                      <w:color w:val="000000"/>
                      <w:sz w:val="20"/>
                      <w:szCs w:val="20"/>
                      <w:u w:val="single"/>
                    </w:rPr>
                    <w:t>Pr</w:t>
                  </w:r>
                  <w:proofErr w:type="spellEnd"/>
                  <w:r w:rsidRPr="002D4653">
                    <w:rPr>
                      <w:rFonts w:eastAsia="Times New Roman"/>
                      <w:color w:val="000000"/>
                      <w:sz w:val="20"/>
                      <w:szCs w:val="20"/>
                      <w:u w:val="single"/>
                    </w:rPr>
                    <w:t>(&gt;|t|)</w:t>
                  </w:r>
                </w:p>
              </w:tc>
              <w:tc>
                <w:tcPr>
                  <w:tcW w:w="516" w:type="dxa"/>
                  <w:tcBorders>
                    <w:top w:val="single" w:sz="4" w:space="0" w:color="auto"/>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 </w:t>
                  </w:r>
                </w:p>
              </w:tc>
            </w:tr>
            <w:tr w:rsidR="002D4653" w:rsidRPr="002D4653" w:rsidTr="00CD45DC">
              <w:trPr>
                <w:trHeight w:val="255"/>
              </w:trPr>
              <w:tc>
                <w:tcPr>
                  <w:tcW w:w="2757" w:type="dxa"/>
                  <w:tcBorders>
                    <w:top w:val="nil"/>
                    <w:left w:val="single" w:sz="4" w:space="0" w:color="auto"/>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SO2controls</w:t>
                  </w:r>
                </w:p>
              </w:tc>
              <w:tc>
                <w:tcPr>
                  <w:tcW w:w="916"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0.2556</w:t>
                  </w:r>
                </w:p>
              </w:tc>
              <w:tc>
                <w:tcPr>
                  <w:tcW w:w="1168"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0.0095</w:t>
                  </w:r>
                </w:p>
              </w:tc>
              <w:tc>
                <w:tcPr>
                  <w:tcW w:w="990"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27.0030</w:t>
                  </w:r>
                </w:p>
              </w:tc>
              <w:tc>
                <w:tcPr>
                  <w:tcW w:w="810" w:type="dxa"/>
                  <w:tcBorders>
                    <w:top w:val="nil"/>
                    <w:left w:val="nil"/>
                    <w:bottom w:val="nil"/>
                    <w:right w:val="nil"/>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0.0000</w:t>
                  </w:r>
                </w:p>
              </w:tc>
              <w:tc>
                <w:tcPr>
                  <w:tcW w:w="516"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w:t>
                  </w:r>
                </w:p>
              </w:tc>
            </w:tr>
            <w:tr w:rsidR="002D4653" w:rsidRPr="002D4653" w:rsidTr="00CD45DC">
              <w:trPr>
                <w:trHeight w:val="255"/>
              </w:trPr>
              <w:tc>
                <w:tcPr>
                  <w:tcW w:w="2757" w:type="dxa"/>
                  <w:tcBorders>
                    <w:top w:val="nil"/>
                    <w:left w:val="single" w:sz="4" w:space="0" w:color="auto"/>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Monthly</w:t>
                  </w:r>
                </w:p>
              </w:tc>
              <w:tc>
                <w:tcPr>
                  <w:tcW w:w="916"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-0.0013</w:t>
                  </w:r>
                </w:p>
              </w:tc>
              <w:tc>
                <w:tcPr>
                  <w:tcW w:w="1168"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0.0001</w:t>
                  </w:r>
                </w:p>
              </w:tc>
              <w:tc>
                <w:tcPr>
                  <w:tcW w:w="990"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-14.4640</w:t>
                  </w:r>
                </w:p>
              </w:tc>
              <w:tc>
                <w:tcPr>
                  <w:tcW w:w="810" w:type="dxa"/>
                  <w:tcBorders>
                    <w:top w:val="nil"/>
                    <w:left w:val="nil"/>
                    <w:bottom w:val="single" w:sz="4" w:space="0" w:color="auto"/>
                    <w:right w:val="nil"/>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0.0000</w:t>
                  </w:r>
                </w:p>
              </w:tc>
              <w:tc>
                <w:tcPr>
                  <w:tcW w:w="516"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w:t>
                  </w:r>
                </w:p>
              </w:tc>
            </w:tr>
            <w:tr w:rsidR="002D4653" w:rsidRPr="002D4653" w:rsidTr="00CD45DC">
              <w:trPr>
                <w:trHeight w:val="255"/>
              </w:trPr>
              <w:tc>
                <w:tcPr>
                  <w:tcW w:w="7157"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proofErr w:type="spellStart"/>
                  <w:r w:rsidRPr="002D4653">
                    <w:rPr>
                      <w:rFonts w:eastAsia="Times New Roman"/>
                      <w:color w:val="000000"/>
                      <w:sz w:val="20"/>
                      <w:szCs w:val="20"/>
                    </w:rPr>
                    <w:t>Signif</w:t>
                  </w:r>
                  <w:proofErr w:type="spellEnd"/>
                  <w:r w:rsidRPr="002D4653">
                    <w:rPr>
                      <w:rFonts w:eastAsia="Times New Roman"/>
                      <w:color w:val="000000"/>
                      <w:sz w:val="20"/>
                      <w:szCs w:val="20"/>
                    </w:rPr>
                    <w:t>. codes:  0 ‘***’, 0.001 ‘**’, 0.01 ‘*’, 0.05 ‘.’, 0.1 ‘ ’ 1</w:t>
                  </w:r>
                </w:p>
              </w:tc>
            </w:tr>
            <w:tr w:rsidR="002D4653" w:rsidRPr="002D4653" w:rsidTr="00CD45DC">
              <w:trPr>
                <w:trHeight w:val="255"/>
              </w:trPr>
              <w:tc>
                <w:tcPr>
                  <w:tcW w:w="7157" w:type="dxa"/>
                  <w:gridSpan w:val="6"/>
                  <w:tcBorders>
                    <w:top w:val="nil"/>
                    <w:left w:val="nil"/>
                    <w:bottom w:val="nil"/>
                    <w:right w:val="nil"/>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Model 2:</w:t>
                  </w:r>
                </w:p>
              </w:tc>
            </w:tr>
            <w:tr w:rsidR="002D4653" w:rsidRPr="002D4653" w:rsidTr="00CD45DC">
              <w:trPr>
                <w:trHeight w:val="255"/>
              </w:trPr>
              <w:tc>
                <w:tcPr>
                  <w:tcW w:w="2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4653" w:rsidRPr="002D4653" w:rsidRDefault="002C16C2" w:rsidP="00337AC7">
                  <w:pPr>
                    <w:keepNext/>
                    <w:spacing w:after="0" w:line="240" w:lineRule="auto"/>
                    <w:jc w:val="right"/>
                    <w:rPr>
                      <w:rFonts w:eastAsia="Times New Roman"/>
                      <w:color w:val="000000"/>
                      <w:sz w:val="20"/>
                      <w:szCs w:val="20"/>
                    </w:rPr>
                  </w:pPr>
                  <w:proofErr w:type="spellStart"/>
                  <w:r>
                    <w:rPr>
                      <w:rFonts w:eastAsia="Times New Roman"/>
                      <w:color w:val="000000"/>
                      <w:sz w:val="20"/>
                      <w:szCs w:val="20"/>
                    </w:rPr>
                    <w:t>lnAdjsulfur</w:t>
                  </w:r>
                  <w:proofErr w:type="spellEnd"/>
                </w:p>
              </w:tc>
              <w:tc>
                <w:tcPr>
                  <w:tcW w:w="916" w:type="dxa"/>
                  <w:tcBorders>
                    <w:top w:val="single" w:sz="4" w:space="0" w:color="auto"/>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center"/>
                    <w:rPr>
                      <w:rFonts w:eastAsia="Times New Roman"/>
                      <w:color w:val="000000"/>
                      <w:sz w:val="20"/>
                      <w:szCs w:val="20"/>
                      <w:u w:val="single"/>
                    </w:rPr>
                  </w:pPr>
                  <w:r w:rsidRPr="002D4653">
                    <w:rPr>
                      <w:rFonts w:eastAsia="Times New Roman"/>
                      <w:color w:val="000000"/>
                      <w:sz w:val="20"/>
                      <w:szCs w:val="20"/>
                      <w:u w:val="single"/>
                    </w:rPr>
                    <w:t>Estimate</w:t>
                  </w:r>
                </w:p>
              </w:tc>
              <w:tc>
                <w:tcPr>
                  <w:tcW w:w="1168" w:type="dxa"/>
                  <w:tcBorders>
                    <w:top w:val="single" w:sz="4" w:space="0" w:color="auto"/>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center"/>
                    <w:rPr>
                      <w:rFonts w:eastAsia="Times New Roman"/>
                      <w:color w:val="000000"/>
                      <w:sz w:val="20"/>
                      <w:szCs w:val="20"/>
                      <w:u w:val="single"/>
                    </w:rPr>
                  </w:pPr>
                  <w:r w:rsidRPr="002D4653">
                    <w:rPr>
                      <w:rFonts w:eastAsia="Times New Roman"/>
                      <w:color w:val="000000"/>
                      <w:sz w:val="20"/>
                      <w:szCs w:val="20"/>
                      <w:u w:val="single"/>
                    </w:rPr>
                    <w:t>Std. Error</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center"/>
                    <w:rPr>
                      <w:rFonts w:eastAsia="Times New Roman"/>
                      <w:color w:val="000000"/>
                      <w:sz w:val="20"/>
                      <w:szCs w:val="20"/>
                      <w:u w:val="single"/>
                    </w:rPr>
                  </w:pPr>
                  <w:r w:rsidRPr="002D4653">
                    <w:rPr>
                      <w:rFonts w:eastAsia="Times New Roman"/>
                      <w:color w:val="000000"/>
                      <w:sz w:val="20"/>
                      <w:szCs w:val="20"/>
                      <w:u w:val="single"/>
                    </w:rPr>
                    <w:t>t-value</w:t>
                  </w:r>
                </w:p>
              </w:tc>
              <w:tc>
                <w:tcPr>
                  <w:tcW w:w="810" w:type="dxa"/>
                  <w:tcBorders>
                    <w:top w:val="single" w:sz="4" w:space="0" w:color="auto"/>
                    <w:left w:val="nil"/>
                    <w:bottom w:val="single" w:sz="4" w:space="0" w:color="auto"/>
                    <w:right w:val="nil"/>
                  </w:tcBorders>
                  <w:shd w:val="clear" w:color="auto" w:fill="auto"/>
                  <w:noWrap/>
                  <w:vAlign w:val="bottom"/>
                  <w:hideMark/>
                </w:tcPr>
                <w:p w:rsidR="002D4653" w:rsidRPr="002D4653" w:rsidRDefault="002D4653" w:rsidP="00337AC7">
                  <w:pPr>
                    <w:keepNext/>
                    <w:spacing w:after="0" w:line="240" w:lineRule="auto"/>
                    <w:jc w:val="center"/>
                    <w:rPr>
                      <w:rFonts w:eastAsia="Times New Roman"/>
                      <w:color w:val="000000"/>
                      <w:sz w:val="20"/>
                      <w:szCs w:val="20"/>
                      <w:u w:val="single"/>
                    </w:rPr>
                  </w:pPr>
                  <w:proofErr w:type="spellStart"/>
                  <w:r w:rsidRPr="002D4653">
                    <w:rPr>
                      <w:rFonts w:eastAsia="Times New Roman"/>
                      <w:color w:val="000000"/>
                      <w:sz w:val="20"/>
                      <w:szCs w:val="20"/>
                      <w:u w:val="single"/>
                    </w:rPr>
                    <w:t>Pr</w:t>
                  </w:r>
                  <w:proofErr w:type="spellEnd"/>
                  <w:r w:rsidRPr="002D4653">
                    <w:rPr>
                      <w:rFonts w:eastAsia="Times New Roman"/>
                      <w:color w:val="000000"/>
                      <w:sz w:val="20"/>
                      <w:szCs w:val="20"/>
                      <w:u w:val="single"/>
                    </w:rPr>
                    <w:t>(&gt;|t|)</w:t>
                  </w:r>
                </w:p>
              </w:tc>
              <w:tc>
                <w:tcPr>
                  <w:tcW w:w="516" w:type="dxa"/>
                  <w:tcBorders>
                    <w:top w:val="single" w:sz="4" w:space="0" w:color="auto"/>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 </w:t>
                  </w:r>
                </w:p>
              </w:tc>
            </w:tr>
            <w:tr w:rsidR="002D4653" w:rsidRPr="002D4653" w:rsidTr="00CD45DC">
              <w:trPr>
                <w:trHeight w:val="255"/>
              </w:trPr>
              <w:tc>
                <w:tcPr>
                  <w:tcW w:w="2757" w:type="dxa"/>
                  <w:tcBorders>
                    <w:top w:val="nil"/>
                    <w:left w:val="single" w:sz="4" w:space="0" w:color="auto"/>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SO2controls</w:t>
                  </w:r>
                </w:p>
              </w:tc>
              <w:tc>
                <w:tcPr>
                  <w:tcW w:w="916"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0.1722</w:t>
                  </w:r>
                </w:p>
              </w:tc>
              <w:tc>
                <w:tcPr>
                  <w:tcW w:w="1168"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0.0102</w:t>
                  </w:r>
                </w:p>
              </w:tc>
              <w:tc>
                <w:tcPr>
                  <w:tcW w:w="990"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16.8810</w:t>
                  </w:r>
                </w:p>
              </w:tc>
              <w:tc>
                <w:tcPr>
                  <w:tcW w:w="810" w:type="dxa"/>
                  <w:tcBorders>
                    <w:top w:val="nil"/>
                    <w:left w:val="nil"/>
                    <w:bottom w:val="nil"/>
                    <w:right w:val="nil"/>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0.0000</w:t>
                  </w:r>
                </w:p>
              </w:tc>
              <w:tc>
                <w:tcPr>
                  <w:tcW w:w="516"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w:t>
                  </w:r>
                </w:p>
              </w:tc>
            </w:tr>
            <w:tr w:rsidR="002D4653" w:rsidRPr="002D4653" w:rsidTr="00CD45DC">
              <w:trPr>
                <w:trHeight w:val="255"/>
              </w:trPr>
              <w:tc>
                <w:tcPr>
                  <w:tcW w:w="2757" w:type="dxa"/>
                  <w:tcBorders>
                    <w:top w:val="nil"/>
                    <w:left w:val="single" w:sz="4" w:space="0" w:color="auto"/>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SO2byproductprodn</w:t>
                  </w:r>
                </w:p>
              </w:tc>
              <w:tc>
                <w:tcPr>
                  <w:tcW w:w="916"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0.3280</w:t>
                  </w:r>
                </w:p>
              </w:tc>
              <w:tc>
                <w:tcPr>
                  <w:tcW w:w="1168"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0.0152</w:t>
                  </w:r>
                </w:p>
              </w:tc>
              <w:tc>
                <w:tcPr>
                  <w:tcW w:w="990"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21.5690</w:t>
                  </w:r>
                </w:p>
              </w:tc>
              <w:tc>
                <w:tcPr>
                  <w:tcW w:w="810" w:type="dxa"/>
                  <w:tcBorders>
                    <w:top w:val="nil"/>
                    <w:left w:val="nil"/>
                    <w:bottom w:val="nil"/>
                    <w:right w:val="nil"/>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0.0000</w:t>
                  </w:r>
                </w:p>
              </w:tc>
              <w:tc>
                <w:tcPr>
                  <w:tcW w:w="516"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w:t>
                  </w:r>
                </w:p>
              </w:tc>
            </w:tr>
            <w:tr w:rsidR="002D4653" w:rsidRPr="002D4653" w:rsidTr="00CD45DC">
              <w:trPr>
                <w:trHeight w:val="255"/>
              </w:trPr>
              <w:tc>
                <w:tcPr>
                  <w:tcW w:w="2757" w:type="dxa"/>
                  <w:tcBorders>
                    <w:top w:val="nil"/>
                    <w:left w:val="single" w:sz="4" w:space="0" w:color="auto"/>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Monthly</w:t>
                  </w:r>
                </w:p>
              </w:tc>
              <w:tc>
                <w:tcPr>
                  <w:tcW w:w="916"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-0.0015</w:t>
                  </w:r>
                </w:p>
              </w:tc>
              <w:tc>
                <w:tcPr>
                  <w:tcW w:w="1168"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0.0001</w:t>
                  </w:r>
                </w:p>
              </w:tc>
              <w:tc>
                <w:tcPr>
                  <w:tcW w:w="990"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-15.7670</w:t>
                  </w:r>
                </w:p>
              </w:tc>
              <w:tc>
                <w:tcPr>
                  <w:tcW w:w="810" w:type="dxa"/>
                  <w:tcBorders>
                    <w:top w:val="nil"/>
                    <w:left w:val="nil"/>
                    <w:bottom w:val="single" w:sz="4" w:space="0" w:color="auto"/>
                    <w:right w:val="nil"/>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0.0000</w:t>
                  </w:r>
                </w:p>
              </w:tc>
              <w:tc>
                <w:tcPr>
                  <w:tcW w:w="516"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w:t>
                  </w:r>
                </w:p>
              </w:tc>
            </w:tr>
            <w:tr w:rsidR="002D4653" w:rsidRPr="002D4653" w:rsidTr="00CD45DC">
              <w:trPr>
                <w:trHeight w:val="255"/>
              </w:trPr>
              <w:tc>
                <w:tcPr>
                  <w:tcW w:w="7157"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proofErr w:type="spellStart"/>
                  <w:r w:rsidRPr="002D4653">
                    <w:rPr>
                      <w:rFonts w:eastAsia="Times New Roman"/>
                      <w:color w:val="000000"/>
                      <w:sz w:val="20"/>
                      <w:szCs w:val="20"/>
                    </w:rPr>
                    <w:t>Signif</w:t>
                  </w:r>
                  <w:proofErr w:type="spellEnd"/>
                  <w:r w:rsidRPr="002D4653">
                    <w:rPr>
                      <w:rFonts w:eastAsia="Times New Roman"/>
                      <w:color w:val="000000"/>
                      <w:sz w:val="20"/>
                      <w:szCs w:val="20"/>
                    </w:rPr>
                    <w:t>. codes:  0 ‘***’, 0.001 ‘**’, 0.01 ‘*’, 0.05 ‘.’, 0.1 ‘ ’ 1</w:t>
                  </w:r>
                </w:p>
              </w:tc>
            </w:tr>
            <w:tr w:rsidR="002D4653" w:rsidRPr="002D4653" w:rsidTr="00CD45DC">
              <w:trPr>
                <w:trHeight w:val="255"/>
              </w:trPr>
              <w:tc>
                <w:tcPr>
                  <w:tcW w:w="7157" w:type="dxa"/>
                  <w:gridSpan w:val="6"/>
                  <w:tcBorders>
                    <w:top w:val="nil"/>
                    <w:left w:val="nil"/>
                    <w:bottom w:val="single" w:sz="4" w:space="0" w:color="auto"/>
                    <w:right w:val="nil"/>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Model 3:</w:t>
                  </w:r>
                </w:p>
              </w:tc>
            </w:tr>
            <w:tr w:rsidR="002D4653" w:rsidRPr="002D4653" w:rsidTr="00CD45DC">
              <w:trPr>
                <w:trHeight w:val="255"/>
              </w:trPr>
              <w:tc>
                <w:tcPr>
                  <w:tcW w:w="2757" w:type="dxa"/>
                  <w:tcBorders>
                    <w:top w:val="nil"/>
                    <w:left w:val="single" w:sz="4" w:space="0" w:color="auto"/>
                    <w:bottom w:val="single" w:sz="4" w:space="0" w:color="auto"/>
                    <w:right w:val="single" w:sz="4" w:space="0" w:color="auto"/>
                  </w:tcBorders>
                  <w:shd w:val="clear" w:color="auto" w:fill="auto"/>
                  <w:noWrap/>
                  <w:vAlign w:val="bottom"/>
                  <w:hideMark/>
                </w:tcPr>
                <w:p w:rsidR="002D4653" w:rsidRPr="002D4653" w:rsidRDefault="002C16C2" w:rsidP="00337AC7">
                  <w:pPr>
                    <w:keepNext/>
                    <w:spacing w:after="0" w:line="240" w:lineRule="auto"/>
                    <w:jc w:val="right"/>
                    <w:rPr>
                      <w:rFonts w:eastAsia="Times New Roman"/>
                      <w:color w:val="000000"/>
                      <w:sz w:val="20"/>
                      <w:szCs w:val="20"/>
                    </w:rPr>
                  </w:pPr>
                  <w:proofErr w:type="spellStart"/>
                  <w:r>
                    <w:rPr>
                      <w:rFonts w:eastAsia="Times New Roman"/>
                      <w:color w:val="000000"/>
                      <w:sz w:val="20"/>
                      <w:szCs w:val="20"/>
                    </w:rPr>
                    <w:t>lnAdjsulfur</w:t>
                  </w:r>
                  <w:proofErr w:type="spellEnd"/>
                </w:p>
              </w:tc>
              <w:tc>
                <w:tcPr>
                  <w:tcW w:w="916"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center"/>
                    <w:rPr>
                      <w:rFonts w:eastAsia="Times New Roman"/>
                      <w:color w:val="000000"/>
                      <w:sz w:val="20"/>
                      <w:szCs w:val="20"/>
                      <w:u w:val="single"/>
                    </w:rPr>
                  </w:pPr>
                  <w:r w:rsidRPr="002D4653">
                    <w:rPr>
                      <w:rFonts w:eastAsia="Times New Roman"/>
                      <w:color w:val="000000"/>
                      <w:sz w:val="20"/>
                      <w:szCs w:val="20"/>
                      <w:u w:val="single"/>
                    </w:rPr>
                    <w:t>Estimate</w:t>
                  </w:r>
                </w:p>
              </w:tc>
              <w:tc>
                <w:tcPr>
                  <w:tcW w:w="1168"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center"/>
                    <w:rPr>
                      <w:rFonts w:eastAsia="Times New Roman"/>
                      <w:color w:val="000000"/>
                      <w:sz w:val="20"/>
                      <w:szCs w:val="20"/>
                      <w:u w:val="single"/>
                    </w:rPr>
                  </w:pPr>
                  <w:r w:rsidRPr="002D4653">
                    <w:rPr>
                      <w:rFonts w:eastAsia="Times New Roman"/>
                      <w:color w:val="000000"/>
                      <w:sz w:val="20"/>
                      <w:szCs w:val="20"/>
                      <w:u w:val="single"/>
                    </w:rPr>
                    <w:t>Std. Error</w:t>
                  </w:r>
                </w:p>
              </w:tc>
              <w:tc>
                <w:tcPr>
                  <w:tcW w:w="990"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center"/>
                    <w:rPr>
                      <w:rFonts w:eastAsia="Times New Roman"/>
                      <w:color w:val="000000"/>
                      <w:sz w:val="20"/>
                      <w:szCs w:val="20"/>
                      <w:u w:val="single"/>
                    </w:rPr>
                  </w:pPr>
                  <w:r w:rsidRPr="002D4653">
                    <w:rPr>
                      <w:rFonts w:eastAsia="Times New Roman"/>
                      <w:color w:val="000000"/>
                      <w:sz w:val="20"/>
                      <w:szCs w:val="20"/>
                      <w:u w:val="single"/>
                    </w:rPr>
                    <w:t>t-value</w:t>
                  </w:r>
                </w:p>
              </w:tc>
              <w:tc>
                <w:tcPr>
                  <w:tcW w:w="810" w:type="dxa"/>
                  <w:tcBorders>
                    <w:top w:val="nil"/>
                    <w:left w:val="nil"/>
                    <w:bottom w:val="single" w:sz="4" w:space="0" w:color="auto"/>
                    <w:right w:val="nil"/>
                  </w:tcBorders>
                  <w:shd w:val="clear" w:color="auto" w:fill="auto"/>
                  <w:noWrap/>
                  <w:vAlign w:val="bottom"/>
                  <w:hideMark/>
                </w:tcPr>
                <w:p w:rsidR="002D4653" w:rsidRPr="002D4653" w:rsidRDefault="002D4653" w:rsidP="00337AC7">
                  <w:pPr>
                    <w:keepNext/>
                    <w:spacing w:after="0" w:line="240" w:lineRule="auto"/>
                    <w:jc w:val="center"/>
                    <w:rPr>
                      <w:rFonts w:eastAsia="Times New Roman"/>
                      <w:color w:val="000000"/>
                      <w:sz w:val="20"/>
                      <w:szCs w:val="20"/>
                      <w:u w:val="single"/>
                    </w:rPr>
                  </w:pPr>
                  <w:proofErr w:type="spellStart"/>
                  <w:r w:rsidRPr="002D4653">
                    <w:rPr>
                      <w:rFonts w:eastAsia="Times New Roman"/>
                      <w:color w:val="000000"/>
                      <w:sz w:val="20"/>
                      <w:szCs w:val="20"/>
                      <w:u w:val="single"/>
                    </w:rPr>
                    <w:t>Pr</w:t>
                  </w:r>
                  <w:proofErr w:type="spellEnd"/>
                  <w:r w:rsidRPr="002D4653">
                    <w:rPr>
                      <w:rFonts w:eastAsia="Times New Roman"/>
                      <w:color w:val="000000"/>
                      <w:sz w:val="20"/>
                      <w:szCs w:val="20"/>
                      <w:u w:val="single"/>
                    </w:rPr>
                    <w:t>(&gt;|t|)</w:t>
                  </w:r>
                </w:p>
              </w:tc>
              <w:tc>
                <w:tcPr>
                  <w:tcW w:w="516"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 </w:t>
                  </w:r>
                </w:p>
              </w:tc>
            </w:tr>
            <w:tr w:rsidR="002D4653" w:rsidRPr="002D4653" w:rsidTr="00CD45DC">
              <w:trPr>
                <w:trHeight w:val="255"/>
              </w:trPr>
              <w:tc>
                <w:tcPr>
                  <w:tcW w:w="2757" w:type="dxa"/>
                  <w:tcBorders>
                    <w:top w:val="nil"/>
                    <w:left w:val="single" w:sz="4" w:space="0" w:color="auto"/>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SO2controls</w:t>
                  </w:r>
                </w:p>
              </w:tc>
              <w:tc>
                <w:tcPr>
                  <w:tcW w:w="916"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0.1023</w:t>
                  </w:r>
                </w:p>
              </w:tc>
              <w:tc>
                <w:tcPr>
                  <w:tcW w:w="1168"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0.0138</w:t>
                  </w:r>
                </w:p>
              </w:tc>
              <w:tc>
                <w:tcPr>
                  <w:tcW w:w="990"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7.3990</w:t>
                  </w:r>
                </w:p>
              </w:tc>
              <w:tc>
                <w:tcPr>
                  <w:tcW w:w="810" w:type="dxa"/>
                  <w:tcBorders>
                    <w:top w:val="nil"/>
                    <w:left w:val="nil"/>
                    <w:bottom w:val="nil"/>
                    <w:right w:val="nil"/>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0.0000</w:t>
                  </w:r>
                </w:p>
              </w:tc>
              <w:tc>
                <w:tcPr>
                  <w:tcW w:w="516"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w:t>
                  </w:r>
                </w:p>
              </w:tc>
            </w:tr>
            <w:tr w:rsidR="002D4653" w:rsidRPr="002D4653" w:rsidTr="00CD45DC">
              <w:trPr>
                <w:trHeight w:val="255"/>
              </w:trPr>
              <w:tc>
                <w:tcPr>
                  <w:tcW w:w="2757" w:type="dxa"/>
                  <w:tcBorders>
                    <w:top w:val="nil"/>
                    <w:left w:val="single" w:sz="4" w:space="0" w:color="auto"/>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SO2byproductprodn</w:t>
                  </w:r>
                </w:p>
              </w:tc>
              <w:tc>
                <w:tcPr>
                  <w:tcW w:w="916"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0.1885</w:t>
                  </w:r>
                </w:p>
              </w:tc>
              <w:tc>
                <w:tcPr>
                  <w:tcW w:w="1168"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0.0209</w:t>
                  </w:r>
                </w:p>
              </w:tc>
              <w:tc>
                <w:tcPr>
                  <w:tcW w:w="990"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8.9981</w:t>
                  </w:r>
                </w:p>
              </w:tc>
              <w:tc>
                <w:tcPr>
                  <w:tcW w:w="810" w:type="dxa"/>
                  <w:tcBorders>
                    <w:top w:val="nil"/>
                    <w:left w:val="nil"/>
                    <w:bottom w:val="nil"/>
                    <w:right w:val="nil"/>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0.0000</w:t>
                  </w:r>
                </w:p>
              </w:tc>
              <w:tc>
                <w:tcPr>
                  <w:tcW w:w="516"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w:t>
                  </w:r>
                </w:p>
              </w:tc>
            </w:tr>
            <w:tr w:rsidR="002D4653" w:rsidRPr="002D4653" w:rsidTr="00CD45DC">
              <w:trPr>
                <w:trHeight w:val="255"/>
              </w:trPr>
              <w:tc>
                <w:tcPr>
                  <w:tcW w:w="2757" w:type="dxa"/>
                  <w:tcBorders>
                    <w:top w:val="nil"/>
                    <w:left w:val="single" w:sz="4" w:space="0" w:color="auto"/>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Monthly</w:t>
                  </w:r>
                </w:p>
              </w:tc>
              <w:tc>
                <w:tcPr>
                  <w:tcW w:w="916"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-0.0027</w:t>
                  </w:r>
                </w:p>
              </w:tc>
              <w:tc>
                <w:tcPr>
                  <w:tcW w:w="1168"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0.0001</w:t>
                  </w:r>
                </w:p>
              </w:tc>
              <w:tc>
                <w:tcPr>
                  <w:tcW w:w="990"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-22.2700</w:t>
                  </w:r>
                </w:p>
              </w:tc>
              <w:tc>
                <w:tcPr>
                  <w:tcW w:w="810" w:type="dxa"/>
                  <w:tcBorders>
                    <w:top w:val="nil"/>
                    <w:left w:val="nil"/>
                    <w:bottom w:val="nil"/>
                    <w:right w:val="nil"/>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0.0000</w:t>
                  </w:r>
                </w:p>
              </w:tc>
              <w:tc>
                <w:tcPr>
                  <w:tcW w:w="516"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w:t>
                  </w:r>
                </w:p>
              </w:tc>
            </w:tr>
            <w:tr w:rsidR="002D4653" w:rsidRPr="002D4653" w:rsidTr="00CD45DC">
              <w:trPr>
                <w:trHeight w:val="255"/>
              </w:trPr>
              <w:tc>
                <w:tcPr>
                  <w:tcW w:w="2757" w:type="dxa"/>
                  <w:tcBorders>
                    <w:top w:val="nil"/>
                    <w:left w:val="single" w:sz="4" w:space="0" w:color="auto"/>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Monthly:SO2controls</w:t>
                  </w:r>
                </w:p>
              </w:tc>
              <w:tc>
                <w:tcPr>
                  <w:tcW w:w="916"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0.0020</w:t>
                  </w:r>
                </w:p>
              </w:tc>
              <w:tc>
                <w:tcPr>
                  <w:tcW w:w="1168"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0.0002</w:t>
                  </w:r>
                </w:p>
              </w:tc>
              <w:tc>
                <w:tcPr>
                  <w:tcW w:w="990"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9.1467</w:t>
                  </w:r>
                </w:p>
              </w:tc>
              <w:tc>
                <w:tcPr>
                  <w:tcW w:w="810" w:type="dxa"/>
                  <w:tcBorders>
                    <w:top w:val="nil"/>
                    <w:left w:val="nil"/>
                    <w:bottom w:val="nil"/>
                    <w:right w:val="nil"/>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0.0000</w:t>
                  </w:r>
                </w:p>
              </w:tc>
              <w:tc>
                <w:tcPr>
                  <w:tcW w:w="516" w:type="dxa"/>
                  <w:tcBorders>
                    <w:top w:val="nil"/>
                    <w:left w:val="nil"/>
                    <w:bottom w:val="nil"/>
                    <w:right w:val="single" w:sz="4" w:space="0" w:color="auto"/>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w:t>
                  </w:r>
                </w:p>
              </w:tc>
            </w:tr>
            <w:tr w:rsidR="002D4653" w:rsidRPr="002D4653" w:rsidTr="00CD45DC">
              <w:trPr>
                <w:trHeight w:val="255"/>
              </w:trPr>
              <w:tc>
                <w:tcPr>
                  <w:tcW w:w="2757" w:type="dxa"/>
                  <w:tcBorders>
                    <w:top w:val="nil"/>
                    <w:left w:val="single" w:sz="4" w:space="0" w:color="auto"/>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Monthly:SO2byproductprodn</w:t>
                  </w:r>
                </w:p>
              </w:tc>
              <w:tc>
                <w:tcPr>
                  <w:tcW w:w="916"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0.0026</w:t>
                  </w:r>
                </w:p>
              </w:tc>
              <w:tc>
                <w:tcPr>
                  <w:tcW w:w="1168"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0.0003</w:t>
                  </w:r>
                </w:p>
              </w:tc>
              <w:tc>
                <w:tcPr>
                  <w:tcW w:w="990"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8.8137</w:t>
                  </w:r>
                </w:p>
              </w:tc>
              <w:tc>
                <w:tcPr>
                  <w:tcW w:w="810" w:type="dxa"/>
                  <w:tcBorders>
                    <w:top w:val="nil"/>
                    <w:left w:val="nil"/>
                    <w:bottom w:val="single" w:sz="4" w:space="0" w:color="auto"/>
                    <w:right w:val="nil"/>
                  </w:tcBorders>
                  <w:shd w:val="clear" w:color="auto" w:fill="auto"/>
                  <w:noWrap/>
                  <w:vAlign w:val="bottom"/>
                  <w:hideMark/>
                </w:tcPr>
                <w:p w:rsidR="002D4653" w:rsidRPr="002D4653" w:rsidRDefault="002D4653" w:rsidP="00337AC7">
                  <w:pPr>
                    <w:keepNext/>
                    <w:spacing w:after="0" w:line="240" w:lineRule="auto"/>
                    <w:jc w:val="right"/>
                    <w:rPr>
                      <w:rFonts w:eastAsia="Times New Roman"/>
                      <w:color w:val="000000"/>
                      <w:sz w:val="20"/>
                      <w:szCs w:val="20"/>
                    </w:rPr>
                  </w:pPr>
                  <w:r w:rsidRPr="002D4653">
                    <w:rPr>
                      <w:rFonts w:eastAsia="Times New Roman"/>
                      <w:color w:val="000000"/>
                      <w:sz w:val="20"/>
                      <w:szCs w:val="20"/>
                    </w:rPr>
                    <w:t>0.0000</w:t>
                  </w:r>
                </w:p>
              </w:tc>
              <w:tc>
                <w:tcPr>
                  <w:tcW w:w="516" w:type="dxa"/>
                  <w:tcBorders>
                    <w:top w:val="nil"/>
                    <w:left w:val="nil"/>
                    <w:bottom w:val="single" w:sz="4" w:space="0" w:color="auto"/>
                    <w:right w:val="single" w:sz="4" w:space="0" w:color="auto"/>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r w:rsidRPr="002D4653">
                    <w:rPr>
                      <w:rFonts w:eastAsia="Times New Roman"/>
                      <w:color w:val="000000"/>
                      <w:sz w:val="20"/>
                      <w:szCs w:val="20"/>
                    </w:rPr>
                    <w:t>***</w:t>
                  </w:r>
                </w:p>
              </w:tc>
            </w:tr>
            <w:tr w:rsidR="002D4653" w:rsidRPr="002D4653" w:rsidTr="00CD45DC">
              <w:trPr>
                <w:trHeight w:val="255"/>
              </w:trPr>
              <w:tc>
                <w:tcPr>
                  <w:tcW w:w="7157"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D4653" w:rsidRPr="002D4653" w:rsidRDefault="002D4653" w:rsidP="00337AC7">
                  <w:pPr>
                    <w:keepNext/>
                    <w:spacing w:after="0" w:line="240" w:lineRule="auto"/>
                    <w:rPr>
                      <w:rFonts w:eastAsia="Times New Roman"/>
                      <w:color w:val="000000"/>
                      <w:sz w:val="20"/>
                      <w:szCs w:val="20"/>
                    </w:rPr>
                  </w:pPr>
                  <w:proofErr w:type="spellStart"/>
                  <w:r w:rsidRPr="002D4653">
                    <w:rPr>
                      <w:rFonts w:eastAsia="Times New Roman"/>
                      <w:color w:val="000000"/>
                      <w:sz w:val="20"/>
                      <w:szCs w:val="20"/>
                    </w:rPr>
                    <w:t>Signif</w:t>
                  </w:r>
                  <w:proofErr w:type="spellEnd"/>
                  <w:r w:rsidRPr="002D4653">
                    <w:rPr>
                      <w:rFonts w:eastAsia="Times New Roman"/>
                      <w:color w:val="000000"/>
                      <w:sz w:val="20"/>
                      <w:szCs w:val="20"/>
                    </w:rPr>
                    <w:t>. codes:  0 ‘***’, 0.001 ‘**’, 0.01 ‘*’, 0.05 ‘.’, 0.1 ‘ ’ 1</w:t>
                  </w:r>
                </w:p>
              </w:tc>
            </w:tr>
          </w:tbl>
          <w:p w:rsidR="002D4653" w:rsidRDefault="002D4653" w:rsidP="00337AC7">
            <w:pPr>
              <w:keepNext/>
            </w:pPr>
          </w:p>
        </w:tc>
      </w:tr>
    </w:tbl>
    <w:p w:rsidR="002D4653" w:rsidRPr="002D4653" w:rsidRDefault="002D4653" w:rsidP="002D4653"/>
    <w:sectPr w:rsidR="002D4653" w:rsidRPr="002D4653" w:rsidSect="00CC0D60">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3E3" w:rsidRDefault="00DC43E3" w:rsidP="0036257F">
      <w:pPr>
        <w:spacing w:after="0" w:line="240" w:lineRule="auto"/>
      </w:pPr>
      <w:r>
        <w:separator/>
      </w:r>
    </w:p>
  </w:endnote>
  <w:endnote w:type="continuationSeparator" w:id="0">
    <w:p w:rsidR="00DC43E3" w:rsidRDefault="00DC43E3" w:rsidP="00362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829907"/>
      <w:docPartObj>
        <w:docPartGallery w:val="Page Numbers (Bottom of Page)"/>
        <w:docPartUnique/>
      </w:docPartObj>
    </w:sdtPr>
    <w:sdtEndPr>
      <w:rPr>
        <w:noProof/>
      </w:rPr>
    </w:sdtEndPr>
    <w:sdtContent>
      <w:p w:rsidR="00391AED" w:rsidRDefault="00391AED" w:rsidP="00391AED">
        <w:pPr>
          <w:pStyle w:val="Footer"/>
          <w:jc w:val="center"/>
        </w:pPr>
        <w:r>
          <w:fldChar w:fldCharType="begin"/>
        </w:r>
        <w:r>
          <w:instrText xml:space="preserve"> PAGE   \* MERGEFORMAT </w:instrText>
        </w:r>
        <w:r>
          <w:fldChar w:fldCharType="separate"/>
        </w:r>
        <w:r w:rsidR="00CC0D60">
          <w:rPr>
            <w:noProof/>
          </w:rPr>
          <w:t>5</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899704"/>
      <w:docPartObj>
        <w:docPartGallery w:val="Page Numbers (Bottom of Page)"/>
        <w:docPartUnique/>
      </w:docPartObj>
    </w:sdtPr>
    <w:sdtEndPr>
      <w:rPr>
        <w:noProof/>
      </w:rPr>
    </w:sdtEndPr>
    <w:sdtContent>
      <w:p w:rsidR="00CC0D60" w:rsidRDefault="00CC0D6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C0D60" w:rsidRDefault="00CC0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3E3" w:rsidRDefault="00DC43E3" w:rsidP="0036257F">
      <w:pPr>
        <w:spacing w:after="0" w:line="240" w:lineRule="auto"/>
      </w:pPr>
      <w:r>
        <w:separator/>
      </w:r>
    </w:p>
  </w:footnote>
  <w:footnote w:type="continuationSeparator" w:id="0">
    <w:p w:rsidR="00DC43E3" w:rsidRDefault="00DC43E3" w:rsidP="00362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D60" w:rsidRDefault="00CC0D60" w:rsidP="00CC0D60">
    <w:pPr>
      <w:pStyle w:val="Header"/>
      <w:jc w:val="right"/>
    </w:pPr>
    <w:r>
      <w:t>Turk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C8"/>
    <w:rsid w:val="000314C9"/>
    <w:rsid w:val="00057BAD"/>
    <w:rsid w:val="00071B09"/>
    <w:rsid w:val="0008285A"/>
    <w:rsid w:val="000B1AE0"/>
    <w:rsid w:val="000C4A96"/>
    <w:rsid w:val="000E1D1F"/>
    <w:rsid w:val="001231CC"/>
    <w:rsid w:val="0012470A"/>
    <w:rsid w:val="00155EC4"/>
    <w:rsid w:val="00185116"/>
    <w:rsid w:val="001951DB"/>
    <w:rsid w:val="001A0C9A"/>
    <w:rsid w:val="001B6309"/>
    <w:rsid w:val="001F5D07"/>
    <w:rsid w:val="00236E41"/>
    <w:rsid w:val="00263740"/>
    <w:rsid w:val="002C16C2"/>
    <w:rsid w:val="002D4653"/>
    <w:rsid w:val="002D6624"/>
    <w:rsid w:val="002F37F1"/>
    <w:rsid w:val="002F4874"/>
    <w:rsid w:val="00335C22"/>
    <w:rsid w:val="00337AC7"/>
    <w:rsid w:val="0036257F"/>
    <w:rsid w:val="0038207E"/>
    <w:rsid w:val="00391AED"/>
    <w:rsid w:val="003A6216"/>
    <w:rsid w:val="003C3B55"/>
    <w:rsid w:val="003D362A"/>
    <w:rsid w:val="003E2AFE"/>
    <w:rsid w:val="004019F7"/>
    <w:rsid w:val="00412879"/>
    <w:rsid w:val="00430E61"/>
    <w:rsid w:val="004312E0"/>
    <w:rsid w:val="00441B6F"/>
    <w:rsid w:val="00445343"/>
    <w:rsid w:val="00462904"/>
    <w:rsid w:val="004807BA"/>
    <w:rsid w:val="004A0D74"/>
    <w:rsid w:val="004A11F0"/>
    <w:rsid w:val="004C2B0A"/>
    <w:rsid w:val="004C6600"/>
    <w:rsid w:val="00516DC8"/>
    <w:rsid w:val="00530442"/>
    <w:rsid w:val="0056655A"/>
    <w:rsid w:val="00571E35"/>
    <w:rsid w:val="005A5D8D"/>
    <w:rsid w:val="00606DC8"/>
    <w:rsid w:val="00633139"/>
    <w:rsid w:val="00642850"/>
    <w:rsid w:val="006B43FD"/>
    <w:rsid w:val="0075612F"/>
    <w:rsid w:val="0076121B"/>
    <w:rsid w:val="00782510"/>
    <w:rsid w:val="00797DC3"/>
    <w:rsid w:val="007B09ED"/>
    <w:rsid w:val="007B1819"/>
    <w:rsid w:val="007E1477"/>
    <w:rsid w:val="00801493"/>
    <w:rsid w:val="0080203B"/>
    <w:rsid w:val="00824FB1"/>
    <w:rsid w:val="00842C67"/>
    <w:rsid w:val="00844AC6"/>
    <w:rsid w:val="0084619C"/>
    <w:rsid w:val="00846879"/>
    <w:rsid w:val="0086706C"/>
    <w:rsid w:val="008A0244"/>
    <w:rsid w:val="008A442E"/>
    <w:rsid w:val="008C657B"/>
    <w:rsid w:val="008D012A"/>
    <w:rsid w:val="008D610C"/>
    <w:rsid w:val="008E0BE4"/>
    <w:rsid w:val="00910C42"/>
    <w:rsid w:val="00962646"/>
    <w:rsid w:val="00995302"/>
    <w:rsid w:val="00997C2F"/>
    <w:rsid w:val="009C00E5"/>
    <w:rsid w:val="00A23358"/>
    <w:rsid w:val="00A26217"/>
    <w:rsid w:val="00A320A0"/>
    <w:rsid w:val="00A507E9"/>
    <w:rsid w:val="00A62743"/>
    <w:rsid w:val="00A74196"/>
    <w:rsid w:val="00AA180B"/>
    <w:rsid w:val="00AB05D3"/>
    <w:rsid w:val="00B4316D"/>
    <w:rsid w:val="00B454E4"/>
    <w:rsid w:val="00B8080F"/>
    <w:rsid w:val="00BA1026"/>
    <w:rsid w:val="00BB0A0F"/>
    <w:rsid w:val="00BD718B"/>
    <w:rsid w:val="00C06399"/>
    <w:rsid w:val="00C21A60"/>
    <w:rsid w:val="00C376BE"/>
    <w:rsid w:val="00C410AC"/>
    <w:rsid w:val="00CB50DB"/>
    <w:rsid w:val="00CC0D60"/>
    <w:rsid w:val="00CC255E"/>
    <w:rsid w:val="00CD45DC"/>
    <w:rsid w:val="00CD54B8"/>
    <w:rsid w:val="00DC43E3"/>
    <w:rsid w:val="00DD3DC7"/>
    <w:rsid w:val="00E50E12"/>
    <w:rsid w:val="00E665F3"/>
    <w:rsid w:val="00E70213"/>
    <w:rsid w:val="00E84262"/>
    <w:rsid w:val="00E87127"/>
    <w:rsid w:val="00E93251"/>
    <w:rsid w:val="00EF0AC8"/>
    <w:rsid w:val="00F35E77"/>
    <w:rsid w:val="00F81F01"/>
    <w:rsid w:val="00FE3EB1"/>
    <w:rsid w:val="00FF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E6BC"/>
  <w15:chartTrackingRefBased/>
  <w15:docId w15:val="{7E19D971-4D6C-4CF7-B550-363DF06F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DC8"/>
    <w:pPr>
      <w:keepNext/>
      <w:keepLines/>
      <w:spacing w:before="240" w:after="0"/>
      <w:outlineLvl w:val="0"/>
    </w:pPr>
    <w:rPr>
      <w:rFonts w:eastAsiaTheme="majorEastAsia"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DC8"/>
    <w:rPr>
      <w:rFonts w:eastAsiaTheme="majorEastAsia" w:cstheme="majorBidi"/>
      <w:b/>
      <w:color w:val="000000" w:themeColor="text1"/>
      <w:sz w:val="24"/>
      <w:szCs w:val="32"/>
    </w:rPr>
  </w:style>
  <w:style w:type="paragraph" w:styleId="TOCHeading">
    <w:name w:val="TOC Heading"/>
    <w:basedOn w:val="Heading1"/>
    <w:next w:val="Normal"/>
    <w:uiPriority w:val="39"/>
    <w:unhideWhenUsed/>
    <w:qFormat/>
    <w:rsid w:val="00606DC8"/>
    <w:pPr>
      <w:outlineLvl w:val="9"/>
    </w:pPr>
  </w:style>
  <w:style w:type="paragraph" w:styleId="TOC1">
    <w:name w:val="toc 1"/>
    <w:basedOn w:val="Normal"/>
    <w:next w:val="Normal"/>
    <w:autoRedefine/>
    <w:uiPriority w:val="39"/>
    <w:unhideWhenUsed/>
    <w:rsid w:val="00606DC8"/>
    <w:pPr>
      <w:spacing w:after="100"/>
    </w:pPr>
  </w:style>
  <w:style w:type="character" w:styleId="Hyperlink">
    <w:name w:val="Hyperlink"/>
    <w:basedOn w:val="DefaultParagraphFont"/>
    <w:uiPriority w:val="99"/>
    <w:unhideWhenUsed/>
    <w:rsid w:val="00606DC8"/>
    <w:rPr>
      <w:color w:val="0563C1" w:themeColor="hyperlink"/>
      <w:u w:val="single"/>
    </w:rPr>
  </w:style>
  <w:style w:type="paragraph" w:styleId="TOC2">
    <w:name w:val="toc 2"/>
    <w:basedOn w:val="Normal"/>
    <w:next w:val="Normal"/>
    <w:autoRedefine/>
    <w:uiPriority w:val="39"/>
    <w:unhideWhenUsed/>
    <w:rsid w:val="00606DC8"/>
    <w:pPr>
      <w:spacing w:after="100"/>
      <w:ind w:left="220"/>
    </w:pPr>
    <w:rPr>
      <w:rFonts w:asciiTheme="minorHAnsi" w:eastAsiaTheme="minorEastAsia" w:hAnsiTheme="minorHAnsi"/>
    </w:rPr>
  </w:style>
  <w:style w:type="paragraph" w:styleId="TOC3">
    <w:name w:val="toc 3"/>
    <w:basedOn w:val="Normal"/>
    <w:next w:val="Normal"/>
    <w:autoRedefine/>
    <w:uiPriority w:val="39"/>
    <w:unhideWhenUsed/>
    <w:rsid w:val="00606DC8"/>
    <w:pPr>
      <w:spacing w:after="100"/>
      <w:ind w:left="440"/>
    </w:pPr>
    <w:rPr>
      <w:rFonts w:asciiTheme="minorHAnsi" w:eastAsiaTheme="minorEastAsia" w:hAnsiTheme="minorHAnsi"/>
    </w:rPr>
  </w:style>
  <w:style w:type="paragraph" w:styleId="Header">
    <w:name w:val="header"/>
    <w:basedOn w:val="Normal"/>
    <w:link w:val="HeaderChar"/>
    <w:uiPriority w:val="99"/>
    <w:unhideWhenUsed/>
    <w:rsid w:val="00362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57F"/>
  </w:style>
  <w:style w:type="paragraph" w:styleId="Footer">
    <w:name w:val="footer"/>
    <w:basedOn w:val="Normal"/>
    <w:link w:val="FooterChar"/>
    <w:uiPriority w:val="99"/>
    <w:unhideWhenUsed/>
    <w:rsid w:val="00362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57F"/>
  </w:style>
  <w:style w:type="character" w:styleId="PlaceholderText">
    <w:name w:val="Placeholder Text"/>
    <w:basedOn w:val="DefaultParagraphFont"/>
    <w:uiPriority w:val="99"/>
    <w:semiHidden/>
    <w:rsid w:val="007E1477"/>
    <w:rPr>
      <w:color w:val="808080"/>
    </w:rPr>
  </w:style>
  <w:style w:type="table" w:styleId="TableGrid">
    <w:name w:val="Table Grid"/>
    <w:basedOn w:val="TableNormal"/>
    <w:uiPriority w:val="39"/>
    <w:rsid w:val="002F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72465">
      <w:bodyDiv w:val="1"/>
      <w:marLeft w:val="0"/>
      <w:marRight w:val="0"/>
      <w:marTop w:val="0"/>
      <w:marBottom w:val="0"/>
      <w:divBdr>
        <w:top w:val="none" w:sz="0" w:space="0" w:color="auto"/>
        <w:left w:val="none" w:sz="0" w:space="0" w:color="auto"/>
        <w:bottom w:val="none" w:sz="0" w:space="0" w:color="auto"/>
        <w:right w:val="none" w:sz="0" w:space="0" w:color="auto"/>
      </w:divBdr>
    </w:div>
    <w:div w:id="1229802879">
      <w:bodyDiv w:val="1"/>
      <w:marLeft w:val="0"/>
      <w:marRight w:val="0"/>
      <w:marTop w:val="0"/>
      <w:marBottom w:val="0"/>
      <w:divBdr>
        <w:top w:val="none" w:sz="0" w:space="0" w:color="auto"/>
        <w:left w:val="none" w:sz="0" w:space="0" w:color="auto"/>
        <w:bottom w:val="none" w:sz="0" w:space="0" w:color="auto"/>
        <w:right w:val="none" w:sz="0" w:space="0" w:color="auto"/>
      </w:divBdr>
    </w:div>
    <w:div w:id="177474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D1A94-830E-4798-8435-C11A61B94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Turk</dc:creator>
  <cp:keywords/>
  <dc:description/>
  <cp:lastModifiedBy>Zachary Turk</cp:lastModifiedBy>
  <cp:revision>87</cp:revision>
  <dcterms:created xsi:type="dcterms:W3CDTF">2016-12-16T20:44:00Z</dcterms:created>
  <dcterms:modified xsi:type="dcterms:W3CDTF">2016-12-20T17:55:00Z</dcterms:modified>
</cp:coreProperties>
</file>