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E43" w:rsidRDefault="003E6E43" w:rsidP="003E6E43">
      <w:pPr>
        <w:spacing w:after="0"/>
        <w:jc w:val="center"/>
        <w:rPr>
          <w:sz w:val="20"/>
        </w:rPr>
      </w:pPr>
      <w:r w:rsidRPr="003E6E43">
        <w:rPr>
          <w:sz w:val="20"/>
        </w:rPr>
        <w:t>A Hedonic Price Model of Coal Purchase</w:t>
      </w:r>
      <w:r w:rsidR="00A02C18">
        <w:rPr>
          <w:sz w:val="20"/>
        </w:rPr>
        <w:t>s</w:t>
      </w:r>
      <w:r w:rsidRPr="003E6E43">
        <w:rPr>
          <w:sz w:val="20"/>
        </w:rPr>
        <w:t xml:space="preserve"> </w:t>
      </w:r>
      <w:r w:rsidR="00A02C18">
        <w:rPr>
          <w:sz w:val="20"/>
        </w:rPr>
        <w:t>in</w:t>
      </w:r>
      <w:r w:rsidRPr="003E6E43">
        <w:rPr>
          <w:sz w:val="20"/>
        </w:rPr>
        <w:t xml:space="preserve"> the U.S. Energy Sector</w:t>
      </w:r>
    </w:p>
    <w:p w:rsidR="00A320A0" w:rsidRPr="00E93251" w:rsidRDefault="00A320A0" w:rsidP="003E6E43">
      <w:pPr>
        <w:spacing w:after="0"/>
        <w:jc w:val="center"/>
        <w:rPr>
          <w:sz w:val="20"/>
        </w:rPr>
      </w:pPr>
      <w:r w:rsidRPr="00E93251">
        <w:rPr>
          <w:sz w:val="20"/>
        </w:rPr>
        <w:t>Zachary M. Turk</w:t>
      </w:r>
    </w:p>
    <w:p w:rsidR="00A320A0" w:rsidRPr="00E93251" w:rsidRDefault="00A320A0" w:rsidP="003E6E43">
      <w:pPr>
        <w:spacing w:after="0"/>
        <w:jc w:val="center"/>
        <w:rPr>
          <w:sz w:val="20"/>
        </w:rPr>
      </w:pPr>
      <w:r w:rsidRPr="00E93251">
        <w:rPr>
          <w:sz w:val="20"/>
        </w:rPr>
        <w:t>Final Project 1</w:t>
      </w:r>
    </w:p>
    <w:p w:rsidR="00A320A0" w:rsidRPr="00E93251" w:rsidRDefault="00A320A0" w:rsidP="003C16B2">
      <w:pPr>
        <w:spacing w:after="0"/>
        <w:jc w:val="center"/>
        <w:rPr>
          <w:sz w:val="20"/>
        </w:rPr>
      </w:pPr>
      <w:r w:rsidRPr="00E93251">
        <w:rPr>
          <w:sz w:val="20"/>
        </w:rPr>
        <w:t>F&amp;ES 720 Introduction to R</w:t>
      </w:r>
    </w:p>
    <w:p w:rsidR="00606DC8" w:rsidRPr="00E93251" w:rsidRDefault="00606DC8" w:rsidP="003C0B3C">
      <w:pPr>
        <w:pStyle w:val="Heading1"/>
        <w:spacing w:before="0"/>
        <w:rPr>
          <w:sz w:val="22"/>
        </w:rPr>
      </w:pPr>
      <w:bookmarkStart w:id="0" w:name="_Toc469666861"/>
      <w:r w:rsidRPr="00E93251">
        <w:rPr>
          <w:sz w:val="22"/>
        </w:rPr>
        <w:t>Question and hypothesis</w:t>
      </w:r>
      <w:bookmarkEnd w:id="0"/>
    </w:p>
    <w:p w:rsidR="00606DC8" w:rsidRPr="00E93251" w:rsidRDefault="004C6600" w:rsidP="00606DC8">
      <w:pPr>
        <w:rPr>
          <w:sz w:val="20"/>
        </w:rPr>
      </w:pPr>
      <w:r w:rsidRPr="00E93251">
        <w:rPr>
          <w:sz w:val="20"/>
        </w:rPr>
        <w:t>What is the</w:t>
      </w:r>
      <w:r w:rsidR="00873A05">
        <w:rPr>
          <w:sz w:val="20"/>
        </w:rPr>
        <w:t xml:space="preserve"> current price of </w:t>
      </w:r>
      <w:r w:rsidRPr="00E93251">
        <w:rPr>
          <w:sz w:val="20"/>
        </w:rPr>
        <w:t>sulfur content in U.S. coal</w:t>
      </w:r>
      <w:r w:rsidR="00873A05">
        <w:rPr>
          <w:sz w:val="20"/>
        </w:rPr>
        <w:t xml:space="preserve"> and does it differ by destination </w:t>
      </w:r>
      <w:r w:rsidR="00A02C18">
        <w:rPr>
          <w:sz w:val="20"/>
        </w:rPr>
        <w:t xml:space="preserve">which would </w:t>
      </w:r>
      <w:r w:rsidR="00873A05">
        <w:rPr>
          <w:sz w:val="20"/>
        </w:rPr>
        <w:t>suggest price discrimination</w:t>
      </w:r>
      <w:r w:rsidRPr="00E93251">
        <w:rPr>
          <w:sz w:val="20"/>
        </w:rPr>
        <w:t>?</w:t>
      </w:r>
      <w:r w:rsidR="004A11F0" w:rsidRPr="00E93251">
        <w:rPr>
          <w:sz w:val="20"/>
        </w:rPr>
        <w:t xml:space="preserve">  </w:t>
      </w:r>
      <w:r w:rsidR="00A02C18">
        <w:rPr>
          <w:sz w:val="20"/>
        </w:rPr>
        <w:t>S</w:t>
      </w:r>
      <w:r w:rsidR="004A11F0" w:rsidRPr="00E93251">
        <w:rPr>
          <w:sz w:val="20"/>
        </w:rPr>
        <w:t xml:space="preserve">tudies, primarily in </w:t>
      </w:r>
      <w:r w:rsidR="00873A05">
        <w:rPr>
          <w:sz w:val="20"/>
        </w:rPr>
        <w:t>the 1990’s and 2000’s</w:t>
      </w:r>
      <w:r w:rsidR="004A11F0" w:rsidRPr="00E93251">
        <w:rPr>
          <w:sz w:val="20"/>
        </w:rPr>
        <w:t xml:space="preserve">, find a negative price on the sulfur component of coal which is fitting of an </w:t>
      </w:r>
      <w:r w:rsidR="00873A05">
        <w:rPr>
          <w:sz w:val="20"/>
        </w:rPr>
        <w:t xml:space="preserve">inferior characteristic.  This study first updates </w:t>
      </w:r>
      <w:r w:rsidR="00A02C18">
        <w:rPr>
          <w:sz w:val="20"/>
        </w:rPr>
        <w:t>the sulfur discount using</w:t>
      </w:r>
      <w:r w:rsidR="00873A05">
        <w:rPr>
          <w:sz w:val="20"/>
        </w:rPr>
        <w:t xml:space="preserve"> new and comparatively novel data due to improved energy sector reporting requirements.  A</w:t>
      </w:r>
      <w:r w:rsidR="00C21A60" w:rsidRPr="00E93251">
        <w:rPr>
          <w:sz w:val="20"/>
        </w:rPr>
        <w:t>s</w:t>
      </w:r>
      <w:r w:rsidR="004A11F0" w:rsidRPr="00E93251">
        <w:rPr>
          <w:sz w:val="20"/>
        </w:rPr>
        <w:t xml:space="preserve"> plants</w:t>
      </w:r>
      <w:r w:rsidR="001C3517">
        <w:rPr>
          <w:sz w:val="20"/>
        </w:rPr>
        <w:t xml:space="preserve"> </w:t>
      </w:r>
      <w:r w:rsidR="004A11F0" w:rsidRPr="00E93251">
        <w:rPr>
          <w:sz w:val="20"/>
        </w:rPr>
        <w:t>install advanced abatement technologies such as flue gas desulfurization (FGD)</w:t>
      </w:r>
      <w:r w:rsidR="001C3517">
        <w:rPr>
          <w:sz w:val="20"/>
        </w:rPr>
        <w:t xml:space="preserve">, </w:t>
      </w:r>
      <w:r w:rsidR="00A02C18">
        <w:rPr>
          <w:sz w:val="20"/>
        </w:rPr>
        <w:t xml:space="preserve">they </w:t>
      </w:r>
      <w:r w:rsidR="001C3517">
        <w:rPr>
          <w:sz w:val="20"/>
        </w:rPr>
        <w:t>can consume dirtier coal</w:t>
      </w:r>
      <w:r w:rsidR="00A02C18">
        <w:rPr>
          <w:sz w:val="20"/>
        </w:rPr>
        <w:t xml:space="preserve"> to capture that </w:t>
      </w:r>
      <w:r w:rsidR="001C3517">
        <w:rPr>
          <w:sz w:val="20"/>
        </w:rPr>
        <w:t>discount</w:t>
      </w:r>
      <w:r w:rsidR="00A02C18">
        <w:rPr>
          <w:sz w:val="20"/>
        </w:rPr>
        <w:t>.  Recent studies have claimed</w:t>
      </w:r>
      <w:r w:rsidR="001C3517">
        <w:rPr>
          <w:sz w:val="20"/>
        </w:rPr>
        <w:t xml:space="preserve"> mines recogniz</w:t>
      </w:r>
      <w:r w:rsidR="00A02C18">
        <w:rPr>
          <w:sz w:val="20"/>
        </w:rPr>
        <w:t>e</w:t>
      </w:r>
      <w:r w:rsidR="001C3517">
        <w:rPr>
          <w:sz w:val="20"/>
        </w:rPr>
        <w:t xml:space="preserve"> </w:t>
      </w:r>
      <w:r w:rsidR="00A02C18">
        <w:rPr>
          <w:sz w:val="20"/>
        </w:rPr>
        <w:t>the</w:t>
      </w:r>
      <w:r w:rsidR="001C3517">
        <w:rPr>
          <w:sz w:val="20"/>
        </w:rPr>
        <w:t xml:space="preserve"> advantage</w:t>
      </w:r>
      <w:r w:rsidR="00A02C18">
        <w:rPr>
          <w:sz w:val="20"/>
        </w:rPr>
        <w:t xml:space="preserve"> and</w:t>
      </w:r>
      <w:r w:rsidR="001C3517">
        <w:rPr>
          <w:sz w:val="20"/>
        </w:rPr>
        <w:t xml:space="preserve"> may price discriminate</w:t>
      </w:r>
      <w:r w:rsidR="00A02C18">
        <w:rPr>
          <w:sz w:val="20"/>
        </w:rPr>
        <w:t>,</w:t>
      </w:r>
      <w:r w:rsidR="001C3517">
        <w:rPr>
          <w:sz w:val="20"/>
        </w:rPr>
        <w:t xml:space="preserve"> charg</w:t>
      </w:r>
      <w:r w:rsidR="00A02C18">
        <w:rPr>
          <w:sz w:val="20"/>
        </w:rPr>
        <w:t>ing</w:t>
      </w:r>
      <w:r w:rsidR="001C3517">
        <w:rPr>
          <w:sz w:val="20"/>
        </w:rPr>
        <w:t xml:space="preserve"> a premium</w:t>
      </w:r>
      <w:r w:rsidR="00A02C18">
        <w:rPr>
          <w:sz w:val="20"/>
        </w:rPr>
        <w:t xml:space="preserve"> based on whether the purchasing plant has FGD installed</w:t>
      </w:r>
      <w:r w:rsidR="001C3517">
        <w:rPr>
          <w:sz w:val="20"/>
        </w:rPr>
        <w:t xml:space="preserve">.  </w:t>
      </w:r>
      <w:r w:rsidR="004A11F0" w:rsidRPr="00E93251">
        <w:rPr>
          <w:sz w:val="20"/>
        </w:rPr>
        <w:t xml:space="preserve">Accordingly, </w:t>
      </w:r>
      <w:r w:rsidR="00A02C18">
        <w:rPr>
          <w:sz w:val="20"/>
        </w:rPr>
        <w:t>I test two</w:t>
      </w:r>
      <w:r w:rsidR="004A11F0" w:rsidRPr="00E93251">
        <w:rPr>
          <w:sz w:val="20"/>
        </w:rPr>
        <w:t xml:space="preserve"> </w:t>
      </w:r>
      <w:r w:rsidR="00C21A60" w:rsidRPr="00E93251">
        <w:rPr>
          <w:sz w:val="20"/>
        </w:rPr>
        <w:t xml:space="preserve">null </w:t>
      </w:r>
      <w:r w:rsidR="00A02C18" w:rsidRPr="00E93251">
        <w:rPr>
          <w:sz w:val="20"/>
        </w:rPr>
        <w:t>hypotheses</w:t>
      </w:r>
      <w:r w:rsidR="00A02C18">
        <w:rPr>
          <w:sz w:val="20"/>
        </w:rPr>
        <w:t>:</w:t>
      </w:r>
      <w:r w:rsidR="004A11F0" w:rsidRPr="00E93251">
        <w:rPr>
          <w:sz w:val="20"/>
        </w:rPr>
        <w:t xml:space="preserve"> </w:t>
      </w:r>
      <w:r w:rsidR="001C3517">
        <w:rPr>
          <w:sz w:val="20"/>
        </w:rPr>
        <w:t xml:space="preserve">the price </w:t>
      </w:r>
      <w:r w:rsidR="00F7507D">
        <w:rPr>
          <w:sz w:val="20"/>
        </w:rPr>
        <w:t xml:space="preserve">effect </w:t>
      </w:r>
      <w:r w:rsidR="001C3517">
        <w:rPr>
          <w:sz w:val="20"/>
        </w:rPr>
        <w:t xml:space="preserve">of sulfur in coal is zero </w:t>
      </w:r>
      <w:r w:rsidR="00A02C18">
        <w:rPr>
          <w:sz w:val="20"/>
        </w:rPr>
        <w:t>and so i</w:t>
      </w:r>
      <w:r w:rsidR="004C563F">
        <w:rPr>
          <w:sz w:val="20"/>
        </w:rPr>
        <w:t>s FGD, an indicator of whether a plant has the abatement technology installed</w:t>
      </w:r>
      <w:r w:rsidR="00A02C18">
        <w:rPr>
          <w:sz w:val="20"/>
        </w:rPr>
        <w:t>.</w:t>
      </w:r>
      <w:r w:rsidR="00C21A60" w:rsidRPr="00E93251">
        <w:rPr>
          <w:sz w:val="20"/>
        </w:rPr>
        <w:t xml:space="preserve">  The alternative </w:t>
      </w:r>
      <w:r w:rsidR="00F7507D">
        <w:rPr>
          <w:sz w:val="20"/>
        </w:rPr>
        <w:t>hypothes</w:t>
      </w:r>
      <w:r w:rsidR="00A02C18">
        <w:rPr>
          <w:sz w:val="20"/>
        </w:rPr>
        <w:t>e</w:t>
      </w:r>
      <w:r w:rsidR="00F7507D">
        <w:rPr>
          <w:sz w:val="20"/>
        </w:rPr>
        <w:t xml:space="preserve">s </w:t>
      </w:r>
      <w:r w:rsidR="00A02C18">
        <w:rPr>
          <w:sz w:val="20"/>
        </w:rPr>
        <w:t>are</w:t>
      </w:r>
      <w:r w:rsidR="00C21A60" w:rsidRPr="00E93251">
        <w:rPr>
          <w:sz w:val="20"/>
        </w:rPr>
        <w:t xml:space="preserve"> that the price of sulfur in coal is </w:t>
      </w:r>
      <w:r w:rsidR="00F7507D">
        <w:rPr>
          <w:sz w:val="20"/>
        </w:rPr>
        <w:t>negative, suggesting an inferior characteristic</w:t>
      </w:r>
      <w:r w:rsidR="00C21A60" w:rsidRPr="00E93251">
        <w:rPr>
          <w:sz w:val="20"/>
        </w:rPr>
        <w:t xml:space="preserve">, </w:t>
      </w:r>
      <w:r w:rsidR="00F7507D">
        <w:rPr>
          <w:sz w:val="20"/>
        </w:rPr>
        <w:t xml:space="preserve">and that FGD installation </w:t>
      </w:r>
      <w:r w:rsidR="004C563F">
        <w:rPr>
          <w:sz w:val="20"/>
        </w:rPr>
        <w:t>is</w:t>
      </w:r>
      <w:r w:rsidR="00F7507D">
        <w:rPr>
          <w:sz w:val="20"/>
        </w:rPr>
        <w:t xml:space="preserve"> positive</w:t>
      </w:r>
      <w:r w:rsidR="00A02C18">
        <w:rPr>
          <w:sz w:val="20"/>
        </w:rPr>
        <w:t>, ceteris paribus</w:t>
      </w:r>
      <w:r w:rsidR="00F7507D">
        <w:rPr>
          <w:sz w:val="20"/>
        </w:rPr>
        <w:t>, suggesting price discrimination</w:t>
      </w:r>
      <w:r w:rsidR="00C21A60" w:rsidRPr="00E93251">
        <w:rPr>
          <w:sz w:val="20"/>
        </w:rPr>
        <w:t xml:space="preserve">. </w:t>
      </w:r>
    </w:p>
    <w:p w:rsidR="00606DC8" w:rsidRPr="00E93251" w:rsidRDefault="00606DC8" w:rsidP="003C0B3C">
      <w:pPr>
        <w:pStyle w:val="Heading1"/>
        <w:spacing w:before="0"/>
        <w:rPr>
          <w:sz w:val="22"/>
        </w:rPr>
      </w:pPr>
      <w:bookmarkStart w:id="1" w:name="_Toc469666863"/>
      <w:r w:rsidRPr="00E93251">
        <w:rPr>
          <w:sz w:val="22"/>
        </w:rPr>
        <w:t>Methods</w:t>
      </w:r>
      <w:bookmarkEnd w:id="1"/>
    </w:p>
    <w:p w:rsidR="000E69BA" w:rsidRDefault="00071B09" w:rsidP="00606DC8">
      <w:pPr>
        <w:rPr>
          <w:sz w:val="20"/>
        </w:rPr>
      </w:pPr>
      <w:r w:rsidRPr="00E93251">
        <w:rPr>
          <w:sz w:val="20"/>
        </w:rPr>
        <w:t xml:space="preserve">I </w:t>
      </w:r>
      <w:r w:rsidR="004E4CEE">
        <w:rPr>
          <w:sz w:val="20"/>
        </w:rPr>
        <w:t xml:space="preserve">use a hedonic price model as first discussed in </w:t>
      </w:r>
      <w:r w:rsidR="00633139">
        <w:rPr>
          <w:sz w:val="20"/>
        </w:rPr>
        <w:t>Rosen</w:t>
      </w:r>
      <w:r w:rsidR="004E4CEE">
        <w:rPr>
          <w:sz w:val="20"/>
        </w:rPr>
        <w:t xml:space="preserve"> (</w:t>
      </w:r>
      <w:r w:rsidR="00633139">
        <w:rPr>
          <w:sz w:val="20"/>
        </w:rPr>
        <w:t>1974</w:t>
      </w:r>
      <w:r w:rsidRPr="00E93251">
        <w:rPr>
          <w:sz w:val="20"/>
        </w:rPr>
        <w:t>)</w:t>
      </w:r>
      <w:r w:rsidR="004E4CEE">
        <w:rPr>
          <w:sz w:val="20"/>
        </w:rPr>
        <w:t>, and estimate it with a linear, additive model</w:t>
      </w:r>
      <w:r w:rsidR="002A7242">
        <w:rPr>
          <w:sz w:val="20"/>
        </w:rPr>
        <w:t xml:space="preserve"> </w:t>
      </w:r>
      <w:r w:rsidR="00A23634">
        <w:rPr>
          <w:sz w:val="20"/>
        </w:rPr>
        <w:t>of</w:t>
      </w:r>
      <w:r w:rsidR="002A7242">
        <w:rPr>
          <w:sz w:val="20"/>
        </w:rPr>
        <w:t xml:space="preserve"> covariates.</w:t>
      </w:r>
      <w:r w:rsidR="004E4CEE">
        <w:rPr>
          <w:sz w:val="20"/>
        </w:rPr>
        <w:t xml:space="preserve">  My data</w:t>
      </w:r>
      <w:r w:rsidRPr="00E93251">
        <w:rPr>
          <w:sz w:val="20"/>
        </w:rPr>
        <w:t xml:space="preserve"> </w:t>
      </w:r>
      <w:r w:rsidR="002A7242">
        <w:rPr>
          <w:sz w:val="20"/>
        </w:rPr>
        <w:t xml:space="preserve">is of coal purchases at U.S. power plants </w:t>
      </w:r>
      <w:r w:rsidRPr="00E93251">
        <w:rPr>
          <w:sz w:val="20"/>
        </w:rPr>
        <w:t>from the Energy Informatio</w:t>
      </w:r>
      <w:r w:rsidR="002A7242">
        <w:rPr>
          <w:sz w:val="20"/>
        </w:rPr>
        <w:t>n Administration (EIA) from 2008</w:t>
      </w:r>
      <w:r w:rsidRPr="00E93251">
        <w:rPr>
          <w:sz w:val="20"/>
        </w:rPr>
        <w:t xml:space="preserve"> through 2014</w:t>
      </w:r>
      <w:r w:rsidR="004312E0" w:rsidRPr="00E93251">
        <w:rPr>
          <w:sz w:val="20"/>
        </w:rPr>
        <w:t xml:space="preserve">.  This data is collected through mandatory reporting requirements </w:t>
      </w:r>
      <w:r w:rsidR="00A26217" w:rsidRPr="00E93251">
        <w:rPr>
          <w:sz w:val="20"/>
        </w:rPr>
        <w:t xml:space="preserve">at U.S. power plants </w:t>
      </w:r>
      <w:r w:rsidR="004312E0" w:rsidRPr="00E93251">
        <w:rPr>
          <w:sz w:val="20"/>
        </w:rPr>
        <w:t xml:space="preserve">on forms </w:t>
      </w:r>
      <w:r w:rsidR="004312E0" w:rsidRPr="00E93251">
        <w:rPr>
          <w:i/>
          <w:sz w:val="20"/>
        </w:rPr>
        <w:t>Annual electric generator report</w:t>
      </w:r>
      <w:r w:rsidR="004312E0" w:rsidRPr="00E93251">
        <w:rPr>
          <w:sz w:val="20"/>
        </w:rPr>
        <w:t xml:space="preserve"> (EIA-860) and </w:t>
      </w:r>
      <w:r w:rsidR="004312E0" w:rsidRPr="00E93251">
        <w:rPr>
          <w:i/>
          <w:sz w:val="20"/>
        </w:rPr>
        <w:t>Power plant operations</w:t>
      </w:r>
      <w:r w:rsidR="004312E0" w:rsidRPr="00E93251">
        <w:rPr>
          <w:sz w:val="20"/>
        </w:rPr>
        <w:t xml:space="preserve"> (EIA-923) and is publicly</w:t>
      </w:r>
      <w:r w:rsidR="0056655A" w:rsidRPr="00E93251">
        <w:rPr>
          <w:sz w:val="20"/>
        </w:rPr>
        <w:t xml:space="preserve"> available</w:t>
      </w:r>
      <w:r w:rsidR="004312E0" w:rsidRPr="00E93251">
        <w:rPr>
          <w:sz w:val="20"/>
        </w:rPr>
        <w:t>.</w:t>
      </w:r>
      <w:r w:rsidR="004C2B0A">
        <w:rPr>
          <w:sz w:val="20"/>
        </w:rPr>
        <w:t xml:space="preserve">  </w:t>
      </w:r>
      <w:r w:rsidR="004C2B0A" w:rsidRPr="00E93251">
        <w:rPr>
          <w:sz w:val="20"/>
        </w:rPr>
        <w:t xml:space="preserve">Through another programming language, I download </w:t>
      </w:r>
      <w:r w:rsidR="004C2B0A">
        <w:rPr>
          <w:sz w:val="20"/>
        </w:rPr>
        <w:t>th</w:t>
      </w:r>
      <w:r w:rsidR="002A7242">
        <w:rPr>
          <w:sz w:val="20"/>
        </w:rPr>
        <w:t>e</w:t>
      </w:r>
      <w:r w:rsidR="004C2B0A">
        <w:rPr>
          <w:sz w:val="20"/>
        </w:rPr>
        <w:t xml:space="preserve"> </w:t>
      </w:r>
      <w:r w:rsidR="004C2B0A" w:rsidRPr="00E93251">
        <w:rPr>
          <w:sz w:val="20"/>
        </w:rPr>
        <w:t xml:space="preserve">EIA </w:t>
      </w:r>
      <w:r w:rsidR="002A7242">
        <w:rPr>
          <w:sz w:val="20"/>
        </w:rPr>
        <w:t>data (available in several separate files)</w:t>
      </w:r>
      <w:r w:rsidR="00A23634">
        <w:rPr>
          <w:sz w:val="20"/>
        </w:rPr>
        <w:t xml:space="preserve"> and</w:t>
      </w:r>
      <w:r w:rsidR="004C2B0A" w:rsidRPr="00E93251">
        <w:rPr>
          <w:sz w:val="20"/>
        </w:rPr>
        <w:t xml:space="preserve"> merge it for use in R.</w:t>
      </w:r>
      <w:r w:rsidR="008A442E" w:rsidRPr="00E93251">
        <w:rPr>
          <w:sz w:val="20"/>
        </w:rPr>
        <w:t xml:space="preserve">  I use </w:t>
      </w:r>
      <w:r w:rsidR="002A7242">
        <w:rPr>
          <w:sz w:val="20"/>
        </w:rPr>
        <w:t>purchase-</w:t>
      </w:r>
      <w:r w:rsidR="008A442E" w:rsidRPr="00E93251">
        <w:rPr>
          <w:sz w:val="20"/>
        </w:rPr>
        <w:t xml:space="preserve">order level data </w:t>
      </w:r>
      <w:r w:rsidR="002A7242">
        <w:rPr>
          <w:sz w:val="20"/>
        </w:rPr>
        <w:t xml:space="preserve">for power plants </w:t>
      </w:r>
      <w:r w:rsidR="008A442E" w:rsidRPr="00E93251">
        <w:rPr>
          <w:sz w:val="20"/>
        </w:rPr>
        <w:t xml:space="preserve">that includes the price of the coal, </w:t>
      </w:r>
      <w:r w:rsidR="002A7242">
        <w:rPr>
          <w:sz w:val="20"/>
        </w:rPr>
        <w:t xml:space="preserve">measures of </w:t>
      </w:r>
      <w:r w:rsidR="008A442E" w:rsidRPr="00E93251">
        <w:rPr>
          <w:sz w:val="20"/>
        </w:rPr>
        <w:t>several physical properties (heat in BTU’s, sulfur, ash, and mercury content),</w:t>
      </w:r>
      <w:r w:rsidR="002A7242">
        <w:rPr>
          <w:sz w:val="20"/>
        </w:rPr>
        <w:t xml:space="preserve"> plant characteristics (FGD installation and </w:t>
      </w:r>
      <w:r w:rsidR="00F37D74">
        <w:rPr>
          <w:sz w:val="20"/>
        </w:rPr>
        <w:t>others</w:t>
      </w:r>
      <w:r w:rsidR="002A7242">
        <w:rPr>
          <w:sz w:val="20"/>
        </w:rPr>
        <w:t>),</w:t>
      </w:r>
      <w:r w:rsidR="008A442E" w:rsidRPr="00E93251">
        <w:rPr>
          <w:sz w:val="20"/>
        </w:rPr>
        <w:t xml:space="preserve"> as well as source mine identification number.  </w:t>
      </w:r>
      <w:r w:rsidR="0012470A" w:rsidRPr="00E93251">
        <w:rPr>
          <w:sz w:val="20"/>
        </w:rPr>
        <w:t>As travel costs are potentially substantial for bulk commodit</w:t>
      </w:r>
      <w:r w:rsidR="002A7242">
        <w:rPr>
          <w:sz w:val="20"/>
        </w:rPr>
        <w:t>ies</w:t>
      </w:r>
      <w:r w:rsidR="0012470A" w:rsidRPr="00E93251">
        <w:rPr>
          <w:sz w:val="20"/>
        </w:rPr>
        <w:t>, I</w:t>
      </w:r>
      <w:r w:rsidR="00B4316D" w:rsidRPr="00E93251">
        <w:rPr>
          <w:sz w:val="20"/>
        </w:rPr>
        <w:t xml:space="preserve"> then</w:t>
      </w:r>
      <w:r w:rsidR="0012470A" w:rsidRPr="00E93251">
        <w:rPr>
          <w:sz w:val="20"/>
        </w:rPr>
        <w:t xml:space="preserve"> use mine geocoordinate data from the Mine Safety and Health Administration (MSHA) to estimate dis</w:t>
      </w:r>
      <w:r w:rsidR="003E6E43">
        <w:rPr>
          <w:sz w:val="20"/>
        </w:rPr>
        <w:t>tance from each purchase order</w:t>
      </w:r>
      <w:r w:rsidR="002A7242">
        <w:rPr>
          <w:sz w:val="20"/>
        </w:rPr>
        <w:t xml:space="preserve"> listed</w:t>
      </w:r>
      <w:r w:rsidR="0012470A" w:rsidRPr="00E93251">
        <w:rPr>
          <w:sz w:val="20"/>
        </w:rPr>
        <w:t xml:space="preserve"> mine</w:t>
      </w:r>
      <w:r w:rsidR="003E6E43">
        <w:rPr>
          <w:sz w:val="20"/>
        </w:rPr>
        <w:t xml:space="preserve"> to </w:t>
      </w:r>
      <w:r w:rsidR="002A7242">
        <w:rPr>
          <w:sz w:val="20"/>
        </w:rPr>
        <w:t xml:space="preserve">power </w:t>
      </w:r>
      <w:r w:rsidR="0012470A" w:rsidRPr="00E93251">
        <w:rPr>
          <w:sz w:val="20"/>
        </w:rPr>
        <w:t>plant</w:t>
      </w:r>
      <w:r w:rsidR="00A23634">
        <w:rPr>
          <w:sz w:val="20"/>
        </w:rPr>
        <w:t>s</w:t>
      </w:r>
      <w:r w:rsidR="002A7242">
        <w:rPr>
          <w:sz w:val="20"/>
        </w:rPr>
        <w:t xml:space="preserve"> as</w:t>
      </w:r>
      <w:r w:rsidR="0012470A" w:rsidRPr="00E93251">
        <w:rPr>
          <w:sz w:val="20"/>
        </w:rPr>
        <w:t xml:space="preserve"> a proxy for travel costs.</w:t>
      </w:r>
      <w:r w:rsidR="008F1513">
        <w:rPr>
          <w:sz w:val="20"/>
        </w:rPr>
        <w:t xml:space="preserve">  </w:t>
      </w:r>
    </w:p>
    <w:p w:rsidR="004312E0" w:rsidRDefault="008F1513" w:rsidP="00173545">
      <w:pPr>
        <w:spacing w:after="0"/>
        <w:rPr>
          <w:sz w:val="20"/>
        </w:rPr>
      </w:pPr>
      <w:r>
        <w:rPr>
          <w:sz w:val="20"/>
        </w:rPr>
        <w:t>As this results in a rather large panel dataset</w:t>
      </w:r>
      <w:r w:rsidR="00F12FD3">
        <w:rPr>
          <w:sz w:val="20"/>
        </w:rPr>
        <w:t>, over 92,000 observations,</w:t>
      </w:r>
      <w:r>
        <w:rPr>
          <w:sz w:val="20"/>
        </w:rPr>
        <w:t xml:space="preserve"> composed of several repeat measures at each plant,</w:t>
      </w:r>
      <w:r w:rsidR="00CA1D1E">
        <w:rPr>
          <w:sz w:val="20"/>
        </w:rPr>
        <w:t xml:space="preserve"> I use a pooled </w:t>
      </w:r>
      <w:r w:rsidR="000E69BA">
        <w:rPr>
          <w:sz w:val="20"/>
        </w:rPr>
        <w:t xml:space="preserve">OLS model to account for unobservable characteristics at the plant level.  This is equivalent to a fixed effects model in the dimension of </w:t>
      </w:r>
      <w:r w:rsidR="005909DE">
        <w:rPr>
          <w:sz w:val="20"/>
        </w:rPr>
        <w:t>location</w:t>
      </w:r>
      <w:r w:rsidR="000E69BA">
        <w:rPr>
          <w:sz w:val="20"/>
        </w:rPr>
        <w:t xml:space="preserve"> but not time.  The data does not fit a fixed effect model across time.  The time unit in the data is monthly but several observations may occur </w:t>
      </w:r>
      <w:r w:rsidR="005909DE">
        <w:rPr>
          <w:sz w:val="20"/>
        </w:rPr>
        <w:t>each</w:t>
      </w:r>
      <w:r w:rsidR="000E69BA">
        <w:rPr>
          <w:sz w:val="20"/>
        </w:rPr>
        <w:t xml:space="preserve"> month as I use purchase data and any month may include several orders.</w:t>
      </w:r>
      <w:r w:rsidR="009B603F">
        <w:rPr>
          <w:sz w:val="20"/>
        </w:rPr>
        <w:t xml:space="preserve">  Obviously, this could be condensed into monthly data, but by sacrificing a great deal of valuable price data.  Instead, I </w:t>
      </w:r>
      <w:r w:rsidR="005604B8">
        <w:rPr>
          <w:sz w:val="20"/>
        </w:rPr>
        <w:t>include time factor variables</w:t>
      </w:r>
      <w:r w:rsidR="005909DE">
        <w:rPr>
          <w:sz w:val="20"/>
        </w:rPr>
        <w:t xml:space="preserve"> and preserve the rich quality and depth of the data</w:t>
      </w:r>
      <w:r w:rsidR="005604B8">
        <w:rPr>
          <w:sz w:val="20"/>
        </w:rPr>
        <w:t>.</w:t>
      </w:r>
      <w:r w:rsidR="009F2145">
        <w:rPr>
          <w:sz w:val="20"/>
        </w:rPr>
        <w:t xml:space="preserve">  </w:t>
      </w:r>
      <w:r w:rsidR="0034495A">
        <w:rPr>
          <w:sz w:val="20"/>
        </w:rPr>
        <w:t xml:space="preserve">The preferred specification of </w:t>
      </w:r>
      <w:r w:rsidR="005909DE">
        <w:rPr>
          <w:sz w:val="20"/>
        </w:rPr>
        <w:t>the</w:t>
      </w:r>
      <w:r w:rsidR="0034495A">
        <w:rPr>
          <w:sz w:val="20"/>
        </w:rPr>
        <w:t xml:space="preserve"> hedonic price model </w:t>
      </w:r>
      <w:r w:rsidR="005909DE">
        <w:rPr>
          <w:sz w:val="20"/>
        </w:rPr>
        <w:t>I estimate is</w:t>
      </w:r>
      <w:r w:rsidR="0034495A">
        <w:rPr>
          <w:sz w:val="20"/>
        </w:rPr>
        <w:t>:</w:t>
      </w:r>
    </w:p>
    <w:p w:rsidR="0034495A" w:rsidRPr="00173545" w:rsidRDefault="0034495A" w:rsidP="005909DE">
      <w:pPr>
        <w:spacing w:after="0"/>
        <w:rPr>
          <w:rFonts w:eastAsiaTheme="minorEastAsia"/>
          <w:sz w:val="20"/>
        </w:rPr>
      </w:pPr>
      <m:oMathPara>
        <m:oMath>
          <m:r>
            <w:rPr>
              <w:rFonts w:ascii="Cambria Math" w:hAnsi="Cambria Math"/>
              <w:sz w:val="20"/>
            </w:rPr>
            <m:t>Fuelcost=</m:t>
          </m:r>
          <m:sSub>
            <m:sSubPr>
              <m:ctrlPr>
                <w:rPr>
                  <w:rFonts w:ascii="Cambria Math" w:hAnsi="Cambria Math"/>
                  <w:i/>
                  <w:sz w:val="20"/>
                </w:rPr>
              </m:ctrlPr>
            </m:sSubPr>
            <m:e>
              <m:r>
                <w:rPr>
                  <w:rFonts w:ascii="Cambria Math" w:hAnsi="Cambria Math"/>
                  <w:sz w:val="20"/>
                </w:rPr>
                <m:t>β</m:t>
              </m:r>
            </m:e>
            <m:sub>
              <m:r>
                <w:rPr>
                  <w:rFonts w:ascii="Cambria Math" w:hAnsi="Cambria Math"/>
                  <w:sz w:val="20"/>
                </w:rPr>
                <m:t>1</m:t>
              </m:r>
            </m:sub>
          </m:sSub>
          <m:r>
            <w:rPr>
              <w:rFonts w:ascii="Cambria Math" w:hAnsi="Cambria Math"/>
              <w:sz w:val="20"/>
            </w:rPr>
            <m:t>Avesulfur+</m:t>
          </m:r>
          <m:sSub>
            <m:sSubPr>
              <m:ctrlPr>
                <w:rPr>
                  <w:rFonts w:ascii="Cambria Math" w:hAnsi="Cambria Math"/>
                  <w:i/>
                  <w:sz w:val="20"/>
                </w:rPr>
              </m:ctrlPr>
            </m:sSubPr>
            <m:e>
              <m:r>
                <w:rPr>
                  <w:rFonts w:ascii="Cambria Math" w:hAnsi="Cambria Math"/>
                  <w:sz w:val="20"/>
                </w:rPr>
                <m:t>β</m:t>
              </m:r>
            </m:e>
            <m:sub>
              <m:r>
                <w:rPr>
                  <w:rFonts w:ascii="Cambria Math" w:hAnsi="Cambria Math"/>
                  <w:sz w:val="20"/>
                </w:rPr>
                <m:t>1</m:t>
              </m:r>
            </m:sub>
          </m:sSub>
          <m:r>
            <w:rPr>
              <w:rFonts w:ascii="Cambria Math" w:hAnsi="Cambria Math"/>
              <w:sz w:val="20"/>
            </w:rPr>
            <m:t>FGD+</m:t>
          </m:r>
          <m:sSub>
            <m:sSubPr>
              <m:ctrlPr>
                <w:rPr>
                  <w:rFonts w:ascii="Cambria Math" w:hAnsi="Cambria Math"/>
                  <w:i/>
                  <w:sz w:val="20"/>
                </w:rPr>
              </m:ctrlPr>
            </m:sSubPr>
            <m:e>
              <m:r>
                <w:rPr>
                  <w:rFonts w:ascii="Cambria Math" w:hAnsi="Cambria Math"/>
                  <w:sz w:val="20"/>
                </w:rPr>
                <m:t>β</m:t>
              </m:r>
            </m:e>
            <m:sub>
              <m:r>
                <w:rPr>
                  <w:rFonts w:ascii="Cambria Math" w:hAnsi="Cambria Math"/>
                  <w:sz w:val="20"/>
                </w:rPr>
                <m:t>2</m:t>
              </m:r>
            </m:sub>
          </m:sSub>
          <m:r>
            <w:rPr>
              <w:rFonts w:ascii="Cambria Math" w:hAnsi="Cambria Math"/>
              <w:sz w:val="20"/>
            </w:rPr>
            <m:t>AveBTU+</m:t>
          </m:r>
          <m:sSub>
            <m:sSubPr>
              <m:ctrlPr>
                <w:rPr>
                  <w:rFonts w:ascii="Cambria Math" w:hAnsi="Cambria Math"/>
                  <w:i/>
                  <w:sz w:val="20"/>
                </w:rPr>
              </m:ctrlPr>
            </m:sSubPr>
            <m:e>
              <m:r>
                <w:rPr>
                  <w:rFonts w:ascii="Cambria Math" w:hAnsi="Cambria Math"/>
                  <w:sz w:val="20"/>
                </w:rPr>
                <m:t>β</m:t>
              </m:r>
            </m:e>
            <m:sub>
              <m:r>
                <w:rPr>
                  <w:rFonts w:ascii="Cambria Math" w:hAnsi="Cambria Math"/>
                  <w:sz w:val="20"/>
                </w:rPr>
                <m:t>3</m:t>
              </m:r>
            </m:sub>
          </m:sSub>
          <m:r>
            <w:rPr>
              <w:rFonts w:ascii="Cambria Math" w:hAnsi="Cambria Math"/>
              <w:sz w:val="20"/>
            </w:rPr>
            <m:t>Aveash+</m:t>
          </m:r>
          <m:sSub>
            <m:sSubPr>
              <m:ctrlPr>
                <w:rPr>
                  <w:rFonts w:ascii="Cambria Math" w:hAnsi="Cambria Math"/>
                  <w:i/>
                  <w:sz w:val="20"/>
                </w:rPr>
              </m:ctrlPr>
            </m:sSubPr>
            <m:e>
              <m:r>
                <w:rPr>
                  <w:rFonts w:ascii="Cambria Math" w:hAnsi="Cambria Math"/>
                  <w:sz w:val="20"/>
                </w:rPr>
                <m:t>β</m:t>
              </m:r>
            </m:e>
            <m:sub>
              <m:r>
                <w:rPr>
                  <w:rFonts w:ascii="Cambria Math" w:hAnsi="Cambria Math"/>
                  <w:sz w:val="20"/>
                </w:rPr>
                <m:t>4</m:t>
              </m:r>
            </m:sub>
          </m:sSub>
          <m:r>
            <w:rPr>
              <w:rFonts w:ascii="Cambria Math" w:hAnsi="Cambria Math"/>
              <w:sz w:val="20"/>
            </w:rPr>
            <m:t>Quantity+</m:t>
          </m:r>
          <m:sSub>
            <m:sSubPr>
              <m:ctrlPr>
                <w:rPr>
                  <w:rFonts w:ascii="Cambria Math" w:hAnsi="Cambria Math"/>
                  <w:i/>
                  <w:sz w:val="20"/>
                </w:rPr>
              </m:ctrlPr>
            </m:sSubPr>
            <m:e>
              <m:r>
                <w:rPr>
                  <w:rFonts w:ascii="Cambria Math" w:hAnsi="Cambria Math"/>
                  <w:sz w:val="20"/>
                </w:rPr>
                <m:t>β</m:t>
              </m:r>
            </m:e>
            <m:sub>
              <m:r>
                <w:rPr>
                  <w:rFonts w:ascii="Cambria Math" w:hAnsi="Cambria Math"/>
                  <w:sz w:val="20"/>
                </w:rPr>
                <m:t>5</m:t>
              </m:r>
            </m:sub>
          </m:sSub>
          <m:r>
            <w:rPr>
              <w:rFonts w:ascii="Cambria Math" w:hAnsi="Cambria Math"/>
              <w:sz w:val="20"/>
            </w:rPr>
            <m:t>distances+</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6</m:t>
              </m:r>
            </m:sup>
            <m:e>
              <m:sSub>
                <m:sSubPr>
                  <m:ctrlPr>
                    <w:rPr>
                      <w:rFonts w:ascii="Cambria Math" w:hAnsi="Cambria Math"/>
                      <w:i/>
                      <w:sz w:val="20"/>
                    </w:rPr>
                  </m:ctrlPr>
                </m:sSubPr>
                <m:e>
                  <m:r>
                    <w:rPr>
                      <w:rFonts w:ascii="Cambria Math" w:hAnsi="Cambria Math"/>
                      <w:sz w:val="20"/>
                    </w:rPr>
                    <m:t>YEAR</m:t>
                  </m:r>
                </m:e>
                <m:sub>
                  <m:r>
                    <w:rPr>
                      <w:rFonts w:ascii="Cambria Math" w:hAnsi="Cambria Math"/>
                      <w:sz w:val="20"/>
                    </w:rPr>
                    <m:t>2008+i</m:t>
                  </m:r>
                </m:sub>
              </m:sSub>
            </m:e>
          </m:nary>
        </m:oMath>
      </m:oMathPara>
    </w:p>
    <w:p w:rsidR="00173545" w:rsidRDefault="00173545" w:rsidP="00606DC8">
      <w:pPr>
        <w:rPr>
          <w:sz w:val="20"/>
        </w:rPr>
      </w:pPr>
      <w:r>
        <w:rPr>
          <w:sz w:val="20"/>
        </w:rPr>
        <w:t xml:space="preserve">I estimate the model in both level-level for use in deriving </w:t>
      </w:r>
      <w:r w:rsidR="0073388A">
        <w:rPr>
          <w:sz w:val="20"/>
        </w:rPr>
        <w:t xml:space="preserve">the price contribution of sulfur, and as </w:t>
      </w:r>
      <w:r>
        <w:rPr>
          <w:sz w:val="20"/>
        </w:rPr>
        <w:t>log-log</w:t>
      </w:r>
      <w:r w:rsidR="0073388A">
        <w:rPr>
          <w:sz w:val="20"/>
        </w:rPr>
        <w:t xml:space="preserve"> transformation</w:t>
      </w:r>
      <w:r>
        <w:rPr>
          <w:sz w:val="20"/>
        </w:rPr>
        <w:t xml:space="preserve"> for interpretation</w:t>
      </w:r>
      <w:r w:rsidR="0073388A">
        <w:rPr>
          <w:sz w:val="20"/>
        </w:rPr>
        <w:t xml:space="preserve">. The log-log transformation presents coefficients that approximate </w:t>
      </w:r>
      <w:r>
        <w:rPr>
          <w:sz w:val="20"/>
        </w:rPr>
        <w:t>percent change</w:t>
      </w:r>
      <w:r w:rsidR="0073388A">
        <w:rPr>
          <w:sz w:val="20"/>
        </w:rPr>
        <w:t>s in the independent variable</w:t>
      </w:r>
      <w:r>
        <w:rPr>
          <w:sz w:val="20"/>
        </w:rPr>
        <w:t xml:space="preserve"> </w:t>
      </w:r>
      <w:r w:rsidR="0073388A">
        <w:rPr>
          <w:sz w:val="20"/>
        </w:rPr>
        <w:t>from a percent change in the dependent-</w:t>
      </w:r>
      <w:r w:rsidR="005909DE">
        <w:rPr>
          <w:sz w:val="20"/>
        </w:rPr>
        <w:t xml:space="preserve"> interpretable</w:t>
      </w:r>
      <w:r w:rsidR="0073388A">
        <w:rPr>
          <w:sz w:val="20"/>
        </w:rPr>
        <w:t xml:space="preserve"> </w:t>
      </w:r>
      <w:r>
        <w:rPr>
          <w:sz w:val="20"/>
        </w:rPr>
        <w:t>as elasticities.</w:t>
      </w:r>
      <w:r w:rsidR="009F2145">
        <w:rPr>
          <w:sz w:val="20"/>
        </w:rPr>
        <w:t xml:space="preserve">  In testing specificatio</w:t>
      </w:r>
      <w:r w:rsidR="005909DE">
        <w:rPr>
          <w:sz w:val="20"/>
        </w:rPr>
        <w:t>n, the primary data of interest,</w:t>
      </w:r>
      <w:r w:rsidR="009F2145">
        <w:rPr>
          <w:sz w:val="20"/>
        </w:rPr>
        <w:t xml:space="preserve"> the coefficient on sulfur content indicating its contribution to price, is robust to specification as is the sign on FGD.  </w:t>
      </w:r>
      <w:r w:rsidR="00487112">
        <w:rPr>
          <w:sz w:val="20"/>
        </w:rPr>
        <w:t xml:space="preserve">Alternate </w:t>
      </w:r>
      <w:r w:rsidR="005909DE">
        <w:rPr>
          <w:sz w:val="20"/>
        </w:rPr>
        <w:t>methods</w:t>
      </w:r>
      <w:r w:rsidR="00487112">
        <w:rPr>
          <w:sz w:val="20"/>
        </w:rPr>
        <w:t xml:space="preserve"> included </w:t>
      </w:r>
      <w:r w:rsidR="009F2145">
        <w:rPr>
          <w:sz w:val="20"/>
        </w:rPr>
        <w:t xml:space="preserve">different estimation techniques and </w:t>
      </w:r>
      <w:r w:rsidR="005909DE">
        <w:rPr>
          <w:sz w:val="20"/>
        </w:rPr>
        <w:t>specifications</w:t>
      </w:r>
      <w:r w:rsidR="009F2145">
        <w:rPr>
          <w:sz w:val="20"/>
        </w:rPr>
        <w:t xml:space="preserve"> including quadratic transformations</w:t>
      </w:r>
      <w:r w:rsidR="005909DE">
        <w:rPr>
          <w:sz w:val="20"/>
        </w:rPr>
        <w:t xml:space="preserve"> which</w:t>
      </w:r>
      <w:r w:rsidR="009F2145">
        <w:rPr>
          <w:sz w:val="20"/>
        </w:rPr>
        <w:t xml:space="preserve"> were tested </w:t>
      </w:r>
      <w:r w:rsidR="005909DE">
        <w:rPr>
          <w:sz w:val="20"/>
        </w:rPr>
        <w:t>and had</w:t>
      </w:r>
      <w:r w:rsidR="009F2145">
        <w:rPr>
          <w:sz w:val="20"/>
        </w:rPr>
        <w:t xml:space="preserve"> little impact on the primary coefficients of interest</w:t>
      </w:r>
      <w:r w:rsidR="005909DE">
        <w:rPr>
          <w:sz w:val="20"/>
        </w:rPr>
        <w:t>,</w:t>
      </w:r>
      <w:r w:rsidR="009F2145">
        <w:rPr>
          <w:sz w:val="20"/>
        </w:rPr>
        <w:t xml:space="preserve"> sulfur content (</w:t>
      </w:r>
      <w:proofErr w:type="spellStart"/>
      <w:r w:rsidR="009F2145" w:rsidRPr="009F2145">
        <w:rPr>
          <w:i/>
          <w:sz w:val="20"/>
        </w:rPr>
        <w:t>Avesulfur</w:t>
      </w:r>
      <w:proofErr w:type="spellEnd"/>
      <w:r w:rsidR="009F2145">
        <w:rPr>
          <w:sz w:val="20"/>
        </w:rPr>
        <w:t>)</w:t>
      </w:r>
      <w:r w:rsidR="005909DE">
        <w:rPr>
          <w:sz w:val="20"/>
        </w:rPr>
        <w:t>,</w:t>
      </w:r>
      <w:r w:rsidR="009F2145">
        <w:rPr>
          <w:sz w:val="20"/>
        </w:rPr>
        <w:t xml:space="preserve"> and FGD equipment in operation (</w:t>
      </w:r>
      <w:r w:rsidR="009F2145" w:rsidRPr="009F2145">
        <w:rPr>
          <w:i/>
          <w:sz w:val="20"/>
        </w:rPr>
        <w:t>FGD</w:t>
      </w:r>
      <w:r w:rsidR="009F2145">
        <w:rPr>
          <w:sz w:val="20"/>
        </w:rPr>
        <w:t>).</w:t>
      </w:r>
    </w:p>
    <w:p w:rsidR="00606DC8" w:rsidRPr="00E93251" w:rsidRDefault="00606DC8" w:rsidP="003C0B3C">
      <w:pPr>
        <w:pStyle w:val="Heading1"/>
        <w:spacing w:before="0"/>
        <w:rPr>
          <w:sz w:val="22"/>
        </w:rPr>
      </w:pPr>
      <w:bookmarkStart w:id="2" w:name="_Toc469666864"/>
      <w:r w:rsidRPr="00E93251">
        <w:rPr>
          <w:sz w:val="22"/>
        </w:rPr>
        <w:t>Results</w:t>
      </w:r>
      <w:bookmarkEnd w:id="2"/>
    </w:p>
    <w:p w:rsidR="00606DC8" w:rsidRPr="001320CB" w:rsidRDefault="00FF54B3" w:rsidP="00606DC8">
      <w:pPr>
        <w:rPr>
          <w:sz w:val="20"/>
        </w:rPr>
      </w:pPr>
      <w:r>
        <w:rPr>
          <w:sz w:val="20"/>
        </w:rPr>
        <w:t xml:space="preserve">Using the pooled OLS model to control for plant </w:t>
      </w:r>
      <w:proofErr w:type="spellStart"/>
      <w:r>
        <w:rPr>
          <w:sz w:val="20"/>
        </w:rPr>
        <w:t>unobservables</w:t>
      </w:r>
      <w:proofErr w:type="spellEnd"/>
      <w:r>
        <w:rPr>
          <w:sz w:val="20"/>
        </w:rPr>
        <w:t xml:space="preserve"> and </w:t>
      </w:r>
      <w:r w:rsidR="00C74084">
        <w:rPr>
          <w:sz w:val="20"/>
        </w:rPr>
        <w:t>adding</w:t>
      </w:r>
      <w:r>
        <w:rPr>
          <w:sz w:val="20"/>
        </w:rPr>
        <w:t xml:space="preserve"> time factors, I </w:t>
      </w:r>
      <w:r w:rsidR="00434774">
        <w:rPr>
          <w:sz w:val="20"/>
        </w:rPr>
        <w:t xml:space="preserve">estimate both </w:t>
      </w:r>
      <w:r w:rsidR="008A17C6">
        <w:rPr>
          <w:sz w:val="20"/>
        </w:rPr>
        <w:t xml:space="preserve">level-level </w:t>
      </w:r>
      <w:r w:rsidR="00C74084">
        <w:rPr>
          <w:sz w:val="20"/>
        </w:rPr>
        <w:t>(table 1</w:t>
      </w:r>
      <w:r w:rsidR="00434774">
        <w:rPr>
          <w:sz w:val="20"/>
        </w:rPr>
        <w:t xml:space="preserve">) </w:t>
      </w:r>
      <w:r w:rsidR="008A17C6">
        <w:rPr>
          <w:sz w:val="20"/>
        </w:rPr>
        <w:t>and log-log</w:t>
      </w:r>
      <w:r w:rsidR="00C74084">
        <w:rPr>
          <w:sz w:val="20"/>
        </w:rPr>
        <w:t xml:space="preserve"> (table 2</w:t>
      </w:r>
      <w:r w:rsidR="00434774">
        <w:rPr>
          <w:sz w:val="20"/>
        </w:rPr>
        <w:t>)</w:t>
      </w:r>
      <w:r w:rsidR="008A17C6">
        <w:rPr>
          <w:sz w:val="20"/>
        </w:rPr>
        <w:t xml:space="preserve"> specification</w:t>
      </w:r>
      <w:r w:rsidR="00434774">
        <w:rPr>
          <w:sz w:val="20"/>
        </w:rPr>
        <w:t>s</w:t>
      </w:r>
      <w:r w:rsidR="008A17C6">
        <w:rPr>
          <w:sz w:val="20"/>
        </w:rPr>
        <w:t xml:space="preserve"> of the hedonic price model.</w:t>
      </w:r>
      <w:r w:rsidR="002C0509">
        <w:rPr>
          <w:sz w:val="20"/>
        </w:rPr>
        <w:t xml:space="preserve">  The mean fuel cost in the period of observation is 254.6</w:t>
      </w:r>
      <w:r w:rsidR="00B268EB">
        <w:rPr>
          <w:sz w:val="20"/>
        </w:rPr>
        <w:t xml:space="preserve"> </w:t>
      </w:r>
      <w:r w:rsidR="00B268EB" w:rsidRPr="00B268EB">
        <w:rPr>
          <w:sz w:val="20"/>
        </w:rPr>
        <w:t>cents per million B</w:t>
      </w:r>
      <w:r w:rsidR="00C74084">
        <w:rPr>
          <w:sz w:val="20"/>
        </w:rPr>
        <w:t xml:space="preserve">TU </w:t>
      </w:r>
      <w:r w:rsidR="00B268EB" w:rsidRPr="00B268EB">
        <w:rPr>
          <w:sz w:val="20"/>
        </w:rPr>
        <w:t>(MMBtu)</w:t>
      </w:r>
      <w:r w:rsidR="00C522FE">
        <w:rPr>
          <w:sz w:val="20"/>
        </w:rPr>
        <w:t xml:space="preserve">.  The coefficient on sulfur content, </w:t>
      </w:r>
      <w:proofErr w:type="spellStart"/>
      <w:r w:rsidR="00C522FE">
        <w:rPr>
          <w:i/>
          <w:sz w:val="20"/>
        </w:rPr>
        <w:t>Avesulfur</w:t>
      </w:r>
      <w:proofErr w:type="spellEnd"/>
      <w:r w:rsidR="00C522FE">
        <w:rPr>
          <w:sz w:val="20"/>
        </w:rPr>
        <w:t>, where sulfur content is measured in percent</w:t>
      </w:r>
      <w:r w:rsidR="000D7FB3">
        <w:rPr>
          <w:sz w:val="20"/>
        </w:rPr>
        <w:t xml:space="preserve"> by weight</w:t>
      </w:r>
      <w:r w:rsidR="00590C82">
        <w:rPr>
          <w:sz w:val="20"/>
        </w:rPr>
        <w:t xml:space="preserve"> in table 1</w:t>
      </w:r>
      <w:r w:rsidR="00C522FE">
        <w:rPr>
          <w:sz w:val="20"/>
        </w:rPr>
        <w:t xml:space="preserve"> of -22.6 then implies a 22.6 cents per MMBtu discount for a 1-percent </w:t>
      </w:r>
      <w:r w:rsidR="0029576A">
        <w:rPr>
          <w:sz w:val="20"/>
        </w:rPr>
        <w:t xml:space="preserve">by weight </w:t>
      </w:r>
      <w:r w:rsidR="00C522FE">
        <w:rPr>
          <w:sz w:val="20"/>
        </w:rPr>
        <w:t>increase in sulfur content.</w:t>
      </w:r>
      <w:r w:rsidR="00FA42D6">
        <w:rPr>
          <w:sz w:val="20"/>
        </w:rPr>
        <w:t xml:space="preserve">  At the mean sulfur content of 1.3</w:t>
      </w:r>
      <w:r w:rsidR="00A61E26">
        <w:rPr>
          <w:sz w:val="20"/>
        </w:rPr>
        <w:t>-percent</w:t>
      </w:r>
      <w:r w:rsidR="00FA42D6">
        <w:rPr>
          <w:sz w:val="20"/>
        </w:rPr>
        <w:t>, this implies a 29.4 cent per MMBtu discount over a sulfur free alternative</w:t>
      </w:r>
      <w:r w:rsidR="0029576A">
        <w:rPr>
          <w:sz w:val="20"/>
        </w:rPr>
        <w:t>-</w:t>
      </w:r>
      <w:r w:rsidR="00A61E26">
        <w:rPr>
          <w:sz w:val="20"/>
        </w:rPr>
        <w:t xml:space="preserve"> a 12-percen</w:t>
      </w:r>
      <w:bookmarkStart w:id="3" w:name="_GoBack"/>
      <w:bookmarkEnd w:id="3"/>
      <w:r w:rsidR="00A61E26">
        <w:rPr>
          <w:sz w:val="20"/>
        </w:rPr>
        <w:t>t discount</w:t>
      </w:r>
      <w:r w:rsidR="00FA42D6">
        <w:rPr>
          <w:sz w:val="20"/>
        </w:rPr>
        <w:t>.</w:t>
      </w:r>
      <w:r w:rsidR="001320CB">
        <w:rPr>
          <w:sz w:val="20"/>
        </w:rPr>
        <w:t xml:space="preserve">  Turning to the coefficient on the dummy </w:t>
      </w:r>
      <w:r w:rsidR="001320CB">
        <w:rPr>
          <w:sz w:val="20"/>
        </w:rPr>
        <w:lastRenderedPageBreak/>
        <w:t xml:space="preserve">variable </w:t>
      </w:r>
      <w:r w:rsidR="001320CB" w:rsidRPr="001320CB">
        <w:rPr>
          <w:i/>
          <w:sz w:val="20"/>
        </w:rPr>
        <w:t>FGD</w:t>
      </w:r>
      <w:r w:rsidR="001320CB">
        <w:rPr>
          <w:sz w:val="20"/>
        </w:rPr>
        <w:t xml:space="preserve"> which would imply price discrimination against plants with abatement technology installed if positive, I instead find a small negative shift.  The coefficient value of -8.15 suggests 8.15 cents per MMBtu cheaper fuel prices at FGD enabled plants after controlling for a variety of covariates.  While statistically significant, it is a small effect and does not support the price discrimination </w:t>
      </w:r>
      <w:proofErr w:type="spellStart"/>
      <w:r w:rsidR="001320CB" w:rsidRPr="00633139">
        <w:rPr>
          <w:rFonts w:eastAsia="Times New Roman"/>
          <w:sz w:val="20"/>
          <w:szCs w:val="24"/>
        </w:rPr>
        <w:t>Busse</w:t>
      </w:r>
      <w:proofErr w:type="spellEnd"/>
      <w:r w:rsidR="001320CB">
        <w:rPr>
          <w:rFonts w:eastAsia="Times New Roman"/>
          <w:sz w:val="20"/>
          <w:szCs w:val="24"/>
        </w:rPr>
        <w:t xml:space="preserve"> </w:t>
      </w:r>
      <w:r w:rsidR="001320CB" w:rsidRPr="00633139">
        <w:rPr>
          <w:rFonts w:eastAsia="Times New Roman"/>
          <w:sz w:val="20"/>
          <w:szCs w:val="24"/>
        </w:rPr>
        <w:t xml:space="preserve">&amp; </w:t>
      </w:r>
      <w:proofErr w:type="spellStart"/>
      <w:r w:rsidR="001320CB" w:rsidRPr="00633139">
        <w:rPr>
          <w:rFonts w:eastAsia="Times New Roman"/>
          <w:sz w:val="20"/>
          <w:szCs w:val="24"/>
        </w:rPr>
        <w:t>Keohane</w:t>
      </w:r>
      <w:proofErr w:type="spellEnd"/>
      <w:r w:rsidR="001320CB">
        <w:rPr>
          <w:rFonts w:eastAsia="Times New Roman"/>
          <w:sz w:val="20"/>
          <w:szCs w:val="24"/>
        </w:rPr>
        <w:t xml:space="preserve"> (2007) suggest in </w:t>
      </w:r>
      <w:r w:rsidR="0029576A">
        <w:rPr>
          <w:rFonts w:eastAsia="Times New Roman"/>
          <w:sz w:val="20"/>
          <w:szCs w:val="24"/>
        </w:rPr>
        <w:t>their</w:t>
      </w:r>
      <w:r w:rsidR="001320CB">
        <w:rPr>
          <w:rFonts w:eastAsia="Times New Roman"/>
          <w:sz w:val="20"/>
          <w:szCs w:val="24"/>
        </w:rPr>
        <w:t xml:space="preserve"> study </w:t>
      </w:r>
      <w:r w:rsidR="0029576A">
        <w:rPr>
          <w:rFonts w:eastAsia="Times New Roman"/>
          <w:sz w:val="20"/>
          <w:szCs w:val="24"/>
        </w:rPr>
        <w:t>using</w:t>
      </w:r>
      <w:r w:rsidR="001320CB">
        <w:rPr>
          <w:rFonts w:eastAsia="Times New Roman"/>
          <w:sz w:val="20"/>
          <w:szCs w:val="24"/>
        </w:rPr>
        <w:t xml:space="preserve"> less detailed data and </w:t>
      </w:r>
      <w:r w:rsidR="0029576A">
        <w:rPr>
          <w:rFonts w:eastAsia="Times New Roman"/>
          <w:sz w:val="20"/>
          <w:szCs w:val="24"/>
        </w:rPr>
        <w:t xml:space="preserve">which </w:t>
      </w:r>
      <w:r w:rsidR="001320CB">
        <w:rPr>
          <w:rFonts w:eastAsia="Times New Roman"/>
          <w:sz w:val="20"/>
          <w:szCs w:val="24"/>
        </w:rPr>
        <w:t>covered a smaller geographic space</w:t>
      </w:r>
      <w:r w:rsidR="001320CB">
        <w:rPr>
          <w:sz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34774" w:rsidTr="0005301E">
        <w:tc>
          <w:tcPr>
            <w:tcW w:w="9350" w:type="dxa"/>
          </w:tcPr>
          <w:p w:rsidR="00434774" w:rsidRPr="00705700" w:rsidRDefault="003C0B3C" w:rsidP="003C0B3C">
            <w:pPr>
              <w:keepNext/>
              <w:rPr>
                <w:b/>
                <w:sz w:val="20"/>
              </w:rPr>
            </w:pPr>
            <w:r>
              <w:rPr>
                <w:b/>
                <w:sz w:val="20"/>
              </w:rPr>
              <w:t>Table 1. Hedonic p</w:t>
            </w:r>
            <w:r w:rsidR="00434774" w:rsidRPr="00705700">
              <w:rPr>
                <w:b/>
                <w:sz w:val="20"/>
              </w:rPr>
              <w:t xml:space="preserve">rice </w:t>
            </w:r>
            <w:r w:rsidR="00392F0D">
              <w:rPr>
                <w:b/>
                <w:sz w:val="20"/>
              </w:rPr>
              <w:t>model estimate of</w:t>
            </w:r>
            <w:r>
              <w:rPr>
                <w:b/>
                <w:sz w:val="20"/>
              </w:rPr>
              <w:t xml:space="preserve"> U.S. c</w:t>
            </w:r>
            <w:r w:rsidR="00434774" w:rsidRPr="00705700">
              <w:rPr>
                <w:b/>
                <w:sz w:val="20"/>
              </w:rPr>
              <w:t>oal</w:t>
            </w:r>
          </w:p>
        </w:tc>
      </w:tr>
      <w:tr w:rsidR="00434774" w:rsidTr="0005301E">
        <w:tc>
          <w:tcPr>
            <w:tcW w:w="9350" w:type="dxa"/>
          </w:tcPr>
          <w:tbl>
            <w:tblPr>
              <w:tblW w:w="6400" w:type="dxa"/>
              <w:tblLook w:val="04A0" w:firstRow="1" w:lastRow="0" w:firstColumn="1" w:lastColumn="0" w:noHBand="0" w:noVBand="1"/>
            </w:tblPr>
            <w:tblGrid>
              <w:gridCol w:w="1700"/>
              <w:gridCol w:w="1240"/>
              <w:gridCol w:w="1160"/>
              <w:gridCol w:w="966"/>
              <w:gridCol w:w="940"/>
              <w:gridCol w:w="516"/>
            </w:tblGrid>
            <w:tr w:rsidR="00416BFF" w:rsidRPr="00416BFF" w:rsidTr="00416BFF">
              <w:trPr>
                <w:trHeight w:val="255"/>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proofErr w:type="spellStart"/>
                  <w:r w:rsidRPr="00416BFF">
                    <w:rPr>
                      <w:rFonts w:eastAsia="Times New Roman"/>
                      <w:color w:val="000000"/>
                      <w:sz w:val="20"/>
                      <w:szCs w:val="20"/>
                    </w:rPr>
                    <w:t>Fuelcost</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416BFF" w:rsidRPr="00416BFF" w:rsidRDefault="00416BFF" w:rsidP="003C0B3C">
                  <w:pPr>
                    <w:keepNext/>
                    <w:spacing w:after="0" w:line="240" w:lineRule="auto"/>
                    <w:jc w:val="center"/>
                    <w:rPr>
                      <w:rFonts w:eastAsia="Times New Roman"/>
                      <w:color w:val="000000"/>
                      <w:sz w:val="20"/>
                      <w:szCs w:val="20"/>
                      <w:u w:val="single"/>
                    </w:rPr>
                  </w:pPr>
                  <w:r w:rsidRPr="00416BFF">
                    <w:rPr>
                      <w:rFonts w:eastAsia="Times New Roman"/>
                      <w:color w:val="000000"/>
                      <w:sz w:val="20"/>
                      <w:szCs w:val="20"/>
                      <w:u w:val="single"/>
                    </w:rPr>
                    <w:t>Estimate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16BFF" w:rsidRPr="00416BFF" w:rsidRDefault="00416BFF" w:rsidP="003C0B3C">
                  <w:pPr>
                    <w:keepNext/>
                    <w:spacing w:after="0" w:line="240" w:lineRule="auto"/>
                    <w:jc w:val="center"/>
                    <w:rPr>
                      <w:rFonts w:eastAsia="Times New Roman"/>
                      <w:color w:val="000000"/>
                      <w:sz w:val="20"/>
                      <w:szCs w:val="20"/>
                      <w:u w:val="single"/>
                    </w:rPr>
                  </w:pPr>
                  <w:r w:rsidRPr="00416BFF">
                    <w:rPr>
                      <w:rFonts w:eastAsia="Times New Roman"/>
                      <w:color w:val="000000"/>
                      <w:sz w:val="20"/>
                      <w:szCs w:val="20"/>
                      <w:u w:val="single"/>
                    </w:rPr>
                    <w:t>Std. Error</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416BFF" w:rsidRPr="00416BFF" w:rsidRDefault="00416BFF" w:rsidP="003C0B3C">
                  <w:pPr>
                    <w:keepNext/>
                    <w:spacing w:after="0" w:line="240" w:lineRule="auto"/>
                    <w:jc w:val="center"/>
                    <w:rPr>
                      <w:rFonts w:eastAsia="Times New Roman"/>
                      <w:color w:val="000000"/>
                      <w:sz w:val="20"/>
                      <w:szCs w:val="20"/>
                      <w:u w:val="single"/>
                    </w:rPr>
                  </w:pPr>
                  <w:r w:rsidRPr="00416BFF">
                    <w:rPr>
                      <w:rFonts w:eastAsia="Times New Roman"/>
                      <w:color w:val="000000"/>
                      <w:sz w:val="20"/>
                      <w:szCs w:val="20"/>
                      <w:u w:val="single"/>
                    </w:rPr>
                    <w:t>t-value</w:t>
                  </w:r>
                </w:p>
              </w:tc>
              <w:tc>
                <w:tcPr>
                  <w:tcW w:w="940" w:type="dxa"/>
                  <w:tcBorders>
                    <w:top w:val="single" w:sz="4" w:space="0" w:color="auto"/>
                    <w:left w:val="nil"/>
                    <w:bottom w:val="single" w:sz="4" w:space="0" w:color="auto"/>
                    <w:right w:val="nil"/>
                  </w:tcBorders>
                  <w:shd w:val="clear" w:color="auto" w:fill="auto"/>
                  <w:noWrap/>
                  <w:vAlign w:val="bottom"/>
                  <w:hideMark/>
                </w:tcPr>
                <w:p w:rsidR="00416BFF" w:rsidRPr="00416BFF" w:rsidRDefault="00416BFF" w:rsidP="003C0B3C">
                  <w:pPr>
                    <w:keepNext/>
                    <w:spacing w:after="0" w:line="240" w:lineRule="auto"/>
                    <w:jc w:val="center"/>
                    <w:rPr>
                      <w:rFonts w:eastAsia="Times New Roman"/>
                      <w:color w:val="000000"/>
                      <w:sz w:val="20"/>
                      <w:szCs w:val="20"/>
                      <w:u w:val="single"/>
                    </w:rPr>
                  </w:pPr>
                  <w:proofErr w:type="spellStart"/>
                  <w:r w:rsidRPr="00416BFF">
                    <w:rPr>
                      <w:rFonts w:eastAsia="Times New Roman"/>
                      <w:color w:val="000000"/>
                      <w:sz w:val="20"/>
                      <w:szCs w:val="20"/>
                      <w:u w:val="single"/>
                    </w:rPr>
                    <w:t>Pr</w:t>
                  </w:r>
                  <w:proofErr w:type="spellEnd"/>
                  <w:r w:rsidRPr="00416BFF">
                    <w:rPr>
                      <w:rFonts w:eastAsia="Times New Roman"/>
                      <w:color w:val="000000"/>
                      <w:sz w:val="20"/>
                      <w:szCs w:val="20"/>
                      <w:u w:val="single"/>
                    </w:rPr>
                    <w:t>(&gt;|t|)</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 </w:t>
                  </w:r>
                </w:p>
              </w:tc>
            </w:tr>
            <w:tr w:rsidR="00416BFF" w:rsidRPr="00416BFF" w:rsidTr="00416BFF">
              <w:trPr>
                <w:trHeight w:val="255"/>
              </w:trPr>
              <w:tc>
                <w:tcPr>
                  <w:tcW w:w="1700" w:type="dxa"/>
                  <w:tcBorders>
                    <w:top w:val="nil"/>
                    <w:left w:val="single" w:sz="4" w:space="0" w:color="auto"/>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proofErr w:type="spellStart"/>
                  <w:r w:rsidRPr="00416BFF">
                    <w:rPr>
                      <w:rFonts w:eastAsia="Times New Roman"/>
                      <w:color w:val="000000"/>
                      <w:sz w:val="20"/>
                      <w:szCs w:val="20"/>
                    </w:rPr>
                    <w:t>Avesulfur</w:t>
                  </w:r>
                  <w:proofErr w:type="spellEnd"/>
                </w:p>
              </w:tc>
              <w:tc>
                <w:tcPr>
                  <w:tcW w:w="12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-22.6190</w:t>
                  </w:r>
                </w:p>
              </w:tc>
              <w:tc>
                <w:tcPr>
                  <w:tcW w:w="116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0.2963</w:t>
                  </w:r>
                </w:p>
              </w:tc>
              <w:tc>
                <w:tcPr>
                  <w:tcW w:w="9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-76.3289</w:t>
                  </w:r>
                </w:p>
              </w:tc>
              <w:tc>
                <w:tcPr>
                  <w:tcW w:w="940" w:type="dxa"/>
                  <w:tcBorders>
                    <w:top w:val="nil"/>
                    <w:left w:val="nil"/>
                    <w:bottom w:val="nil"/>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0.0000</w:t>
                  </w:r>
                </w:p>
              </w:tc>
              <w:tc>
                <w:tcPr>
                  <w:tcW w:w="42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w:t>
                  </w:r>
                </w:p>
              </w:tc>
            </w:tr>
            <w:tr w:rsidR="00416BFF" w:rsidRPr="00416BFF" w:rsidTr="00416BFF">
              <w:trPr>
                <w:trHeight w:val="255"/>
              </w:trPr>
              <w:tc>
                <w:tcPr>
                  <w:tcW w:w="1700" w:type="dxa"/>
                  <w:tcBorders>
                    <w:top w:val="nil"/>
                    <w:left w:val="single" w:sz="4" w:space="0" w:color="auto"/>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FGD</w:t>
                  </w:r>
                </w:p>
              </w:tc>
              <w:tc>
                <w:tcPr>
                  <w:tcW w:w="12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-8.1469</w:t>
                  </w:r>
                </w:p>
              </w:tc>
              <w:tc>
                <w:tcPr>
                  <w:tcW w:w="116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1.1154</w:t>
                  </w:r>
                </w:p>
              </w:tc>
              <w:tc>
                <w:tcPr>
                  <w:tcW w:w="9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-7.3042</w:t>
                  </w:r>
                </w:p>
              </w:tc>
              <w:tc>
                <w:tcPr>
                  <w:tcW w:w="940" w:type="dxa"/>
                  <w:tcBorders>
                    <w:top w:val="nil"/>
                    <w:left w:val="nil"/>
                    <w:bottom w:val="nil"/>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0.0000</w:t>
                  </w:r>
                </w:p>
              </w:tc>
              <w:tc>
                <w:tcPr>
                  <w:tcW w:w="42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w:t>
                  </w:r>
                </w:p>
              </w:tc>
            </w:tr>
            <w:tr w:rsidR="00416BFF" w:rsidRPr="00416BFF" w:rsidTr="00416BFF">
              <w:trPr>
                <w:trHeight w:val="255"/>
              </w:trPr>
              <w:tc>
                <w:tcPr>
                  <w:tcW w:w="1700" w:type="dxa"/>
                  <w:tcBorders>
                    <w:top w:val="nil"/>
                    <w:left w:val="single" w:sz="4" w:space="0" w:color="auto"/>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proofErr w:type="spellStart"/>
                  <w:r w:rsidRPr="00416BFF">
                    <w:rPr>
                      <w:rFonts w:eastAsia="Times New Roman"/>
                      <w:color w:val="000000"/>
                      <w:sz w:val="20"/>
                      <w:szCs w:val="20"/>
                    </w:rPr>
                    <w:t>AveBTU</w:t>
                  </w:r>
                  <w:proofErr w:type="spellEnd"/>
                </w:p>
              </w:tc>
              <w:tc>
                <w:tcPr>
                  <w:tcW w:w="12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15.9700</w:t>
                  </w:r>
                </w:p>
              </w:tc>
              <w:tc>
                <w:tcPr>
                  <w:tcW w:w="116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0.1505</w:t>
                  </w:r>
                </w:p>
              </w:tc>
              <w:tc>
                <w:tcPr>
                  <w:tcW w:w="9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106.0889</w:t>
                  </w:r>
                </w:p>
              </w:tc>
              <w:tc>
                <w:tcPr>
                  <w:tcW w:w="940" w:type="dxa"/>
                  <w:tcBorders>
                    <w:top w:val="nil"/>
                    <w:left w:val="nil"/>
                    <w:bottom w:val="nil"/>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0.0000</w:t>
                  </w:r>
                </w:p>
              </w:tc>
              <w:tc>
                <w:tcPr>
                  <w:tcW w:w="42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w:t>
                  </w:r>
                </w:p>
              </w:tc>
            </w:tr>
            <w:tr w:rsidR="00416BFF" w:rsidRPr="00416BFF" w:rsidTr="00416BFF">
              <w:trPr>
                <w:trHeight w:val="255"/>
              </w:trPr>
              <w:tc>
                <w:tcPr>
                  <w:tcW w:w="1700" w:type="dxa"/>
                  <w:tcBorders>
                    <w:top w:val="nil"/>
                    <w:left w:val="single" w:sz="4" w:space="0" w:color="auto"/>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proofErr w:type="spellStart"/>
                  <w:r w:rsidRPr="00416BFF">
                    <w:rPr>
                      <w:rFonts w:eastAsia="Times New Roman"/>
                      <w:color w:val="000000"/>
                      <w:sz w:val="20"/>
                      <w:szCs w:val="20"/>
                    </w:rPr>
                    <w:t>Aveash</w:t>
                  </w:r>
                  <w:proofErr w:type="spellEnd"/>
                </w:p>
              </w:tc>
              <w:tc>
                <w:tcPr>
                  <w:tcW w:w="12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1.7403</w:t>
                  </w:r>
                </w:p>
              </w:tc>
              <w:tc>
                <w:tcPr>
                  <w:tcW w:w="116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0.0809</w:t>
                  </w:r>
                </w:p>
              </w:tc>
              <w:tc>
                <w:tcPr>
                  <w:tcW w:w="9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21.5136</w:t>
                  </w:r>
                </w:p>
              </w:tc>
              <w:tc>
                <w:tcPr>
                  <w:tcW w:w="940" w:type="dxa"/>
                  <w:tcBorders>
                    <w:top w:val="nil"/>
                    <w:left w:val="nil"/>
                    <w:bottom w:val="nil"/>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0.0000</w:t>
                  </w:r>
                </w:p>
              </w:tc>
              <w:tc>
                <w:tcPr>
                  <w:tcW w:w="42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w:t>
                  </w:r>
                </w:p>
              </w:tc>
            </w:tr>
            <w:tr w:rsidR="00416BFF" w:rsidRPr="00416BFF" w:rsidTr="00416BFF">
              <w:trPr>
                <w:trHeight w:val="255"/>
              </w:trPr>
              <w:tc>
                <w:tcPr>
                  <w:tcW w:w="1700" w:type="dxa"/>
                  <w:tcBorders>
                    <w:top w:val="nil"/>
                    <w:left w:val="single" w:sz="4" w:space="0" w:color="auto"/>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Quantity</w:t>
                  </w:r>
                </w:p>
              </w:tc>
              <w:tc>
                <w:tcPr>
                  <w:tcW w:w="12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-0.0001</w:t>
                  </w:r>
                </w:p>
              </w:tc>
              <w:tc>
                <w:tcPr>
                  <w:tcW w:w="116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0.0000</w:t>
                  </w:r>
                </w:p>
              </w:tc>
              <w:tc>
                <w:tcPr>
                  <w:tcW w:w="9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-20.1426</w:t>
                  </w:r>
                </w:p>
              </w:tc>
              <w:tc>
                <w:tcPr>
                  <w:tcW w:w="940" w:type="dxa"/>
                  <w:tcBorders>
                    <w:top w:val="nil"/>
                    <w:left w:val="nil"/>
                    <w:bottom w:val="nil"/>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0.0000</w:t>
                  </w:r>
                </w:p>
              </w:tc>
              <w:tc>
                <w:tcPr>
                  <w:tcW w:w="42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w:t>
                  </w:r>
                </w:p>
              </w:tc>
            </w:tr>
            <w:tr w:rsidR="00416BFF" w:rsidRPr="00416BFF" w:rsidTr="00416BFF">
              <w:trPr>
                <w:trHeight w:val="255"/>
              </w:trPr>
              <w:tc>
                <w:tcPr>
                  <w:tcW w:w="1700" w:type="dxa"/>
                  <w:tcBorders>
                    <w:top w:val="nil"/>
                    <w:left w:val="single" w:sz="4" w:space="0" w:color="auto"/>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distances</w:t>
                  </w:r>
                </w:p>
              </w:tc>
              <w:tc>
                <w:tcPr>
                  <w:tcW w:w="12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0.0018</w:t>
                  </w:r>
                </w:p>
              </w:tc>
              <w:tc>
                <w:tcPr>
                  <w:tcW w:w="116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0.0015</w:t>
                  </w:r>
                </w:p>
              </w:tc>
              <w:tc>
                <w:tcPr>
                  <w:tcW w:w="9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1.2540</w:t>
                  </w:r>
                </w:p>
              </w:tc>
              <w:tc>
                <w:tcPr>
                  <w:tcW w:w="940" w:type="dxa"/>
                  <w:tcBorders>
                    <w:top w:val="nil"/>
                    <w:left w:val="nil"/>
                    <w:bottom w:val="nil"/>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0.2098</w:t>
                  </w:r>
                </w:p>
              </w:tc>
              <w:tc>
                <w:tcPr>
                  <w:tcW w:w="42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 </w:t>
                  </w:r>
                </w:p>
              </w:tc>
            </w:tr>
            <w:tr w:rsidR="00416BFF" w:rsidRPr="00416BFF" w:rsidTr="00416BFF">
              <w:trPr>
                <w:trHeight w:val="255"/>
              </w:trPr>
              <w:tc>
                <w:tcPr>
                  <w:tcW w:w="1700" w:type="dxa"/>
                  <w:tcBorders>
                    <w:top w:val="nil"/>
                    <w:left w:val="single" w:sz="4" w:space="0" w:color="auto"/>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Year:</w:t>
                  </w:r>
                </w:p>
              </w:tc>
              <w:tc>
                <w:tcPr>
                  <w:tcW w:w="12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 </w:t>
                  </w:r>
                </w:p>
              </w:tc>
              <w:tc>
                <w:tcPr>
                  <w:tcW w:w="116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 </w:t>
                  </w:r>
                </w:p>
              </w:tc>
              <w:tc>
                <w:tcPr>
                  <w:tcW w:w="9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 </w:t>
                  </w:r>
                </w:p>
              </w:tc>
              <w:tc>
                <w:tcPr>
                  <w:tcW w:w="940" w:type="dxa"/>
                  <w:tcBorders>
                    <w:top w:val="nil"/>
                    <w:left w:val="nil"/>
                    <w:bottom w:val="nil"/>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 </w:t>
                  </w:r>
                </w:p>
              </w:tc>
              <w:tc>
                <w:tcPr>
                  <w:tcW w:w="42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 </w:t>
                  </w:r>
                </w:p>
              </w:tc>
            </w:tr>
            <w:tr w:rsidR="00416BFF" w:rsidRPr="00416BFF" w:rsidTr="00416BFF">
              <w:trPr>
                <w:trHeight w:val="255"/>
              </w:trPr>
              <w:tc>
                <w:tcPr>
                  <w:tcW w:w="1700" w:type="dxa"/>
                  <w:tcBorders>
                    <w:top w:val="nil"/>
                    <w:left w:val="single" w:sz="4" w:space="0" w:color="auto"/>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2010</w:t>
                  </w:r>
                </w:p>
              </w:tc>
              <w:tc>
                <w:tcPr>
                  <w:tcW w:w="12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3.8544</w:t>
                  </w:r>
                </w:p>
              </w:tc>
              <w:tc>
                <w:tcPr>
                  <w:tcW w:w="116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0.5223</w:t>
                  </w:r>
                </w:p>
              </w:tc>
              <w:tc>
                <w:tcPr>
                  <w:tcW w:w="9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7.3797</w:t>
                  </w:r>
                </w:p>
              </w:tc>
              <w:tc>
                <w:tcPr>
                  <w:tcW w:w="940" w:type="dxa"/>
                  <w:tcBorders>
                    <w:top w:val="nil"/>
                    <w:left w:val="nil"/>
                    <w:bottom w:val="nil"/>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0.0000</w:t>
                  </w:r>
                </w:p>
              </w:tc>
              <w:tc>
                <w:tcPr>
                  <w:tcW w:w="42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w:t>
                  </w:r>
                </w:p>
              </w:tc>
            </w:tr>
            <w:tr w:rsidR="00416BFF" w:rsidRPr="00416BFF" w:rsidTr="00416BFF">
              <w:trPr>
                <w:trHeight w:val="255"/>
              </w:trPr>
              <w:tc>
                <w:tcPr>
                  <w:tcW w:w="1700" w:type="dxa"/>
                  <w:tcBorders>
                    <w:top w:val="nil"/>
                    <w:left w:val="single" w:sz="4" w:space="0" w:color="auto"/>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2011</w:t>
                  </w:r>
                </w:p>
              </w:tc>
              <w:tc>
                <w:tcPr>
                  <w:tcW w:w="12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22.6080</w:t>
                  </w:r>
                </w:p>
              </w:tc>
              <w:tc>
                <w:tcPr>
                  <w:tcW w:w="116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0.5287</w:t>
                  </w:r>
                </w:p>
              </w:tc>
              <w:tc>
                <w:tcPr>
                  <w:tcW w:w="9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42.7646</w:t>
                  </w:r>
                </w:p>
              </w:tc>
              <w:tc>
                <w:tcPr>
                  <w:tcW w:w="940" w:type="dxa"/>
                  <w:tcBorders>
                    <w:top w:val="nil"/>
                    <w:left w:val="nil"/>
                    <w:bottom w:val="nil"/>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0.0000</w:t>
                  </w:r>
                </w:p>
              </w:tc>
              <w:tc>
                <w:tcPr>
                  <w:tcW w:w="42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w:t>
                  </w:r>
                </w:p>
              </w:tc>
            </w:tr>
            <w:tr w:rsidR="00416BFF" w:rsidRPr="00416BFF" w:rsidTr="00416BFF">
              <w:trPr>
                <w:trHeight w:val="255"/>
              </w:trPr>
              <w:tc>
                <w:tcPr>
                  <w:tcW w:w="1700" w:type="dxa"/>
                  <w:tcBorders>
                    <w:top w:val="nil"/>
                    <w:left w:val="single" w:sz="4" w:space="0" w:color="auto"/>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2012</w:t>
                  </w:r>
                </w:p>
              </w:tc>
              <w:tc>
                <w:tcPr>
                  <w:tcW w:w="12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32.8830</w:t>
                  </w:r>
                </w:p>
              </w:tc>
              <w:tc>
                <w:tcPr>
                  <w:tcW w:w="116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0.5626</w:t>
                  </w:r>
                </w:p>
              </w:tc>
              <w:tc>
                <w:tcPr>
                  <w:tcW w:w="9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58.4533</w:t>
                  </w:r>
                </w:p>
              </w:tc>
              <w:tc>
                <w:tcPr>
                  <w:tcW w:w="940" w:type="dxa"/>
                  <w:tcBorders>
                    <w:top w:val="nil"/>
                    <w:left w:val="nil"/>
                    <w:bottom w:val="nil"/>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0.0000</w:t>
                  </w:r>
                </w:p>
              </w:tc>
              <w:tc>
                <w:tcPr>
                  <w:tcW w:w="42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w:t>
                  </w:r>
                </w:p>
              </w:tc>
            </w:tr>
            <w:tr w:rsidR="00416BFF" w:rsidRPr="00416BFF" w:rsidTr="00416BFF">
              <w:trPr>
                <w:trHeight w:val="255"/>
              </w:trPr>
              <w:tc>
                <w:tcPr>
                  <w:tcW w:w="1700" w:type="dxa"/>
                  <w:tcBorders>
                    <w:top w:val="nil"/>
                    <w:left w:val="single" w:sz="4" w:space="0" w:color="auto"/>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2013</w:t>
                  </w:r>
                </w:p>
              </w:tc>
              <w:tc>
                <w:tcPr>
                  <w:tcW w:w="12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28.7060</w:t>
                  </w:r>
                </w:p>
              </w:tc>
              <w:tc>
                <w:tcPr>
                  <w:tcW w:w="116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0.5808</w:t>
                  </w:r>
                </w:p>
              </w:tc>
              <w:tc>
                <w:tcPr>
                  <w:tcW w:w="9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49.4233</w:t>
                  </w:r>
                </w:p>
              </w:tc>
              <w:tc>
                <w:tcPr>
                  <w:tcW w:w="940" w:type="dxa"/>
                  <w:tcBorders>
                    <w:top w:val="nil"/>
                    <w:left w:val="nil"/>
                    <w:bottom w:val="nil"/>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0.0000</w:t>
                  </w:r>
                </w:p>
              </w:tc>
              <w:tc>
                <w:tcPr>
                  <w:tcW w:w="42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w:t>
                  </w:r>
                </w:p>
              </w:tc>
            </w:tr>
            <w:tr w:rsidR="00416BFF" w:rsidRPr="00416BFF" w:rsidTr="00416BFF">
              <w:trPr>
                <w:trHeight w:val="25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2014</w:t>
                  </w:r>
                </w:p>
              </w:tc>
              <w:tc>
                <w:tcPr>
                  <w:tcW w:w="1240" w:type="dxa"/>
                  <w:tcBorders>
                    <w:top w:val="nil"/>
                    <w:left w:val="nil"/>
                    <w:bottom w:val="single" w:sz="4" w:space="0" w:color="auto"/>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21.1590</w:t>
                  </w:r>
                </w:p>
              </w:tc>
              <w:tc>
                <w:tcPr>
                  <w:tcW w:w="1160" w:type="dxa"/>
                  <w:tcBorders>
                    <w:top w:val="nil"/>
                    <w:left w:val="nil"/>
                    <w:bottom w:val="single" w:sz="4" w:space="0" w:color="auto"/>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0.5900</w:t>
                  </w:r>
                </w:p>
              </w:tc>
              <w:tc>
                <w:tcPr>
                  <w:tcW w:w="940" w:type="dxa"/>
                  <w:tcBorders>
                    <w:top w:val="nil"/>
                    <w:left w:val="nil"/>
                    <w:bottom w:val="single" w:sz="4" w:space="0" w:color="auto"/>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35.8624</w:t>
                  </w:r>
                </w:p>
              </w:tc>
              <w:tc>
                <w:tcPr>
                  <w:tcW w:w="940" w:type="dxa"/>
                  <w:tcBorders>
                    <w:top w:val="nil"/>
                    <w:left w:val="nil"/>
                    <w:bottom w:val="single" w:sz="4" w:space="0" w:color="auto"/>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0.0000</w:t>
                  </w:r>
                </w:p>
              </w:tc>
              <w:tc>
                <w:tcPr>
                  <w:tcW w:w="420" w:type="dxa"/>
                  <w:tcBorders>
                    <w:top w:val="nil"/>
                    <w:left w:val="nil"/>
                    <w:bottom w:val="single" w:sz="4" w:space="0" w:color="auto"/>
                    <w:right w:val="single" w:sz="4" w:space="0" w:color="auto"/>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w:t>
                  </w:r>
                </w:p>
              </w:tc>
            </w:tr>
            <w:tr w:rsidR="00416BFF" w:rsidRPr="00416BFF" w:rsidTr="00416BFF">
              <w:trPr>
                <w:trHeight w:val="255"/>
              </w:trPr>
              <w:tc>
                <w:tcPr>
                  <w:tcW w:w="640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Significance codes: 0 ‘***’, 0.001 ‘**’, 0.01 ‘*’, 0.05 ‘.’, 0.1 ‘ ’ 1</w:t>
                  </w:r>
                </w:p>
              </w:tc>
            </w:tr>
          </w:tbl>
          <w:p w:rsidR="00434774" w:rsidRDefault="00434774" w:rsidP="003C0B3C">
            <w:pPr>
              <w:keepNext/>
              <w:rPr>
                <w:sz w:val="20"/>
              </w:rPr>
            </w:pPr>
          </w:p>
        </w:tc>
      </w:tr>
    </w:tbl>
    <w:p w:rsidR="00434774" w:rsidRDefault="00A61E26" w:rsidP="009745B0">
      <w:pPr>
        <w:spacing w:before="240"/>
        <w:rPr>
          <w:sz w:val="20"/>
        </w:rPr>
      </w:pPr>
      <w:r>
        <w:rPr>
          <w:sz w:val="20"/>
        </w:rPr>
        <w:t xml:space="preserve">Table 2 presents the same model estimated in log-log form for </w:t>
      </w:r>
      <w:r w:rsidR="00963948">
        <w:rPr>
          <w:sz w:val="20"/>
        </w:rPr>
        <w:t>ease of</w:t>
      </w:r>
      <w:r>
        <w:rPr>
          <w:sz w:val="20"/>
        </w:rPr>
        <w:t xml:space="preserve"> interpretation</w:t>
      </w:r>
      <w:r w:rsidR="00963948">
        <w:rPr>
          <w:sz w:val="20"/>
        </w:rPr>
        <w:t xml:space="preserve"> as well as to make the data more statistically well-behaved</w:t>
      </w:r>
      <w:r>
        <w:rPr>
          <w:sz w:val="20"/>
        </w:rPr>
        <w:t>.  The coefficient on sulfur content (</w:t>
      </w:r>
      <w:proofErr w:type="spellStart"/>
      <w:r>
        <w:rPr>
          <w:i/>
          <w:sz w:val="20"/>
        </w:rPr>
        <w:t>lnAvesulfur</w:t>
      </w:r>
      <w:proofErr w:type="spellEnd"/>
      <w:r>
        <w:rPr>
          <w:sz w:val="20"/>
        </w:rPr>
        <w:t xml:space="preserve">) of -0.1036 suggests a 1-percent change </w:t>
      </w:r>
      <w:r w:rsidR="0069326B">
        <w:rPr>
          <w:sz w:val="20"/>
        </w:rPr>
        <w:t>in sulfur content results in a 10.3-percent change in price</w:t>
      </w:r>
      <w:r w:rsidR="009745B0">
        <w:rPr>
          <w:sz w:val="20"/>
        </w:rPr>
        <w:t>.  This is small in magnitude to the effect of</w:t>
      </w:r>
      <w:r w:rsidR="00963948">
        <w:rPr>
          <w:sz w:val="20"/>
        </w:rPr>
        <w:t xml:space="preserve"> the</w:t>
      </w:r>
      <w:r w:rsidR="009745B0">
        <w:rPr>
          <w:sz w:val="20"/>
        </w:rPr>
        <w:t xml:space="preserve"> normal characteristic BTU content, but sulfur content has the second largest effect on fuel </w:t>
      </w:r>
      <w:r w:rsidR="00963948">
        <w:rPr>
          <w:sz w:val="20"/>
        </w:rPr>
        <w:t>price</w:t>
      </w:r>
      <w:r w:rsidR="009745B0">
        <w:rPr>
          <w:sz w:val="20"/>
        </w:rPr>
        <w:t xml:space="preserve">.  This is expected due to its extensive regulation and potential impact </w:t>
      </w:r>
      <w:r w:rsidR="005E7858">
        <w:rPr>
          <w:sz w:val="20"/>
        </w:rPr>
        <w:t xml:space="preserve">of abatement </w:t>
      </w:r>
      <w:r w:rsidR="009745B0">
        <w:rPr>
          <w:sz w:val="20"/>
        </w:rPr>
        <w:t>on profitability.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tblGrid>
      <w:tr w:rsidR="001E4903" w:rsidTr="003C0B3C">
        <w:tc>
          <w:tcPr>
            <w:tcW w:w="6930" w:type="dxa"/>
          </w:tcPr>
          <w:p w:rsidR="001E4903" w:rsidRPr="00705700" w:rsidRDefault="00434774" w:rsidP="003C0B3C">
            <w:pPr>
              <w:keepNext/>
              <w:rPr>
                <w:b/>
                <w:sz w:val="20"/>
              </w:rPr>
            </w:pPr>
            <w:r w:rsidRPr="00705700">
              <w:rPr>
                <w:b/>
                <w:sz w:val="20"/>
              </w:rPr>
              <w:t>Table 2</w:t>
            </w:r>
            <w:r w:rsidR="003C0B3C">
              <w:rPr>
                <w:b/>
                <w:sz w:val="20"/>
              </w:rPr>
              <w:t>. Natural l</w:t>
            </w:r>
            <w:r w:rsidR="008A17C6" w:rsidRPr="00705700">
              <w:rPr>
                <w:b/>
                <w:sz w:val="20"/>
              </w:rPr>
              <w:t xml:space="preserve">og </w:t>
            </w:r>
            <w:r w:rsidR="003C0B3C">
              <w:rPr>
                <w:b/>
                <w:sz w:val="20"/>
              </w:rPr>
              <w:t>t</w:t>
            </w:r>
            <w:r w:rsidR="008A17C6" w:rsidRPr="00705700">
              <w:rPr>
                <w:b/>
                <w:sz w:val="20"/>
              </w:rPr>
              <w:t xml:space="preserve">ransformation of </w:t>
            </w:r>
            <w:r w:rsidR="003C0B3C">
              <w:rPr>
                <w:b/>
                <w:sz w:val="20"/>
              </w:rPr>
              <w:t>U.S. c</w:t>
            </w:r>
            <w:r w:rsidRPr="00705700">
              <w:rPr>
                <w:b/>
                <w:sz w:val="20"/>
              </w:rPr>
              <w:t xml:space="preserve">oal </w:t>
            </w:r>
            <w:r w:rsidR="003C0B3C">
              <w:rPr>
                <w:b/>
                <w:sz w:val="20"/>
              </w:rPr>
              <w:t>h</w:t>
            </w:r>
            <w:r w:rsidR="008A17C6" w:rsidRPr="00705700">
              <w:rPr>
                <w:b/>
                <w:sz w:val="20"/>
              </w:rPr>
              <w:t xml:space="preserve">edonic </w:t>
            </w:r>
            <w:r w:rsidR="003C0B3C">
              <w:rPr>
                <w:b/>
                <w:sz w:val="20"/>
              </w:rPr>
              <w:t>p</w:t>
            </w:r>
            <w:r w:rsidR="008A17C6" w:rsidRPr="00705700">
              <w:rPr>
                <w:b/>
                <w:sz w:val="20"/>
              </w:rPr>
              <w:t xml:space="preserve">rice </w:t>
            </w:r>
            <w:r w:rsidR="003C0B3C">
              <w:rPr>
                <w:b/>
                <w:sz w:val="20"/>
              </w:rPr>
              <w:t>m</w:t>
            </w:r>
            <w:r w:rsidR="008A17C6" w:rsidRPr="00705700">
              <w:rPr>
                <w:b/>
                <w:sz w:val="20"/>
              </w:rPr>
              <w:t>odel</w:t>
            </w:r>
          </w:p>
        </w:tc>
      </w:tr>
      <w:tr w:rsidR="001E4903" w:rsidTr="003C0B3C">
        <w:tc>
          <w:tcPr>
            <w:tcW w:w="6930" w:type="dxa"/>
          </w:tcPr>
          <w:tbl>
            <w:tblPr>
              <w:tblW w:w="6400" w:type="dxa"/>
              <w:tblLook w:val="04A0" w:firstRow="1" w:lastRow="0" w:firstColumn="1" w:lastColumn="0" w:noHBand="0" w:noVBand="1"/>
            </w:tblPr>
            <w:tblGrid>
              <w:gridCol w:w="1700"/>
              <w:gridCol w:w="1240"/>
              <w:gridCol w:w="1160"/>
              <w:gridCol w:w="966"/>
              <w:gridCol w:w="940"/>
              <w:gridCol w:w="516"/>
            </w:tblGrid>
            <w:tr w:rsidR="00416BFF" w:rsidRPr="00416BFF" w:rsidTr="00416BFF">
              <w:trPr>
                <w:trHeight w:val="255"/>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proofErr w:type="spellStart"/>
                  <w:r w:rsidRPr="00416BFF">
                    <w:rPr>
                      <w:rFonts w:eastAsia="Times New Roman"/>
                      <w:color w:val="000000"/>
                      <w:sz w:val="20"/>
                      <w:szCs w:val="20"/>
                    </w:rPr>
                    <w:t>lnFuelcost</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416BFF" w:rsidRPr="00416BFF" w:rsidRDefault="00416BFF" w:rsidP="003C0B3C">
                  <w:pPr>
                    <w:keepNext/>
                    <w:spacing w:after="0" w:line="240" w:lineRule="auto"/>
                    <w:jc w:val="center"/>
                    <w:rPr>
                      <w:rFonts w:eastAsia="Times New Roman"/>
                      <w:color w:val="000000"/>
                      <w:sz w:val="20"/>
                      <w:szCs w:val="20"/>
                      <w:u w:val="single"/>
                    </w:rPr>
                  </w:pPr>
                  <w:r w:rsidRPr="00416BFF">
                    <w:rPr>
                      <w:rFonts w:eastAsia="Times New Roman"/>
                      <w:color w:val="000000"/>
                      <w:sz w:val="20"/>
                      <w:szCs w:val="20"/>
                      <w:u w:val="single"/>
                    </w:rPr>
                    <w:t>Estimate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16BFF" w:rsidRPr="00416BFF" w:rsidRDefault="00416BFF" w:rsidP="003C0B3C">
                  <w:pPr>
                    <w:keepNext/>
                    <w:spacing w:after="0" w:line="240" w:lineRule="auto"/>
                    <w:jc w:val="center"/>
                    <w:rPr>
                      <w:rFonts w:eastAsia="Times New Roman"/>
                      <w:color w:val="000000"/>
                      <w:sz w:val="20"/>
                      <w:szCs w:val="20"/>
                      <w:u w:val="single"/>
                    </w:rPr>
                  </w:pPr>
                  <w:r w:rsidRPr="00416BFF">
                    <w:rPr>
                      <w:rFonts w:eastAsia="Times New Roman"/>
                      <w:color w:val="000000"/>
                      <w:sz w:val="20"/>
                      <w:szCs w:val="20"/>
                      <w:u w:val="single"/>
                    </w:rPr>
                    <w:t>Std. Error</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416BFF" w:rsidRPr="00416BFF" w:rsidRDefault="00416BFF" w:rsidP="003C0B3C">
                  <w:pPr>
                    <w:keepNext/>
                    <w:spacing w:after="0" w:line="240" w:lineRule="auto"/>
                    <w:jc w:val="center"/>
                    <w:rPr>
                      <w:rFonts w:eastAsia="Times New Roman"/>
                      <w:color w:val="000000"/>
                      <w:sz w:val="20"/>
                      <w:szCs w:val="20"/>
                      <w:u w:val="single"/>
                    </w:rPr>
                  </w:pPr>
                  <w:r w:rsidRPr="00416BFF">
                    <w:rPr>
                      <w:rFonts w:eastAsia="Times New Roman"/>
                      <w:color w:val="000000"/>
                      <w:sz w:val="20"/>
                      <w:szCs w:val="20"/>
                      <w:u w:val="single"/>
                    </w:rPr>
                    <w:t>t-value</w:t>
                  </w:r>
                </w:p>
              </w:tc>
              <w:tc>
                <w:tcPr>
                  <w:tcW w:w="940" w:type="dxa"/>
                  <w:tcBorders>
                    <w:top w:val="single" w:sz="4" w:space="0" w:color="auto"/>
                    <w:left w:val="nil"/>
                    <w:bottom w:val="single" w:sz="4" w:space="0" w:color="auto"/>
                    <w:right w:val="nil"/>
                  </w:tcBorders>
                  <w:shd w:val="clear" w:color="auto" w:fill="auto"/>
                  <w:noWrap/>
                  <w:vAlign w:val="bottom"/>
                  <w:hideMark/>
                </w:tcPr>
                <w:p w:rsidR="00416BFF" w:rsidRPr="00416BFF" w:rsidRDefault="00416BFF" w:rsidP="003C0B3C">
                  <w:pPr>
                    <w:keepNext/>
                    <w:spacing w:after="0" w:line="240" w:lineRule="auto"/>
                    <w:jc w:val="center"/>
                    <w:rPr>
                      <w:rFonts w:eastAsia="Times New Roman"/>
                      <w:color w:val="000000"/>
                      <w:sz w:val="20"/>
                      <w:szCs w:val="20"/>
                      <w:u w:val="single"/>
                    </w:rPr>
                  </w:pPr>
                  <w:proofErr w:type="spellStart"/>
                  <w:r w:rsidRPr="00416BFF">
                    <w:rPr>
                      <w:rFonts w:eastAsia="Times New Roman"/>
                      <w:color w:val="000000"/>
                      <w:sz w:val="20"/>
                      <w:szCs w:val="20"/>
                      <w:u w:val="single"/>
                    </w:rPr>
                    <w:t>Pr</w:t>
                  </w:r>
                  <w:proofErr w:type="spellEnd"/>
                  <w:r w:rsidRPr="00416BFF">
                    <w:rPr>
                      <w:rFonts w:eastAsia="Times New Roman"/>
                      <w:color w:val="000000"/>
                      <w:sz w:val="20"/>
                      <w:szCs w:val="20"/>
                      <w:u w:val="single"/>
                    </w:rPr>
                    <w:t>(&gt;|t|)</w:t>
                  </w:r>
                </w:p>
              </w:tc>
              <w:tc>
                <w:tcPr>
                  <w:tcW w:w="420" w:type="dxa"/>
                  <w:tcBorders>
                    <w:top w:val="single" w:sz="4" w:space="0" w:color="auto"/>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 </w:t>
                  </w:r>
                </w:p>
              </w:tc>
            </w:tr>
            <w:tr w:rsidR="00416BFF" w:rsidRPr="00416BFF" w:rsidTr="00416BFF">
              <w:trPr>
                <w:trHeight w:val="255"/>
              </w:trPr>
              <w:tc>
                <w:tcPr>
                  <w:tcW w:w="1700" w:type="dxa"/>
                  <w:tcBorders>
                    <w:top w:val="nil"/>
                    <w:left w:val="single" w:sz="4" w:space="0" w:color="auto"/>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proofErr w:type="spellStart"/>
                  <w:r w:rsidRPr="00416BFF">
                    <w:rPr>
                      <w:rFonts w:eastAsia="Times New Roman"/>
                      <w:color w:val="000000"/>
                      <w:sz w:val="20"/>
                      <w:szCs w:val="20"/>
                    </w:rPr>
                    <w:t>lnAvesulfur</w:t>
                  </w:r>
                  <w:proofErr w:type="spellEnd"/>
                </w:p>
              </w:tc>
              <w:tc>
                <w:tcPr>
                  <w:tcW w:w="12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-0.1036</w:t>
                  </w:r>
                </w:p>
              </w:tc>
              <w:tc>
                <w:tcPr>
                  <w:tcW w:w="116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0.0016</w:t>
                  </w:r>
                </w:p>
              </w:tc>
              <w:tc>
                <w:tcPr>
                  <w:tcW w:w="940" w:type="dxa"/>
                  <w:tcBorders>
                    <w:top w:val="nil"/>
                    <w:left w:val="nil"/>
                    <w:bottom w:val="nil"/>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-64.4523</w:t>
                  </w:r>
                </w:p>
              </w:tc>
              <w:tc>
                <w:tcPr>
                  <w:tcW w:w="940" w:type="dxa"/>
                  <w:tcBorders>
                    <w:top w:val="nil"/>
                    <w:left w:val="single" w:sz="4" w:space="0" w:color="auto"/>
                    <w:bottom w:val="nil"/>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0.0000</w:t>
                  </w:r>
                </w:p>
              </w:tc>
              <w:tc>
                <w:tcPr>
                  <w:tcW w:w="420" w:type="dxa"/>
                  <w:tcBorders>
                    <w:top w:val="single" w:sz="4" w:space="0" w:color="auto"/>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w:t>
                  </w:r>
                </w:p>
              </w:tc>
            </w:tr>
            <w:tr w:rsidR="00416BFF" w:rsidRPr="00416BFF" w:rsidTr="00416BFF">
              <w:trPr>
                <w:trHeight w:val="255"/>
              </w:trPr>
              <w:tc>
                <w:tcPr>
                  <w:tcW w:w="1700" w:type="dxa"/>
                  <w:tcBorders>
                    <w:top w:val="nil"/>
                    <w:left w:val="single" w:sz="4" w:space="0" w:color="auto"/>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FGD</w:t>
                  </w:r>
                </w:p>
              </w:tc>
              <w:tc>
                <w:tcPr>
                  <w:tcW w:w="12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-0.0246</w:t>
                  </w:r>
                </w:p>
              </w:tc>
              <w:tc>
                <w:tcPr>
                  <w:tcW w:w="116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0.0040</w:t>
                  </w:r>
                </w:p>
              </w:tc>
              <w:tc>
                <w:tcPr>
                  <w:tcW w:w="940" w:type="dxa"/>
                  <w:tcBorders>
                    <w:top w:val="nil"/>
                    <w:left w:val="nil"/>
                    <w:bottom w:val="nil"/>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-6.1392</w:t>
                  </w:r>
                </w:p>
              </w:tc>
              <w:tc>
                <w:tcPr>
                  <w:tcW w:w="940" w:type="dxa"/>
                  <w:tcBorders>
                    <w:top w:val="nil"/>
                    <w:left w:val="single" w:sz="4" w:space="0" w:color="auto"/>
                    <w:bottom w:val="nil"/>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0.0000</w:t>
                  </w:r>
                </w:p>
              </w:tc>
              <w:tc>
                <w:tcPr>
                  <w:tcW w:w="42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w:t>
                  </w:r>
                </w:p>
              </w:tc>
            </w:tr>
            <w:tr w:rsidR="00416BFF" w:rsidRPr="00416BFF" w:rsidTr="00416BFF">
              <w:trPr>
                <w:trHeight w:val="255"/>
              </w:trPr>
              <w:tc>
                <w:tcPr>
                  <w:tcW w:w="1700" w:type="dxa"/>
                  <w:tcBorders>
                    <w:top w:val="nil"/>
                    <w:left w:val="single" w:sz="4" w:space="0" w:color="auto"/>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proofErr w:type="spellStart"/>
                  <w:r w:rsidRPr="00416BFF">
                    <w:rPr>
                      <w:rFonts w:eastAsia="Times New Roman"/>
                      <w:color w:val="000000"/>
                      <w:sz w:val="20"/>
                      <w:szCs w:val="20"/>
                    </w:rPr>
                    <w:t>lnAveBTU</w:t>
                  </w:r>
                  <w:proofErr w:type="spellEnd"/>
                </w:p>
              </w:tc>
              <w:tc>
                <w:tcPr>
                  <w:tcW w:w="12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1.3318</w:t>
                  </w:r>
                </w:p>
              </w:tc>
              <w:tc>
                <w:tcPr>
                  <w:tcW w:w="116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0.0107</w:t>
                  </w:r>
                </w:p>
              </w:tc>
              <w:tc>
                <w:tcPr>
                  <w:tcW w:w="940" w:type="dxa"/>
                  <w:tcBorders>
                    <w:top w:val="nil"/>
                    <w:left w:val="nil"/>
                    <w:bottom w:val="nil"/>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124.8354</w:t>
                  </w:r>
                </w:p>
              </w:tc>
              <w:tc>
                <w:tcPr>
                  <w:tcW w:w="940" w:type="dxa"/>
                  <w:tcBorders>
                    <w:top w:val="nil"/>
                    <w:left w:val="single" w:sz="4" w:space="0" w:color="auto"/>
                    <w:bottom w:val="nil"/>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0.0000</w:t>
                  </w:r>
                </w:p>
              </w:tc>
              <w:tc>
                <w:tcPr>
                  <w:tcW w:w="42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w:t>
                  </w:r>
                </w:p>
              </w:tc>
            </w:tr>
            <w:tr w:rsidR="00416BFF" w:rsidRPr="00416BFF" w:rsidTr="00416BFF">
              <w:trPr>
                <w:trHeight w:val="255"/>
              </w:trPr>
              <w:tc>
                <w:tcPr>
                  <w:tcW w:w="1700" w:type="dxa"/>
                  <w:tcBorders>
                    <w:top w:val="nil"/>
                    <w:left w:val="single" w:sz="4" w:space="0" w:color="auto"/>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proofErr w:type="spellStart"/>
                  <w:r w:rsidRPr="00416BFF">
                    <w:rPr>
                      <w:rFonts w:eastAsia="Times New Roman"/>
                      <w:color w:val="000000"/>
                      <w:sz w:val="20"/>
                      <w:szCs w:val="20"/>
                    </w:rPr>
                    <w:t>lnAveash</w:t>
                  </w:r>
                  <w:proofErr w:type="spellEnd"/>
                </w:p>
              </w:tc>
              <w:tc>
                <w:tcPr>
                  <w:tcW w:w="12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0.0848</w:t>
                  </w:r>
                </w:p>
              </w:tc>
              <w:tc>
                <w:tcPr>
                  <w:tcW w:w="116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0.0029</w:t>
                  </w:r>
                </w:p>
              </w:tc>
              <w:tc>
                <w:tcPr>
                  <w:tcW w:w="940" w:type="dxa"/>
                  <w:tcBorders>
                    <w:top w:val="nil"/>
                    <w:left w:val="nil"/>
                    <w:bottom w:val="nil"/>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28.8473</w:t>
                  </w:r>
                </w:p>
              </w:tc>
              <w:tc>
                <w:tcPr>
                  <w:tcW w:w="940" w:type="dxa"/>
                  <w:tcBorders>
                    <w:top w:val="nil"/>
                    <w:left w:val="single" w:sz="4" w:space="0" w:color="auto"/>
                    <w:bottom w:val="nil"/>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0.0000</w:t>
                  </w:r>
                </w:p>
              </w:tc>
              <w:tc>
                <w:tcPr>
                  <w:tcW w:w="42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w:t>
                  </w:r>
                </w:p>
              </w:tc>
            </w:tr>
            <w:tr w:rsidR="00416BFF" w:rsidRPr="00416BFF" w:rsidTr="00416BFF">
              <w:trPr>
                <w:trHeight w:val="255"/>
              </w:trPr>
              <w:tc>
                <w:tcPr>
                  <w:tcW w:w="1700" w:type="dxa"/>
                  <w:tcBorders>
                    <w:top w:val="nil"/>
                    <w:left w:val="single" w:sz="4" w:space="0" w:color="auto"/>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proofErr w:type="spellStart"/>
                  <w:r w:rsidRPr="00416BFF">
                    <w:rPr>
                      <w:rFonts w:eastAsia="Times New Roman"/>
                      <w:color w:val="000000"/>
                      <w:sz w:val="20"/>
                      <w:szCs w:val="20"/>
                    </w:rPr>
                    <w:t>lnQuantity</w:t>
                  </w:r>
                  <w:proofErr w:type="spellEnd"/>
                </w:p>
              </w:tc>
              <w:tc>
                <w:tcPr>
                  <w:tcW w:w="12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-0.0098</w:t>
                  </w:r>
                </w:p>
              </w:tc>
              <w:tc>
                <w:tcPr>
                  <w:tcW w:w="116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0.0005</w:t>
                  </w:r>
                </w:p>
              </w:tc>
              <w:tc>
                <w:tcPr>
                  <w:tcW w:w="940" w:type="dxa"/>
                  <w:tcBorders>
                    <w:top w:val="nil"/>
                    <w:left w:val="nil"/>
                    <w:bottom w:val="nil"/>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-18.7160</w:t>
                  </w:r>
                </w:p>
              </w:tc>
              <w:tc>
                <w:tcPr>
                  <w:tcW w:w="940" w:type="dxa"/>
                  <w:tcBorders>
                    <w:top w:val="nil"/>
                    <w:left w:val="single" w:sz="4" w:space="0" w:color="auto"/>
                    <w:bottom w:val="nil"/>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0.0000</w:t>
                  </w:r>
                </w:p>
              </w:tc>
              <w:tc>
                <w:tcPr>
                  <w:tcW w:w="42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w:t>
                  </w:r>
                </w:p>
              </w:tc>
            </w:tr>
            <w:tr w:rsidR="00416BFF" w:rsidRPr="00416BFF" w:rsidTr="00416BFF">
              <w:trPr>
                <w:trHeight w:val="255"/>
              </w:trPr>
              <w:tc>
                <w:tcPr>
                  <w:tcW w:w="1700" w:type="dxa"/>
                  <w:tcBorders>
                    <w:top w:val="nil"/>
                    <w:left w:val="single" w:sz="4" w:space="0" w:color="auto"/>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proofErr w:type="spellStart"/>
                  <w:r w:rsidRPr="00416BFF">
                    <w:rPr>
                      <w:rFonts w:eastAsia="Times New Roman"/>
                      <w:color w:val="000000"/>
                      <w:sz w:val="20"/>
                      <w:szCs w:val="20"/>
                    </w:rPr>
                    <w:t>lndistances</w:t>
                  </w:r>
                  <w:proofErr w:type="spellEnd"/>
                </w:p>
              </w:tc>
              <w:tc>
                <w:tcPr>
                  <w:tcW w:w="12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0.0086</w:t>
                  </w:r>
                </w:p>
              </w:tc>
              <w:tc>
                <w:tcPr>
                  <w:tcW w:w="116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0.0012</w:t>
                  </w:r>
                </w:p>
              </w:tc>
              <w:tc>
                <w:tcPr>
                  <w:tcW w:w="940" w:type="dxa"/>
                  <w:tcBorders>
                    <w:top w:val="nil"/>
                    <w:left w:val="nil"/>
                    <w:bottom w:val="nil"/>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7.0368</w:t>
                  </w:r>
                </w:p>
              </w:tc>
              <w:tc>
                <w:tcPr>
                  <w:tcW w:w="940" w:type="dxa"/>
                  <w:tcBorders>
                    <w:top w:val="nil"/>
                    <w:left w:val="single" w:sz="4" w:space="0" w:color="auto"/>
                    <w:bottom w:val="nil"/>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0.0000</w:t>
                  </w:r>
                </w:p>
              </w:tc>
              <w:tc>
                <w:tcPr>
                  <w:tcW w:w="42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w:t>
                  </w:r>
                </w:p>
              </w:tc>
            </w:tr>
            <w:tr w:rsidR="00416BFF" w:rsidRPr="00416BFF" w:rsidTr="00416BFF">
              <w:trPr>
                <w:trHeight w:val="255"/>
              </w:trPr>
              <w:tc>
                <w:tcPr>
                  <w:tcW w:w="1700" w:type="dxa"/>
                  <w:tcBorders>
                    <w:top w:val="nil"/>
                    <w:left w:val="single" w:sz="4" w:space="0" w:color="auto"/>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Year:</w:t>
                  </w:r>
                </w:p>
              </w:tc>
              <w:tc>
                <w:tcPr>
                  <w:tcW w:w="12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 </w:t>
                  </w:r>
                </w:p>
              </w:tc>
              <w:tc>
                <w:tcPr>
                  <w:tcW w:w="116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 </w:t>
                  </w:r>
                </w:p>
              </w:tc>
              <w:tc>
                <w:tcPr>
                  <w:tcW w:w="940" w:type="dxa"/>
                  <w:tcBorders>
                    <w:top w:val="nil"/>
                    <w:left w:val="nil"/>
                    <w:bottom w:val="nil"/>
                    <w:right w:val="nil"/>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 </w:t>
                  </w:r>
                </w:p>
              </w:tc>
              <w:tc>
                <w:tcPr>
                  <w:tcW w:w="940" w:type="dxa"/>
                  <w:tcBorders>
                    <w:top w:val="nil"/>
                    <w:left w:val="single" w:sz="4" w:space="0" w:color="auto"/>
                    <w:bottom w:val="nil"/>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 </w:t>
                  </w:r>
                </w:p>
              </w:tc>
              <w:tc>
                <w:tcPr>
                  <w:tcW w:w="42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 </w:t>
                  </w:r>
                </w:p>
              </w:tc>
            </w:tr>
            <w:tr w:rsidR="00416BFF" w:rsidRPr="00416BFF" w:rsidTr="00416BFF">
              <w:trPr>
                <w:trHeight w:val="255"/>
              </w:trPr>
              <w:tc>
                <w:tcPr>
                  <w:tcW w:w="1700" w:type="dxa"/>
                  <w:tcBorders>
                    <w:top w:val="nil"/>
                    <w:left w:val="single" w:sz="4" w:space="0" w:color="auto"/>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2010</w:t>
                  </w:r>
                </w:p>
              </w:tc>
              <w:tc>
                <w:tcPr>
                  <w:tcW w:w="12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0.0237</w:t>
                  </w:r>
                </w:p>
              </w:tc>
              <w:tc>
                <w:tcPr>
                  <w:tcW w:w="116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0.0019</w:t>
                  </w:r>
                </w:p>
              </w:tc>
              <w:tc>
                <w:tcPr>
                  <w:tcW w:w="940" w:type="dxa"/>
                  <w:tcBorders>
                    <w:top w:val="nil"/>
                    <w:left w:val="nil"/>
                    <w:bottom w:val="nil"/>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12.6210</w:t>
                  </w:r>
                </w:p>
              </w:tc>
              <w:tc>
                <w:tcPr>
                  <w:tcW w:w="940" w:type="dxa"/>
                  <w:tcBorders>
                    <w:top w:val="nil"/>
                    <w:left w:val="single" w:sz="4" w:space="0" w:color="auto"/>
                    <w:bottom w:val="nil"/>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0.0000</w:t>
                  </w:r>
                </w:p>
              </w:tc>
              <w:tc>
                <w:tcPr>
                  <w:tcW w:w="42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w:t>
                  </w:r>
                </w:p>
              </w:tc>
            </w:tr>
            <w:tr w:rsidR="00416BFF" w:rsidRPr="00416BFF" w:rsidTr="00416BFF">
              <w:trPr>
                <w:trHeight w:val="255"/>
              </w:trPr>
              <w:tc>
                <w:tcPr>
                  <w:tcW w:w="1700" w:type="dxa"/>
                  <w:tcBorders>
                    <w:top w:val="nil"/>
                    <w:left w:val="single" w:sz="4" w:space="0" w:color="auto"/>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2011</w:t>
                  </w:r>
                </w:p>
              </w:tc>
              <w:tc>
                <w:tcPr>
                  <w:tcW w:w="12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0.1105</w:t>
                  </w:r>
                </w:p>
              </w:tc>
              <w:tc>
                <w:tcPr>
                  <w:tcW w:w="116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0.0019</w:t>
                  </w:r>
                </w:p>
              </w:tc>
              <w:tc>
                <w:tcPr>
                  <w:tcW w:w="940" w:type="dxa"/>
                  <w:tcBorders>
                    <w:top w:val="nil"/>
                    <w:left w:val="nil"/>
                    <w:bottom w:val="nil"/>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58.1867</w:t>
                  </w:r>
                </w:p>
              </w:tc>
              <w:tc>
                <w:tcPr>
                  <w:tcW w:w="940" w:type="dxa"/>
                  <w:tcBorders>
                    <w:top w:val="nil"/>
                    <w:left w:val="single" w:sz="4" w:space="0" w:color="auto"/>
                    <w:bottom w:val="nil"/>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0.0000</w:t>
                  </w:r>
                </w:p>
              </w:tc>
              <w:tc>
                <w:tcPr>
                  <w:tcW w:w="42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w:t>
                  </w:r>
                </w:p>
              </w:tc>
            </w:tr>
            <w:tr w:rsidR="00416BFF" w:rsidRPr="00416BFF" w:rsidTr="00416BFF">
              <w:trPr>
                <w:trHeight w:val="255"/>
              </w:trPr>
              <w:tc>
                <w:tcPr>
                  <w:tcW w:w="1700" w:type="dxa"/>
                  <w:tcBorders>
                    <w:top w:val="nil"/>
                    <w:left w:val="single" w:sz="4" w:space="0" w:color="auto"/>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2012</w:t>
                  </w:r>
                </w:p>
              </w:tc>
              <w:tc>
                <w:tcPr>
                  <w:tcW w:w="12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0.1579</w:t>
                  </w:r>
                </w:p>
              </w:tc>
              <w:tc>
                <w:tcPr>
                  <w:tcW w:w="116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0.0020</w:t>
                  </w:r>
                </w:p>
              </w:tc>
              <w:tc>
                <w:tcPr>
                  <w:tcW w:w="940" w:type="dxa"/>
                  <w:tcBorders>
                    <w:top w:val="nil"/>
                    <w:left w:val="nil"/>
                    <w:bottom w:val="nil"/>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78.1413</w:t>
                  </w:r>
                </w:p>
              </w:tc>
              <w:tc>
                <w:tcPr>
                  <w:tcW w:w="940" w:type="dxa"/>
                  <w:tcBorders>
                    <w:top w:val="nil"/>
                    <w:left w:val="single" w:sz="4" w:space="0" w:color="auto"/>
                    <w:bottom w:val="nil"/>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0.0000</w:t>
                  </w:r>
                </w:p>
              </w:tc>
              <w:tc>
                <w:tcPr>
                  <w:tcW w:w="42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w:t>
                  </w:r>
                </w:p>
              </w:tc>
            </w:tr>
            <w:tr w:rsidR="00416BFF" w:rsidRPr="00416BFF" w:rsidTr="00416BFF">
              <w:trPr>
                <w:trHeight w:val="255"/>
              </w:trPr>
              <w:tc>
                <w:tcPr>
                  <w:tcW w:w="1700" w:type="dxa"/>
                  <w:tcBorders>
                    <w:top w:val="nil"/>
                    <w:left w:val="single" w:sz="4" w:space="0" w:color="auto"/>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2013</w:t>
                  </w:r>
                </w:p>
              </w:tc>
              <w:tc>
                <w:tcPr>
                  <w:tcW w:w="124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0.1472</w:t>
                  </w:r>
                </w:p>
              </w:tc>
              <w:tc>
                <w:tcPr>
                  <w:tcW w:w="116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0.0021</w:t>
                  </w:r>
                </w:p>
              </w:tc>
              <w:tc>
                <w:tcPr>
                  <w:tcW w:w="940" w:type="dxa"/>
                  <w:tcBorders>
                    <w:top w:val="nil"/>
                    <w:left w:val="nil"/>
                    <w:bottom w:val="nil"/>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70.5941</w:t>
                  </w:r>
                </w:p>
              </w:tc>
              <w:tc>
                <w:tcPr>
                  <w:tcW w:w="940" w:type="dxa"/>
                  <w:tcBorders>
                    <w:top w:val="nil"/>
                    <w:left w:val="single" w:sz="4" w:space="0" w:color="auto"/>
                    <w:bottom w:val="nil"/>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0.0000</w:t>
                  </w:r>
                </w:p>
              </w:tc>
              <w:tc>
                <w:tcPr>
                  <w:tcW w:w="420" w:type="dxa"/>
                  <w:tcBorders>
                    <w:top w:val="nil"/>
                    <w:left w:val="nil"/>
                    <w:bottom w:val="nil"/>
                    <w:right w:val="single" w:sz="4" w:space="0" w:color="auto"/>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w:t>
                  </w:r>
                </w:p>
              </w:tc>
            </w:tr>
            <w:tr w:rsidR="00416BFF" w:rsidRPr="00416BFF" w:rsidTr="00416BFF">
              <w:trPr>
                <w:trHeight w:val="25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2014</w:t>
                  </w:r>
                </w:p>
              </w:tc>
              <w:tc>
                <w:tcPr>
                  <w:tcW w:w="1240" w:type="dxa"/>
                  <w:tcBorders>
                    <w:top w:val="nil"/>
                    <w:left w:val="nil"/>
                    <w:bottom w:val="single" w:sz="4" w:space="0" w:color="auto"/>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0.1249</w:t>
                  </w:r>
                </w:p>
              </w:tc>
              <w:tc>
                <w:tcPr>
                  <w:tcW w:w="1160" w:type="dxa"/>
                  <w:tcBorders>
                    <w:top w:val="nil"/>
                    <w:left w:val="nil"/>
                    <w:bottom w:val="single" w:sz="4" w:space="0" w:color="auto"/>
                    <w:right w:val="single" w:sz="4" w:space="0" w:color="auto"/>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0.0021</w:t>
                  </w:r>
                </w:p>
              </w:tc>
              <w:tc>
                <w:tcPr>
                  <w:tcW w:w="940" w:type="dxa"/>
                  <w:tcBorders>
                    <w:top w:val="nil"/>
                    <w:left w:val="nil"/>
                    <w:bottom w:val="single" w:sz="4" w:space="0" w:color="auto"/>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59.0101</w:t>
                  </w:r>
                </w:p>
              </w:tc>
              <w:tc>
                <w:tcPr>
                  <w:tcW w:w="940" w:type="dxa"/>
                  <w:tcBorders>
                    <w:top w:val="nil"/>
                    <w:left w:val="single" w:sz="4" w:space="0" w:color="auto"/>
                    <w:bottom w:val="single" w:sz="4" w:space="0" w:color="auto"/>
                    <w:right w:val="nil"/>
                  </w:tcBorders>
                  <w:shd w:val="clear" w:color="auto" w:fill="auto"/>
                  <w:noWrap/>
                  <w:vAlign w:val="bottom"/>
                  <w:hideMark/>
                </w:tcPr>
                <w:p w:rsidR="00416BFF" w:rsidRPr="00416BFF" w:rsidRDefault="00416BFF" w:rsidP="003C0B3C">
                  <w:pPr>
                    <w:keepNext/>
                    <w:spacing w:after="0" w:line="240" w:lineRule="auto"/>
                    <w:jc w:val="right"/>
                    <w:rPr>
                      <w:rFonts w:eastAsia="Times New Roman"/>
                      <w:color w:val="000000"/>
                      <w:sz w:val="20"/>
                      <w:szCs w:val="20"/>
                    </w:rPr>
                  </w:pPr>
                  <w:r w:rsidRPr="00416BFF">
                    <w:rPr>
                      <w:rFonts w:eastAsia="Times New Roman"/>
                      <w:color w:val="000000"/>
                      <w:sz w:val="20"/>
                      <w:szCs w:val="20"/>
                    </w:rPr>
                    <w:t>0.0000</w:t>
                  </w:r>
                </w:p>
              </w:tc>
              <w:tc>
                <w:tcPr>
                  <w:tcW w:w="420" w:type="dxa"/>
                  <w:tcBorders>
                    <w:top w:val="nil"/>
                    <w:left w:val="nil"/>
                    <w:bottom w:val="single" w:sz="4" w:space="0" w:color="auto"/>
                    <w:right w:val="single" w:sz="4" w:space="0" w:color="auto"/>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w:t>
                  </w:r>
                </w:p>
              </w:tc>
            </w:tr>
            <w:tr w:rsidR="00416BFF" w:rsidRPr="00416BFF" w:rsidTr="00416BFF">
              <w:trPr>
                <w:trHeight w:val="255"/>
              </w:trPr>
              <w:tc>
                <w:tcPr>
                  <w:tcW w:w="640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16BFF" w:rsidRPr="00416BFF" w:rsidRDefault="00416BFF" w:rsidP="003C0B3C">
                  <w:pPr>
                    <w:keepNext/>
                    <w:spacing w:after="0" w:line="240" w:lineRule="auto"/>
                    <w:rPr>
                      <w:rFonts w:eastAsia="Times New Roman"/>
                      <w:color w:val="000000"/>
                      <w:sz w:val="20"/>
                      <w:szCs w:val="20"/>
                    </w:rPr>
                  </w:pPr>
                  <w:r w:rsidRPr="00416BFF">
                    <w:rPr>
                      <w:rFonts w:eastAsia="Times New Roman"/>
                      <w:color w:val="000000"/>
                      <w:sz w:val="20"/>
                      <w:szCs w:val="20"/>
                    </w:rPr>
                    <w:t>Significance codes: 0 ‘***’, 0.001 ‘**’, 0.01 ‘*’, 0.05 ‘.’, 0.1 ‘ ’ 1</w:t>
                  </w:r>
                </w:p>
              </w:tc>
            </w:tr>
          </w:tbl>
          <w:p w:rsidR="001E4903" w:rsidRDefault="001E4903" w:rsidP="003C0B3C">
            <w:pPr>
              <w:keepNext/>
              <w:rPr>
                <w:sz w:val="20"/>
              </w:rPr>
            </w:pPr>
          </w:p>
        </w:tc>
      </w:tr>
    </w:tbl>
    <w:p w:rsidR="004F4F5E" w:rsidRDefault="004B7EFD" w:rsidP="006A35E3">
      <w:pPr>
        <w:spacing w:before="240"/>
        <w:rPr>
          <w:sz w:val="20"/>
        </w:rPr>
      </w:pPr>
      <w:r>
        <w:rPr>
          <w:sz w:val="20"/>
        </w:rPr>
        <w:t xml:space="preserve">As the dataset I use is large </w:t>
      </w:r>
      <w:r w:rsidR="002026AD">
        <w:rPr>
          <w:sz w:val="20"/>
        </w:rPr>
        <w:t>relative to</w:t>
      </w:r>
      <w:r>
        <w:rPr>
          <w:sz w:val="20"/>
        </w:rPr>
        <w:t xml:space="preserve"> the</w:t>
      </w:r>
      <w:r w:rsidR="002026AD">
        <w:rPr>
          <w:sz w:val="20"/>
        </w:rPr>
        <w:t xml:space="preserve"> complexity needed to answer the</w:t>
      </w:r>
      <w:r>
        <w:rPr>
          <w:sz w:val="20"/>
        </w:rPr>
        <w:t xml:space="preserve"> question at hand</w:t>
      </w:r>
      <w:r w:rsidR="002026AD">
        <w:rPr>
          <w:sz w:val="20"/>
        </w:rPr>
        <w:t xml:space="preserve">- </w:t>
      </w:r>
      <w:r>
        <w:rPr>
          <w:sz w:val="20"/>
        </w:rPr>
        <w:t>over 92,000 observations at a fine temporal and geospatial scale, my results come up statistically significant with a high degree of confi</w:t>
      </w:r>
      <w:r w:rsidR="00BF581A">
        <w:rPr>
          <w:sz w:val="20"/>
        </w:rPr>
        <w:t xml:space="preserve">dence for </w:t>
      </w:r>
      <w:r w:rsidR="002D28AF">
        <w:rPr>
          <w:sz w:val="20"/>
        </w:rPr>
        <w:t>most</w:t>
      </w:r>
      <w:r w:rsidR="00BF581A">
        <w:rPr>
          <w:sz w:val="20"/>
        </w:rPr>
        <w:t xml:space="preserve"> coefficients.  While my null hypotheses are rejected outright, the sign and magnitude of coefficients </w:t>
      </w:r>
      <w:r w:rsidR="002D28AF">
        <w:rPr>
          <w:sz w:val="20"/>
        </w:rPr>
        <w:t>is</w:t>
      </w:r>
      <w:r w:rsidR="00BF581A">
        <w:rPr>
          <w:sz w:val="20"/>
        </w:rPr>
        <w:t xml:space="preserve"> more telling.  The effect of sulfur content on fuel costs is a rather large discount as expected.  The small effect and negative sign on FGD is unexpected, however, and may indicate </w:t>
      </w:r>
      <w:r w:rsidR="006A35E3">
        <w:rPr>
          <w:sz w:val="20"/>
        </w:rPr>
        <w:t>a more complex relationship.  Figure 1 presents boxplots of the regression factors used in my analysis against the FGD indicator where 0 indicates no FGD equipment in operation at the plant and 1 indicates FGD in operation.</w:t>
      </w:r>
      <w:r w:rsidR="00EE3385">
        <w:rPr>
          <w:sz w:val="20"/>
        </w:rPr>
        <w:t xml:space="preserve">  The first box plot, </w:t>
      </w:r>
      <w:r w:rsidR="00EE3385">
        <w:rPr>
          <w:i/>
          <w:sz w:val="20"/>
        </w:rPr>
        <w:t>Fuel cost vs FGD</w:t>
      </w:r>
      <w:r w:rsidR="00EE3385">
        <w:rPr>
          <w:sz w:val="20"/>
        </w:rPr>
        <w:t xml:space="preserve"> plots the dependent variable of my analysis by FGD type and show</w:t>
      </w:r>
      <w:r w:rsidR="00060925">
        <w:rPr>
          <w:sz w:val="20"/>
        </w:rPr>
        <w:t>s</w:t>
      </w:r>
      <w:r w:rsidR="00EE3385">
        <w:rPr>
          <w:sz w:val="20"/>
        </w:rPr>
        <w:t xml:space="preserve"> the relatively</w:t>
      </w:r>
      <w:r w:rsidR="00060925">
        <w:rPr>
          <w:sz w:val="20"/>
        </w:rPr>
        <w:t xml:space="preserve"> close</w:t>
      </w:r>
      <w:r w:rsidR="00EE3385">
        <w:rPr>
          <w:sz w:val="20"/>
        </w:rPr>
        <w:t xml:space="preserve"> mean</w:t>
      </w:r>
      <w:r w:rsidR="00060925">
        <w:rPr>
          <w:sz w:val="20"/>
        </w:rPr>
        <w:t>s</w:t>
      </w:r>
      <w:r w:rsidR="00EE3385">
        <w:rPr>
          <w:sz w:val="20"/>
        </w:rPr>
        <w:t xml:space="preserve"> and that both have </w:t>
      </w:r>
      <w:r w:rsidR="00EE3385">
        <w:rPr>
          <w:sz w:val="20"/>
        </w:rPr>
        <w:lastRenderedPageBreak/>
        <w:t xml:space="preserve">quite a few outliers as expected in the large data.  The presence of any quantity discount, indicative of market power on the part of power plants is also similar between the two categories </w:t>
      </w:r>
      <w:r w:rsidR="00060925">
        <w:rPr>
          <w:sz w:val="20"/>
        </w:rPr>
        <w:t>(</w:t>
      </w:r>
      <w:r w:rsidR="00EE3385">
        <w:rPr>
          <w:i/>
          <w:sz w:val="20"/>
        </w:rPr>
        <w:t>Quantity vs FGD</w:t>
      </w:r>
      <w:r w:rsidR="00060925">
        <w:rPr>
          <w:sz w:val="20"/>
        </w:rPr>
        <w:t>)</w:t>
      </w:r>
      <w:r w:rsidR="00EE3385">
        <w:rPr>
          <w:sz w:val="20"/>
        </w:rPr>
        <w:t>.  From that point, the results diverge- FGD installed plants buy higher quality coal in BTU content (</w:t>
      </w:r>
      <w:r w:rsidR="00EE3385">
        <w:rPr>
          <w:i/>
          <w:sz w:val="20"/>
        </w:rPr>
        <w:t>BTU content vs FGD</w:t>
      </w:r>
      <w:r w:rsidR="00EE3385">
        <w:rPr>
          <w:sz w:val="20"/>
        </w:rPr>
        <w:t>), but lower quality</w:t>
      </w:r>
      <w:r w:rsidR="00060925">
        <w:rPr>
          <w:sz w:val="20"/>
        </w:rPr>
        <w:t xml:space="preserve"> in sulfur and ash</w:t>
      </w:r>
      <w:r w:rsidR="00EE3385">
        <w:rPr>
          <w:sz w:val="20"/>
        </w:rPr>
        <w:t xml:space="preserve"> (</w:t>
      </w:r>
      <w:r w:rsidR="00EE3385">
        <w:rPr>
          <w:i/>
          <w:sz w:val="20"/>
        </w:rPr>
        <w:t>Sulfur content vs FGD</w:t>
      </w:r>
      <w:r w:rsidR="00EE3385">
        <w:rPr>
          <w:sz w:val="20"/>
        </w:rPr>
        <w:t>) and (</w:t>
      </w:r>
      <w:r w:rsidR="00EE3385">
        <w:rPr>
          <w:i/>
          <w:sz w:val="20"/>
        </w:rPr>
        <w:t>Ash content vs FGD</w:t>
      </w:r>
      <w:r w:rsidR="00EE3385">
        <w:rPr>
          <w:sz w:val="20"/>
        </w:rPr>
        <w:t xml:space="preserve">) as expected.  They also purchase coal from comparatively closer sources on average, something of a surprise.  Rather than installing FGD and then sourcing dirty coal from mines that may be further away, the decision to install FGD appears endogenous to location </w:t>
      </w:r>
      <w:r w:rsidR="00060925">
        <w:rPr>
          <w:sz w:val="20"/>
        </w:rPr>
        <w:t>and based on the</w:t>
      </w:r>
      <w:r w:rsidR="00EE3385">
        <w:rPr>
          <w:sz w:val="20"/>
        </w:rPr>
        <w:t xml:space="preserve"> </w:t>
      </w:r>
      <w:r w:rsidR="00FB0422">
        <w:rPr>
          <w:sz w:val="20"/>
        </w:rPr>
        <w:t>quality of</w:t>
      </w:r>
      <w:r w:rsidR="00060925">
        <w:rPr>
          <w:sz w:val="20"/>
        </w:rPr>
        <w:t xml:space="preserve"> local</w:t>
      </w:r>
      <w:r w:rsidR="00FB0422">
        <w:rPr>
          <w:sz w:val="20"/>
        </w:rPr>
        <w:t xml:space="preserve"> coal in terms of BTU</w:t>
      </w:r>
      <w:r w:rsidR="00060925">
        <w:rPr>
          <w:sz w:val="20"/>
        </w:rPr>
        <w:t xml:space="preserve"> content</w:t>
      </w:r>
      <w:r w:rsidR="00FB0422">
        <w:rPr>
          <w:sz w:val="20"/>
        </w:rPr>
        <w:t>, sulfur, and ash.</w:t>
      </w:r>
      <w:r w:rsidR="00705700">
        <w:rPr>
          <w:sz w:val="20"/>
        </w:rPr>
        <w:t xml:space="preserve">  While the microeconomic model I develop in my thesis helps explain this, it is beyond the context of this paper to </w:t>
      </w:r>
      <w:r w:rsidR="00060925">
        <w:rPr>
          <w:sz w:val="20"/>
        </w:rPr>
        <w:t>explore</w:t>
      </w:r>
      <w:r w:rsidR="00705700">
        <w:rPr>
          <w:sz w:val="20"/>
        </w:rPr>
        <w:t xml:space="preserve"> further.</w:t>
      </w:r>
      <w:r w:rsidR="00EE3385">
        <w:rPr>
          <w:sz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F4F5E" w:rsidTr="00705700">
        <w:tc>
          <w:tcPr>
            <w:tcW w:w="9350" w:type="dxa"/>
          </w:tcPr>
          <w:p w:rsidR="004F4F5E" w:rsidRPr="00705700" w:rsidRDefault="006A35E3" w:rsidP="003C0B3C">
            <w:pPr>
              <w:keepNext/>
              <w:rPr>
                <w:b/>
                <w:sz w:val="20"/>
              </w:rPr>
            </w:pPr>
            <w:r w:rsidRPr="00705700">
              <w:rPr>
                <w:b/>
                <w:sz w:val="20"/>
              </w:rPr>
              <w:t>Figure 1. Relationship between FGD installation (dichotomous choice variable) and regression covariates</w:t>
            </w:r>
          </w:p>
        </w:tc>
      </w:tr>
      <w:tr w:rsidR="004F4F5E" w:rsidTr="00705700">
        <w:tc>
          <w:tcPr>
            <w:tcW w:w="9350" w:type="dxa"/>
          </w:tcPr>
          <w:p w:rsidR="004F4F5E" w:rsidRDefault="004F4F5E" w:rsidP="003C0B3C">
            <w:pPr>
              <w:keepNext/>
              <w:rPr>
                <w:sz w:val="20"/>
              </w:rPr>
            </w:pPr>
            <w:r>
              <w:rPr>
                <w:noProof/>
              </w:rPr>
              <w:drawing>
                <wp:inline distT="0" distB="0" distL="0" distR="0" wp14:anchorId="2708B544" wp14:editId="13C77E62">
                  <wp:extent cx="5448300" cy="543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8300" cy="5438775"/>
                          </a:xfrm>
                          <a:prstGeom prst="rect">
                            <a:avLst/>
                          </a:prstGeom>
                        </pic:spPr>
                      </pic:pic>
                    </a:graphicData>
                  </a:graphic>
                </wp:inline>
              </w:drawing>
            </w:r>
          </w:p>
        </w:tc>
      </w:tr>
    </w:tbl>
    <w:p w:rsidR="004F4F5E" w:rsidRPr="00E93251" w:rsidRDefault="00705700" w:rsidP="00606DC8">
      <w:pPr>
        <w:rPr>
          <w:sz w:val="20"/>
        </w:rPr>
      </w:pPr>
      <w:r>
        <w:rPr>
          <w:sz w:val="20"/>
        </w:rPr>
        <w:t>In Conclusion, sulfur content of coal is a significant contributor</w:t>
      </w:r>
      <w:r w:rsidR="00AE7EA6">
        <w:rPr>
          <w:sz w:val="20"/>
        </w:rPr>
        <w:t xml:space="preserve"> to price, resulting in</w:t>
      </w:r>
      <w:r w:rsidR="00060925">
        <w:rPr>
          <w:sz w:val="20"/>
        </w:rPr>
        <w:t xml:space="preserve"> a roughly </w:t>
      </w:r>
      <w:r w:rsidR="00AE7EA6">
        <w:rPr>
          <w:sz w:val="20"/>
        </w:rPr>
        <w:t xml:space="preserve">12-percent discount on average relative to a </w:t>
      </w:r>
      <w:r w:rsidR="00060925">
        <w:rPr>
          <w:sz w:val="20"/>
        </w:rPr>
        <w:t>zero-sulfur</w:t>
      </w:r>
      <w:r w:rsidR="00AE7EA6">
        <w:rPr>
          <w:sz w:val="20"/>
        </w:rPr>
        <w:t xml:space="preserve"> alternative.  However, plants with FGD installed to enable consumption of dirtier coal do not face higher prices as one </w:t>
      </w:r>
      <w:r w:rsidR="00060925">
        <w:rPr>
          <w:sz w:val="20"/>
        </w:rPr>
        <w:t>may</w:t>
      </w:r>
      <w:r w:rsidR="00AE7EA6">
        <w:rPr>
          <w:sz w:val="20"/>
        </w:rPr>
        <w:t xml:space="preserve"> expect </w:t>
      </w:r>
      <w:r w:rsidR="00060925">
        <w:rPr>
          <w:sz w:val="20"/>
        </w:rPr>
        <w:t>based on conventional</w:t>
      </w:r>
      <w:r w:rsidR="00AE7EA6">
        <w:rPr>
          <w:sz w:val="20"/>
        </w:rPr>
        <w:t xml:space="preserve"> microeconomic </w:t>
      </w:r>
      <w:r w:rsidR="00060925">
        <w:rPr>
          <w:sz w:val="20"/>
        </w:rPr>
        <w:t>theory</w:t>
      </w:r>
      <w:r w:rsidR="00AE7EA6">
        <w:rPr>
          <w:sz w:val="20"/>
        </w:rPr>
        <w:t>.  Further analysis suggests instead that the decision to install abatement technology is endogenous to</w:t>
      </w:r>
      <w:r w:rsidR="00060925">
        <w:rPr>
          <w:sz w:val="20"/>
        </w:rPr>
        <w:t xml:space="preserve"> local</w:t>
      </w:r>
      <w:r w:rsidR="00AE7EA6">
        <w:rPr>
          <w:sz w:val="20"/>
        </w:rPr>
        <w:t xml:space="preserve"> coal supply characteristics resulting in a more complicated relationship.</w:t>
      </w:r>
    </w:p>
    <w:p w:rsidR="00A320A0" w:rsidRDefault="004019F7" w:rsidP="00060925">
      <w:pPr>
        <w:pStyle w:val="Heading1"/>
        <w:spacing w:before="0"/>
        <w:rPr>
          <w:sz w:val="20"/>
        </w:rPr>
      </w:pPr>
      <w:r>
        <w:rPr>
          <w:sz w:val="20"/>
        </w:rPr>
        <w:t>References</w:t>
      </w:r>
    </w:p>
    <w:p w:rsidR="00633139" w:rsidRPr="00633139" w:rsidRDefault="00633139" w:rsidP="003C0B3C">
      <w:pPr>
        <w:spacing w:after="0" w:line="240" w:lineRule="auto"/>
        <w:contextualSpacing/>
        <w:rPr>
          <w:rFonts w:eastAsia="Times New Roman"/>
          <w:sz w:val="20"/>
          <w:szCs w:val="24"/>
        </w:rPr>
      </w:pPr>
      <w:proofErr w:type="spellStart"/>
      <w:r w:rsidRPr="00633139">
        <w:rPr>
          <w:rFonts w:eastAsia="Times New Roman"/>
          <w:sz w:val="20"/>
          <w:szCs w:val="24"/>
        </w:rPr>
        <w:t>Busse</w:t>
      </w:r>
      <w:proofErr w:type="spellEnd"/>
      <w:r w:rsidRPr="00633139">
        <w:rPr>
          <w:rFonts w:eastAsia="Times New Roman"/>
          <w:sz w:val="20"/>
          <w:szCs w:val="24"/>
        </w:rPr>
        <w:t xml:space="preserve">, M. R., &amp; </w:t>
      </w:r>
      <w:proofErr w:type="spellStart"/>
      <w:r w:rsidRPr="00633139">
        <w:rPr>
          <w:rFonts w:eastAsia="Times New Roman"/>
          <w:sz w:val="20"/>
          <w:szCs w:val="24"/>
        </w:rPr>
        <w:t>Keohane</w:t>
      </w:r>
      <w:proofErr w:type="spellEnd"/>
      <w:r w:rsidRPr="00633139">
        <w:rPr>
          <w:rFonts w:eastAsia="Times New Roman"/>
          <w:sz w:val="20"/>
          <w:szCs w:val="24"/>
        </w:rPr>
        <w:t xml:space="preserve">, N. O. (2007). Market effects of environmental regulation: Coal, </w:t>
      </w:r>
    </w:p>
    <w:p w:rsidR="00633139" w:rsidRPr="00633139" w:rsidRDefault="00633139" w:rsidP="00633139">
      <w:pPr>
        <w:spacing w:after="0" w:line="240" w:lineRule="auto"/>
        <w:ind w:firstLine="360"/>
        <w:contextualSpacing/>
        <w:rPr>
          <w:rFonts w:eastAsia="Times New Roman"/>
          <w:sz w:val="20"/>
          <w:szCs w:val="24"/>
        </w:rPr>
      </w:pPr>
      <w:r w:rsidRPr="00633139">
        <w:rPr>
          <w:rFonts w:eastAsia="Times New Roman"/>
          <w:sz w:val="20"/>
          <w:szCs w:val="24"/>
        </w:rPr>
        <w:lastRenderedPageBreak/>
        <w:t xml:space="preserve">railroads, and the 1990 Clean Air Act. </w:t>
      </w:r>
      <w:r w:rsidRPr="00633139">
        <w:rPr>
          <w:rFonts w:eastAsia="Times New Roman"/>
          <w:i/>
          <w:sz w:val="20"/>
          <w:szCs w:val="24"/>
        </w:rPr>
        <w:t>RAND Journal of Economics, 38</w:t>
      </w:r>
      <w:r w:rsidRPr="00633139">
        <w:rPr>
          <w:rFonts w:eastAsia="Times New Roman"/>
          <w:sz w:val="20"/>
          <w:szCs w:val="24"/>
        </w:rPr>
        <w:t>(4), 1159-1179.</w:t>
      </w:r>
    </w:p>
    <w:p w:rsidR="00633139" w:rsidRPr="00633139" w:rsidRDefault="00633139" w:rsidP="003C0B3C">
      <w:pPr>
        <w:spacing w:after="0" w:line="240" w:lineRule="auto"/>
        <w:rPr>
          <w:rFonts w:eastAsia="Times New Roman"/>
          <w:sz w:val="20"/>
          <w:szCs w:val="24"/>
        </w:rPr>
      </w:pPr>
      <w:r w:rsidRPr="00633139">
        <w:rPr>
          <w:rFonts w:eastAsia="Times New Roman"/>
          <w:sz w:val="20"/>
          <w:szCs w:val="24"/>
        </w:rPr>
        <w:t xml:space="preserve">Rosen, S. (1974). Hedonic prices and implicit markets: Product differentiation in pure competition. </w:t>
      </w:r>
    </w:p>
    <w:p w:rsidR="00633139" w:rsidRPr="00633139" w:rsidRDefault="00633139" w:rsidP="00633139">
      <w:pPr>
        <w:spacing w:after="0" w:line="240" w:lineRule="auto"/>
        <w:ind w:firstLine="360"/>
        <w:rPr>
          <w:rFonts w:eastAsia="Times New Roman"/>
          <w:sz w:val="20"/>
          <w:szCs w:val="24"/>
        </w:rPr>
      </w:pPr>
      <w:r w:rsidRPr="00633139">
        <w:rPr>
          <w:rFonts w:eastAsia="Times New Roman"/>
          <w:i/>
          <w:sz w:val="20"/>
          <w:szCs w:val="24"/>
        </w:rPr>
        <w:t>The Journal of Political Economy, 82</w:t>
      </w:r>
      <w:r w:rsidRPr="00633139">
        <w:rPr>
          <w:rFonts w:eastAsia="Times New Roman"/>
          <w:sz w:val="20"/>
          <w:szCs w:val="24"/>
        </w:rPr>
        <w:t>(1), 34-55.</w:t>
      </w:r>
    </w:p>
    <w:p w:rsidR="00633139" w:rsidRPr="00633139" w:rsidRDefault="00633139" w:rsidP="003C0B3C">
      <w:pPr>
        <w:spacing w:after="0" w:line="240" w:lineRule="auto"/>
        <w:contextualSpacing/>
        <w:rPr>
          <w:rFonts w:eastAsia="Times New Roman"/>
          <w:i/>
          <w:sz w:val="20"/>
          <w:szCs w:val="24"/>
        </w:rPr>
      </w:pPr>
      <w:r w:rsidRPr="00633139">
        <w:rPr>
          <w:rFonts w:eastAsia="Times New Roman"/>
          <w:sz w:val="20"/>
          <w:szCs w:val="24"/>
        </w:rPr>
        <w:t xml:space="preserve">U.S. Energy Information Administration. (2011). </w:t>
      </w:r>
      <w:r w:rsidRPr="00633139">
        <w:rPr>
          <w:rFonts w:eastAsia="Times New Roman"/>
          <w:i/>
          <w:sz w:val="20"/>
          <w:szCs w:val="24"/>
        </w:rPr>
        <w:t xml:space="preserve">Coal plants without scrubbers account for a </w:t>
      </w:r>
    </w:p>
    <w:p w:rsidR="00633139" w:rsidRPr="00633139" w:rsidRDefault="00633139" w:rsidP="00633139">
      <w:pPr>
        <w:spacing w:after="0" w:line="240" w:lineRule="auto"/>
        <w:ind w:firstLine="360"/>
        <w:contextualSpacing/>
        <w:rPr>
          <w:rFonts w:eastAsia="Times New Roman"/>
          <w:sz w:val="20"/>
          <w:szCs w:val="24"/>
        </w:rPr>
      </w:pPr>
      <w:r w:rsidRPr="00633139">
        <w:rPr>
          <w:rFonts w:eastAsia="Times New Roman"/>
          <w:i/>
          <w:sz w:val="20"/>
          <w:szCs w:val="24"/>
        </w:rPr>
        <w:t>majority of U.S. SO</w:t>
      </w:r>
      <w:r w:rsidRPr="00633139">
        <w:rPr>
          <w:rFonts w:eastAsia="Times New Roman"/>
          <w:i/>
          <w:sz w:val="20"/>
          <w:szCs w:val="24"/>
          <w:vertAlign w:val="subscript"/>
        </w:rPr>
        <w:t>2</w:t>
      </w:r>
      <w:r w:rsidRPr="00633139">
        <w:rPr>
          <w:rFonts w:eastAsia="Times New Roman"/>
          <w:i/>
          <w:sz w:val="20"/>
          <w:szCs w:val="24"/>
        </w:rPr>
        <w:t xml:space="preserve"> emissions</w:t>
      </w:r>
      <w:r w:rsidRPr="00633139">
        <w:rPr>
          <w:rFonts w:eastAsia="Times New Roman"/>
          <w:sz w:val="20"/>
          <w:szCs w:val="24"/>
        </w:rPr>
        <w:t xml:space="preserve">. Retrieved from: </w:t>
      </w:r>
    </w:p>
    <w:p w:rsidR="00633139" w:rsidRPr="00633139" w:rsidRDefault="00633139" w:rsidP="00633139">
      <w:pPr>
        <w:spacing w:after="0" w:line="240" w:lineRule="auto"/>
        <w:ind w:firstLine="360"/>
        <w:contextualSpacing/>
        <w:rPr>
          <w:rFonts w:eastAsia="Times New Roman"/>
          <w:i/>
          <w:sz w:val="20"/>
          <w:szCs w:val="24"/>
        </w:rPr>
      </w:pPr>
      <w:r w:rsidRPr="00633139">
        <w:rPr>
          <w:rFonts w:eastAsia="Times New Roman"/>
          <w:sz w:val="20"/>
          <w:szCs w:val="24"/>
        </w:rPr>
        <w:t>http://www.eia.gov/todayinenergy/detail.cfm?id=4410#</w:t>
      </w:r>
    </w:p>
    <w:p w:rsidR="00633139" w:rsidRPr="00633139" w:rsidRDefault="00633139" w:rsidP="003C0B3C">
      <w:pPr>
        <w:spacing w:after="0" w:line="240" w:lineRule="auto"/>
        <w:rPr>
          <w:rFonts w:eastAsia="Times New Roman"/>
          <w:sz w:val="20"/>
          <w:szCs w:val="24"/>
        </w:rPr>
      </w:pPr>
      <w:r w:rsidRPr="00633139">
        <w:rPr>
          <w:rFonts w:eastAsia="Times New Roman"/>
          <w:sz w:val="20"/>
          <w:szCs w:val="24"/>
        </w:rPr>
        <w:t>U.S. Environmental Protection Agency. (</w:t>
      </w:r>
      <w:proofErr w:type="spellStart"/>
      <w:r w:rsidRPr="00633139">
        <w:rPr>
          <w:rFonts w:eastAsia="Times New Roman"/>
          <w:sz w:val="20"/>
          <w:szCs w:val="24"/>
        </w:rPr>
        <w:t>n.d.</w:t>
      </w:r>
      <w:proofErr w:type="spellEnd"/>
      <w:r w:rsidRPr="00633139">
        <w:rPr>
          <w:rFonts w:eastAsia="Times New Roman"/>
          <w:sz w:val="20"/>
          <w:szCs w:val="24"/>
        </w:rPr>
        <w:t xml:space="preserve">). </w:t>
      </w:r>
      <w:r w:rsidRPr="00633139">
        <w:rPr>
          <w:rFonts w:eastAsia="Times New Roman"/>
          <w:i/>
          <w:sz w:val="20"/>
          <w:szCs w:val="24"/>
        </w:rPr>
        <w:t xml:space="preserve">Air pollution control technology fact sheet </w:t>
      </w:r>
      <w:r w:rsidRPr="00633139">
        <w:rPr>
          <w:rFonts w:eastAsia="Times New Roman"/>
          <w:sz w:val="20"/>
          <w:szCs w:val="24"/>
        </w:rPr>
        <w:t>(EPA-</w:t>
      </w:r>
    </w:p>
    <w:p w:rsidR="00633139" w:rsidRPr="00633139" w:rsidRDefault="00633139" w:rsidP="00633139">
      <w:pPr>
        <w:spacing w:after="0" w:line="240" w:lineRule="auto"/>
        <w:ind w:firstLine="360"/>
        <w:rPr>
          <w:rFonts w:eastAsia="Times New Roman"/>
          <w:sz w:val="20"/>
          <w:szCs w:val="24"/>
        </w:rPr>
      </w:pPr>
      <w:r w:rsidRPr="00633139">
        <w:rPr>
          <w:rFonts w:eastAsia="Times New Roman"/>
          <w:sz w:val="20"/>
          <w:szCs w:val="24"/>
        </w:rPr>
        <w:t xml:space="preserve">452/F-03-034). Washington, DC: U.S. Environmental Protection Agency. Retrieved from </w:t>
      </w:r>
    </w:p>
    <w:p w:rsidR="00633139" w:rsidRPr="00633139" w:rsidRDefault="00633139" w:rsidP="00633139">
      <w:pPr>
        <w:spacing w:after="0" w:line="240" w:lineRule="auto"/>
        <w:ind w:firstLine="360"/>
        <w:rPr>
          <w:rFonts w:eastAsia="Times New Roman"/>
          <w:sz w:val="20"/>
          <w:szCs w:val="24"/>
        </w:rPr>
      </w:pPr>
      <w:r w:rsidRPr="00633139">
        <w:rPr>
          <w:rFonts w:eastAsia="Times New Roman"/>
          <w:sz w:val="20"/>
          <w:szCs w:val="24"/>
        </w:rPr>
        <w:t>https://www3.epa.gov/ttn/catc/dir1/ffdg.pdf</w:t>
      </w:r>
    </w:p>
    <w:p w:rsidR="004019F7" w:rsidRPr="00FE71CA" w:rsidRDefault="00633139" w:rsidP="00FE71CA">
      <w:pPr>
        <w:pStyle w:val="Heading1"/>
        <w:spacing w:before="0"/>
        <w:rPr>
          <w:sz w:val="20"/>
          <w:szCs w:val="20"/>
        </w:rPr>
      </w:pPr>
      <w:r w:rsidRPr="00FE71CA">
        <w:rPr>
          <w:sz w:val="20"/>
          <w:szCs w:val="20"/>
        </w:rPr>
        <w:t>Data sources:</w:t>
      </w:r>
    </w:p>
    <w:p w:rsidR="004019F7" w:rsidRPr="004019F7" w:rsidRDefault="004019F7" w:rsidP="004019F7">
      <w:pPr>
        <w:spacing w:after="0" w:line="240" w:lineRule="auto"/>
        <w:rPr>
          <w:rFonts w:eastAsia="Times New Roman"/>
          <w:sz w:val="20"/>
          <w:szCs w:val="24"/>
        </w:rPr>
      </w:pPr>
      <w:r w:rsidRPr="004019F7">
        <w:rPr>
          <w:rFonts w:eastAsia="Times New Roman"/>
          <w:sz w:val="20"/>
          <w:szCs w:val="24"/>
        </w:rPr>
        <w:t xml:space="preserve">Mine Safety and Health Administration. (2016). </w:t>
      </w:r>
      <w:r w:rsidRPr="004019F7">
        <w:rPr>
          <w:rFonts w:eastAsia="Times New Roman"/>
          <w:i/>
          <w:sz w:val="20"/>
          <w:szCs w:val="24"/>
        </w:rPr>
        <w:t>Mine Addresses of Record Data Set</w:t>
      </w:r>
      <w:r w:rsidRPr="004019F7">
        <w:rPr>
          <w:rFonts w:eastAsia="Times New Roman"/>
          <w:sz w:val="20"/>
          <w:szCs w:val="24"/>
        </w:rPr>
        <w:t xml:space="preserve">. Retrieved </w:t>
      </w:r>
    </w:p>
    <w:p w:rsidR="004019F7" w:rsidRPr="004019F7" w:rsidRDefault="004019F7" w:rsidP="004019F7">
      <w:pPr>
        <w:spacing w:after="0" w:line="240" w:lineRule="auto"/>
        <w:ind w:firstLine="360"/>
        <w:rPr>
          <w:rFonts w:eastAsia="Times New Roman"/>
          <w:sz w:val="20"/>
          <w:szCs w:val="24"/>
        </w:rPr>
      </w:pPr>
      <w:r w:rsidRPr="004019F7">
        <w:rPr>
          <w:rFonts w:eastAsia="Times New Roman"/>
          <w:sz w:val="20"/>
          <w:szCs w:val="24"/>
        </w:rPr>
        <w:t>from http://arlweb.msha.gov/OpenGovernmentData/OGIMSHA.asp</w:t>
      </w:r>
    </w:p>
    <w:p w:rsidR="004019F7" w:rsidRPr="004019F7" w:rsidRDefault="004019F7" w:rsidP="004019F7">
      <w:pPr>
        <w:spacing w:after="0" w:line="240" w:lineRule="auto"/>
        <w:rPr>
          <w:rFonts w:eastAsia="Times New Roman"/>
          <w:sz w:val="20"/>
          <w:szCs w:val="24"/>
        </w:rPr>
      </w:pPr>
      <w:r w:rsidRPr="004019F7">
        <w:rPr>
          <w:rFonts w:eastAsia="Times New Roman"/>
          <w:sz w:val="20"/>
          <w:szCs w:val="24"/>
        </w:rPr>
        <w:t xml:space="preserve">Mine Safety and Health Administration. (2016). </w:t>
      </w:r>
      <w:r w:rsidRPr="004019F7">
        <w:rPr>
          <w:rFonts w:eastAsia="Times New Roman"/>
          <w:i/>
          <w:sz w:val="20"/>
          <w:szCs w:val="24"/>
        </w:rPr>
        <w:t>Mines Data Set</w:t>
      </w:r>
      <w:r w:rsidRPr="004019F7">
        <w:rPr>
          <w:rFonts w:eastAsia="Times New Roman"/>
          <w:sz w:val="20"/>
          <w:szCs w:val="24"/>
        </w:rPr>
        <w:t xml:space="preserve">. Retrieved from </w:t>
      </w:r>
    </w:p>
    <w:p w:rsidR="004019F7" w:rsidRPr="004019F7" w:rsidRDefault="004019F7" w:rsidP="004019F7">
      <w:pPr>
        <w:spacing w:after="0" w:line="240" w:lineRule="auto"/>
        <w:ind w:firstLine="360"/>
        <w:rPr>
          <w:rFonts w:eastAsia="Times New Roman"/>
          <w:sz w:val="20"/>
          <w:szCs w:val="24"/>
        </w:rPr>
      </w:pPr>
      <w:r w:rsidRPr="004019F7">
        <w:rPr>
          <w:rFonts w:eastAsia="Times New Roman"/>
          <w:sz w:val="20"/>
          <w:szCs w:val="24"/>
        </w:rPr>
        <w:t>http://arlweb.msha.gov/OpenGovernmentData/OGIMSHA.asp</w:t>
      </w:r>
    </w:p>
    <w:p w:rsidR="004019F7" w:rsidRDefault="004019F7" w:rsidP="004019F7">
      <w:pPr>
        <w:spacing w:after="0" w:line="240" w:lineRule="auto"/>
        <w:rPr>
          <w:rFonts w:eastAsia="Times New Roman"/>
          <w:sz w:val="20"/>
          <w:szCs w:val="24"/>
        </w:rPr>
      </w:pPr>
      <w:r w:rsidRPr="004019F7">
        <w:rPr>
          <w:rFonts w:eastAsia="Times New Roman"/>
          <w:sz w:val="20"/>
          <w:szCs w:val="24"/>
        </w:rPr>
        <w:t>U.S. Energy I</w:t>
      </w:r>
      <w:r w:rsidR="00422D01">
        <w:rPr>
          <w:rFonts w:eastAsia="Times New Roman"/>
          <w:sz w:val="20"/>
          <w:szCs w:val="24"/>
        </w:rPr>
        <w:t>nformation Administration. (2015</w:t>
      </w:r>
      <w:r w:rsidRPr="004019F7">
        <w:rPr>
          <w:rFonts w:eastAsia="Times New Roman"/>
          <w:sz w:val="20"/>
          <w:szCs w:val="24"/>
        </w:rPr>
        <w:t xml:space="preserve">). </w:t>
      </w:r>
      <w:r w:rsidRPr="004019F7">
        <w:rPr>
          <w:rFonts w:eastAsia="Times New Roman"/>
          <w:i/>
          <w:sz w:val="20"/>
          <w:szCs w:val="24"/>
        </w:rPr>
        <w:t xml:space="preserve">Annual Electric Generator Data </w:t>
      </w:r>
      <w:r w:rsidRPr="004019F7">
        <w:rPr>
          <w:rFonts w:eastAsia="Times New Roman"/>
          <w:sz w:val="20"/>
          <w:szCs w:val="24"/>
        </w:rPr>
        <w:t>(EIA-860) [2008-201</w:t>
      </w:r>
      <w:r w:rsidR="00422D01">
        <w:rPr>
          <w:rFonts w:eastAsia="Times New Roman"/>
          <w:sz w:val="20"/>
          <w:szCs w:val="24"/>
        </w:rPr>
        <w:t>4</w:t>
      </w:r>
      <w:r w:rsidRPr="004019F7">
        <w:rPr>
          <w:rFonts w:eastAsia="Times New Roman"/>
          <w:sz w:val="20"/>
          <w:szCs w:val="24"/>
        </w:rPr>
        <w:t xml:space="preserve">]. </w:t>
      </w:r>
    </w:p>
    <w:p w:rsidR="004019F7" w:rsidRPr="004019F7" w:rsidRDefault="004019F7" w:rsidP="004019F7">
      <w:pPr>
        <w:spacing w:after="0" w:line="240" w:lineRule="auto"/>
        <w:ind w:firstLine="720"/>
        <w:rPr>
          <w:rFonts w:eastAsia="Times New Roman"/>
          <w:sz w:val="20"/>
          <w:szCs w:val="24"/>
        </w:rPr>
      </w:pPr>
      <w:r w:rsidRPr="004019F7">
        <w:rPr>
          <w:rFonts w:eastAsia="Times New Roman"/>
          <w:sz w:val="20"/>
          <w:szCs w:val="24"/>
        </w:rPr>
        <w:t>Retrieved from http://www.eia.gov/electricity/data/eia860/</w:t>
      </w:r>
    </w:p>
    <w:p w:rsidR="004019F7" w:rsidRDefault="004019F7" w:rsidP="004019F7">
      <w:pPr>
        <w:spacing w:after="0" w:line="240" w:lineRule="auto"/>
        <w:contextualSpacing/>
        <w:rPr>
          <w:rFonts w:eastAsia="Times New Roman"/>
          <w:sz w:val="20"/>
          <w:szCs w:val="24"/>
        </w:rPr>
      </w:pPr>
      <w:r w:rsidRPr="004019F7">
        <w:rPr>
          <w:rFonts w:eastAsia="Times New Roman"/>
          <w:sz w:val="20"/>
          <w:szCs w:val="24"/>
        </w:rPr>
        <w:t>U.S. Energy I</w:t>
      </w:r>
      <w:r w:rsidR="00422D01">
        <w:rPr>
          <w:rFonts w:eastAsia="Times New Roman"/>
          <w:sz w:val="20"/>
          <w:szCs w:val="24"/>
        </w:rPr>
        <w:t>nformation Administration. (2015</w:t>
      </w:r>
      <w:r w:rsidRPr="004019F7">
        <w:rPr>
          <w:rFonts w:eastAsia="Times New Roman"/>
          <w:sz w:val="20"/>
          <w:szCs w:val="24"/>
        </w:rPr>
        <w:t xml:space="preserve">). </w:t>
      </w:r>
      <w:r w:rsidRPr="004019F7">
        <w:rPr>
          <w:rFonts w:eastAsia="Times New Roman"/>
          <w:i/>
          <w:sz w:val="20"/>
          <w:szCs w:val="24"/>
        </w:rPr>
        <w:t xml:space="preserve">Power Plant Operations Report </w:t>
      </w:r>
      <w:r w:rsidRPr="004019F7">
        <w:rPr>
          <w:rFonts w:eastAsia="Times New Roman"/>
          <w:sz w:val="20"/>
          <w:szCs w:val="24"/>
        </w:rPr>
        <w:t>(EIA-923) [2008-201</w:t>
      </w:r>
      <w:r w:rsidR="00422D01">
        <w:rPr>
          <w:rFonts w:eastAsia="Times New Roman"/>
          <w:sz w:val="20"/>
          <w:szCs w:val="24"/>
        </w:rPr>
        <w:t>4</w:t>
      </w:r>
      <w:r w:rsidRPr="004019F7">
        <w:rPr>
          <w:rFonts w:eastAsia="Times New Roman"/>
          <w:sz w:val="20"/>
          <w:szCs w:val="24"/>
        </w:rPr>
        <w:t xml:space="preserve">]. </w:t>
      </w:r>
    </w:p>
    <w:p w:rsidR="004019F7" w:rsidRPr="004019F7" w:rsidRDefault="004019F7" w:rsidP="004019F7">
      <w:pPr>
        <w:spacing w:after="0" w:line="240" w:lineRule="auto"/>
        <w:ind w:firstLine="720"/>
        <w:contextualSpacing/>
        <w:rPr>
          <w:rFonts w:eastAsia="Times New Roman"/>
          <w:sz w:val="20"/>
          <w:szCs w:val="24"/>
        </w:rPr>
      </w:pPr>
      <w:r w:rsidRPr="004019F7">
        <w:rPr>
          <w:rFonts w:eastAsia="Times New Roman"/>
          <w:sz w:val="20"/>
          <w:szCs w:val="24"/>
        </w:rPr>
        <w:t>Retrieved from http://www.eia.gov/electricity/data/eia923/</w:t>
      </w:r>
    </w:p>
    <w:p w:rsidR="004019F7" w:rsidRPr="004019F7" w:rsidRDefault="004019F7" w:rsidP="004019F7"/>
    <w:sectPr w:rsidR="004019F7" w:rsidRPr="004019F7" w:rsidSect="00C10D4F">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9B2" w:rsidRDefault="00A909B2" w:rsidP="003E6E43">
      <w:pPr>
        <w:spacing w:after="0" w:line="240" w:lineRule="auto"/>
      </w:pPr>
      <w:r>
        <w:separator/>
      </w:r>
    </w:p>
  </w:endnote>
  <w:endnote w:type="continuationSeparator" w:id="0">
    <w:p w:rsidR="00A909B2" w:rsidRDefault="00A909B2" w:rsidP="003E6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851194"/>
      <w:docPartObj>
        <w:docPartGallery w:val="Page Numbers (Bottom of Page)"/>
        <w:docPartUnique/>
      </w:docPartObj>
    </w:sdtPr>
    <w:sdtEndPr>
      <w:rPr>
        <w:noProof/>
      </w:rPr>
    </w:sdtEndPr>
    <w:sdtContent>
      <w:p w:rsidR="003E6E43" w:rsidRDefault="003E6E43">
        <w:pPr>
          <w:pStyle w:val="Footer"/>
          <w:jc w:val="center"/>
        </w:pPr>
        <w:r>
          <w:fldChar w:fldCharType="begin"/>
        </w:r>
        <w:r>
          <w:instrText xml:space="preserve"> PAGE   \* MERGEFORMAT </w:instrText>
        </w:r>
        <w:r>
          <w:fldChar w:fldCharType="separate"/>
        </w:r>
        <w:r w:rsidR="00C10D4F">
          <w:rPr>
            <w:noProof/>
          </w:rPr>
          <w:t>4</w:t>
        </w:r>
        <w:r>
          <w:rPr>
            <w:noProof/>
          </w:rPr>
          <w:fldChar w:fldCharType="end"/>
        </w:r>
      </w:p>
    </w:sdtContent>
  </w:sdt>
  <w:p w:rsidR="003E6E43" w:rsidRDefault="003E6E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6780118"/>
      <w:docPartObj>
        <w:docPartGallery w:val="Page Numbers (Bottom of Page)"/>
        <w:docPartUnique/>
      </w:docPartObj>
    </w:sdtPr>
    <w:sdtEndPr>
      <w:rPr>
        <w:noProof/>
      </w:rPr>
    </w:sdtEndPr>
    <w:sdtContent>
      <w:p w:rsidR="00C10D4F" w:rsidRDefault="00C10D4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C10D4F" w:rsidRDefault="00C10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9B2" w:rsidRDefault="00A909B2" w:rsidP="003E6E43">
      <w:pPr>
        <w:spacing w:after="0" w:line="240" w:lineRule="auto"/>
      </w:pPr>
      <w:r>
        <w:separator/>
      </w:r>
    </w:p>
  </w:footnote>
  <w:footnote w:type="continuationSeparator" w:id="0">
    <w:p w:rsidR="00A909B2" w:rsidRDefault="00A909B2" w:rsidP="003E6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D4F" w:rsidRDefault="00C10D4F" w:rsidP="00C10D4F">
    <w:pPr>
      <w:pStyle w:val="Header"/>
      <w:jc w:val="right"/>
    </w:pPr>
    <w:r>
      <w:t>Turk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DC8"/>
    <w:rsid w:val="00015A04"/>
    <w:rsid w:val="000314C9"/>
    <w:rsid w:val="0005301E"/>
    <w:rsid w:val="00060925"/>
    <w:rsid w:val="00071B09"/>
    <w:rsid w:val="000D7FB3"/>
    <w:rsid w:val="000E69BA"/>
    <w:rsid w:val="0012470A"/>
    <w:rsid w:val="001320CB"/>
    <w:rsid w:val="00136E6D"/>
    <w:rsid w:val="00154A9B"/>
    <w:rsid w:val="00173545"/>
    <w:rsid w:val="001C3517"/>
    <w:rsid w:val="001D74E7"/>
    <w:rsid w:val="001E4903"/>
    <w:rsid w:val="002026AD"/>
    <w:rsid w:val="0023603A"/>
    <w:rsid w:val="002655AA"/>
    <w:rsid w:val="0029576A"/>
    <w:rsid w:val="002A7242"/>
    <w:rsid w:val="002C0509"/>
    <w:rsid w:val="002D28AF"/>
    <w:rsid w:val="002F37F1"/>
    <w:rsid w:val="0034495A"/>
    <w:rsid w:val="00392F0D"/>
    <w:rsid w:val="003A1AC8"/>
    <w:rsid w:val="003B1F03"/>
    <w:rsid w:val="003C0B3C"/>
    <w:rsid w:val="003C16B2"/>
    <w:rsid w:val="003C3B55"/>
    <w:rsid w:val="003D4F62"/>
    <w:rsid w:val="003E6E43"/>
    <w:rsid w:val="004019F7"/>
    <w:rsid w:val="00412879"/>
    <w:rsid w:val="00416BFF"/>
    <w:rsid w:val="00422D01"/>
    <w:rsid w:val="004312E0"/>
    <w:rsid w:val="00434774"/>
    <w:rsid w:val="00445343"/>
    <w:rsid w:val="00487112"/>
    <w:rsid w:val="004A11F0"/>
    <w:rsid w:val="004B7EFD"/>
    <w:rsid w:val="004C2B0A"/>
    <w:rsid w:val="004C563F"/>
    <w:rsid w:val="004C6600"/>
    <w:rsid w:val="004E4CEE"/>
    <w:rsid w:val="004F4F5E"/>
    <w:rsid w:val="00516DC8"/>
    <w:rsid w:val="005604B8"/>
    <w:rsid w:val="0056655A"/>
    <w:rsid w:val="00571E35"/>
    <w:rsid w:val="0058653E"/>
    <w:rsid w:val="005909DE"/>
    <w:rsid w:val="00590C82"/>
    <w:rsid w:val="005E7858"/>
    <w:rsid w:val="00606DC8"/>
    <w:rsid w:val="00633139"/>
    <w:rsid w:val="0069326B"/>
    <w:rsid w:val="006A35E3"/>
    <w:rsid w:val="00705700"/>
    <w:rsid w:val="0073388A"/>
    <w:rsid w:val="0075612F"/>
    <w:rsid w:val="0076121B"/>
    <w:rsid w:val="00782510"/>
    <w:rsid w:val="00873A05"/>
    <w:rsid w:val="008A17C6"/>
    <w:rsid w:val="008A442E"/>
    <w:rsid w:val="008F1513"/>
    <w:rsid w:val="00963948"/>
    <w:rsid w:val="009745B0"/>
    <w:rsid w:val="00995302"/>
    <w:rsid w:val="009B603F"/>
    <w:rsid w:val="009C00E5"/>
    <w:rsid w:val="009F2145"/>
    <w:rsid w:val="00A02C18"/>
    <w:rsid w:val="00A23634"/>
    <w:rsid w:val="00A26217"/>
    <w:rsid w:val="00A320A0"/>
    <w:rsid w:val="00A61E26"/>
    <w:rsid w:val="00A909B2"/>
    <w:rsid w:val="00AB05D3"/>
    <w:rsid w:val="00AE7EA6"/>
    <w:rsid w:val="00B268EB"/>
    <w:rsid w:val="00B4316D"/>
    <w:rsid w:val="00B83A13"/>
    <w:rsid w:val="00BF581A"/>
    <w:rsid w:val="00C10D4F"/>
    <w:rsid w:val="00C21A60"/>
    <w:rsid w:val="00C410AC"/>
    <w:rsid w:val="00C522FE"/>
    <w:rsid w:val="00C74084"/>
    <w:rsid w:val="00CA1D1E"/>
    <w:rsid w:val="00E05DE6"/>
    <w:rsid w:val="00E11DE9"/>
    <w:rsid w:val="00E93251"/>
    <w:rsid w:val="00EE3385"/>
    <w:rsid w:val="00EF0D4E"/>
    <w:rsid w:val="00F12FD3"/>
    <w:rsid w:val="00F37D74"/>
    <w:rsid w:val="00F7507D"/>
    <w:rsid w:val="00F92B3A"/>
    <w:rsid w:val="00FA42D6"/>
    <w:rsid w:val="00FB0422"/>
    <w:rsid w:val="00FE71CA"/>
    <w:rsid w:val="00FF5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ABFEB"/>
  <w15:chartTrackingRefBased/>
  <w15:docId w15:val="{7E19D971-4D6C-4CF7-B550-363DF06F8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DC8"/>
    <w:pPr>
      <w:keepNext/>
      <w:keepLines/>
      <w:spacing w:before="240" w:after="0"/>
      <w:outlineLvl w:val="0"/>
    </w:pPr>
    <w:rPr>
      <w:rFonts w:eastAsiaTheme="majorEastAsia"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DC8"/>
    <w:rPr>
      <w:rFonts w:eastAsiaTheme="majorEastAsia" w:cstheme="majorBidi"/>
      <w:b/>
      <w:color w:val="000000" w:themeColor="text1"/>
      <w:sz w:val="24"/>
      <w:szCs w:val="32"/>
    </w:rPr>
  </w:style>
  <w:style w:type="paragraph" w:styleId="TOCHeading">
    <w:name w:val="TOC Heading"/>
    <w:basedOn w:val="Heading1"/>
    <w:next w:val="Normal"/>
    <w:uiPriority w:val="39"/>
    <w:unhideWhenUsed/>
    <w:qFormat/>
    <w:rsid w:val="00606DC8"/>
    <w:pPr>
      <w:outlineLvl w:val="9"/>
    </w:pPr>
  </w:style>
  <w:style w:type="paragraph" w:styleId="TOC1">
    <w:name w:val="toc 1"/>
    <w:basedOn w:val="Normal"/>
    <w:next w:val="Normal"/>
    <w:autoRedefine/>
    <w:uiPriority w:val="39"/>
    <w:unhideWhenUsed/>
    <w:rsid w:val="00606DC8"/>
    <w:pPr>
      <w:spacing w:after="100"/>
    </w:pPr>
  </w:style>
  <w:style w:type="character" w:styleId="Hyperlink">
    <w:name w:val="Hyperlink"/>
    <w:basedOn w:val="DefaultParagraphFont"/>
    <w:uiPriority w:val="99"/>
    <w:unhideWhenUsed/>
    <w:rsid w:val="00606DC8"/>
    <w:rPr>
      <w:color w:val="0563C1" w:themeColor="hyperlink"/>
      <w:u w:val="single"/>
    </w:rPr>
  </w:style>
  <w:style w:type="paragraph" w:styleId="TOC2">
    <w:name w:val="toc 2"/>
    <w:basedOn w:val="Normal"/>
    <w:next w:val="Normal"/>
    <w:autoRedefine/>
    <w:uiPriority w:val="39"/>
    <w:unhideWhenUsed/>
    <w:rsid w:val="00606DC8"/>
    <w:pPr>
      <w:spacing w:after="100"/>
      <w:ind w:left="220"/>
    </w:pPr>
    <w:rPr>
      <w:rFonts w:asciiTheme="minorHAnsi" w:eastAsiaTheme="minorEastAsia" w:hAnsiTheme="minorHAnsi"/>
    </w:rPr>
  </w:style>
  <w:style w:type="paragraph" w:styleId="TOC3">
    <w:name w:val="toc 3"/>
    <w:basedOn w:val="Normal"/>
    <w:next w:val="Normal"/>
    <w:autoRedefine/>
    <w:uiPriority w:val="39"/>
    <w:unhideWhenUsed/>
    <w:rsid w:val="00606DC8"/>
    <w:pPr>
      <w:spacing w:after="100"/>
      <w:ind w:left="440"/>
    </w:pPr>
    <w:rPr>
      <w:rFonts w:asciiTheme="minorHAnsi" w:eastAsiaTheme="minorEastAsia" w:hAnsiTheme="minorHAnsi"/>
    </w:rPr>
  </w:style>
  <w:style w:type="paragraph" w:styleId="Header">
    <w:name w:val="header"/>
    <w:basedOn w:val="Normal"/>
    <w:link w:val="HeaderChar"/>
    <w:uiPriority w:val="99"/>
    <w:unhideWhenUsed/>
    <w:rsid w:val="003E6E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E43"/>
  </w:style>
  <w:style w:type="paragraph" w:styleId="Footer">
    <w:name w:val="footer"/>
    <w:basedOn w:val="Normal"/>
    <w:link w:val="FooterChar"/>
    <w:uiPriority w:val="99"/>
    <w:unhideWhenUsed/>
    <w:rsid w:val="003E6E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E43"/>
  </w:style>
  <w:style w:type="character" w:styleId="PlaceholderText">
    <w:name w:val="Placeholder Text"/>
    <w:basedOn w:val="DefaultParagraphFont"/>
    <w:uiPriority w:val="99"/>
    <w:semiHidden/>
    <w:rsid w:val="0034495A"/>
    <w:rPr>
      <w:color w:val="808080"/>
    </w:rPr>
  </w:style>
  <w:style w:type="table" w:styleId="TableGrid">
    <w:name w:val="Table Grid"/>
    <w:basedOn w:val="TableNormal"/>
    <w:uiPriority w:val="39"/>
    <w:rsid w:val="001E4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C16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16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2313">
      <w:bodyDiv w:val="1"/>
      <w:marLeft w:val="0"/>
      <w:marRight w:val="0"/>
      <w:marTop w:val="0"/>
      <w:marBottom w:val="0"/>
      <w:divBdr>
        <w:top w:val="none" w:sz="0" w:space="0" w:color="auto"/>
        <w:left w:val="none" w:sz="0" w:space="0" w:color="auto"/>
        <w:bottom w:val="none" w:sz="0" w:space="0" w:color="auto"/>
        <w:right w:val="none" w:sz="0" w:space="0" w:color="auto"/>
      </w:divBdr>
    </w:div>
    <w:div w:id="157691120">
      <w:bodyDiv w:val="1"/>
      <w:marLeft w:val="0"/>
      <w:marRight w:val="0"/>
      <w:marTop w:val="0"/>
      <w:marBottom w:val="0"/>
      <w:divBdr>
        <w:top w:val="none" w:sz="0" w:space="0" w:color="auto"/>
        <w:left w:val="none" w:sz="0" w:space="0" w:color="auto"/>
        <w:bottom w:val="none" w:sz="0" w:space="0" w:color="auto"/>
        <w:right w:val="none" w:sz="0" w:space="0" w:color="auto"/>
      </w:divBdr>
    </w:div>
    <w:div w:id="885071660">
      <w:bodyDiv w:val="1"/>
      <w:marLeft w:val="0"/>
      <w:marRight w:val="0"/>
      <w:marTop w:val="0"/>
      <w:marBottom w:val="0"/>
      <w:divBdr>
        <w:top w:val="none" w:sz="0" w:space="0" w:color="auto"/>
        <w:left w:val="none" w:sz="0" w:space="0" w:color="auto"/>
        <w:bottom w:val="none" w:sz="0" w:space="0" w:color="auto"/>
        <w:right w:val="none" w:sz="0" w:space="0" w:color="auto"/>
      </w:divBdr>
    </w:div>
    <w:div w:id="935556331">
      <w:bodyDiv w:val="1"/>
      <w:marLeft w:val="0"/>
      <w:marRight w:val="0"/>
      <w:marTop w:val="0"/>
      <w:marBottom w:val="0"/>
      <w:divBdr>
        <w:top w:val="none" w:sz="0" w:space="0" w:color="auto"/>
        <w:left w:val="none" w:sz="0" w:space="0" w:color="auto"/>
        <w:bottom w:val="none" w:sz="0" w:space="0" w:color="auto"/>
        <w:right w:val="none" w:sz="0" w:space="0" w:color="auto"/>
      </w:divBdr>
    </w:div>
    <w:div w:id="1262032157">
      <w:bodyDiv w:val="1"/>
      <w:marLeft w:val="0"/>
      <w:marRight w:val="0"/>
      <w:marTop w:val="0"/>
      <w:marBottom w:val="0"/>
      <w:divBdr>
        <w:top w:val="none" w:sz="0" w:space="0" w:color="auto"/>
        <w:left w:val="none" w:sz="0" w:space="0" w:color="auto"/>
        <w:bottom w:val="none" w:sz="0" w:space="0" w:color="auto"/>
        <w:right w:val="none" w:sz="0" w:space="0" w:color="auto"/>
      </w:divBdr>
    </w:div>
    <w:div w:id="1802768621">
      <w:bodyDiv w:val="1"/>
      <w:marLeft w:val="0"/>
      <w:marRight w:val="0"/>
      <w:marTop w:val="0"/>
      <w:marBottom w:val="0"/>
      <w:divBdr>
        <w:top w:val="none" w:sz="0" w:space="0" w:color="auto"/>
        <w:left w:val="none" w:sz="0" w:space="0" w:color="auto"/>
        <w:bottom w:val="none" w:sz="0" w:space="0" w:color="auto"/>
        <w:right w:val="none" w:sz="0" w:space="0" w:color="auto"/>
      </w:divBdr>
    </w:div>
    <w:div w:id="202016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1B8D8-0108-4640-A6A1-C35F7CC03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4</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Turk</dc:creator>
  <cp:keywords/>
  <dc:description/>
  <cp:lastModifiedBy>Zachary Turk</cp:lastModifiedBy>
  <cp:revision>79</cp:revision>
  <cp:lastPrinted>2016-12-20T01:24:00Z</cp:lastPrinted>
  <dcterms:created xsi:type="dcterms:W3CDTF">2016-12-16T20:44:00Z</dcterms:created>
  <dcterms:modified xsi:type="dcterms:W3CDTF">2016-12-20T16:51:00Z</dcterms:modified>
</cp:coreProperties>
</file>