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854" w:rsidRPr="00A84854" w:rsidRDefault="00A84854" w:rsidP="00A84854">
      <w:pPr>
        <w:spacing w:line="240" w:lineRule="auto"/>
        <w:jc w:val="center"/>
        <w:rPr>
          <w:rFonts w:ascii="Times New Roman" w:eastAsia="Calibri" w:hAnsi="Times New Roman" w:cs="Times New Roman"/>
        </w:rPr>
      </w:pPr>
      <w:r w:rsidRPr="00A84854">
        <w:rPr>
          <w:rFonts w:ascii="Times New Roman" w:eastAsia="Calibri" w:hAnsi="Times New Roman" w:cs="Times New Roman"/>
        </w:rPr>
        <w:t>THESIS</w:t>
      </w:r>
      <w:r>
        <w:rPr>
          <w:rFonts w:ascii="Times New Roman" w:eastAsia="Calibri" w:hAnsi="Times New Roman" w:cs="Times New Roman"/>
        </w:rPr>
        <w:t xml:space="preserve"> (</w:t>
      </w:r>
      <w:r w:rsidR="00444AEE">
        <w:rPr>
          <w:rFonts w:ascii="Times New Roman" w:eastAsia="Calibri" w:hAnsi="Times New Roman" w:cs="Times New Roman"/>
        </w:rPr>
        <w:t xml:space="preserve">Chapter </w:t>
      </w:r>
      <w:r>
        <w:rPr>
          <w:rFonts w:ascii="Times New Roman" w:eastAsia="Calibri" w:hAnsi="Times New Roman" w:cs="Times New Roman"/>
        </w:rPr>
        <w:t>2</w:t>
      </w:r>
      <w:r w:rsidR="00F64DCE">
        <w:rPr>
          <w:rFonts w:ascii="Times New Roman" w:eastAsia="Calibri" w:hAnsi="Times New Roman" w:cs="Times New Roman"/>
        </w:rPr>
        <w:t>/2</w:t>
      </w:r>
      <w:r w:rsidRPr="00A84854">
        <w:rPr>
          <w:rFonts w:ascii="Times New Roman" w:eastAsia="Calibri" w:hAnsi="Times New Roman" w:cs="Times New Roman"/>
        </w:rPr>
        <w:t>)</w:t>
      </w:r>
    </w:p>
    <w:p w:rsidR="00A84854" w:rsidRDefault="00A84854" w:rsidP="00A84854">
      <w:pPr>
        <w:spacing w:line="480" w:lineRule="auto"/>
        <w:jc w:val="center"/>
        <w:rPr>
          <w:rFonts w:ascii="Times New Roman" w:eastAsia="Calibri" w:hAnsi="Times New Roman" w:cs="Times New Roman"/>
        </w:rPr>
      </w:pPr>
    </w:p>
    <w:p w:rsidR="00444AEE" w:rsidRPr="00A84854" w:rsidRDefault="00444AEE" w:rsidP="00A84854">
      <w:pPr>
        <w:spacing w:line="480" w:lineRule="auto"/>
        <w:jc w:val="center"/>
        <w:rPr>
          <w:rFonts w:ascii="Times New Roman" w:eastAsia="Calibri" w:hAnsi="Times New Roman" w:cs="Times New Roman"/>
        </w:rPr>
      </w:pPr>
    </w:p>
    <w:p w:rsidR="00444AEE" w:rsidRDefault="003014CD" w:rsidP="00444AEE">
      <w:pPr>
        <w:spacing w:line="480" w:lineRule="auto"/>
        <w:jc w:val="center"/>
        <w:rPr>
          <w:rFonts w:ascii="Times New Roman" w:eastAsia="Calibri" w:hAnsi="Times New Roman" w:cs="Times New Roman"/>
        </w:rPr>
      </w:pPr>
      <w:r>
        <w:rPr>
          <w:rFonts w:ascii="Times New Roman" w:eastAsia="Calibri" w:hAnsi="Times New Roman" w:cs="Times New Roman"/>
        </w:rPr>
        <w:t xml:space="preserve">LINKING A COMPREHENSIVE SURVEY OF BUILDING SATISFACTION </w:t>
      </w:r>
    </w:p>
    <w:p w:rsidR="003014CD" w:rsidRPr="00A84854" w:rsidRDefault="003014CD" w:rsidP="00444AEE">
      <w:pPr>
        <w:spacing w:line="480" w:lineRule="auto"/>
        <w:jc w:val="center"/>
        <w:rPr>
          <w:rFonts w:ascii="Times New Roman" w:eastAsia="Calibri" w:hAnsi="Times New Roman" w:cs="Times New Roman"/>
        </w:rPr>
      </w:pPr>
      <w:r>
        <w:rPr>
          <w:rFonts w:ascii="Times New Roman" w:eastAsia="Calibri" w:hAnsi="Times New Roman" w:cs="Times New Roman"/>
        </w:rPr>
        <w:t>AND ADAPTIVE BEHAVIOR TO GREEN BUILDING DESIGN</w:t>
      </w: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444AEE" w:rsidRDefault="00444AEE" w:rsidP="00657FAF">
      <w:pPr>
        <w:rPr>
          <w:rFonts w:ascii="Times New Roman" w:eastAsia="Calibri" w:hAnsi="Times New Roman" w:cs="Times New Roman"/>
        </w:rPr>
      </w:pPr>
    </w:p>
    <w:p w:rsidR="00657FAF" w:rsidRDefault="00657FAF" w:rsidP="00657FAF">
      <w:pPr>
        <w:rPr>
          <w:rFonts w:ascii="Times New Roman" w:eastAsia="Calibri" w:hAnsi="Times New Roman" w:cs="Times New Roman"/>
        </w:rPr>
        <w:sectPr w:rsidR="00657FAF" w:rsidSect="00657FAF">
          <w:footerReference w:type="default" r:id="rId8"/>
          <w:type w:val="continuous"/>
          <w:pgSz w:w="12240" w:h="15840"/>
          <w:pgMar w:top="1440" w:right="1440" w:bottom="1440" w:left="1440" w:header="720" w:footer="720" w:gutter="0"/>
          <w:pgNumType w:start="0"/>
          <w:cols w:sep="1" w:space="720"/>
          <w:titlePg/>
          <w:docGrid w:linePitch="360"/>
        </w:sectPr>
      </w:pPr>
    </w:p>
    <w:p w:rsidR="00072995" w:rsidRDefault="00444AEE" w:rsidP="00444AEE">
      <w:pPr>
        <w:jc w:val="center"/>
        <w:rPr>
          <w:rFonts w:ascii="Times New Roman" w:eastAsia="Calibri" w:hAnsi="Times New Roman" w:cs="Times New Roman"/>
        </w:rPr>
      </w:pPr>
      <w:r>
        <w:rPr>
          <w:rFonts w:ascii="Times New Roman" w:eastAsia="Calibri" w:hAnsi="Times New Roman" w:cs="Times New Roman"/>
        </w:rPr>
        <w:br w:type="page"/>
      </w:r>
      <w:r w:rsidR="00072995">
        <w:rPr>
          <w:rFonts w:ascii="Times New Roman" w:eastAsia="Calibri" w:hAnsi="Times New Roman" w:cs="Times New Roman"/>
        </w:rPr>
        <w:lastRenderedPageBreak/>
        <w:t>Abstract</w:t>
      </w:r>
    </w:p>
    <w:p w:rsidR="00432CE0" w:rsidRDefault="007371F9" w:rsidP="008A3082">
      <w:pPr>
        <w:rPr>
          <w:rFonts w:ascii="Times New Roman" w:eastAsia="Calibri" w:hAnsi="Times New Roman" w:cs="Times New Roman"/>
        </w:rPr>
      </w:pPr>
      <w:r>
        <w:rPr>
          <w:rFonts w:ascii="Times New Roman" w:eastAsia="Calibri" w:hAnsi="Times New Roman" w:cs="Times New Roman"/>
        </w:rPr>
        <w:t xml:space="preserve">A survey of the </w:t>
      </w:r>
      <w:r w:rsidR="002F78C1">
        <w:rPr>
          <w:rFonts w:ascii="Times New Roman" w:eastAsia="Calibri" w:hAnsi="Times New Roman" w:cs="Times New Roman"/>
        </w:rPr>
        <w:t>faculty,</w:t>
      </w:r>
      <w:r>
        <w:rPr>
          <w:rFonts w:ascii="Times New Roman" w:eastAsia="Calibri" w:hAnsi="Times New Roman" w:cs="Times New Roman"/>
        </w:rPr>
        <w:t xml:space="preserve"> staff, and student body of the Yale School of Forestry and Environmental Studies is used to explore the impact of a green building on occupant satisfaction, work, and time impact.  By comparing </w:t>
      </w:r>
      <w:r w:rsidR="002F78C1">
        <w:rPr>
          <w:rFonts w:ascii="Times New Roman" w:eastAsia="Calibri" w:hAnsi="Times New Roman" w:cs="Times New Roman"/>
        </w:rPr>
        <w:t xml:space="preserve">differences between occupants who can self-select into LEED Platinum Kroon Hall to those randomly assigned to it, </w:t>
      </w:r>
      <w:r w:rsidR="00F65AFA">
        <w:rPr>
          <w:rFonts w:ascii="Times New Roman" w:eastAsia="Calibri" w:hAnsi="Times New Roman" w:cs="Times New Roman"/>
        </w:rPr>
        <w:t xml:space="preserve">this paper sheds light on discrepancies in the green built environment literature.  The self-selecting student subgroup receive a statistically significant benefit from the green building while the faculty and staff assigned to it, akin to random assignment in an experimental design, report being no more satisfied than their counterparts elsewhere on average.  </w:t>
      </w:r>
      <w:r w:rsidR="007F7BB3">
        <w:rPr>
          <w:rFonts w:ascii="Times New Roman" w:eastAsia="Calibri" w:hAnsi="Times New Roman" w:cs="Times New Roman"/>
        </w:rPr>
        <w:t>One possible cause is that self-selection improves satisfaction and welfare when the buildings of an organization are heterogeneous.  Another is that ‘green’ ‘vanity architecture’- structures built to impress visitors, have left the permanent staff of green buildings no better off than traditional structures.</w:t>
      </w:r>
    </w:p>
    <w:p w:rsidR="00072995" w:rsidRPr="00387911" w:rsidRDefault="0048701F" w:rsidP="00072995">
      <w:pPr>
        <w:spacing w:after="120" w:line="240" w:lineRule="auto"/>
        <w:rPr>
          <w:rFonts w:ascii="Times New Roman" w:hAnsi="Times New Roman" w:cs="Times New Roman"/>
        </w:rPr>
      </w:pPr>
      <w:r>
        <w:rPr>
          <w:rFonts w:ascii="Times New Roman" w:hAnsi="Times New Roman" w:cs="Times New Roman"/>
        </w:rPr>
        <w:t>Keywords: LEED, comfort</w:t>
      </w:r>
      <w:r w:rsidR="00072995">
        <w:rPr>
          <w:rFonts w:ascii="Times New Roman" w:hAnsi="Times New Roman" w:cs="Times New Roman"/>
        </w:rPr>
        <w:t xml:space="preserve"> survey</w:t>
      </w:r>
      <w:r>
        <w:rPr>
          <w:rFonts w:ascii="Times New Roman" w:hAnsi="Times New Roman" w:cs="Times New Roman"/>
        </w:rPr>
        <w:t>, green building, vanity architecture, quasi-experimental</w:t>
      </w:r>
    </w:p>
    <w:p w:rsidR="0048701F" w:rsidRDefault="0048701F" w:rsidP="00072995">
      <w:pPr>
        <w:rPr>
          <w:rFonts w:ascii="Times New Roman" w:eastAsia="Calibri" w:hAnsi="Times New Roman" w:cs="Times New Roman"/>
        </w:rPr>
      </w:pPr>
    </w:p>
    <w:p w:rsidR="00F910E3" w:rsidRDefault="00F910E3" w:rsidP="00072995">
      <w:pPr>
        <w:rPr>
          <w:rFonts w:ascii="Times New Roman" w:eastAsia="Calibri" w:hAnsi="Times New Roman" w:cs="Times New Roman"/>
        </w:rPr>
      </w:pPr>
    </w:p>
    <w:sdt>
      <w:sdtPr>
        <w:rPr>
          <w:rFonts w:asciiTheme="minorHAnsi" w:eastAsiaTheme="minorHAnsi" w:hAnsiTheme="minorHAnsi" w:cs="Times New Roman"/>
          <w:b w:val="0"/>
          <w:sz w:val="24"/>
          <w:szCs w:val="24"/>
        </w:rPr>
        <w:id w:val="-1571028028"/>
        <w:docPartObj>
          <w:docPartGallery w:val="Table of Contents"/>
          <w:docPartUnique/>
        </w:docPartObj>
      </w:sdtPr>
      <w:sdtEndPr>
        <w:rPr>
          <w:bCs/>
          <w:noProof/>
          <w:sz w:val="22"/>
          <w:szCs w:val="22"/>
        </w:rPr>
      </w:sdtEndPr>
      <w:sdtContent>
        <w:p w:rsidR="00072995" w:rsidRPr="0048701F" w:rsidRDefault="00444AEE">
          <w:pPr>
            <w:pStyle w:val="TOCHeading"/>
            <w:rPr>
              <w:rFonts w:cs="Times New Roman"/>
              <w:sz w:val="24"/>
              <w:szCs w:val="24"/>
            </w:rPr>
          </w:pPr>
          <w:r w:rsidRPr="0048701F">
            <w:rPr>
              <w:rFonts w:cs="Times New Roman"/>
              <w:sz w:val="24"/>
              <w:szCs w:val="24"/>
            </w:rPr>
            <w:t>Chapter c</w:t>
          </w:r>
          <w:r w:rsidR="00072995" w:rsidRPr="0048701F">
            <w:rPr>
              <w:rFonts w:cs="Times New Roman"/>
              <w:sz w:val="24"/>
              <w:szCs w:val="24"/>
            </w:rPr>
            <w:t>ontent</w:t>
          </w:r>
        </w:p>
        <w:p w:rsidR="0048701F" w:rsidRPr="0048701F" w:rsidRDefault="00072995">
          <w:pPr>
            <w:pStyle w:val="TOC1"/>
            <w:tabs>
              <w:tab w:val="right" w:leader="dot" w:pos="9350"/>
            </w:tabs>
            <w:rPr>
              <w:rFonts w:ascii="Times New Roman" w:eastAsiaTheme="minorEastAsia" w:hAnsi="Times New Roman" w:cs="Times New Roman"/>
              <w:noProof/>
            </w:rPr>
          </w:pPr>
          <w:r w:rsidRPr="0048701F">
            <w:rPr>
              <w:rFonts w:ascii="Times New Roman" w:hAnsi="Times New Roman" w:cs="Times New Roman"/>
            </w:rPr>
            <w:fldChar w:fldCharType="begin"/>
          </w:r>
          <w:r w:rsidRPr="0048701F">
            <w:rPr>
              <w:rFonts w:ascii="Times New Roman" w:hAnsi="Times New Roman" w:cs="Times New Roman"/>
            </w:rPr>
            <w:instrText xml:space="preserve"> TOC \o "1-3" \h \z \u </w:instrText>
          </w:r>
          <w:r w:rsidRPr="0048701F">
            <w:rPr>
              <w:rFonts w:ascii="Times New Roman" w:hAnsi="Times New Roman" w:cs="Times New Roman"/>
            </w:rPr>
            <w:fldChar w:fldCharType="separate"/>
          </w:r>
          <w:hyperlink w:anchor="_Toc479081463" w:history="1">
            <w:r w:rsidR="0048701F" w:rsidRPr="0048701F">
              <w:rPr>
                <w:rStyle w:val="Hyperlink"/>
                <w:rFonts w:ascii="Times New Roman" w:hAnsi="Times New Roman" w:cs="Times New Roman"/>
                <w:noProof/>
              </w:rPr>
              <w:t>Introduction</w:t>
            </w:r>
            <w:r w:rsidR="0048701F" w:rsidRPr="0048701F">
              <w:rPr>
                <w:rFonts w:ascii="Times New Roman" w:hAnsi="Times New Roman" w:cs="Times New Roman"/>
                <w:noProof/>
                <w:webHidden/>
              </w:rPr>
              <w:tab/>
            </w:r>
            <w:r w:rsidR="0048701F" w:rsidRPr="0048701F">
              <w:rPr>
                <w:rFonts w:ascii="Times New Roman" w:hAnsi="Times New Roman" w:cs="Times New Roman"/>
                <w:noProof/>
                <w:webHidden/>
              </w:rPr>
              <w:fldChar w:fldCharType="begin"/>
            </w:r>
            <w:r w:rsidR="0048701F" w:rsidRPr="0048701F">
              <w:rPr>
                <w:rFonts w:ascii="Times New Roman" w:hAnsi="Times New Roman" w:cs="Times New Roman"/>
                <w:noProof/>
                <w:webHidden/>
              </w:rPr>
              <w:instrText xml:space="preserve"> PAGEREF _Toc479081463 \h </w:instrText>
            </w:r>
            <w:r w:rsidR="0048701F" w:rsidRPr="0048701F">
              <w:rPr>
                <w:rFonts w:ascii="Times New Roman" w:hAnsi="Times New Roman" w:cs="Times New Roman"/>
                <w:noProof/>
                <w:webHidden/>
              </w:rPr>
            </w:r>
            <w:r w:rsidR="0048701F" w:rsidRPr="0048701F">
              <w:rPr>
                <w:rFonts w:ascii="Times New Roman" w:hAnsi="Times New Roman" w:cs="Times New Roman"/>
                <w:noProof/>
                <w:webHidden/>
              </w:rPr>
              <w:fldChar w:fldCharType="separate"/>
            </w:r>
            <w:r w:rsidR="0048701F" w:rsidRPr="0048701F">
              <w:rPr>
                <w:rFonts w:ascii="Times New Roman" w:hAnsi="Times New Roman" w:cs="Times New Roman"/>
                <w:noProof/>
                <w:webHidden/>
              </w:rPr>
              <w:t>1</w:t>
            </w:r>
            <w:r w:rsidR="0048701F"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64" w:history="1">
            <w:r w:rsidRPr="0048701F">
              <w:rPr>
                <w:rStyle w:val="Hyperlink"/>
                <w:rFonts w:ascii="Times New Roman" w:hAnsi="Times New Roman" w:cs="Times New Roman"/>
                <w:noProof/>
              </w:rPr>
              <w:t>Literature review</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_Toc479081464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2</w:t>
            </w:r>
            <w:r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65" w:history="1">
            <w:r w:rsidRPr="0048701F">
              <w:rPr>
                <w:rStyle w:val="Hyperlink"/>
                <w:rFonts w:ascii="Times New Roman" w:hAnsi="Times New Roman" w:cs="Times New Roman"/>
                <w:noProof/>
              </w:rPr>
              <w:t>Methodology</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_Toc479081465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3</w:t>
            </w:r>
            <w:r w:rsidRPr="0048701F">
              <w:rPr>
                <w:rFonts w:ascii="Times New Roman" w:hAnsi="Times New Roman" w:cs="Times New Roman"/>
                <w:noProof/>
                <w:webHidden/>
              </w:rPr>
              <w:fldChar w:fldCharType="end"/>
            </w:r>
          </w:hyperlink>
        </w:p>
        <w:p w:rsidR="0048701F" w:rsidRPr="0048701F" w:rsidRDefault="0048701F">
          <w:pPr>
            <w:pStyle w:val="TOC2"/>
            <w:tabs>
              <w:tab w:val="right" w:leader="dot" w:pos="9350"/>
            </w:tabs>
            <w:rPr>
              <w:rFonts w:ascii="Times New Roman" w:eastAsiaTheme="minorEastAsia" w:hAnsi="Times New Roman" w:cs="Times New Roman"/>
              <w:noProof/>
            </w:rPr>
          </w:pPr>
          <w:hyperlink w:anchor="_Toc479081466" w:history="1">
            <w:r w:rsidRPr="0048701F">
              <w:rPr>
                <w:rStyle w:val="Hyperlink"/>
                <w:rFonts w:ascii="Times New Roman" w:hAnsi="Times New Roman" w:cs="Times New Roman"/>
                <w:noProof/>
              </w:rPr>
              <w:t>Research Environment</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_Toc479081466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3</w:t>
            </w:r>
            <w:r w:rsidRPr="0048701F">
              <w:rPr>
                <w:rFonts w:ascii="Times New Roman" w:hAnsi="Times New Roman" w:cs="Times New Roman"/>
                <w:noProof/>
                <w:webHidden/>
              </w:rPr>
              <w:fldChar w:fldCharType="end"/>
            </w:r>
          </w:hyperlink>
        </w:p>
        <w:p w:rsidR="0048701F" w:rsidRPr="0048701F" w:rsidRDefault="0048701F">
          <w:pPr>
            <w:pStyle w:val="TOC2"/>
            <w:tabs>
              <w:tab w:val="right" w:leader="dot" w:pos="9350"/>
            </w:tabs>
            <w:rPr>
              <w:rFonts w:ascii="Times New Roman" w:eastAsiaTheme="minorEastAsia" w:hAnsi="Times New Roman" w:cs="Times New Roman"/>
              <w:noProof/>
            </w:rPr>
          </w:pPr>
          <w:hyperlink w:anchor="_Toc479081467" w:history="1">
            <w:r w:rsidRPr="0048701F">
              <w:rPr>
                <w:rStyle w:val="Hyperlink"/>
                <w:rFonts w:ascii="Times New Roman" w:hAnsi="Times New Roman" w:cs="Times New Roman"/>
                <w:noProof/>
              </w:rPr>
              <w:t>Survey population and response rate</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_Toc479081467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4</w:t>
            </w:r>
            <w:r w:rsidRPr="0048701F">
              <w:rPr>
                <w:rFonts w:ascii="Times New Roman" w:hAnsi="Times New Roman" w:cs="Times New Roman"/>
                <w:noProof/>
                <w:webHidden/>
              </w:rPr>
              <w:fldChar w:fldCharType="end"/>
            </w:r>
          </w:hyperlink>
        </w:p>
        <w:p w:rsidR="0048701F" w:rsidRPr="0048701F" w:rsidRDefault="0048701F">
          <w:pPr>
            <w:pStyle w:val="TOC2"/>
            <w:tabs>
              <w:tab w:val="right" w:leader="dot" w:pos="9350"/>
            </w:tabs>
            <w:rPr>
              <w:rFonts w:ascii="Times New Roman" w:eastAsiaTheme="minorEastAsia" w:hAnsi="Times New Roman" w:cs="Times New Roman"/>
              <w:noProof/>
            </w:rPr>
          </w:pPr>
          <w:hyperlink w:anchor="_Toc479081468" w:history="1">
            <w:r w:rsidRPr="0048701F">
              <w:rPr>
                <w:rStyle w:val="Hyperlink"/>
                <w:rFonts w:ascii="Times New Roman" w:hAnsi="Times New Roman" w:cs="Times New Roman"/>
                <w:noProof/>
              </w:rPr>
              <w:t>Survey Design</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_Toc479081468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5</w:t>
            </w:r>
            <w:r w:rsidRPr="0048701F">
              <w:rPr>
                <w:rFonts w:ascii="Times New Roman" w:hAnsi="Times New Roman" w:cs="Times New Roman"/>
                <w:noProof/>
                <w:webHidden/>
              </w:rPr>
              <w:fldChar w:fldCharType="end"/>
            </w:r>
          </w:hyperlink>
        </w:p>
        <w:p w:rsidR="0048701F" w:rsidRPr="0048701F" w:rsidRDefault="0048701F">
          <w:pPr>
            <w:pStyle w:val="TOC2"/>
            <w:tabs>
              <w:tab w:val="right" w:leader="dot" w:pos="9350"/>
            </w:tabs>
            <w:rPr>
              <w:rFonts w:ascii="Times New Roman" w:eastAsiaTheme="minorEastAsia" w:hAnsi="Times New Roman" w:cs="Times New Roman"/>
              <w:noProof/>
            </w:rPr>
          </w:pPr>
          <w:hyperlink w:anchor="_Toc479081469" w:history="1">
            <w:r w:rsidRPr="0048701F">
              <w:rPr>
                <w:rStyle w:val="Hyperlink"/>
                <w:rFonts w:ascii="Times New Roman" w:hAnsi="Times New Roman" w:cs="Times New Roman"/>
                <w:noProof/>
              </w:rPr>
              <w:t>Econometric model</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_Toc479081469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5</w:t>
            </w:r>
            <w:r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70" w:history="1">
            <w:r w:rsidRPr="0048701F">
              <w:rPr>
                <w:rStyle w:val="Hyperlink"/>
                <w:rFonts w:ascii="Times New Roman" w:hAnsi="Times New Roman" w:cs="Times New Roman"/>
                <w:noProof/>
              </w:rPr>
              <w:t>Results</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_Toc479081470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7</w:t>
            </w:r>
            <w:r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71" w:history="1">
            <w:r w:rsidRPr="0048701F">
              <w:rPr>
                <w:rStyle w:val="Hyperlink"/>
                <w:rFonts w:ascii="Times New Roman" w:hAnsi="Times New Roman" w:cs="Times New Roman"/>
                <w:noProof/>
              </w:rPr>
              <w:t>Discussion &amp; Conclusion</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_Toc479081471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13</w:t>
            </w:r>
            <w:r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72" w:history="1">
            <w:r w:rsidRPr="0048701F">
              <w:rPr>
                <w:rStyle w:val="Hyperlink"/>
                <w:rFonts w:ascii="Times New Roman" w:hAnsi="Times New Roman" w:cs="Times New Roman"/>
                <w:noProof/>
              </w:rPr>
              <w:t>References</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_Toc479081472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13</w:t>
            </w:r>
            <w:r w:rsidRPr="0048701F">
              <w:rPr>
                <w:rFonts w:ascii="Times New Roman" w:hAnsi="Times New Roman" w:cs="Times New Roman"/>
                <w:noProof/>
                <w:webHidden/>
              </w:rPr>
              <w:fldChar w:fldCharType="end"/>
            </w:r>
          </w:hyperlink>
        </w:p>
        <w:p w:rsidR="0048701F" w:rsidRPr="0048701F" w:rsidRDefault="0048701F">
          <w:pPr>
            <w:pStyle w:val="TOC1"/>
            <w:tabs>
              <w:tab w:val="right" w:leader="dot" w:pos="9350"/>
            </w:tabs>
            <w:rPr>
              <w:rFonts w:ascii="Times New Roman" w:eastAsiaTheme="minorEastAsia" w:hAnsi="Times New Roman" w:cs="Times New Roman"/>
              <w:noProof/>
            </w:rPr>
          </w:pPr>
          <w:hyperlink w:anchor="_Toc479081473" w:history="1">
            <w:r w:rsidRPr="0048701F">
              <w:rPr>
                <w:rStyle w:val="Hyperlink"/>
                <w:rFonts w:ascii="Times New Roman" w:hAnsi="Times New Roman" w:cs="Times New Roman"/>
                <w:noProof/>
              </w:rPr>
              <w:t>Appendix</w:t>
            </w:r>
            <w:r w:rsidRPr="0048701F">
              <w:rPr>
                <w:rFonts w:ascii="Times New Roman" w:hAnsi="Times New Roman" w:cs="Times New Roman"/>
                <w:noProof/>
                <w:webHidden/>
              </w:rPr>
              <w:tab/>
            </w:r>
            <w:r w:rsidRPr="0048701F">
              <w:rPr>
                <w:rFonts w:ascii="Times New Roman" w:hAnsi="Times New Roman" w:cs="Times New Roman"/>
                <w:noProof/>
                <w:webHidden/>
              </w:rPr>
              <w:fldChar w:fldCharType="begin"/>
            </w:r>
            <w:r w:rsidRPr="0048701F">
              <w:rPr>
                <w:rFonts w:ascii="Times New Roman" w:hAnsi="Times New Roman" w:cs="Times New Roman"/>
                <w:noProof/>
                <w:webHidden/>
              </w:rPr>
              <w:instrText xml:space="preserve"> PAGEREF _Toc479081473 \h </w:instrText>
            </w:r>
            <w:r w:rsidRPr="0048701F">
              <w:rPr>
                <w:rFonts w:ascii="Times New Roman" w:hAnsi="Times New Roman" w:cs="Times New Roman"/>
                <w:noProof/>
                <w:webHidden/>
              </w:rPr>
            </w:r>
            <w:r w:rsidRPr="0048701F">
              <w:rPr>
                <w:rFonts w:ascii="Times New Roman" w:hAnsi="Times New Roman" w:cs="Times New Roman"/>
                <w:noProof/>
                <w:webHidden/>
              </w:rPr>
              <w:fldChar w:fldCharType="separate"/>
            </w:r>
            <w:r w:rsidRPr="0048701F">
              <w:rPr>
                <w:rFonts w:ascii="Times New Roman" w:hAnsi="Times New Roman" w:cs="Times New Roman"/>
                <w:noProof/>
                <w:webHidden/>
              </w:rPr>
              <w:t>15</w:t>
            </w:r>
            <w:r w:rsidRPr="0048701F">
              <w:rPr>
                <w:rFonts w:ascii="Times New Roman" w:hAnsi="Times New Roman" w:cs="Times New Roman"/>
                <w:noProof/>
                <w:webHidden/>
              </w:rPr>
              <w:fldChar w:fldCharType="end"/>
            </w:r>
          </w:hyperlink>
        </w:p>
        <w:p w:rsidR="00072995" w:rsidRPr="00143D6A" w:rsidRDefault="00072995">
          <w:pPr>
            <w:rPr>
              <w:rFonts w:ascii="Times New Roman" w:hAnsi="Times New Roman" w:cs="Times New Roman"/>
            </w:rPr>
          </w:pPr>
          <w:r w:rsidRPr="0048701F">
            <w:rPr>
              <w:rFonts w:ascii="Times New Roman" w:hAnsi="Times New Roman" w:cs="Times New Roman"/>
              <w:b/>
              <w:bCs/>
              <w:noProof/>
            </w:rPr>
            <w:fldChar w:fldCharType="end"/>
          </w:r>
        </w:p>
      </w:sdtContent>
    </w:sdt>
    <w:p w:rsidR="00072995" w:rsidRDefault="00072995" w:rsidP="0011165C">
      <w:pPr>
        <w:jc w:val="center"/>
        <w:rPr>
          <w:rFonts w:ascii="Times New Roman" w:eastAsia="Calibri" w:hAnsi="Times New Roman" w:cs="Times New Roman"/>
        </w:rPr>
      </w:pPr>
    </w:p>
    <w:p w:rsidR="0011165C" w:rsidRDefault="0011165C" w:rsidP="0011165C">
      <w:pPr>
        <w:jc w:val="center"/>
        <w:rPr>
          <w:rFonts w:ascii="Times New Roman" w:eastAsia="Calibri" w:hAnsi="Times New Roman" w:cs="Times New Roman"/>
        </w:rPr>
      </w:pPr>
    </w:p>
    <w:p w:rsidR="0011165C" w:rsidRPr="00A84854" w:rsidRDefault="0011165C" w:rsidP="0011165C">
      <w:pPr>
        <w:jc w:val="center"/>
        <w:rPr>
          <w:rFonts w:ascii="Times New Roman" w:eastAsia="Calibri" w:hAnsi="Times New Roman" w:cs="Times New Roman"/>
        </w:rPr>
      </w:pPr>
      <w:r w:rsidRPr="00A84854">
        <w:rPr>
          <w:rFonts w:ascii="Times New Roman" w:eastAsia="Calibri" w:hAnsi="Times New Roman" w:cs="Times New Roman"/>
        </w:rPr>
        <w:t>Author contributions</w:t>
      </w:r>
      <w:r>
        <w:rPr>
          <w:rFonts w:ascii="Times New Roman" w:eastAsia="Calibri" w:hAnsi="Times New Roman" w:cs="Times New Roman"/>
        </w:rPr>
        <w:t xml:space="preserve"> and acknowledgements</w:t>
      </w:r>
      <w:r w:rsidRPr="00A84854">
        <w:rPr>
          <w:rFonts w:ascii="Times New Roman" w:eastAsia="Calibri" w:hAnsi="Times New Roman" w:cs="Times New Roman"/>
        </w:rPr>
        <w:t>:</w:t>
      </w:r>
    </w:p>
    <w:p w:rsidR="0011165C" w:rsidRPr="00143D6A" w:rsidRDefault="0011165C" w:rsidP="0011165C">
      <w:pPr>
        <w:rPr>
          <w:rFonts w:ascii="Times New Roman" w:eastAsia="Calibri" w:hAnsi="Times New Roman" w:cs="Times New Roman"/>
        </w:rPr>
        <w:sectPr w:rsidR="0011165C" w:rsidRPr="00143D6A" w:rsidSect="00072995">
          <w:type w:val="continuous"/>
          <w:pgSz w:w="12240" w:h="15840"/>
          <w:pgMar w:top="1440" w:right="1440" w:bottom="1440" w:left="1440" w:header="720" w:footer="720" w:gutter="0"/>
          <w:pgNumType w:start="0"/>
          <w:cols w:sep="1" w:space="720"/>
          <w:titlePg/>
          <w:docGrid w:linePitch="360"/>
        </w:sectPr>
      </w:pPr>
      <w:r>
        <w:rPr>
          <w:rFonts w:ascii="Times New Roman" w:eastAsia="Calibri" w:hAnsi="Times New Roman" w:cs="Times New Roman"/>
        </w:rPr>
        <w:t>I, Zachary Turk, conducted the statistical analysis and composition of this study.</w:t>
      </w:r>
      <w:r w:rsidRPr="00A84854">
        <w:rPr>
          <w:rFonts w:ascii="Times New Roman" w:eastAsia="Calibri" w:hAnsi="Times New Roman" w:cs="Times New Roman"/>
        </w:rPr>
        <w:t xml:space="preserve">  </w:t>
      </w:r>
      <w:r w:rsidRPr="00444AEE">
        <w:rPr>
          <w:rFonts w:ascii="Times New Roman" w:eastAsia="Calibri" w:hAnsi="Times New Roman" w:cs="Times New Roman"/>
        </w:rPr>
        <w:t>The survey questions were developed by Matthew Kotchen</w:t>
      </w:r>
      <w:r>
        <w:rPr>
          <w:rFonts w:ascii="Times New Roman" w:eastAsia="Calibri" w:hAnsi="Times New Roman" w:cs="Times New Roman"/>
        </w:rPr>
        <w:t xml:space="preserve"> (thesis advisor)</w:t>
      </w:r>
      <w:r w:rsidRPr="00444AEE">
        <w:rPr>
          <w:rFonts w:ascii="Times New Roman" w:eastAsia="Calibri" w:hAnsi="Times New Roman" w:cs="Times New Roman"/>
        </w:rPr>
        <w:t xml:space="preserve"> and </w:t>
      </w:r>
      <w:r>
        <w:rPr>
          <w:rFonts w:ascii="Times New Roman" w:eastAsia="Calibri" w:hAnsi="Times New Roman" w:cs="Times New Roman"/>
        </w:rPr>
        <w:t>James Ball (fellow student)</w:t>
      </w:r>
      <w:r w:rsidRPr="00444AEE">
        <w:rPr>
          <w:rFonts w:ascii="Times New Roman" w:eastAsia="Calibri" w:hAnsi="Times New Roman" w:cs="Times New Roman"/>
        </w:rPr>
        <w:t xml:space="preserve">, and the survey instrument was implemented by </w:t>
      </w:r>
      <w:r>
        <w:rPr>
          <w:rFonts w:ascii="Times New Roman" w:eastAsia="Calibri" w:hAnsi="Times New Roman" w:cs="Times New Roman"/>
        </w:rPr>
        <w:t>James Ball</w:t>
      </w:r>
      <w:r w:rsidRPr="00444AEE">
        <w:rPr>
          <w:rFonts w:ascii="Times New Roman" w:eastAsia="Calibri" w:hAnsi="Times New Roman" w:cs="Times New Roman"/>
        </w:rPr>
        <w:t>.</w:t>
      </w:r>
      <w:r>
        <w:rPr>
          <w:rFonts w:ascii="Times New Roman" w:eastAsia="Calibri" w:hAnsi="Times New Roman" w:cs="Times New Roman"/>
        </w:rPr>
        <w:t xml:space="preserve">  </w:t>
      </w:r>
      <w:r w:rsidRPr="00444AEE">
        <w:rPr>
          <w:rFonts w:ascii="Times New Roman" w:eastAsia="Calibri" w:hAnsi="Times New Roman" w:cs="Times New Roman"/>
        </w:rPr>
        <w:t>I am grateful for their substa</w:t>
      </w:r>
      <w:r>
        <w:rPr>
          <w:rFonts w:ascii="Times New Roman" w:eastAsia="Calibri" w:hAnsi="Times New Roman" w:cs="Times New Roman"/>
        </w:rPr>
        <w:t>ntial contributions and feedback on this work as well as the feedback of Anthony Leiserowitz (thesis co-advisor).</w:t>
      </w:r>
    </w:p>
    <w:p w:rsidR="00A84854" w:rsidRPr="00A84854" w:rsidRDefault="00A84854" w:rsidP="00A84854">
      <w:pPr>
        <w:rPr>
          <w:rFonts w:ascii="Times New Roman" w:eastAsia="Calibri" w:hAnsi="Times New Roman" w:cs="Times New Roman"/>
        </w:rPr>
        <w:sectPr w:rsidR="00A84854" w:rsidRPr="00A84854" w:rsidSect="00335EA3">
          <w:type w:val="continuous"/>
          <w:pgSz w:w="12240" w:h="15840"/>
          <w:pgMar w:top="1440" w:right="1440" w:bottom="1440" w:left="1440" w:header="720" w:footer="720" w:gutter="0"/>
          <w:pgNumType w:start="0"/>
          <w:cols w:num="2" w:sep="1" w:space="720"/>
          <w:titlePg/>
          <w:docGrid w:linePitch="360"/>
        </w:sectPr>
      </w:pPr>
    </w:p>
    <w:p w:rsidR="00974DCF" w:rsidRDefault="00FF45DF" w:rsidP="00974DCF">
      <w:pPr>
        <w:spacing w:after="120" w:line="240" w:lineRule="auto"/>
        <w:jc w:val="center"/>
        <w:rPr>
          <w:rFonts w:ascii="Times New Roman" w:hAnsi="Times New Roman" w:cs="Times New Roman"/>
          <w:b/>
          <w:sz w:val="24"/>
        </w:rPr>
      </w:pPr>
      <w:r w:rsidRPr="00072995">
        <w:rPr>
          <w:rFonts w:ascii="Times New Roman" w:hAnsi="Times New Roman" w:cs="Times New Roman"/>
          <w:b/>
          <w:sz w:val="24"/>
        </w:rPr>
        <w:lastRenderedPageBreak/>
        <w:t>L</w:t>
      </w:r>
      <w:r w:rsidR="00072995" w:rsidRPr="00072995">
        <w:rPr>
          <w:rFonts w:ascii="Times New Roman" w:hAnsi="Times New Roman" w:cs="Times New Roman"/>
          <w:b/>
          <w:sz w:val="24"/>
        </w:rPr>
        <w:t xml:space="preserve">inking a </w:t>
      </w:r>
      <w:bookmarkStart w:id="0" w:name="_GoBack"/>
      <w:bookmarkEnd w:id="0"/>
      <w:r w:rsidR="00072995" w:rsidRPr="00072995">
        <w:rPr>
          <w:rFonts w:ascii="Times New Roman" w:hAnsi="Times New Roman" w:cs="Times New Roman"/>
          <w:b/>
          <w:sz w:val="24"/>
        </w:rPr>
        <w:t>Comprehensive S</w:t>
      </w:r>
      <w:r w:rsidRPr="00072995">
        <w:rPr>
          <w:rFonts w:ascii="Times New Roman" w:hAnsi="Times New Roman" w:cs="Times New Roman"/>
          <w:b/>
          <w:sz w:val="24"/>
        </w:rPr>
        <w:t xml:space="preserve">urvey of </w:t>
      </w:r>
      <w:r w:rsidR="00072995" w:rsidRPr="00072995">
        <w:rPr>
          <w:rFonts w:ascii="Times New Roman" w:hAnsi="Times New Roman" w:cs="Times New Roman"/>
          <w:b/>
          <w:sz w:val="24"/>
        </w:rPr>
        <w:t>B</w:t>
      </w:r>
      <w:r w:rsidRPr="00072995">
        <w:rPr>
          <w:rFonts w:ascii="Times New Roman" w:hAnsi="Times New Roman" w:cs="Times New Roman"/>
          <w:b/>
          <w:sz w:val="24"/>
        </w:rPr>
        <w:t xml:space="preserve">uilding </w:t>
      </w:r>
      <w:r w:rsidR="00072995" w:rsidRPr="00072995">
        <w:rPr>
          <w:rFonts w:ascii="Times New Roman" w:hAnsi="Times New Roman" w:cs="Times New Roman"/>
          <w:b/>
          <w:sz w:val="24"/>
        </w:rPr>
        <w:t xml:space="preserve">Satisfaction </w:t>
      </w:r>
    </w:p>
    <w:p w:rsidR="00387911" w:rsidRPr="00072995" w:rsidRDefault="00072995" w:rsidP="00974DCF">
      <w:pPr>
        <w:spacing w:after="120" w:line="240" w:lineRule="auto"/>
        <w:jc w:val="center"/>
        <w:rPr>
          <w:rFonts w:ascii="Times New Roman" w:hAnsi="Times New Roman" w:cs="Times New Roman"/>
          <w:b/>
          <w:sz w:val="24"/>
        </w:rPr>
      </w:pPr>
      <w:r w:rsidRPr="00072995">
        <w:rPr>
          <w:rFonts w:ascii="Times New Roman" w:hAnsi="Times New Roman" w:cs="Times New Roman"/>
          <w:b/>
          <w:sz w:val="24"/>
        </w:rPr>
        <w:t>and A</w:t>
      </w:r>
      <w:r w:rsidR="00FF45DF" w:rsidRPr="00072995">
        <w:rPr>
          <w:rFonts w:ascii="Times New Roman" w:hAnsi="Times New Roman" w:cs="Times New Roman"/>
          <w:b/>
          <w:sz w:val="24"/>
        </w:rPr>
        <w:t xml:space="preserve">daptive </w:t>
      </w:r>
      <w:r w:rsidRPr="00072995">
        <w:rPr>
          <w:rFonts w:ascii="Times New Roman" w:hAnsi="Times New Roman" w:cs="Times New Roman"/>
          <w:b/>
          <w:sz w:val="24"/>
        </w:rPr>
        <w:t>B</w:t>
      </w:r>
      <w:r w:rsidR="00FF45DF" w:rsidRPr="00072995">
        <w:rPr>
          <w:rFonts w:ascii="Times New Roman" w:hAnsi="Times New Roman" w:cs="Times New Roman"/>
          <w:b/>
          <w:sz w:val="24"/>
        </w:rPr>
        <w:t xml:space="preserve">ehavior to </w:t>
      </w:r>
      <w:r w:rsidRPr="00072995">
        <w:rPr>
          <w:rFonts w:ascii="Times New Roman" w:hAnsi="Times New Roman" w:cs="Times New Roman"/>
          <w:b/>
          <w:sz w:val="24"/>
        </w:rPr>
        <w:t>G</w:t>
      </w:r>
      <w:r w:rsidR="00FF45DF" w:rsidRPr="00072995">
        <w:rPr>
          <w:rFonts w:ascii="Times New Roman" w:hAnsi="Times New Roman" w:cs="Times New Roman"/>
          <w:b/>
          <w:sz w:val="24"/>
        </w:rPr>
        <w:t xml:space="preserve">reen </w:t>
      </w:r>
      <w:r w:rsidRPr="00072995">
        <w:rPr>
          <w:rFonts w:ascii="Times New Roman" w:hAnsi="Times New Roman" w:cs="Times New Roman"/>
          <w:b/>
          <w:sz w:val="24"/>
        </w:rPr>
        <w:t>B</w:t>
      </w:r>
      <w:r w:rsidR="00FF45DF" w:rsidRPr="00072995">
        <w:rPr>
          <w:rFonts w:ascii="Times New Roman" w:hAnsi="Times New Roman" w:cs="Times New Roman"/>
          <w:b/>
          <w:sz w:val="24"/>
        </w:rPr>
        <w:t xml:space="preserve">uilding </w:t>
      </w:r>
      <w:r w:rsidRPr="00072995">
        <w:rPr>
          <w:rFonts w:ascii="Times New Roman" w:hAnsi="Times New Roman" w:cs="Times New Roman"/>
          <w:b/>
          <w:sz w:val="24"/>
        </w:rPr>
        <w:t>D</w:t>
      </w:r>
      <w:r w:rsidR="00FF45DF" w:rsidRPr="00072995">
        <w:rPr>
          <w:rFonts w:ascii="Times New Roman" w:hAnsi="Times New Roman" w:cs="Times New Roman"/>
          <w:b/>
          <w:sz w:val="24"/>
        </w:rPr>
        <w:t>esign</w:t>
      </w:r>
    </w:p>
    <w:p w:rsidR="001E027F" w:rsidRPr="00072995" w:rsidRDefault="009A79F4" w:rsidP="00072995">
      <w:pPr>
        <w:pStyle w:val="Heading1"/>
      </w:pPr>
      <w:bookmarkStart w:id="1" w:name="_Toc479081463"/>
      <w:r w:rsidRPr="00072995">
        <w:t>Introduction</w:t>
      </w:r>
      <w:bookmarkEnd w:id="1"/>
    </w:p>
    <w:p w:rsidR="00F16F86" w:rsidRDefault="00A919FD" w:rsidP="001E027F">
      <w:pPr>
        <w:spacing w:after="120" w:line="240" w:lineRule="auto"/>
        <w:rPr>
          <w:rFonts w:ascii="Times New Roman" w:hAnsi="Times New Roman" w:cs="Times New Roman"/>
        </w:rPr>
      </w:pPr>
      <w:r>
        <w:rPr>
          <w:rFonts w:ascii="Times New Roman" w:hAnsi="Times New Roman" w:cs="Times New Roman"/>
        </w:rPr>
        <w:t>This study explores the</w:t>
      </w:r>
      <w:r w:rsidR="005901FC">
        <w:rPr>
          <w:rFonts w:ascii="Times New Roman" w:hAnsi="Times New Roman" w:cs="Times New Roman"/>
        </w:rPr>
        <w:t xml:space="preserve"> concern that</w:t>
      </w:r>
      <w:r>
        <w:rPr>
          <w:rFonts w:ascii="Times New Roman" w:hAnsi="Times New Roman" w:cs="Times New Roman"/>
        </w:rPr>
        <w:t>,</w:t>
      </w:r>
      <w:r w:rsidR="005901FC">
        <w:rPr>
          <w:rFonts w:ascii="Times New Roman" w:hAnsi="Times New Roman" w:cs="Times New Roman"/>
        </w:rPr>
        <w:t xml:space="preserve"> when taken to extremes, green buildings tradeoff comfort for energy efficiency to such an extent that</w:t>
      </w:r>
      <w:r w:rsidR="009B593E">
        <w:rPr>
          <w:rFonts w:ascii="Times New Roman" w:hAnsi="Times New Roman" w:cs="Times New Roman"/>
        </w:rPr>
        <w:t xml:space="preserve"> it</w:t>
      </w:r>
      <w:r w:rsidR="005901FC">
        <w:rPr>
          <w:rFonts w:ascii="Times New Roman" w:hAnsi="Times New Roman" w:cs="Times New Roman"/>
        </w:rPr>
        <w:t xml:space="preserve"> adversely effects productivity</w:t>
      </w:r>
      <w:r w:rsidR="009B593E">
        <w:rPr>
          <w:rFonts w:ascii="Times New Roman" w:hAnsi="Times New Roman" w:cs="Times New Roman"/>
        </w:rPr>
        <w:t>.  In such extremum, building occupants may engage in adaptive behavior that undermines</w:t>
      </w:r>
      <w:r w:rsidR="005901FC">
        <w:rPr>
          <w:rFonts w:ascii="Times New Roman" w:hAnsi="Times New Roman" w:cs="Times New Roman"/>
        </w:rPr>
        <w:t xml:space="preserve"> energy efficiency goals.  </w:t>
      </w:r>
      <w:r w:rsidR="001E027F">
        <w:rPr>
          <w:rFonts w:ascii="Times New Roman" w:hAnsi="Times New Roman" w:cs="Times New Roman"/>
        </w:rPr>
        <w:t>The study analyze</w:t>
      </w:r>
      <w:r w:rsidR="009B593E">
        <w:rPr>
          <w:rFonts w:ascii="Times New Roman" w:hAnsi="Times New Roman" w:cs="Times New Roman"/>
        </w:rPr>
        <w:t>s</w:t>
      </w:r>
      <w:r w:rsidR="001E027F">
        <w:rPr>
          <w:rFonts w:ascii="Times New Roman" w:hAnsi="Times New Roman" w:cs="Times New Roman"/>
        </w:rPr>
        <w:t xml:space="preserve"> whether tradeoffs occur between energy efficiency, or greenness, and user satisfact</w:t>
      </w:r>
      <w:r w:rsidR="00526453">
        <w:rPr>
          <w:rFonts w:ascii="Times New Roman" w:hAnsi="Times New Roman" w:cs="Times New Roman"/>
        </w:rPr>
        <w:t>ion in modern green buildings</w:t>
      </w:r>
      <w:r w:rsidR="009B593E">
        <w:rPr>
          <w:rFonts w:ascii="Times New Roman" w:hAnsi="Times New Roman" w:cs="Times New Roman"/>
        </w:rPr>
        <w:t xml:space="preserve"> through a </w:t>
      </w:r>
      <w:r w:rsidR="00CE422B">
        <w:rPr>
          <w:rFonts w:ascii="Times New Roman" w:hAnsi="Times New Roman" w:cs="Times New Roman"/>
        </w:rPr>
        <w:t>survey and situation akin to a natural experiment</w:t>
      </w:r>
      <w:r w:rsidR="00526453">
        <w:rPr>
          <w:rFonts w:ascii="Times New Roman" w:hAnsi="Times New Roman" w:cs="Times New Roman"/>
        </w:rPr>
        <w:t xml:space="preserve">.  It also reports whether members of the workforce in green buildings </w:t>
      </w:r>
      <w:r w:rsidR="009B593E">
        <w:rPr>
          <w:rFonts w:ascii="Times New Roman" w:hAnsi="Times New Roman" w:cs="Times New Roman"/>
        </w:rPr>
        <w:t>adapt and</w:t>
      </w:r>
      <w:r w:rsidR="00526453">
        <w:rPr>
          <w:rFonts w:ascii="Times New Roman" w:hAnsi="Times New Roman" w:cs="Times New Roman"/>
        </w:rPr>
        <w:t xml:space="preserve"> undermin</w:t>
      </w:r>
      <w:r w:rsidR="009B593E">
        <w:rPr>
          <w:rFonts w:ascii="Times New Roman" w:hAnsi="Times New Roman" w:cs="Times New Roman"/>
        </w:rPr>
        <w:t>e</w:t>
      </w:r>
      <w:r w:rsidR="00526453">
        <w:rPr>
          <w:rFonts w:ascii="Times New Roman" w:hAnsi="Times New Roman" w:cs="Times New Roman"/>
        </w:rPr>
        <w:t xml:space="preserve"> energy efficiency goals</w:t>
      </w:r>
      <w:r w:rsidR="009B593E">
        <w:rPr>
          <w:rFonts w:ascii="Times New Roman" w:hAnsi="Times New Roman" w:cs="Times New Roman"/>
        </w:rPr>
        <w:t>.</w:t>
      </w:r>
      <w:r w:rsidR="004B047E">
        <w:rPr>
          <w:rFonts w:ascii="Times New Roman" w:hAnsi="Times New Roman" w:cs="Times New Roman"/>
        </w:rPr>
        <w:t xml:space="preserve"> </w:t>
      </w:r>
      <w:r w:rsidR="009B593E">
        <w:rPr>
          <w:rFonts w:ascii="Times New Roman" w:hAnsi="Times New Roman" w:cs="Times New Roman"/>
        </w:rPr>
        <w:t xml:space="preserve"> </w:t>
      </w:r>
      <w:r w:rsidR="00CE422B">
        <w:rPr>
          <w:rFonts w:ascii="Times New Roman" w:hAnsi="Times New Roman" w:cs="Times New Roman"/>
        </w:rPr>
        <w:t>The analysis uses</w:t>
      </w:r>
      <w:r w:rsidR="004B047E">
        <w:rPr>
          <w:rFonts w:ascii="Times New Roman" w:hAnsi="Times New Roman" w:cs="Times New Roman"/>
        </w:rPr>
        <w:t xml:space="preserve"> feedback from comparable residents of green and traditional buildings.</w:t>
      </w:r>
      <w:r w:rsidR="00CE422B">
        <w:rPr>
          <w:rFonts w:ascii="Times New Roman" w:hAnsi="Times New Roman" w:cs="Times New Roman"/>
        </w:rPr>
        <w:t xml:space="preserve">  As an additional feature, the feedback is differentiated by whether the respondent can self-select into the green building or was assigned to it- a quasi-experimental setting mimicking a randomized controlled trial (RCT).  In this way, the study also informs on discrepancies in the green building literature.</w:t>
      </w:r>
      <w:r w:rsidR="004B047E">
        <w:rPr>
          <w:rFonts w:ascii="Times New Roman" w:hAnsi="Times New Roman" w:cs="Times New Roman"/>
        </w:rPr>
        <w:t xml:space="preserve"> </w:t>
      </w:r>
    </w:p>
    <w:p w:rsidR="009B593E" w:rsidRDefault="00CE422B" w:rsidP="001E027F">
      <w:pPr>
        <w:spacing w:after="120" w:line="240" w:lineRule="auto"/>
        <w:rPr>
          <w:rFonts w:ascii="Times New Roman" w:hAnsi="Times New Roman" w:cs="Times New Roman"/>
        </w:rPr>
      </w:pPr>
      <w:r>
        <w:rPr>
          <w:rFonts w:ascii="Times New Roman" w:hAnsi="Times New Roman" w:cs="Times New Roman"/>
        </w:rPr>
        <w:t>For this work,</w:t>
      </w:r>
      <w:r w:rsidR="001E027F">
        <w:rPr>
          <w:rFonts w:ascii="Times New Roman" w:hAnsi="Times New Roman" w:cs="Times New Roman"/>
        </w:rPr>
        <w:t xml:space="preserve"> a survey</w:t>
      </w:r>
      <w:r w:rsidR="00F16F86">
        <w:rPr>
          <w:rFonts w:ascii="Times New Roman" w:hAnsi="Times New Roman" w:cs="Times New Roman"/>
        </w:rPr>
        <w:t xml:space="preserve"> of the entire student and faculty body at the Yale School of Forestry and Environmental Studies (F&amp;ES) in New Haven, Connecticut</w:t>
      </w:r>
      <w:r>
        <w:rPr>
          <w:rFonts w:ascii="Times New Roman" w:hAnsi="Times New Roman" w:cs="Times New Roman"/>
        </w:rPr>
        <w:t xml:space="preserve"> is conducted</w:t>
      </w:r>
      <w:r w:rsidR="00F16F86">
        <w:rPr>
          <w:rFonts w:ascii="Times New Roman" w:hAnsi="Times New Roman" w:cs="Times New Roman"/>
        </w:rPr>
        <w:t xml:space="preserve">.  This is a particularly appropriate population for study for </w:t>
      </w:r>
      <w:r w:rsidR="009B593E">
        <w:rPr>
          <w:rFonts w:ascii="Times New Roman" w:hAnsi="Times New Roman" w:cs="Times New Roman"/>
        </w:rPr>
        <w:t>three</w:t>
      </w:r>
      <w:r w:rsidR="00F16F86">
        <w:rPr>
          <w:rFonts w:ascii="Times New Roman" w:hAnsi="Times New Roman" w:cs="Times New Roman"/>
        </w:rPr>
        <w:t xml:space="preserve"> reasons.  </w:t>
      </w:r>
      <w:r w:rsidR="009B593E">
        <w:rPr>
          <w:rFonts w:ascii="Times New Roman" w:hAnsi="Times New Roman" w:cs="Times New Roman"/>
        </w:rPr>
        <w:t>First</w:t>
      </w:r>
      <w:r w:rsidR="00F16F86">
        <w:rPr>
          <w:rFonts w:ascii="Times New Roman" w:hAnsi="Times New Roman" w:cs="Times New Roman"/>
        </w:rPr>
        <w:t>, F&amp;ES members are spread about evenly between a</w:t>
      </w:r>
      <w:r w:rsidR="009B593E">
        <w:rPr>
          <w:rFonts w:ascii="Times New Roman" w:hAnsi="Times New Roman" w:cs="Times New Roman"/>
        </w:rPr>
        <w:t xml:space="preserve"> fairly</w:t>
      </w:r>
      <w:r w:rsidR="00F16F86">
        <w:rPr>
          <w:rFonts w:ascii="Times New Roman" w:hAnsi="Times New Roman" w:cs="Times New Roman"/>
        </w:rPr>
        <w:t xml:space="preserve"> standard set of </w:t>
      </w:r>
      <w:r>
        <w:rPr>
          <w:rFonts w:ascii="Times New Roman" w:hAnsi="Times New Roman" w:cs="Times New Roman"/>
        </w:rPr>
        <w:t>university</w:t>
      </w:r>
      <w:r w:rsidR="00F16F86">
        <w:rPr>
          <w:rFonts w:ascii="Times New Roman" w:hAnsi="Times New Roman" w:cs="Times New Roman"/>
        </w:rPr>
        <w:t xml:space="preserve"> buildings built and renovated over the last century, and Kroon Hall</w:t>
      </w:r>
      <w:r>
        <w:rPr>
          <w:rFonts w:ascii="Times New Roman" w:hAnsi="Times New Roman" w:cs="Times New Roman"/>
        </w:rPr>
        <w:t xml:space="preserve"> which is</w:t>
      </w:r>
      <w:r w:rsidR="00F16F86">
        <w:rPr>
          <w:rFonts w:ascii="Times New Roman" w:hAnsi="Times New Roman" w:cs="Times New Roman"/>
        </w:rPr>
        <w:t xml:space="preserve"> one of the</w:t>
      </w:r>
      <w:r w:rsidR="00E20B1C">
        <w:rPr>
          <w:rFonts w:ascii="Times New Roman" w:hAnsi="Times New Roman" w:cs="Times New Roman"/>
        </w:rPr>
        <w:t xml:space="preserve"> </w:t>
      </w:r>
      <w:r>
        <w:rPr>
          <w:rFonts w:ascii="Times New Roman" w:hAnsi="Times New Roman" w:cs="Times New Roman"/>
        </w:rPr>
        <w:t>“</w:t>
      </w:r>
      <w:r w:rsidR="00E20B1C">
        <w:rPr>
          <w:rFonts w:ascii="Times New Roman" w:hAnsi="Times New Roman" w:cs="Times New Roman"/>
        </w:rPr>
        <w:t>greenest</w:t>
      </w:r>
      <w:r>
        <w:rPr>
          <w:rFonts w:ascii="Times New Roman" w:hAnsi="Times New Roman" w:cs="Times New Roman"/>
        </w:rPr>
        <w:t>”</w:t>
      </w:r>
      <w:r w:rsidR="00FE3C2C">
        <w:rPr>
          <w:rFonts w:ascii="Times New Roman" w:hAnsi="Times New Roman" w:cs="Times New Roman"/>
        </w:rPr>
        <w:t xml:space="preserve"> buildings in the United States</w:t>
      </w:r>
      <w:r w:rsidR="00E20B1C">
        <w:rPr>
          <w:rFonts w:ascii="Times New Roman" w:hAnsi="Times New Roman" w:cs="Times New Roman"/>
        </w:rPr>
        <w:t xml:space="preserve">.  Controlling for any differences between </w:t>
      </w:r>
      <w:r>
        <w:rPr>
          <w:rFonts w:ascii="Times New Roman" w:hAnsi="Times New Roman" w:cs="Times New Roman"/>
        </w:rPr>
        <w:t xml:space="preserve">users of </w:t>
      </w:r>
      <w:r w:rsidR="00FE3C2C">
        <w:rPr>
          <w:rFonts w:ascii="Times New Roman" w:hAnsi="Times New Roman" w:cs="Times New Roman"/>
        </w:rPr>
        <w:t>Kroon</w:t>
      </w:r>
      <w:r>
        <w:rPr>
          <w:rFonts w:ascii="Times New Roman" w:hAnsi="Times New Roman" w:cs="Times New Roman"/>
        </w:rPr>
        <w:t xml:space="preserve"> Hall</w:t>
      </w:r>
      <w:r w:rsidR="00FE3C2C">
        <w:rPr>
          <w:rFonts w:ascii="Times New Roman" w:hAnsi="Times New Roman" w:cs="Times New Roman"/>
        </w:rPr>
        <w:t xml:space="preserve"> </w:t>
      </w:r>
      <w:r w:rsidR="009B593E">
        <w:rPr>
          <w:rFonts w:ascii="Times New Roman" w:hAnsi="Times New Roman" w:cs="Times New Roman"/>
        </w:rPr>
        <w:t>and</w:t>
      </w:r>
      <w:r w:rsidR="00E20B1C">
        <w:rPr>
          <w:rFonts w:ascii="Times New Roman" w:hAnsi="Times New Roman" w:cs="Times New Roman"/>
        </w:rPr>
        <w:t xml:space="preserve"> </w:t>
      </w:r>
      <w:r w:rsidR="00FE3C2C">
        <w:rPr>
          <w:rFonts w:ascii="Times New Roman" w:hAnsi="Times New Roman" w:cs="Times New Roman"/>
        </w:rPr>
        <w:t>the standard</w:t>
      </w:r>
      <w:r w:rsidR="009B593E">
        <w:rPr>
          <w:rFonts w:ascii="Times New Roman" w:hAnsi="Times New Roman" w:cs="Times New Roman"/>
        </w:rPr>
        <w:t>,</w:t>
      </w:r>
      <w:r>
        <w:rPr>
          <w:rFonts w:ascii="Times New Roman" w:hAnsi="Times New Roman" w:cs="Times New Roman"/>
        </w:rPr>
        <w:t xml:space="preserve"> or</w:t>
      </w:r>
      <w:r w:rsidR="00FE3C2C">
        <w:rPr>
          <w:rFonts w:ascii="Times New Roman" w:hAnsi="Times New Roman" w:cs="Times New Roman"/>
        </w:rPr>
        <w:t xml:space="preserve"> baseline set </w:t>
      </w:r>
      <w:r>
        <w:rPr>
          <w:rFonts w:ascii="Times New Roman" w:hAnsi="Times New Roman" w:cs="Times New Roman"/>
        </w:rPr>
        <w:t>of buildings may approximate</w:t>
      </w:r>
      <w:r w:rsidR="00FE3C2C">
        <w:rPr>
          <w:rFonts w:ascii="Times New Roman" w:hAnsi="Times New Roman" w:cs="Times New Roman"/>
        </w:rPr>
        <w:t xml:space="preserve"> a treatment effect on resident comfort and productivity from the green building.</w:t>
      </w:r>
      <w:r w:rsidR="009B593E">
        <w:rPr>
          <w:rFonts w:ascii="Times New Roman" w:hAnsi="Times New Roman" w:cs="Times New Roman"/>
        </w:rPr>
        <w:t xml:space="preserve">  </w:t>
      </w:r>
    </w:p>
    <w:p w:rsidR="007D4A0B" w:rsidRDefault="009B593E" w:rsidP="001E027F">
      <w:pPr>
        <w:spacing w:after="120" w:line="240" w:lineRule="auto"/>
        <w:rPr>
          <w:rFonts w:ascii="Times New Roman" w:hAnsi="Times New Roman" w:cs="Times New Roman"/>
        </w:rPr>
      </w:pPr>
      <w:r>
        <w:rPr>
          <w:rFonts w:ascii="Times New Roman" w:hAnsi="Times New Roman" w:cs="Times New Roman"/>
        </w:rPr>
        <w:t>Second, the population is identifiable as students, who primarily use public spaces, versus faculty and staff</w:t>
      </w:r>
      <w:r w:rsidR="00FE3C2C">
        <w:rPr>
          <w:rFonts w:ascii="Times New Roman" w:hAnsi="Times New Roman" w:cs="Times New Roman"/>
        </w:rPr>
        <w:t xml:space="preserve"> </w:t>
      </w:r>
      <w:r>
        <w:rPr>
          <w:rFonts w:ascii="Times New Roman" w:hAnsi="Times New Roman" w:cs="Times New Roman"/>
        </w:rPr>
        <w:t xml:space="preserve">who use offices.  This has several possible interpretations.  As students are inherently transient (or should be at least), the comparison may be thought of as short run versus long run effects of a green building </w:t>
      </w:r>
      <w:r w:rsidR="00AD1887">
        <w:rPr>
          <w:rFonts w:ascii="Times New Roman" w:hAnsi="Times New Roman" w:cs="Times New Roman"/>
        </w:rPr>
        <w:t>on satisfaction.  Turnover rates of</w:t>
      </w:r>
      <w:r>
        <w:rPr>
          <w:rFonts w:ascii="Times New Roman" w:hAnsi="Times New Roman" w:cs="Times New Roman"/>
        </w:rPr>
        <w:t xml:space="preserve"> faculty and staff </w:t>
      </w:r>
      <w:r w:rsidR="00AD1887">
        <w:rPr>
          <w:rFonts w:ascii="Times New Roman" w:hAnsi="Times New Roman" w:cs="Times New Roman"/>
        </w:rPr>
        <w:t>are particularly</w:t>
      </w:r>
      <w:r>
        <w:rPr>
          <w:rFonts w:ascii="Times New Roman" w:hAnsi="Times New Roman" w:cs="Times New Roman"/>
        </w:rPr>
        <w:t xml:space="preserve"> small at F&amp;ES</w:t>
      </w:r>
      <w:r w:rsidR="00AD1887">
        <w:rPr>
          <w:rFonts w:ascii="Times New Roman" w:hAnsi="Times New Roman" w:cs="Times New Roman"/>
        </w:rPr>
        <w:t>, allowing this interpretation</w:t>
      </w:r>
      <w:r>
        <w:rPr>
          <w:rFonts w:ascii="Times New Roman" w:hAnsi="Times New Roman" w:cs="Times New Roman"/>
        </w:rPr>
        <w:t xml:space="preserve">.  It may also be </w:t>
      </w:r>
      <w:r w:rsidR="00AD1887">
        <w:rPr>
          <w:rFonts w:ascii="Times New Roman" w:hAnsi="Times New Roman" w:cs="Times New Roman"/>
        </w:rPr>
        <w:t xml:space="preserve">thought of as a comparison of office </w:t>
      </w:r>
      <w:r w:rsidR="007D4A0B">
        <w:rPr>
          <w:rFonts w:ascii="Times New Roman" w:hAnsi="Times New Roman" w:cs="Times New Roman"/>
        </w:rPr>
        <w:t xml:space="preserve">architecture </w:t>
      </w:r>
      <w:r>
        <w:rPr>
          <w:rFonts w:ascii="Times New Roman" w:hAnsi="Times New Roman" w:cs="Times New Roman"/>
        </w:rPr>
        <w:t xml:space="preserve">versus </w:t>
      </w:r>
      <w:r w:rsidR="007D4A0B">
        <w:rPr>
          <w:rFonts w:ascii="Times New Roman" w:hAnsi="Times New Roman" w:cs="Times New Roman"/>
        </w:rPr>
        <w:t xml:space="preserve">those prepared for the </w:t>
      </w:r>
      <w:r w:rsidR="00AD1887">
        <w:rPr>
          <w:rFonts w:ascii="Times New Roman" w:hAnsi="Times New Roman" w:cs="Times New Roman"/>
        </w:rPr>
        <w:t>public</w:t>
      </w:r>
      <w:r>
        <w:rPr>
          <w:rFonts w:ascii="Times New Roman" w:hAnsi="Times New Roman" w:cs="Times New Roman"/>
        </w:rPr>
        <w:t>.</w:t>
      </w:r>
      <w:r w:rsidR="007D4A0B">
        <w:rPr>
          <w:rFonts w:ascii="Times New Roman" w:hAnsi="Times New Roman" w:cs="Times New Roman"/>
        </w:rPr>
        <w:t xml:space="preserve">  This can be thought of in terms of a ‘green’ ‘vanity architecture’- emphasis on design to impress visitors to a building with grandeur and greenness, at the expensive of underwhelming the long-term building inhabitants- the staff.</w:t>
      </w:r>
    </w:p>
    <w:p w:rsidR="00DD28CC" w:rsidRDefault="003C263D" w:rsidP="001E027F">
      <w:pPr>
        <w:spacing w:after="120" w:line="240" w:lineRule="auto"/>
        <w:rPr>
          <w:rFonts w:ascii="Times New Roman" w:hAnsi="Times New Roman" w:cs="Times New Roman"/>
        </w:rPr>
      </w:pPr>
      <w:r>
        <w:rPr>
          <w:rFonts w:ascii="Times New Roman" w:hAnsi="Times New Roman" w:cs="Times New Roman"/>
        </w:rPr>
        <w:t xml:space="preserve">Importantly, there </w:t>
      </w:r>
      <w:r w:rsidR="009B593E">
        <w:rPr>
          <w:rFonts w:ascii="Times New Roman" w:hAnsi="Times New Roman" w:cs="Times New Roman"/>
        </w:rPr>
        <w:t xml:space="preserve">is also a difference in being able to self-select </w:t>
      </w:r>
      <w:r w:rsidR="00AD1887">
        <w:rPr>
          <w:rFonts w:ascii="Times New Roman" w:hAnsi="Times New Roman" w:cs="Times New Roman"/>
        </w:rPr>
        <w:t xml:space="preserve">into and out of </w:t>
      </w:r>
      <w:r w:rsidR="009B593E">
        <w:rPr>
          <w:rFonts w:ascii="Times New Roman" w:hAnsi="Times New Roman" w:cs="Times New Roman"/>
        </w:rPr>
        <w:t>the green space for students</w:t>
      </w:r>
      <w:r>
        <w:rPr>
          <w:rFonts w:ascii="Times New Roman" w:hAnsi="Times New Roman" w:cs="Times New Roman"/>
        </w:rPr>
        <w:t>-</w:t>
      </w:r>
      <w:r w:rsidR="00AD1887">
        <w:rPr>
          <w:rFonts w:ascii="Times New Roman" w:hAnsi="Times New Roman" w:cs="Times New Roman"/>
        </w:rPr>
        <w:t xml:space="preserve"> </w:t>
      </w:r>
      <w:r w:rsidR="009B593E">
        <w:rPr>
          <w:rFonts w:ascii="Times New Roman" w:hAnsi="Times New Roman" w:cs="Times New Roman"/>
        </w:rPr>
        <w:t xml:space="preserve">not </w:t>
      </w:r>
      <w:r w:rsidR="00AD1887">
        <w:rPr>
          <w:rFonts w:ascii="Times New Roman" w:hAnsi="Times New Roman" w:cs="Times New Roman"/>
        </w:rPr>
        <w:t xml:space="preserve">an option for </w:t>
      </w:r>
      <w:r w:rsidR="009B593E">
        <w:rPr>
          <w:rFonts w:ascii="Times New Roman" w:hAnsi="Times New Roman" w:cs="Times New Roman"/>
        </w:rPr>
        <w:t>faculty</w:t>
      </w:r>
      <w:r>
        <w:rPr>
          <w:rFonts w:ascii="Times New Roman" w:hAnsi="Times New Roman" w:cs="Times New Roman"/>
        </w:rPr>
        <w:t>,</w:t>
      </w:r>
      <w:r w:rsidR="00AD1887">
        <w:rPr>
          <w:rFonts w:ascii="Times New Roman" w:hAnsi="Times New Roman" w:cs="Times New Roman"/>
        </w:rPr>
        <w:t xml:space="preserve"> staff</w:t>
      </w:r>
      <w:r>
        <w:rPr>
          <w:rFonts w:ascii="Times New Roman" w:hAnsi="Times New Roman" w:cs="Times New Roman"/>
        </w:rPr>
        <w:t>, and those in research roles</w:t>
      </w:r>
      <w:r w:rsidR="009B593E">
        <w:rPr>
          <w:rFonts w:ascii="Times New Roman" w:hAnsi="Times New Roman" w:cs="Times New Roman"/>
        </w:rPr>
        <w:t>.</w:t>
      </w:r>
      <w:r w:rsidR="00AD1887">
        <w:rPr>
          <w:rFonts w:ascii="Times New Roman" w:hAnsi="Times New Roman" w:cs="Times New Roman"/>
        </w:rPr>
        <w:t xml:space="preserve">  I</w:t>
      </w:r>
      <w:r>
        <w:rPr>
          <w:rFonts w:ascii="Times New Roman" w:hAnsi="Times New Roman" w:cs="Times New Roman"/>
        </w:rPr>
        <w:t>t</w:t>
      </w:r>
      <w:r w:rsidR="00AD1887">
        <w:rPr>
          <w:rFonts w:ascii="Times New Roman" w:hAnsi="Times New Roman" w:cs="Times New Roman"/>
        </w:rPr>
        <w:t xml:space="preserve"> enabl</w:t>
      </w:r>
      <w:r>
        <w:rPr>
          <w:rFonts w:ascii="Times New Roman" w:hAnsi="Times New Roman" w:cs="Times New Roman"/>
        </w:rPr>
        <w:t>es</w:t>
      </w:r>
      <w:r w:rsidR="00AD1887">
        <w:rPr>
          <w:rFonts w:ascii="Times New Roman" w:hAnsi="Times New Roman" w:cs="Times New Roman"/>
        </w:rPr>
        <w:t xml:space="preserve"> a </w:t>
      </w:r>
      <w:r w:rsidR="00DD28CC">
        <w:rPr>
          <w:rFonts w:ascii="Times New Roman" w:hAnsi="Times New Roman" w:cs="Times New Roman"/>
        </w:rPr>
        <w:t xml:space="preserve">more rigorous </w:t>
      </w:r>
      <w:r w:rsidR="00AD1887">
        <w:rPr>
          <w:rFonts w:ascii="Times New Roman" w:hAnsi="Times New Roman" w:cs="Times New Roman"/>
        </w:rPr>
        <w:t>quasi-random experiment</w:t>
      </w:r>
      <w:r>
        <w:rPr>
          <w:rFonts w:ascii="Times New Roman" w:hAnsi="Times New Roman" w:cs="Times New Roman"/>
        </w:rPr>
        <w:t>al</w:t>
      </w:r>
      <w:r w:rsidR="00AD1887">
        <w:rPr>
          <w:rFonts w:ascii="Times New Roman" w:hAnsi="Times New Roman" w:cs="Times New Roman"/>
        </w:rPr>
        <w:t xml:space="preserve"> </w:t>
      </w:r>
      <w:r w:rsidR="00DD28CC">
        <w:rPr>
          <w:rFonts w:ascii="Times New Roman" w:hAnsi="Times New Roman" w:cs="Times New Roman"/>
        </w:rPr>
        <w:t xml:space="preserve">argument for the faculty and staff group, </w:t>
      </w:r>
      <w:r>
        <w:rPr>
          <w:rFonts w:ascii="Times New Roman" w:hAnsi="Times New Roman" w:cs="Times New Roman"/>
        </w:rPr>
        <w:t xml:space="preserve">while contrasting against </w:t>
      </w:r>
      <w:r w:rsidR="00DD28CC">
        <w:rPr>
          <w:rFonts w:ascii="Times New Roman" w:hAnsi="Times New Roman" w:cs="Times New Roman"/>
        </w:rPr>
        <w:t xml:space="preserve">the student group </w:t>
      </w:r>
      <w:r>
        <w:rPr>
          <w:rFonts w:ascii="Times New Roman" w:hAnsi="Times New Roman" w:cs="Times New Roman"/>
        </w:rPr>
        <w:t>who</w:t>
      </w:r>
      <w:r w:rsidR="00DD28CC">
        <w:rPr>
          <w:rFonts w:ascii="Times New Roman" w:hAnsi="Times New Roman" w:cs="Times New Roman"/>
        </w:rPr>
        <w:t xml:space="preserve"> choose the environment best suited</w:t>
      </w:r>
      <w:r>
        <w:rPr>
          <w:rFonts w:ascii="Times New Roman" w:hAnsi="Times New Roman" w:cs="Times New Roman"/>
        </w:rPr>
        <w:t xml:space="preserve"> to them</w:t>
      </w:r>
      <w:r w:rsidR="00DD28CC">
        <w:rPr>
          <w:rFonts w:ascii="Times New Roman" w:hAnsi="Times New Roman" w:cs="Times New Roman"/>
        </w:rPr>
        <w:t>,</w:t>
      </w:r>
      <w:r>
        <w:rPr>
          <w:rFonts w:ascii="Times New Roman" w:hAnsi="Times New Roman" w:cs="Times New Roman"/>
        </w:rPr>
        <w:t xml:space="preserve"> potentially</w:t>
      </w:r>
      <w:r w:rsidR="00DD28CC">
        <w:rPr>
          <w:rFonts w:ascii="Times New Roman" w:hAnsi="Times New Roman" w:cs="Times New Roman"/>
        </w:rPr>
        <w:t xml:space="preserve"> impacting satisfaction.  </w:t>
      </w:r>
      <w:r w:rsidR="009B593E">
        <w:rPr>
          <w:rFonts w:ascii="Times New Roman" w:hAnsi="Times New Roman" w:cs="Times New Roman"/>
        </w:rPr>
        <w:t xml:space="preserve">The reality is that </w:t>
      </w:r>
      <w:r w:rsidR="00DD28CC">
        <w:rPr>
          <w:rFonts w:ascii="Times New Roman" w:hAnsi="Times New Roman" w:cs="Times New Roman"/>
        </w:rPr>
        <w:t>each of these factors</w:t>
      </w:r>
      <w:r>
        <w:rPr>
          <w:rFonts w:ascii="Times New Roman" w:hAnsi="Times New Roman" w:cs="Times New Roman"/>
        </w:rPr>
        <w:t xml:space="preserve"> is</w:t>
      </w:r>
      <w:r w:rsidR="00DD28CC">
        <w:rPr>
          <w:rFonts w:ascii="Times New Roman" w:hAnsi="Times New Roman" w:cs="Times New Roman"/>
        </w:rPr>
        <w:t xml:space="preserve"> likely important </w:t>
      </w:r>
      <w:r>
        <w:rPr>
          <w:rFonts w:ascii="Times New Roman" w:hAnsi="Times New Roman" w:cs="Times New Roman"/>
        </w:rPr>
        <w:t>to some extent.  They also make comparison of faculty to students more complicated and so much of the study instead compares faculty to faculty and students to students in the green building to their conventional building counterparts</w:t>
      </w:r>
      <w:r w:rsidR="00DD28CC">
        <w:rPr>
          <w:rFonts w:ascii="Times New Roman" w:hAnsi="Times New Roman" w:cs="Times New Roman"/>
        </w:rPr>
        <w:t>.</w:t>
      </w:r>
      <w:r w:rsidR="009B593E">
        <w:rPr>
          <w:rFonts w:ascii="Times New Roman" w:hAnsi="Times New Roman" w:cs="Times New Roman"/>
        </w:rPr>
        <w:t xml:space="preserve"> </w:t>
      </w:r>
      <w:r w:rsidR="00FE3C2C">
        <w:rPr>
          <w:rFonts w:ascii="Times New Roman" w:hAnsi="Times New Roman" w:cs="Times New Roman"/>
        </w:rPr>
        <w:t xml:space="preserve"> </w:t>
      </w:r>
    </w:p>
    <w:p w:rsidR="002C12DF" w:rsidRDefault="00BA2653" w:rsidP="001E027F">
      <w:pPr>
        <w:spacing w:after="120" w:line="240" w:lineRule="auto"/>
        <w:rPr>
          <w:rFonts w:ascii="Times New Roman" w:hAnsi="Times New Roman" w:cs="Times New Roman"/>
        </w:rPr>
      </w:pPr>
      <w:r>
        <w:rPr>
          <w:rFonts w:ascii="Times New Roman" w:hAnsi="Times New Roman" w:cs="Times New Roman"/>
        </w:rPr>
        <w:t xml:space="preserve">A </w:t>
      </w:r>
      <w:r w:rsidR="00DD28CC">
        <w:rPr>
          <w:rFonts w:ascii="Times New Roman" w:hAnsi="Times New Roman" w:cs="Times New Roman"/>
        </w:rPr>
        <w:t>third reason is</w:t>
      </w:r>
      <w:r>
        <w:rPr>
          <w:rFonts w:ascii="Times New Roman" w:hAnsi="Times New Roman" w:cs="Times New Roman"/>
        </w:rPr>
        <w:t xml:space="preserve"> the </w:t>
      </w:r>
      <w:r w:rsidR="00DD28CC">
        <w:rPr>
          <w:rFonts w:ascii="Times New Roman" w:hAnsi="Times New Roman" w:cs="Times New Roman"/>
        </w:rPr>
        <w:t xml:space="preserve">general </w:t>
      </w:r>
      <w:r>
        <w:rPr>
          <w:rFonts w:ascii="Times New Roman" w:hAnsi="Times New Roman" w:cs="Times New Roman"/>
        </w:rPr>
        <w:t>characteristi</w:t>
      </w:r>
      <w:r w:rsidR="009555BE">
        <w:rPr>
          <w:rFonts w:ascii="Times New Roman" w:hAnsi="Times New Roman" w:cs="Times New Roman"/>
        </w:rPr>
        <w:t xml:space="preserve">cs of the population of survey.  </w:t>
      </w:r>
      <w:r w:rsidR="002C12DF">
        <w:rPr>
          <w:rFonts w:ascii="Times New Roman" w:hAnsi="Times New Roman" w:cs="Times New Roman"/>
        </w:rPr>
        <w:t xml:space="preserve">F&amp;ES is a graduate school with a significant number </w:t>
      </w:r>
      <w:r w:rsidR="003C263D">
        <w:rPr>
          <w:rFonts w:ascii="Times New Roman" w:hAnsi="Times New Roman" w:cs="Times New Roman"/>
        </w:rPr>
        <w:t xml:space="preserve">of </w:t>
      </w:r>
      <w:r w:rsidR="002C12DF">
        <w:rPr>
          <w:rFonts w:ascii="Times New Roman" w:hAnsi="Times New Roman" w:cs="Times New Roman"/>
        </w:rPr>
        <w:t>young professionals and early to mid-caree</w:t>
      </w:r>
      <w:r w:rsidR="00DD28CC">
        <w:rPr>
          <w:rFonts w:ascii="Times New Roman" w:hAnsi="Times New Roman" w:cs="Times New Roman"/>
        </w:rPr>
        <w:t>r researchers and staff.  The</w:t>
      </w:r>
      <w:r w:rsidR="002C12DF">
        <w:rPr>
          <w:rFonts w:ascii="Times New Roman" w:hAnsi="Times New Roman" w:cs="Times New Roman"/>
        </w:rPr>
        <w:t xml:space="preserve"> findings </w:t>
      </w:r>
      <w:r w:rsidR="00DD28CC">
        <w:rPr>
          <w:rFonts w:ascii="Times New Roman" w:hAnsi="Times New Roman" w:cs="Times New Roman"/>
        </w:rPr>
        <w:t>then inform on the</w:t>
      </w:r>
      <w:r w:rsidR="002C12DF">
        <w:rPr>
          <w:rFonts w:ascii="Times New Roman" w:hAnsi="Times New Roman" w:cs="Times New Roman"/>
        </w:rPr>
        <w:t xml:space="preserve"> interests and </w:t>
      </w:r>
      <w:r w:rsidR="00DD28CC">
        <w:rPr>
          <w:rFonts w:ascii="Times New Roman" w:hAnsi="Times New Roman" w:cs="Times New Roman"/>
        </w:rPr>
        <w:t>preferences</w:t>
      </w:r>
      <w:r w:rsidR="002C12DF">
        <w:rPr>
          <w:rFonts w:ascii="Times New Roman" w:hAnsi="Times New Roman" w:cs="Times New Roman"/>
        </w:rPr>
        <w:t xml:space="preserve"> of the U.S., office-bound w</w:t>
      </w:r>
      <w:r w:rsidR="00DD28CC">
        <w:rPr>
          <w:rFonts w:ascii="Times New Roman" w:hAnsi="Times New Roman" w:cs="Times New Roman"/>
        </w:rPr>
        <w:t>orkforce of the coming decades.  This adds substantially to the external validity of the study</w:t>
      </w:r>
      <w:r w:rsidR="003C263D">
        <w:rPr>
          <w:rFonts w:ascii="Times New Roman" w:hAnsi="Times New Roman" w:cs="Times New Roman"/>
        </w:rPr>
        <w:t>-</w:t>
      </w:r>
      <w:r w:rsidR="00DD28CC">
        <w:rPr>
          <w:rFonts w:ascii="Times New Roman" w:hAnsi="Times New Roman" w:cs="Times New Roman"/>
        </w:rPr>
        <w:t xml:space="preserve"> it</w:t>
      </w:r>
      <w:r w:rsidR="009F0846">
        <w:rPr>
          <w:rFonts w:ascii="Times New Roman" w:hAnsi="Times New Roman" w:cs="Times New Roman"/>
        </w:rPr>
        <w:t xml:space="preserve"> informs on the effects of green infrastructure on </w:t>
      </w:r>
      <w:r w:rsidR="00DD28CC">
        <w:rPr>
          <w:rFonts w:ascii="Times New Roman" w:hAnsi="Times New Roman" w:cs="Times New Roman"/>
        </w:rPr>
        <w:t>exactly the subset of the</w:t>
      </w:r>
      <w:r w:rsidR="009F0846">
        <w:rPr>
          <w:rFonts w:ascii="Times New Roman" w:hAnsi="Times New Roman" w:cs="Times New Roman"/>
        </w:rPr>
        <w:t xml:space="preserve"> U.S. workforce </w:t>
      </w:r>
      <w:r w:rsidR="00DD28CC">
        <w:rPr>
          <w:rFonts w:ascii="Times New Roman" w:hAnsi="Times New Roman" w:cs="Times New Roman"/>
        </w:rPr>
        <w:t xml:space="preserve">that will be expected to work in </w:t>
      </w:r>
      <w:r w:rsidR="003C263D">
        <w:rPr>
          <w:rFonts w:ascii="Times New Roman" w:hAnsi="Times New Roman" w:cs="Times New Roman"/>
        </w:rPr>
        <w:t>such</w:t>
      </w:r>
      <w:r w:rsidR="00DD28CC">
        <w:rPr>
          <w:rFonts w:ascii="Times New Roman" w:hAnsi="Times New Roman" w:cs="Times New Roman"/>
        </w:rPr>
        <w:t xml:space="preserve"> buildings in coming decades.</w:t>
      </w:r>
    </w:p>
    <w:p w:rsidR="0055781A" w:rsidRPr="00463CA8" w:rsidRDefault="00CC1652" w:rsidP="004031FD">
      <w:pPr>
        <w:rPr>
          <w:rFonts w:ascii="Times New Roman" w:hAnsi="Times New Roman" w:cs="Times New Roman"/>
        </w:rPr>
      </w:pPr>
      <w:r>
        <w:rPr>
          <w:rFonts w:ascii="Times New Roman" w:hAnsi="Times New Roman" w:cs="Times New Roman"/>
        </w:rPr>
        <w:t>In what follows, a review of the green and general building satisfaction literature is presented.  A detailed methodological discussion is the followed by statistical analysis results, discussion, and conclusion.  The main body focuses on the results of questions on thermal comfort and adaptation strategies while an appendix presents extended tables of results across nine additional categories on building satisfaction, preferences, and work impacts.</w:t>
      </w:r>
    </w:p>
    <w:p w:rsidR="009A79F4" w:rsidRPr="009A79F4" w:rsidRDefault="009A79F4" w:rsidP="00095756">
      <w:pPr>
        <w:pStyle w:val="ListParagraph"/>
        <w:numPr>
          <w:ilvl w:val="0"/>
          <w:numId w:val="3"/>
        </w:numPr>
        <w:spacing w:after="120" w:line="240" w:lineRule="auto"/>
        <w:rPr>
          <w:rFonts w:ascii="Times New Roman" w:hAnsi="Times New Roman" w:cs="Times New Roman"/>
          <w:b/>
          <w:vanish/>
        </w:rPr>
      </w:pPr>
    </w:p>
    <w:p w:rsidR="00095756" w:rsidRPr="00072995" w:rsidRDefault="00095756" w:rsidP="00072995">
      <w:pPr>
        <w:pStyle w:val="Heading1"/>
        <w:rPr>
          <w:rFonts w:cs="Times New Roman"/>
        </w:rPr>
      </w:pPr>
      <w:bookmarkStart w:id="2" w:name="_Toc479081464"/>
      <w:r w:rsidRPr="00072995">
        <w:rPr>
          <w:rFonts w:cs="Times New Roman"/>
        </w:rPr>
        <w:t>Literature review</w:t>
      </w:r>
      <w:bookmarkEnd w:id="2"/>
    </w:p>
    <w:p w:rsidR="00F473AD" w:rsidRDefault="00F473AD" w:rsidP="00F473AD">
      <w:pPr>
        <w:spacing w:after="0" w:line="240" w:lineRule="auto"/>
        <w:rPr>
          <w:rFonts w:ascii="Times New Roman" w:hAnsi="Times New Roman" w:cs="Times New Roman"/>
        </w:rPr>
      </w:pPr>
      <w:r>
        <w:rPr>
          <w:rFonts w:ascii="Times New Roman" w:eastAsiaTheme="minorEastAsia" w:hAnsi="Times New Roman" w:cs="Times New Roman"/>
        </w:rPr>
        <w:t xml:space="preserve">Building satisfaction surveys as well as laboratory and other experiments occur throughout the built environment literature.  </w:t>
      </w:r>
      <w:proofErr w:type="spellStart"/>
      <w:r>
        <w:rPr>
          <w:rFonts w:ascii="Times New Roman" w:hAnsi="Times New Roman" w:cs="Times New Roman"/>
        </w:rPr>
        <w:t>Frontczak</w:t>
      </w:r>
      <w:proofErr w:type="spellEnd"/>
      <w:r>
        <w:rPr>
          <w:rFonts w:ascii="Times New Roman" w:hAnsi="Times New Roman" w:cs="Times New Roman"/>
        </w:rPr>
        <w:t xml:space="preserve"> and</w:t>
      </w:r>
      <w:r w:rsidRPr="00991596">
        <w:rPr>
          <w:rFonts w:ascii="Times New Roman" w:hAnsi="Times New Roman" w:cs="Times New Roman"/>
        </w:rPr>
        <w:t xml:space="preserve"> </w:t>
      </w:r>
      <w:proofErr w:type="spellStart"/>
      <w:r w:rsidRPr="00991596">
        <w:rPr>
          <w:rFonts w:ascii="Times New Roman" w:hAnsi="Times New Roman" w:cs="Times New Roman"/>
        </w:rPr>
        <w:t>Wargocki</w:t>
      </w:r>
      <w:proofErr w:type="spellEnd"/>
      <w:r>
        <w:rPr>
          <w:rFonts w:ascii="Times New Roman" w:hAnsi="Times New Roman" w:cs="Times New Roman"/>
        </w:rPr>
        <w:t xml:space="preserve"> </w:t>
      </w:r>
      <w:r w:rsidRPr="00991596">
        <w:rPr>
          <w:rFonts w:ascii="Times New Roman" w:hAnsi="Times New Roman" w:cs="Times New Roman"/>
        </w:rPr>
        <w:t>(2011)</w:t>
      </w:r>
      <w:r>
        <w:rPr>
          <w:rFonts w:ascii="Times New Roman" w:hAnsi="Times New Roman" w:cs="Times New Roman"/>
        </w:rPr>
        <w:t xml:space="preserve"> provides a good introduction to the general literature identifying factors impacting comfort.  From their meta-analysis, comfort is particularly sensitive to gender and age and so these are included as controls in this study.  They also find that thermal comfort can substantially impact other factors, e.g. when a space is thermally uncomfortable, occupants also find noise levels and other distractions more irritating.  </w:t>
      </w:r>
      <w:proofErr w:type="spellStart"/>
      <w:r>
        <w:rPr>
          <w:rFonts w:ascii="Times New Roman" w:hAnsi="Times New Roman" w:cs="Times New Roman"/>
        </w:rPr>
        <w:t>Frontczak</w:t>
      </w:r>
      <w:proofErr w:type="spellEnd"/>
      <w:r>
        <w:rPr>
          <w:rFonts w:ascii="Times New Roman" w:hAnsi="Times New Roman" w:cs="Times New Roman"/>
        </w:rPr>
        <w:t xml:space="preserve"> and</w:t>
      </w:r>
      <w:r w:rsidRPr="00991596">
        <w:rPr>
          <w:rFonts w:ascii="Times New Roman" w:hAnsi="Times New Roman" w:cs="Times New Roman"/>
        </w:rPr>
        <w:t xml:space="preserve"> </w:t>
      </w:r>
      <w:proofErr w:type="spellStart"/>
      <w:r w:rsidRPr="00991596">
        <w:rPr>
          <w:rFonts w:ascii="Times New Roman" w:hAnsi="Times New Roman" w:cs="Times New Roman"/>
        </w:rPr>
        <w:t>Wargocki</w:t>
      </w:r>
      <w:proofErr w:type="spellEnd"/>
      <w:r>
        <w:rPr>
          <w:rFonts w:ascii="Times New Roman" w:hAnsi="Times New Roman" w:cs="Times New Roman"/>
        </w:rPr>
        <w:t xml:space="preserve"> </w:t>
      </w:r>
      <w:r w:rsidRPr="00991596">
        <w:rPr>
          <w:rFonts w:ascii="Times New Roman" w:hAnsi="Times New Roman" w:cs="Times New Roman"/>
        </w:rPr>
        <w:t>(2011)</w:t>
      </w:r>
      <w:r>
        <w:rPr>
          <w:rFonts w:ascii="Times New Roman" w:hAnsi="Times New Roman" w:cs="Times New Roman"/>
        </w:rPr>
        <w:t xml:space="preserve"> is not green building specific, it also reviews studies where the subjects are transient and where they are assigned without discussing this important difference.  They compare the results without considering the self-selection issue and so find sometimes conflicting results.</w:t>
      </w:r>
    </w:p>
    <w:p w:rsidR="00F473AD" w:rsidRDefault="00F473AD" w:rsidP="00F473AD">
      <w:pPr>
        <w:spacing w:after="0" w:line="240" w:lineRule="auto"/>
        <w:rPr>
          <w:rFonts w:ascii="Times New Roman" w:hAnsi="Times New Roman" w:cs="Times New Roman"/>
        </w:rPr>
      </w:pPr>
    </w:p>
    <w:p w:rsidR="008F5B44" w:rsidRDefault="00F473AD" w:rsidP="00F473AD">
      <w:pPr>
        <w:spacing w:after="120" w:line="240" w:lineRule="auto"/>
        <w:rPr>
          <w:rFonts w:ascii="Times New Roman" w:hAnsi="Times New Roman" w:cs="Times New Roman"/>
        </w:rPr>
      </w:pPr>
      <w:r>
        <w:rPr>
          <w:rFonts w:ascii="Times New Roman" w:hAnsi="Times New Roman" w:cs="Times New Roman"/>
        </w:rPr>
        <w:t xml:space="preserve">A rather interesting study by </w:t>
      </w:r>
      <w:proofErr w:type="spellStart"/>
      <w:r>
        <w:rPr>
          <w:rFonts w:ascii="Times New Roman" w:hAnsi="Times New Roman" w:cs="Times New Roman"/>
        </w:rPr>
        <w:t>Kingma</w:t>
      </w:r>
      <w:proofErr w:type="spellEnd"/>
      <w:r>
        <w:rPr>
          <w:rFonts w:ascii="Times New Roman" w:hAnsi="Times New Roman" w:cs="Times New Roman"/>
        </w:rPr>
        <w:t xml:space="preserve"> and van </w:t>
      </w:r>
      <w:proofErr w:type="spellStart"/>
      <w:r>
        <w:rPr>
          <w:rFonts w:ascii="Times New Roman" w:hAnsi="Times New Roman" w:cs="Times New Roman"/>
        </w:rPr>
        <w:t>Marken</w:t>
      </w:r>
      <w:proofErr w:type="spellEnd"/>
      <w:r>
        <w:rPr>
          <w:rFonts w:ascii="Times New Roman" w:hAnsi="Times New Roman" w:cs="Times New Roman"/>
        </w:rPr>
        <w:t xml:space="preserve"> </w:t>
      </w:r>
      <w:proofErr w:type="spellStart"/>
      <w:r>
        <w:rPr>
          <w:rFonts w:ascii="Times New Roman" w:hAnsi="Times New Roman" w:cs="Times New Roman"/>
        </w:rPr>
        <w:t>Lichtenbelt</w:t>
      </w:r>
      <w:proofErr w:type="spellEnd"/>
      <w:r>
        <w:rPr>
          <w:rFonts w:ascii="Times New Roman" w:hAnsi="Times New Roman" w:cs="Times New Roman"/>
        </w:rPr>
        <w:t xml:space="preserve"> (2015) further emphasizes the role that gender plays, focusing on thermal comfort.  </w:t>
      </w:r>
      <w:r w:rsidR="00E80C28">
        <w:rPr>
          <w:rFonts w:ascii="Times New Roman" w:hAnsi="Times New Roman" w:cs="Times New Roman"/>
        </w:rPr>
        <w:t>They advocate for a better model of thermal demand that represents the actual occupants of buildings.  Citing evidence that women</w:t>
      </w:r>
      <w:r>
        <w:rPr>
          <w:rFonts w:ascii="Times New Roman" w:hAnsi="Times New Roman" w:cs="Times New Roman"/>
        </w:rPr>
        <w:t xml:space="preserve"> prefer warmer temperatures on average</w:t>
      </w:r>
      <w:r w:rsidR="00E80C28">
        <w:rPr>
          <w:rFonts w:ascii="Times New Roman" w:hAnsi="Times New Roman" w:cs="Times New Roman"/>
        </w:rPr>
        <w:t>, they</w:t>
      </w:r>
      <w:r>
        <w:rPr>
          <w:rFonts w:ascii="Times New Roman" w:hAnsi="Times New Roman" w:cs="Times New Roman"/>
        </w:rPr>
        <w:t xml:space="preserve"> </w:t>
      </w:r>
      <w:r w:rsidR="00E80C28">
        <w:rPr>
          <w:rFonts w:ascii="Times New Roman" w:hAnsi="Times New Roman" w:cs="Times New Roman"/>
        </w:rPr>
        <w:t>argue that buildings are typically set to match standards based on male metabolic rates and that these are fundamentally different from most women’s.  In a context of comparing green to conventional buildings, men and women may be impacted differently if a green building is too hot (initially favoring women) or too cold (not impacting men as much initially).</w:t>
      </w:r>
    </w:p>
    <w:p w:rsidR="00484991" w:rsidRDefault="00484991" w:rsidP="00F473AD">
      <w:pPr>
        <w:spacing w:after="120" w:line="240" w:lineRule="auto"/>
        <w:rPr>
          <w:rFonts w:ascii="Times New Roman" w:hAnsi="Times New Roman" w:cs="Times New Roman"/>
        </w:rPr>
      </w:pPr>
      <w:r>
        <w:rPr>
          <w:rFonts w:ascii="Times New Roman" w:hAnsi="Times New Roman" w:cs="Times New Roman"/>
        </w:rPr>
        <w:t xml:space="preserve">As an example of the green building literature, the Center for the Built Environment conducted a large analysis of green versus </w:t>
      </w:r>
      <w:r w:rsidR="008D4A41">
        <w:rPr>
          <w:rFonts w:ascii="Times New Roman" w:hAnsi="Times New Roman" w:cs="Times New Roman"/>
        </w:rPr>
        <w:t>conventional building comfort (</w:t>
      </w:r>
      <w:r w:rsidR="008D4A41" w:rsidRPr="000620E1">
        <w:rPr>
          <w:rFonts w:ascii="Times New Roman" w:hAnsi="Times New Roman" w:cs="Times New Roman"/>
        </w:rPr>
        <w:t>C</w:t>
      </w:r>
      <w:r w:rsidR="008D4A41">
        <w:rPr>
          <w:rFonts w:ascii="Times New Roman" w:hAnsi="Times New Roman" w:cs="Times New Roman"/>
        </w:rPr>
        <w:t>enter for the Built Environment, 2006)</w:t>
      </w:r>
      <w:r>
        <w:rPr>
          <w:rFonts w:ascii="Times New Roman" w:hAnsi="Times New Roman" w:cs="Times New Roman"/>
        </w:rPr>
        <w:t>.  Of the 181 buildings included in the survey, 21 were either LEED certified or owner designated as “green”.  Light on statistical analysis and relying on a comparison of means instead, they find green buildings better in some categories (thermal comfort, air quality) but not in other such as acoustical quality.  And like much of the literature, they survey building occupants without any identifying information about whether they are able to self-select in or out of buildings (short of resigning from their professions and dropping out of the study).  This seems to be a recurring theme in the literature- a lack of comparison and inclusion of both assigned and transitive occupants.</w:t>
      </w:r>
    </w:p>
    <w:p w:rsidR="004C5331" w:rsidRDefault="00C158E1" w:rsidP="00F473AD">
      <w:pPr>
        <w:spacing w:after="120" w:line="240" w:lineRule="auto"/>
        <w:rPr>
          <w:rFonts w:ascii="Times New Roman" w:hAnsi="Times New Roman" w:cs="Times New Roman"/>
        </w:rPr>
      </w:pPr>
      <w:r>
        <w:rPr>
          <w:rFonts w:ascii="Times New Roman" w:hAnsi="Times New Roman" w:cs="Times New Roman"/>
        </w:rPr>
        <w:t xml:space="preserve">Holmgren, </w:t>
      </w:r>
      <w:proofErr w:type="spellStart"/>
      <w:r>
        <w:rPr>
          <w:rFonts w:ascii="Times New Roman" w:hAnsi="Times New Roman" w:cs="Times New Roman"/>
        </w:rPr>
        <w:t>Kabanshi</w:t>
      </w:r>
      <w:proofErr w:type="spellEnd"/>
      <w:r>
        <w:rPr>
          <w:rFonts w:ascii="Times New Roman" w:hAnsi="Times New Roman" w:cs="Times New Roman"/>
        </w:rPr>
        <w:t xml:space="preserve">, and </w:t>
      </w:r>
      <w:proofErr w:type="spellStart"/>
      <w:r>
        <w:rPr>
          <w:rFonts w:ascii="Times New Roman" w:hAnsi="Times New Roman" w:cs="Times New Roman"/>
        </w:rPr>
        <w:t>Sorqvist</w:t>
      </w:r>
      <w:proofErr w:type="spellEnd"/>
      <w:r>
        <w:rPr>
          <w:rFonts w:ascii="Times New Roman" w:hAnsi="Times New Roman" w:cs="Times New Roman"/>
        </w:rPr>
        <w:t xml:space="preserve"> (2017) is an example of a more rigorous approach to questions of building comfort and green labels.  They conduct a small laboratory experiment where labelling of a laboratory workspace as having a “low carbon footprint” is interacted with temperature.  </w:t>
      </w:r>
      <w:r w:rsidR="003664DB">
        <w:rPr>
          <w:rFonts w:ascii="Times New Roman" w:hAnsi="Times New Roman" w:cs="Times New Roman"/>
        </w:rPr>
        <w:t xml:space="preserve">They find that environmentally concerned participants tend to like the low carbon, or green, labeled space more (no surprise).  They are also willing to tolerate higher temperatures in the green space (give higher acceptability scores) relative to otherwise same non-green spaces- but within limits.  Beyond some range of acceptability, temperature appears to then take precedence over green preferences.  An unfortunate limitation on this sort of research is that it only measures a </w:t>
      </w:r>
      <w:r w:rsidR="00D742FC">
        <w:rPr>
          <w:rFonts w:ascii="Times New Roman" w:hAnsi="Times New Roman" w:cs="Times New Roman"/>
        </w:rPr>
        <w:t>short-term</w:t>
      </w:r>
      <w:r w:rsidR="003664DB">
        <w:rPr>
          <w:rFonts w:ascii="Times New Roman" w:hAnsi="Times New Roman" w:cs="Times New Roman"/>
        </w:rPr>
        <w:t xml:space="preserve"> situation- the green effect they find may dissipate with long term, repeat exposure to only mildly uncomfortable spaces consistent with most building occupant behavior.</w:t>
      </w:r>
    </w:p>
    <w:p w:rsidR="00D742FC" w:rsidRDefault="00D742FC" w:rsidP="00F473AD">
      <w:pPr>
        <w:spacing w:after="120" w:line="240" w:lineRule="auto"/>
        <w:rPr>
          <w:rFonts w:ascii="Times New Roman" w:hAnsi="Times New Roman" w:cs="Times New Roman"/>
        </w:rPr>
      </w:pPr>
      <w:r>
        <w:rPr>
          <w:rFonts w:ascii="Times New Roman" w:hAnsi="Times New Roman" w:cs="Times New Roman"/>
        </w:rPr>
        <w:t xml:space="preserve">As a final example, Paul and Taylor (2008) study a mix of one green and two conventional buildings on university campuses with a similar variety of questions to the survey utilized here.  However, Paul and Taylor didn’t analyze the impact on more transient students and only sampled university employees who are assigned space.  While this places their study on the more stringently designed side of the </w:t>
      </w:r>
      <w:r w:rsidR="001A153C">
        <w:rPr>
          <w:rFonts w:ascii="Times New Roman" w:hAnsi="Times New Roman" w:cs="Times New Roman"/>
        </w:rPr>
        <w:t>green building environmental research spectrum, it is limited in comparison to what can be said in the present work.  Still, they find similar results for our assigned subgroup- little to no difference in satisfaction from being placed in a green building.  It appears, if green buildings do have some advantage for occupants, it comes from being able to self-select into the right environment rather than being placed orthogonally to preferences.</w:t>
      </w:r>
    </w:p>
    <w:p w:rsidR="00BF6C9A" w:rsidRPr="00BF6C9A" w:rsidRDefault="004C5331" w:rsidP="00A31930">
      <w:pPr>
        <w:spacing w:after="120" w:line="240" w:lineRule="auto"/>
        <w:rPr>
          <w:rFonts w:ascii="Times New Roman" w:eastAsiaTheme="minorEastAsia" w:hAnsi="Times New Roman" w:cs="Times New Roman"/>
        </w:rPr>
      </w:pPr>
      <w:r>
        <w:rPr>
          <w:rFonts w:ascii="Times New Roman" w:hAnsi="Times New Roman" w:cs="Times New Roman"/>
        </w:rPr>
        <w:t xml:space="preserve">Finally, green buildings have other value than building comfort.  </w:t>
      </w:r>
      <w:proofErr w:type="spellStart"/>
      <w:r>
        <w:rPr>
          <w:rFonts w:ascii="Times New Roman" w:hAnsi="Times New Roman" w:cs="Times New Roman"/>
        </w:rPr>
        <w:t>Kok</w:t>
      </w:r>
      <w:proofErr w:type="spellEnd"/>
      <w:r>
        <w:rPr>
          <w:rFonts w:ascii="Times New Roman" w:hAnsi="Times New Roman" w:cs="Times New Roman"/>
        </w:rPr>
        <w:t xml:space="preserve"> and Quigley (2013) note substantial energy savings potential relative to matched conventional buildings.  Unfortunately, these savings are </w:t>
      </w:r>
      <w:r>
        <w:rPr>
          <w:rFonts w:ascii="Times New Roman" w:hAnsi="Times New Roman" w:cs="Times New Roman"/>
        </w:rPr>
        <w:lastRenderedPageBreak/>
        <w:t>found to be well incorporated into the rents of green space and so is less of a direct remunerative advantage to occupants even if good for the environment.</w:t>
      </w:r>
    </w:p>
    <w:p w:rsidR="00095756" w:rsidRDefault="00095756" w:rsidP="00072995">
      <w:pPr>
        <w:pStyle w:val="Heading1"/>
        <w:rPr>
          <w:rFonts w:cs="Times New Roman"/>
        </w:rPr>
      </w:pPr>
      <w:bookmarkStart w:id="3" w:name="_Toc479081465"/>
      <w:r w:rsidRPr="00072995">
        <w:rPr>
          <w:rFonts w:cs="Times New Roman"/>
        </w:rPr>
        <w:t>Methodology</w:t>
      </w:r>
      <w:bookmarkEnd w:id="3"/>
    </w:p>
    <w:p w:rsidR="00BF6C9A" w:rsidRPr="00C10D76" w:rsidRDefault="00A90E48" w:rsidP="00BF6C9A">
      <w:pPr>
        <w:rPr>
          <w:rFonts w:ascii="Times New Roman" w:hAnsi="Times New Roman" w:cs="Times New Roman"/>
        </w:rPr>
      </w:pPr>
      <w:r>
        <w:rPr>
          <w:rFonts w:ascii="Times New Roman" w:hAnsi="Times New Roman" w:cs="Times New Roman"/>
        </w:rPr>
        <w:t>This section outlines the study</w:t>
      </w:r>
      <w:r w:rsidR="00C10D76">
        <w:rPr>
          <w:rFonts w:ascii="Times New Roman" w:hAnsi="Times New Roman" w:cs="Times New Roman"/>
        </w:rPr>
        <w:t xml:space="preserve"> methodology in four parts.  First, the general research environment- the buildings that occupants use who are included in the study.  Then, the population surveyed is outlined and contrasted to </w:t>
      </w:r>
      <w:r w:rsidR="000F1D45">
        <w:rPr>
          <w:rFonts w:ascii="Times New Roman" w:hAnsi="Times New Roman" w:cs="Times New Roman"/>
        </w:rPr>
        <w:t>the general population</w:t>
      </w:r>
      <w:r w:rsidR="00C10D76">
        <w:rPr>
          <w:rFonts w:ascii="Times New Roman" w:hAnsi="Times New Roman" w:cs="Times New Roman"/>
        </w:rPr>
        <w:t xml:space="preserve">.  The survey design is then highlighted and finally the statistical approach utilized is </w:t>
      </w:r>
      <w:r w:rsidR="000F1D45">
        <w:rPr>
          <w:rFonts w:ascii="Times New Roman" w:hAnsi="Times New Roman" w:cs="Times New Roman"/>
        </w:rPr>
        <w:t>outlined</w:t>
      </w:r>
      <w:r w:rsidR="00C10D76">
        <w:rPr>
          <w:rFonts w:ascii="Times New Roman" w:hAnsi="Times New Roman" w:cs="Times New Roman"/>
        </w:rPr>
        <w:t xml:space="preserve"> </w:t>
      </w:r>
      <w:r w:rsidR="000F1D45">
        <w:rPr>
          <w:rFonts w:ascii="Times New Roman" w:hAnsi="Times New Roman" w:cs="Times New Roman"/>
        </w:rPr>
        <w:t>in greater depth</w:t>
      </w:r>
      <w:r w:rsidR="00C10D76">
        <w:rPr>
          <w:rFonts w:ascii="Times New Roman" w:hAnsi="Times New Roman" w:cs="Times New Roman"/>
        </w:rPr>
        <w:t>.  Due to the complication of including two intrinsically different groups in th</w:t>
      </w:r>
      <w:r w:rsidR="000F1D45">
        <w:rPr>
          <w:rFonts w:ascii="Times New Roman" w:hAnsi="Times New Roman" w:cs="Times New Roman"/>
        </w:rPr>
        <w:t>is</w:t>
      </w:r>
      <w:r w:rsidR="00C10D76">
        <w:rPr>
          <w:rFonts w:ascii="Times New Roman" w:hAnsi="Times New Roman" w:cs="Times New Roman"/>
        </w:rPr>
        <w:t xml:space="preserve"> study, </w:t>
      </w:r>
      <w:r w:rsidR="000F1D45">
        <w:rPr>
          <w:rFonts w:ascii="Times New Roman" w:hAnsi="Times New Roman" w:cs="Times New Roman"/>
        </w:rPr>
        <w:t>the empirical approach is taken with great care</w:t>
      </w:r>
      <w:r w:rsidR="00C10D76">
        <w:rPr>
          <w:rFonts w:ascii="Times New Roman" w:hAnsi="Times New Roman" w:cs="Times New Roman"/>
        </w:rPr>
        <w:t>.</w:t>
      </w:r>
    </w:p>
    <w:p w:rsidR="006D4BCB" w:rsidRPr="006D4BCB" w:rsidRDefault="00AD4CB5" w:rsidP="00072995">
      <w:pPr>
        <w:pStyle w:val="ListParagraph"/>
        <w:spacing w:after="120" w:line="240" w:lineRule="auto"/>
        <w:outlineLvl w:val="1"/>
        <w:rPr>
          <w:rFonts w:ascii="Times New Roman" w:hAnsi="Times New Roman" w:cs="Times New Roman"/>
        </w:rPr>
      </w:pPr>
      <w:bookmarkStart w:id="4" w:name="_Toc479081466"/>
      <w:r w:rsidRPr="00AD4CB5">
        <w:rPr>
          <w:rFonts w:ascii="Times New Roman" w:hAnsi="Times New Roman" w:cs="Times New Roman"/>
        </w:rPr>
        <w:t>Research Environment</w:t>
      </w:r>
      <w:bookmarkEnd w:id="4"/>
    </w:p>
    <w:p w:rsidR="006D4BCB" w:rsidRDefault="006D4BCB" w:rsidP="006D4BCB">
      <w:pPr>
        <w:rPr>
          <w:rFonts w:ascii="Times New Roman" w:hAnsi="Times New Roman" w:cs="Times New Roman"/>
        </w:rPr>
      </w:pPr>
      <w:r>
        <w:rPr>
          <w:rFonts w:ascii="Times New Roman" w:hAnsi="Times New Roman" w:cs="Times New Roman"/>
        </w:rPr>
        <w:t xml:space="preserve">Yale </w:t>
      </w:r>
      <w:r w:rsidR="000F1D45">
        <w:rPr>
          <w:rFonts w:ascii="Times New Roman" w:hAnsi="Times New Roman" w:cs="Times New Roman"/>
        </w:rPr>
        <w:t>F&amp;ES</w:t>
      </w:r>
      <w:r>
        <w:rPr>
          <w:rFonts w:ascii="Times New Roman" w:hAnsi="Times New Roman" w:cs="Times New Roman"/>
        </w:rPr>
        <w:t xml:space="preserve"> owns a variety of valuable resources.  In addition to reputations for excellence in research and teaching and several thousand acres of productive Connecticut </w:t>
      </w:r>
      <w:r w:rsidR="000F1D45">
        <w:rPr>
          <w:rFonts w:ascii="Times New Roman" w:hAnsi="Times New Roman" w:cs="Times New Roman"/>
        </w:rPr>
        <w:t xml:space="preserve">and adjoining </w:t>
      </w:r>
      <w:r>
        <w:rPr>
          <w:rFonts w:ascii="Times New Roman" w:hAnsi="Times New Roman" w:cs="Times New Roman"/>
        </w:rPr>
        <w:t>forest</w:t>
      </w:r>
      <w:r w:rsidR="000F1D45">
        <w:rPr>
          <w:rFonts w:ascii="Times New Roman" w:hAnsi="Times New Roman" w:cs="Times New Roman"/>
        </w:rPr>
        <w:t>s</w:t>
      </w:r>
      <w:r>
        <w:rPr>
          <w:rFonts w:ascii="Times New Roman" w:hAnsi="Times New Roman" w:cs="Times New Roman"/>
        </w:rPr>
        <w:t xml:space="preserve">, </w:t>
      </w:r>
      <w:r w:rsidR="000F1D45">
        <w:rPr>
          <w:rFonts w:ascii="Times New Roman" w:hAnsi="Times New Roman" w:cs="Times New Roman"/>
        </w:rPr>
        <w:t>it owns and occupies</w:t>
      </w:r>
      <w:r>
        <w:rPr>
          <w:rFonts w:ascii="Times New Roman" w:hAnsi="Times New Roman" w:cs="Times New Roman"/>
        </w:rPr>
        <w:t xml:space="preserve"> six buildings on campus.  These buildin</w:t>
      </w:r>
      <w:r w:rsidR="000F1D45">
        <w:rPr>
          <w:rFonts w:ascii="Times New Roman" w:hAnsi="Times New Roman" w:cs="Times New Roman"/>
        </w:rPr>
        <w:t xml:space="preserve">gs, built between 1878 and 2009 and continually updated, have a contrasting characteristic </w:t>
      </w:r>
      <w:r>
        <w:rPr>
          <w:rFonts w:ascii="Times New Roman" w:hAnsi="Times New Roman" w:cs="Times New Roman"/>
        </w:rPr>
        <w:t>that provide</w:t>
      </w:r>
      <w:r w:rsidR="000F1D45">
        <w:rPr>
          <w:rFonts w:ascii="Times New Roman" w:hAnsi="Times New Roman" w:cs="Times New Roman"/>
        </w:rPr>
        <w:t>s</w:t>
      </w:r>
      <w:r>
        <w:rPr>
          <w:rFonts w:ascii="Times New Roman" w:hAnsi="Times New Roman" w:cs="Times New Roman"/>
        </w:rPr>
        <w:t xml:space="preserve"> a rich environment for research on the impact of </w:t>
      </w:r>
      <w:r w:rsidR="000F1D45">
        <w:rPr>
          <w:rFonts w:ascii="Times New Roman" w:hAnsi="Times New Roman" w:cs="Times New Roman"/>
        </w:rPr>
        <w:t>green buildings</w:t>
      </w:r>
      <w:r>
        <w:rPr>
          <w:rFonts w:ascii="Times New Roman" w:hAnsi="Times New Roman" w:cs="Times New Roman"/>
        </w:rPr>
        <w:t xml:space="preserve"> on productivity</w:t>
      </w:r>
      <w:r w:rsidR="000F1D45">
        <w:rPr>
          <w:rFonts w:ascii="Times New Roman" w:hAnsi="Times New Roman" w:cs="Times New Roman"/>
        </w:rPr>
        <w:t xml:space="preserve"> and satisfaction</w:t>
      </w:r>
      <w:r>
        <w:rPr>
          <w:rFonts w:ascii="Times New Roman" w:hAnsi="Times New Roman" w:cs="Times New Roman"/>
        </w:rPr>
        <w:t xml:space="preserve">.  </w:t>
      </w:r>
      <w:r w:rsidR="000F1D45">
        <w:rPr>
          <w:rFonts w:ascii="Times New Roman" w:hAnsi="Times New Roman" w:cs="Times New Roman"/>
        </w:rPr>
        <w:t>A</w:t>
      </w:r>
      <w:r>
        <w:rPr>
          <w:rFonts w:ascii="Times New Roman" w:hAnsi="Times New Roman" w:cs="Times New Roman"/>
        </w:rPr>
        <w:t>n extensive survey of F</w:t>
      </w:r>
      <w:r w:rsidR="000F1D45">
        <w:rPr>
          <w:rFonts w:ascii="Times New Roman" w:hAnsi="Times New Roman" w:cs="Times New Roman"/>
        </w:rPr>
        <w:t>&amp;</w:t>
      </w:r>
      <w:r>
        <w:rPr>
          <w:rFonts w:ascii="Times New Roman" w:hAnsi="Times New Roman" w:cs="Times New Roman"/>
        </w:rPr>
        <w:t xml:space="preserve">ES building users </w:t>
      </w:r>
      <w:r w:rsidR="000F1D45">
        <w:rPr>
          <w:rFonts w:ascii="Times New Roman" w:hAnsi="Times New Roman" w:cs="Times New Roman"/>
        </w:rPr>
        <w:t>was conducted recently</w:t>
      </w:r>
      <w:r>
        <w:rPr>
          <w:rFonts w:ascii="Times New Roman" w:hAnsi="Times New Roman" w:cs="Times New Roman"/>
        </w:rPr>
        <w:t xml:space="preserve"> to </w:t>
      </w:r>
      <w:r w:rsidR="000F1D45">
        <w:rPr>
          <w:rFonts w:ascii="Times New Roman" w:hAnsi="Times New Roman" w:cs="Times New Roman"/>
        </w:rPr>
        <w:t>estimate a green building effect, if any, and</w:t>
      </w:r>
      <w:r>
        <w:rPr>
          <w:rFonts w:ascii="Times New Roman" w:hAnsi="Times New Roman" w:cs="Times New Roman"/>
        </w:rPr>
        <w:t xml:space="preserve"> key drivers </w:t>
      </w:r>
      <w:r w:rsidR="000F1D45">
        <w:rPr>
          <w:rFonts w:ascii="Times New Roman" w:hAnsi="Times New Roman" w:cs="Times New Roman"/>
        </w:rPr>
        <w:t>of</w:t>
      </w:r>
      <w:r>
        <w:rPr>
          <w:rFonts w:ascii="Times New Roman" w:hAnsi="Times New Roman" w:cs="Times New Roman"/>
        </w:rPr>
        <w:t xml:space="preserve"> satisfaction and productivity caused by</w:t>
      </w:r>
      <w:r w:rsidR="000F1D45">
        <w:rPr>
          <w:rFonts w:ascii="Times New Roman" w:hAnsi="Times New Roman" w:cs="Times New Roman"/>
        </w:rPr>
        <w:t xml:space="preserve"> such a built</w:t>
      </w:r>
      <w:r>
        <w:rPr>
          <w:rFonts w:ascii="Times New Roman" w:hAnsi="Times New Roman" w:cs="Times New Roman"/>
        </w:rPr>
        <w:t xml:space="preserve"> difference.</w:t>
      </w:r>
    </w:p>
    <w:p w:rsidR="006D4BCB" w:rsidRDefault="000F1D45" w:rsidP="006D4BCB">
      <w:pPr>
        <w:spacing w:after="120" w:line="240" w:lineRule="auto"/>
        <w:rPr>
          <w:rFonts w:ascii="Times New Roman" w:hAnsi="Times New Roman" w:cs="Times New Roman"/>
        </w:rPr>
      </w:pPr>
      <w:r>
        <w:rPr>
          <w:rFonts w:ascii="Times New Roman" w:hAnsi="Times New Roman" w:cs="Times New Roman"/>
        </w:rPr>
        <w:t xml:space="preserve">The </w:t>
      </w:r>
      <w:r w:rsidR="006D4BCB">
        <w:rPr>
          <w:rFonts w:ascii="Times New Roman" w:hAnsi="Times New Roman" w:cs="Times New Roman"/>
        </w:rPr>
        <w:t xml:space="preserve">set of buildings </w:t>
      </w:r>
      <w:r w:rsidR="00607712">
        <w:rPr>
          <w:rFonts w:ascii="Times New Roman" w:hAnsi="Times New Roman" w:cs="Times New Roman"/>
        </w:rPr>
        <w:t>in</w:t>
      </w:r>
      <w:r w:rsidR="006D4BCB">
        <w:rPr>
          <w:rFonts w:ascii="Times New Roman" w:hAnsi="Times New Roman" w:cs="Times New Roman"/>
        </w:rPr>
        <w:t xml:space="preserve"> comparison </w:t>
      </w:r>
      <w:r w:rsidR="00607712">
        <w:rPr>
          <w:rFonts w:ascii="Times New Roman" w:hAnsi="Times New Roman" w:cs="Times New Roman"/>
        </w:rPr>
        <w:t xml:space="preserve">is </w:t>
      </w:r>
      <w:r w:rsidR="006D4BCB">
        <w:rPr>
          <w:rFonts w:ascii="Times New Roman" w:hAnsi="Times New Roman" w:cs="Times New Roman"/>
        </w:rPr>
        <w:t xml:space="preserve">particularly novel </w:t>
      </w:r>
      <w:r w:rsidR="00607712">
        <w:rPr>
          <w:rFonts w:ascii="Times New Roman" w:hAnsi="Times New Roman" w:cs="Times New Roman"/>
        </w:rPr>
        <w:t>due to</w:t>
      </w:r>
      <w:r w:rsidR="006D4BCB">
        <w:rPr>
          <w:rFonts w:ascii="Times New Roman" w:hAnsi="Times New Roman" w:cs="Times New Roman"/>
        </w:rPr>
        <w:t xml:space="preserve"> the inclusion of Yale University’s greenest building</w:t>
      </w:r>
      <w:r w:rsidR="00607712">
        <w:rPr>
          <w:rFonts w:ascii="Times New Roman" w:hAnsi="Times New Roman" w:cs="Times New Roman"/>
        </w:rPr>
        <w:t>-</w:t>
      </w:r>
      <w:r w:rsidR="006D4BCB">
        <w:rPr>
          <w:rFonts w:ascii="Times New Roman" w:hAnsi="Times New Roman" w:cs="Times New Roman"/>
        </w:rPr>
        <w:t xml:space="preserve"> Kroon Hall.  Designed in 2005 by Hopkins Architects, Kroon Hall </w:t>
      </w:r>
      <w:r w:rsidR="00C41C3F">
        <w:rPr>
          <w:rFonts w:ascii="Times New Roman" w:hAnsi="Times New Roman" w:cs="Times New Roman"/>
        </w:rPr>
        <w:t>was intended</w:t>
      </w:r>
      <w:r w:rsidR="006D4BCB">
        <w:rPr>
          <w:rFonts w:ascii="Times New Roman" w:hAnsi="Times New Roman" w:cs="Times New Roman"/>
        </w:rPr>
        <w:t xml:space="preserve"> to </w:t>
      </w:r>
      <w:r w:rsidR="00C41C3F">
        <w:rPr>
          <w:rFonts w:ascii="Times New Roman" w:hAnsi="Times New Roman" w:cs="Times New Roman"/>
        </w:rPr>
        <w:t>be</w:t>
      </w:r>
      <w:r w:rsidR="006D4BCB">
        <w:rPr>
          <w:rFonts w:ascii="Times New Roman" w:hAnsi="Times New Roman" w:cs="Times New Roman"/>
        </w:rPr>
        <w:t xml:space="preserve"> at the very forefront of sustainability and environmental innovation.  </w:t>
      </w:r>
      <w:r w:rsidR="006D4BCB" w:rsidRPr="00991596">
        <w:rPr>
          <w:rFonts w:ascii="Times New Roman" w:hAnsi="Times New Roman" w:cs="Times New Roman"/>
        </w:rPr>
        <w:t xml:space="preserve">After its construction, </w:t>
      </w:r>
      <w:r w:rsidR="00C41C3F">
        <w:rPr>
          <w:rFonts w:ascii="Times New Roman" w:hAnsi="Times New Roman" w:cs="Times New Roman"/>
        </w:rPr>
        <w:t>it</w:t>
      </w:r>
      <w:r w:rsidR="006D4BCB" w:rsidRPr="00991596">
        <w:rPr>
          <w:rFonts w:ascii="Times New Roman" w:hAnsi="Times New Roman" w:cs="Times New Roman"/>
        </w:rPr>
        <w:t xml:space="preserve"> was awarded the US Green Building Council’s (USGBC) highest certification for green building</w:t>
      </w:r>
      <w:r w:rsidR="00C41C3F">
        <w:rPr>
          <w:rFonts w:ascii="Times New Roman" w:hAnsi="Times New Roman" w:cs="Times New Roman"/>
        </w:rPr>
        <w:t>-</w:t>
      </w:r>
      <w:r w:rsidR="006D4BCB" w:rsidRPr="00991596">
        <w:rPr>
          <w:rFonts w:ascii="Times New Roman" w:hAnsi="Times New Roman" w:cs="Times New Roman"/>
        </w:rPr>
        <w:t xml:space="preserve"> LEED Platinum. The certification is based on points received by implementing a checklist of</w:t>
      </w:r>
      <w:r w:rsidR="006D4BCB">
        <w:rPr>
          <w:rFonts w:ascii="Times New Roman" w:hAnsi="Times New Roman" w:cs="Times New Roman"/>
        </w:rPr>
        <w:t xml:space="preserve"> green features. For Kroon Hall</w:t>
      </w:r>
      <w:r w:rsidR="00C41C3F">
        <w:rPr>
          <w:rFonts w:ascii="Times New Roman" w:hAnsi="Times New Roman" w:cs="Times New Roman"/>
        </w:rPr>
        <w:t>,</w:t>
      </w:r>
      <w:r w:rsidR="006D4BCB">
        <w:rPr>
          <w:rFonts w:ascii="Times New Roman" w:hAnsi="Times New Roman" w:cs="Times New Roman"/>
        </w:rPr>
        <w:t xml:space="preserve"> </w:t>
      </w:r>
      <w:r w:rsidR="006D4BCB" w:rsidRPr="00991596">
        <w:rPr>
          <w:rFonts w:ascii="Times New Roman" w:hAnsi="Times New Roman" w:cs="Times New Roman"/>
        </w:rPr>
        <w:t xml:space="preserve">these features include geothermal wells, adiabatic cooling, </w:t>
      </w:r>
      <w:r w:rsidR="00213C03">
        <w:rPr>
          <w:rFonts w:ascii="Times New Roman" w:hAnsi="Times New Roman" w:cs="Times New Roman"/>
        </w:rPr>
        <w:t>exotic</w:t>
      </w:r>
      <w:r w:rsidR="006D4BCB" w:rsidRPr="00991596">
        <w:rPr>
          <w:rFonts w:ascii="Times New Roman" w:hAnsi="Times New Roman" w:cs="Times New Roman"/>
        </w:rPr>
        <w:t xml:space="preserve"> air handlers, high efficiency heat pumps</w:t>
      </w:r>
      <w:r w:rsidR="00213C03">
        <w:rPr>
          <w:rFonts w:ascii="Times New Roman" w:hAnsi="Times New Roman" w:cs="Times New Roman"/>
        </w:rPr>
        <w:t>,</w:t>
      </w:r>
      <w:r w:rsidR="006D4BCB" w:rsidRPr="00991596">
        <w:rPr>
          <w:rFonts w:ascii="Times New Roman" w:hAnsi="Times New Roman" w:cs="Times New Roman"/>
        </w:rPr>
        <w:t xml:space="preserve"> and </w:t>
      </w:r>
      <w:r w:rsidR="00213C03">
        <w:rPr>
          <w:rFonts w:ascii="Times New Roman" w:hAnsi="Times New Roman" w:cs="Times New Roman"/>
        </w:rPr>
        <w:t xml:space="preserve">a </w:t>
      </w:r>
      <w:r w:rsidR="00213C03" w:rsidRPr="00991596">
        <w:rPr>
          <w:rFonts w:ascii="Times New Roman" w:hAnsi="Times New Roman" w:cs="Times New Roman"/>
        </w:rPr>
        <w:t>100-kilowatt</w:t>
      </w:r>
      <w:r w:rsidR="006D4BCB" w:rsidRPr="00991596">
        <w:rPr>
          <w:rFonts w:ascii="Times New Roman" w:hAnsi="Times New Roman" w:cs="Times New Roman"/>
        </w:rPr>
        <w:t xml:space="preserve"> photovoltaic </w:t>
      </w:r>
      <w:r w:rsidR="00213C03">
        <w:rPr>
          <w:rFonts w:ascii="Times New Roman" w:hAnsi="Times New Roman" w:cs="Times New Roman"/>
        </w:rPr>
        <w:t>system</w:t>
      </w:r>
      <w:r w:rsidR="006D4BCB" w:rsidRPr="00991596">
        <w:rPr>
          <w:rFonts w:ascii="Times New Roman" w:hAnsi="Times New Roman" w:cs="Times New Roman"/>
        </w:rPr>
        <w:t xml:space="preserve">. </w:t>
      </w:r>
      <w:r w:rsidR="006D4BCB">
        <w:rPr>
          <w:rFonts w:ascii="Times New Roman" w:hAnsi="Times New Roman" w:cs="Times New Roman"/>
        </w:rPr>
        <w:t xml:space="preserve"> In total, Kroon received</w:t>
      </w:r>
      <w:r w:rsidR="006D4BCB" w:rsidRPr="00991596">
        <w:rPr>
          <w:rFonts w:ascii="Times New Roman" w:hAnsi="Times New Roman" w:cs="Times New Roman"/>
        </w:rPr>
        <w:t xml:space="preserve"> 97 point</w:t>
      </w:r>
      <w:r w:rsidR="00213C03">
        <w:rPr>
          <w:rFonts w:ascii="Times New Roman" w:hAnsi="Times New Roman" w:cs="Times New Roman"/>
        </w:rPr>
        <w:t>s on the</w:t>
      </w:r>
      <w:r w:rsidR="006D4BCB">
        <w:rPr>
          <w:rFonts w:ascii="Times New Roman" w:hAnsi="Times New Roman" w:cs="Times New Roman"/>
        </w:rPr>
        <w:t xml:space="preserve"> LEED checklist, far</w:t>
      </w:r>
      <w:r w:rsidR="006D4BCB" w:rsidRPr="00991596">
        <w:rPr>
          <w:rFonts w:ascii="Times New Roman" w:hAnsi="Times New Roman" w:cs="Times New Roman"/>
        </w:rPr>
        <w:t xml:space="preserve"> more than the 80 points needed to </w:t>
      </w:r>
      <w:r w:rsidR="00213C03">
        <w:rPr>
          <w:rFonts w:ascii="Times New Roman" w:hAnsi="Times New Roman" w:cs="Times New Roman"/>
        </w:rPr>
        <w:t>receive</w:t>
      </w:r>
      <w:r w:rsidR="006D4BCB" w:rsidRPr="00991596">
        <w:rPr>
          <w:rFonts w:ascii="Times New Roman" w:hAnsi="Times New Roman" w:cs="Times New Roman"/>
        </w:rPr>
        <w:t xml:space="preserve"> Platinum </w:t>
      </w:r>
      <w:r w:rsidR="00213C03">
        <w:rPr>
          <w:rFonts w:ascii="Times New Roman" w:hAnsi="Times New Roman" w:cs="Times New Roman"/>
        </w:rPr>
        <w:t>certification</w:t>
      </w:r>
    </w:p>
    <w:p w:rsidR="006D4BCB" w:rsidRDefault="00AD63A8" w:rsidP="006D4BCB">
      <w:pPr>
        <w:spacing w:after="120" w:line="240" w:lineRule="auto"/>
        <w:rPr>
          <w:rFonts w:ascii="Times New Roman" w:hAnsi="Times New Roman" w:cs="Times New Roman"/>
        </w:rPr>
      </w:pPr>
      <w:r>
        <w:rPr>
          <w:rFonts w:ascii="Times New Roman" w:hAnsi="Times New Roman" w:cs="Times New Roman"/>
        </w:rPr>
        <w:t xml:space="preserve">The key source of identifying variation on the green building effect in this study is a comparison of satisfaction, work impact, etc. ratings of Kroon Hall users to those who primarily use the other five buildings at Yale F&amp;ES.  These other buildings are </w:t>
      </w:r>
      <w:r w:rsidR="00333426">
        <w:rPr>
          <w:rFonts w:ascii="Times New Roman" w:hAnsi="Times New Roman" w:cs="Times New Roman"/>
        </w:rPr>
        <w:t xml:space="preserve">relatively standard institutional </w:t>
      </w:r>
      <w:r w:rsidR="006D4BCB">
        <w:rPr>
          <w:rFonts w:ascii="Times New Roman" w:hAnsi="Times New Roman" w:cs="Times New Roman"/>
        </w:rPr>
        <w:t>structures</w:t>
      </w:r>
      <w:r>
        <w:rPr>
          <w:rFonts w:ascii="Times New Roman" w:hAnsi="Times New Roman" w:cs="Times New Roman"/>
        </w:rPr>
        <w:t>.  While some are aged, they have undergone sufficient renovation over the years that they also remain comparable to most U.S. office spaces, at least on the interior</w:t>
      </w:r>
      <w:r w:rsidR="006D4BCB">
        <w:rPr>
          <w:rFonts w:ascii="Times New Roman" w:hAnsi="Times New Roman" w:cs="Times New Roman"/>
        </w:rPr>
        <w:t xml:space="preserve">.  In the </w:t>
      </w:r>
      <w:r w:rsidR="00333426">
        <w:rPr>
          <w:rFonts w:ascii="Times New Roman" w:hAnsi="Times New Roman" w:cs="Times New Roman"/>
        </w:rPr>
        <w:t>following econometric model</w:t>
      </w:r>
      <w:r w:rsidR="006D4BCB">
        <w:rPr>
          <w:rFonts w:ascii="Times New Roman" w:hAnsi="Times New Roman" w:cs="Times New Roman"/>
        </w:rPr>
        <w:t xml:space="preserve">, the </w:t>
      </w:r>
      <w:r w:rsidR="00333426">
        <w:rPr>
          <w:rFonts w:ascii="Times New Roman" w:hAnsi="Times New Roman" w:cs="Times New Roman"/>
        </w:rPr>
        <w:t xml:space="preserve">replies from </w:t>
      </w:r>
      <w:r w:rsidR="006D4BCB">
        <w:rPr>
          <w:rFonts w:ascii="Times New Roman" w:hAnsi="Times New Roman" w:cs="Times New Roman"/>
        </w:rPr>
        <w:t>occupants of these buildings</w:t>
      </w:r>
      <w:r w:rsidR="00333426">
        <w:rPr>
          <w:rFonts w:ascii="Times New Roman" w:hAnsi="Times New Roman" w:cs="Times New Roman"/>
        </w:rPr>
        <w:t>,</w:t>
      </w:r>
      <w:r w:rsidR="006D4BCB">
        <w:rPr>
          <w:rFonts w:ascii="Times New Roman" w:hAnsi="Times New Roman" w:cs="Times New Roman"/>
        </w:rPr>
        <w:t xml:space="preserve"> which constitute roughly half of the FES faculty, staff, and student body, are grouped together </w:t>
      </w:r>
      <w:r w:rsidR="00333426">
        <w:rPr>
          <w:rFonts w:ascii="Times New Roman" w:hAnsi="Times New Roman" w:cs="Times New Roman"/>
        </w:rPr>
        <w:t>to form a</w:t>
      </w:r>
      <w:r w:rsidR="006D4BCB">
        <w:rPr>
          <w:rFonts w:ascii="Times New Roman" w:hAnsi="Times New Roman" w:cs="Times New Roman"/>
        </w:rPr>
        <w:t xml:space="preserve"> baseline.  Despite differences in age and </w:t>
      </w:r>
      <w:r w:rsidR="00333426">
        <w:rPr>
          <w:rFonts w:ascii="Times New Roman" w:hAnsi="Times New Roman" w:cs="Times New Roman"/>
        </w:rPr>
        <w:t>design</w:t>
      </w:r>
      <w:r w:rsidR="006D4BCB">
        <w:rPr>
          <w:rFonts w:ascii="Times New Roman" w:hAnsi="Times New Roman" w:cs="Times New Roman"/>
        </w:rPr>
        <w:t>, the</w:t>
      </w:r>
      <w:r w:rsidR="00333426">
        <w:rPr>
          <w:rFonts w:ascii="Times New Roman" w:hAnsi="Times New Roman" w:cs="Times New Roman"/>
        </w:rPr>
        <w:t xml:space="preserve"> five structures</w:t>
      </w:r>
      <w:r w:rsidR="006D4BCB">
        <w:rPr>
          <w:rFonts w:ascii="Times New Roman" w:hAnsi="Times New Roman" w:cs="Times New Roman"/>
        </w:rPr>
        <w:t xml:space="preserve"> are </w:t>
      </w:r>
      <w:r w:rsidR="00823D42">
        <w:rPr>
          <w:rFonts w:ascii="Times New Roman" w:hAnsi="Times New Roman" w:cs="Times New Roman"/>
        </w:rPr>
        <w:t xml:space="preserve">also </w:t>
      </w:r>
      <w:r w:rsidR="006D4BCB">
        <w:rPr>
          <w:rFonts w:ascii="Times New Roman" w:hAnsi="Times New Roman" w:cs="Times New Roman"/>
        </w:rPr>
        <w:t>comparatively similar relative to Kroon Hall.</w:t>
      </w:r>
      <w:r w:rsidR="00333426">
        <w:rPr>
          <w:rFonts w:ascii="Times New Roman" w:hAnsi="Times New Roman" w:cs="Times New Roman"/>
        </w:rPr>
        <w:t xml:space="preserve">  For context, the </w:t>
      </w:r>
      <w:r w:rsidR="00823D42">
        <w:rPr>
          <w:rFonts w:ascii="Times New Roman" w:hAnsi="Times New Roman" w:cs="Times New Roman"/>
        </w:rPr>
        <w:t xml:space="preserve">six </w:t>
      </w:r>
      <w:r w:rsidR="00333426">
        <w:rPr>
          <w:rFonts w:ascii="Times New Roman" w:hAnsi="Times New Roman" w:cs="Times New Roman"/>
        </w:rPr>
        <w:t>structure</w:t>
      </w:r>
      <w:r w:rsidR="00823D42">
        <w:rPr>
          <w:rFonts w:ascii="Times New Roman" w:hAnsi="Times New Roman" w:cs="Times New Roman"/>
        </w:rPr>
        <w:t xml:space="preserve">s occupied in this study are </w:t>
      </w:r>
      <w:r w:rsidR="00333426">
        <w:rPr>
          <w:rFonts w:ascii="Times New Roman" w:hAnsi="Times New Roman" w:cs="Times New Roman"/>
        </w:rPr>
        <w:t xml:space="preserve">outlined </w:t>
      </w:r>
      <w:r w:rsidR="00823D42">
        <w:rPr>
          <w:rFonts w:ascii="Times New Roman" w:hAnsi="Times New Roman" w:cs="Times New Roman"/>
        </w:rPr>
        <w:t>in detail:</w:t>
      </w:r>
    </w:p>
    <w:p w:rsidR="00333426" w:rsidRPr="00BB7F32" w:rsidRDefault="00333426" w:rsidP="00333426">
      <w:pPr>
        <w:spacing w:after="120" w:line="240" w:lineRule="auto"/>
        <w:rPr>
          <w:rFonts w:ascii="Times New Roman" w:hAnsi="Times New Roman" w:cs="Times New Roman"/>
        </w:rPr>
      </w:pPr>
      <w:r>
        <w:rPr>
          <w:rFonts w:ascii="Times New Roman" w:hAnsi="Times New Roman" w:cs="Times New Roman"/>
        </w:rPr>
        <w:t>Kroon Hall at</w:t>
      </w:r>
      <w:r w:rsidRPr="00BB7F32">
        <w:rPr>
          <w:rFonts w:ascii="Times New Roman" w:hAnsi="Times New Roman" w:cs="Times New Roman"/>
        </w:rPr>
        <w:t xml:space="preserve"> 1</w:t>
      </w:r>
      <w:r>
        <w:rPr>
          <w:rFonts w:ascii="Times New Roman" w:hAnsi="Times New Roman" w:cs="Times New Roman"/>
        </w:rPr>
        <w:t xml:space="preserve">95 Prospect Street was </w:t>
      </w:r>
      <w:r w:rsidR="00F343A3">
        <w:rPr>
          <w:rFonts w:ascii="Times New Roman" w:hAnsi="Times New Roman" w:cs="Times New Roman"/>
        </w:rPr>
        <w:t>completed</w:t>
      </w:r>
      <w:r>
        <w:rPr>
          <w:rFonts w:ascii="Times New Roman" w:hAnsi="Times New Roman" w:cs="Times New Roman"/>
        </w:rPr>
        <w:t xml:space="preserve"> in 2009.  It’s </w:t>
      </w:r>
      <w:r w:rsidR="00AA0809">
        <w:rPr>
          <w:rFonts w:ascii="Times New Roman" w:hAnsi="Times New Roman" w:cs="Times New Roman"/>
        </w:rPr>
        <w:t>the largest structure at F&amp;ES</w:t>
      </w:r>
      <w:r w:rsidR="00F343A3">
        <w:rPr>
          <w:rFonts w:ascii="Times New Roman" w:hAnsi="Times New Roman" w:cs="Times New Roman"/>
        </w:rPr>
        <w:t xml:space="preserve"> at</w:t>
      </w:r>
      <w:r>
        <w:rPr>
          <w:rFonts w:ascii="Times New Roman" w:hAnsi="Times New Roman" w:cs="Times New Roman"/>
        </w:rPr>
        <w:t xml:space="preserve"> 52,635 square feet</w:t>
      </w:r>
      <w:r w:rsidR="00F343A3">
        <w:rPr>
          <w:rFonts w:ascii="Times New Roman" w:hAnsi="Times New Roman" w:cs="Times New Roman"/>
        </w:rPr>
        <w:t xml:space="preserve"> and is a</w:t>
      </w:r>
      <w:r w:rsidR="00AA0809">
        <w:rPr>
          <w:rFonts w:ascii="Times New Roman" w:hAnsi="Times New Roman" w:cs="Times New Roman"/>
        </w:rPr>
        <w:t xml:space="preserve"> four-story structure</w:t>
      </w:r>
      <w:r>
        <w:rPr>
          <w:rFonts w:ascii="Times New Roman" w:hAnsi="Times New Roman" w:cs="Times New Roman"/>
        </w:rPr>
        <w:t xml:space="preserve">.  In addition to LEED status, it is known for </w:t>
      </w:r>
      <w:r w:rsidR="00F343A3">
        <w:rPr>
          <w:rFonts w:ascii="Times New Roman" w:hAnsi="Times New Roman" w:cs="Times New Roman"/>
        </w:rPr>
        <w:t>its imposing</w:t>
      </w:r>
      <w:r>
        <w:rPr>
          <w:rFonts w:ascii="Times New Roman" w:hAnsi="Times New Roman" w:cs="Times New Roman"/>
        </w:rPr>
        <w:t xml:space="preserve"> natural wood and concrete design and open floor plan.  Kroon Hall contains the college dean</w:t>
      </w:r>
      <w:r w:rsidRPr="00BB7F32">
        <w:rPr>
          <w:rFonts w:ascii="Times New Roman" w:hAnsi="Times New Roman" w:cs="Times New Roman"/>
        </w:rPr>
        <w:t xml:space="preserve"> </w:t>
      </w:r>
      <w:r>
        <w:rPr>
          <w:rFonts w:ascii="Times New Roman" w:hAnsi="Times New Roman" w:cs="Times New Roman"/>
        </w:rPr>
        <w:t>and several faculty and staff offices.  A large a</w:t>
      </w:r>
      <w:r w:rsidRPr="00BB7F32">
        <w:rPr>
          <w:rFonts w:ascii="Times New Roman" w:hAnsi="Times New Roman" w:cs="Times New Roman"/>
        </w:rPr>
        <w:t xml:space="preserve">uditorium, </w:t>
      </w:r>
      <w:r>
        <w:rPr>
          <w:rFonts w:ascii="Times New Roman" w:hAnsi="Times New Roman" w:cs="Times New Roman"/>
        </w:rPr>
        <w:t xml:space="preserve">classrooms, and student </w:t>
      </w:r>
      <w:r w:rsidRPr="00BB7F32">
        <w:rPr>
          <w:rFonts w:ascii="Times New Roman" w:hAnsi="Times New Roman" w:cs="Times New Roman"/>
        </w:rPr>
        <w:t>spaces</w:t>
      </w:r>
      <w:r>
        <w:rPr>
          <w:rFonts w:ascii="Times New Roman" w:hAnsi="Times New Roman" w:cs="Times New Roman"/>
        </w:rPr>
        <w:t xml:space="preserve"> are distributed throughout as are </w:t>
      </w:r>
      <w:r w:rsidR="00AA0809">
        <w:rPr>
          <w:rFonts w:ascii="Times New Roman" w:hAnsi="Times New Roman" w:cs="Times New Roman"/>
        </w:rPr>
        <w:t>three research centers.</w:t>
      </w:r>
      <w:r w:rsidR="00A145FA">
        <w:rPr>
          <w:rFonts w:ascii="Times New Roman" w:hAnsi="Times New Roman" w:cs="Times New Roman"/>
        </w:rPr>
        <w:t xml:space="preserve">  This structure is serviced by central heat and cooling and utilizes an integrated open plenum ventilation system for distribution</w:t>
      </w:r>
      <w:r w:rsidR="00F343A3">
        <w:rPr>
          <w:rFonts w:ascii="Times New Roman" w:hAnsi="Times New Roman" w:cs="Times New Roman"/>
        </w:rPr>
        <w:t xml:space="preserve"> with several hundred floor-mount low flow vents.  Heating and cooling is also aided by guided occupant response- a system informs occupants when windows should be opened or closed to assist the central system based on a comparison to the outdoor environment.</w:t>
      </w:r>
    </w:p>
    <w:p w:rsidR="006D4BCB" w:rsidRDefault="006D4BCB" w:rsidP="006D4BCB">
      <w:pPr>
        <w:spacing w:after="120" w:line="240" w:lineRule="auto"/>
        <w:rPr>
          <w:rFonts w:ascii="Times New Roman" w:hAnsi="Times New Roman" w:cs="Times New Roman"/>
        </w:rPr>
      </w:pPr>
      <w:r>
        <w:rPr>
          <w:rFonts w:ascii="Times New Roman" w:hAnsi="Times New Roman" w:cs="Times New Roman"/>
        </w:rPr>
        <w:t>Sage Hall at 205 Prospect Street is F</w:t>
      </w:r>
      <w:r w:rsidR="00AA0809">
        <w:rPr>
          <w:rFonts w:ascii="Times New Roman" w:hAnsi="Times New Roman" w:cs="Times New Roman"/>
        </w:rPr>
        <w:t>&amp;</w:t>
      </w:r>
      <w:r w:rsidR="00010FDB">
        <w:rPr>
          <w:rFonts w:ascii="Times New Roman" w:hAnsi="Times New Roman" w:cs="Times New Roman"/>
        </w:rPr>
        <w:t>ES’s next largest building</w:t>
      </w:r>
      <w:r>
        <w:rPr>
          <w:rFonts w:ascii="Times New Roman" w:hAnsi="Times New Roman" w:cs="Times New Roman"/>
        </w:rPr>
        <w:t>.  Built in 1924 and composed of 27,698 square feet, it houses several faculty, staff, and student researchers.  It also hous</w:t>
      </w:r>
      <w:r w:rsidR="00AA0809">
        <w:rPr>
          <w:rFonts w:ascii="Times New Roman" w:hAnsi="Times New Roman" w:cs="Times New Roman"/>
        </w:rPr>
        <w:t xml:space="preserve">es a large auditorium, </w:t>
      </w:r>
      <w:r>
        <w:rPr>
          <w:rFonts w:ascii="Times New Roman" w:hAnsi="Times New Roman" w:cs="Times New Roman"/>
        </w:rPr>
        <w:t>classrooms</w:t>
      </w:r>
      <w:r w:rsidR="00AA0809">
        <w:rPr>
          <w:rFonts w:ascii="Times New Roman" w:hAnsi="Times New Roman" w:cs="Times New Roman"/>
        </w:rPr>
        <w:t xml:space="preserve">, </w:t>
      </w:r>
      <w:r w:rsidR="00010FDB">
        <w:rPr>
          <w:rFonts w:ascii="Times New Roman" w:hAnsi="Times New Roman" w:cs="Times New Roman"/>
        </w:rPr>
        <w:t xml:space="preserve">lounges, </w:t>
      </w:r>
      <w:r w:rsidR="00AA0809">
        <w:rPr>
          <w:rFonts w:ascii="Times New Roman" w:hAnsi="Times New Roman" w:cs="Times New Roman"/>
        </w:rPr>
        <w:t>computing lab</w:t>
      </w:r>
      <w:r>
        <w:rPr>
          <w:rFonts w:ascii="Times New Roman" w:hAnsi="Times New Roman" w:cs="Times New Roman"/>
        </w:rPr>
        <w:t>, and a couple research centers</w:t>
      </w:r>
      <w:r w:rsidR="00A145FA">
        <w:rPr>
          <w:rFonts w:ascii="Times New Roman" w:hAnsi="Times New Roman" w:cs="Times New Roman"/>
        </w:rPr>
        <w:t>.</w:t>
      </w:r>
      <w:r w:rsidR="00A23235">
        <w:rPr>
          <w:rFonts w:ascii="Times New Roman" w:hAnsi="Times New Roman" w:cs="Times New Roman"/>
        </w:rPr>
        <w:t xml:space="preserve">  Heating and air conditioning are accomplished by a mix of radiators, window u</w:t>
      </w:r>
      <w:r w:rsidR="00010FDB">
        <w:rPr>
          <w:rFonts w:ascii="Times New Roman" w:hAnsi="Times New Roman" w:cs="Times New Roman"/>
        </w:rPr>
        <w:t>nits, and wall systems as space</w:t>
      </w:r>
      <w:r w:rsidR="00A23235">
        <w:rPr>
          <w:rFonts w:ascii="Times New Roman" w:hAnsi="Times New Roman" w:cs="Times New Roman"/>
        </w:rPr>
        <w:t xml:space="preserve"> allow</w:t>
      </w:r>
      <w:r w:rsidR="00010FDB">
        <w:rPr>
          <w:rFonts w:ascii="Times New Roman" w:hAnsi="Times New Roman" w:cs="Times New Roman"/>
        </w:rPr>
        <w:t>s</w:t>
      </w:r>
      <w:r w:rsidR="00A23235">
        <w:rPr>
          <w:rFonts w:ascii="Times New Roman" w:hAnsi="Times New Roman" w:cs="Times New Roman"/>
        </w:rPr>
        <w:t xml:space="preserve"> and</w:t>
      </w:r>
      <w:r w:rsidR="00010FDB">
        <w:rPr>
          <w:rFonts w:ascii="Times New Roman" w:hAnsi="Times New Roman" w:cs="Times New Roman"/>
        </w:rPr>
        <w:t xml:space="preserve"> conditions</w:t>
      </w:r>
      <w:r w:rsidR="00A23235">
        <w:rPr>
          <w:rFonts w:ascii="Times New Roman" w:hAnsi="Times New Roman" w:cs="Times New Roman"/>
        </w:rPr>
        <w:t xml:space="preserve"> </w:t>
      </w:r>
      <w:r w:rsidR="00A23235">
        <w:rPr>
          <w:rFonts w:ascii="Times New Roman" w:hAnsi="Times New Roman" w:cs="Times New Roman"/>
        </w:rPr>
        <w:lastRenderedPageBreak/>
        <w:t xml:space="preserve">warrant.  </w:t>
      </w:r>
      <w:r w:rsidR="00010FDB">
        <w:rPr>
          <w:rFonts w:ascii="Times New Roman" w:hAnsi="Times New Roman" w:cs="Times New Roman"/>
        </w:rPr>
        <w:t>While perhaps not the most efficient system from a central planner perspective, it allows a great deal more tailoring to the occupant</w:t>
      </w:r>
      <w:r w:rsidR="008545E3">
        <w:rPr>
          <w:rFonts w:ascii="Times New Roman" w:hAnsi="Times New Roman" w:cs="Times New Roman"/>
        </w:rPr>
        <w:t>.</w:t>
      </w:r>
    </w:p>
    <w:p w:rsidR="00ED3D67" w:rsidRPr="00BB7F32" w:rsidRDefault="00ED3D67" w:rsidP="006D4BCB">
      <w:pPr>
        <w:spacing w:after="120" w:line="240" w:lineRule="auto"/>
        <w:rPr>
          <w:rFonts w:ascii="Times New Roman" w:hAnsi="Times New Roman" w:cs="Times New Roman"/>
        </w:rPr>
      </w:pPr>
      <w:r w:rsidRPr="00BB7F32">
        <w:rPr>
          <w:rFonts w:ascii="Times New Roman" w:hAnsi="Times New Roman" w:cs="Times New Roman"/>
        </w:rPr>
        <w:t>Greeley Memorial Laboratory, 3</w:t>
      </w:r>
      <w:r>
        <w:rPr>
          <w:rFonts w:ascii="Times New Roman" w:hAnsi="Times New Roman" w:cs="Times New Roman"/>
        </w:rPr>
        <w:t xml:space="preserve">70 Prospect St., built in 1959, 24,246 square feet. </w:t>
      </w:r>
      <w:r w:rsidRPr="00BB7F32">
        <w:rPr>
          <w:rFonts w:ascii="Times New Roman" w:hAnsi="Times New Roman" w:cs="Times New Roman"/>
        </w:rPr>
        <w:t>Houses  faculty, staff, one classroom, and 10 labs. S</w:t>
      </w:r>
      <w:r>
        <w:rPr>
          <w:rFonts w:ascii="Times New Roman" w:hAnsi="Times New Roman" w:cs="Times New Roman"/>
        </w:rPr>
        <w:t>eparate Greenhouse (4,278 GSF).</w:t>
      </w:r>
    </w:p>
    <w:p w:rsidR="006D4BCB" w:rsidRPr="00BB7F32" w:rsidRDefault="00ED3D67" w:rsidP="006D4BCB">
      <w:pPr>
        <w:spacing w:after="120" w:line="240" w:lineRule="auto"/>
        <w:rPr>
          <w:rFonts w:ascii="Times New Roman" w:hAnsi="Times New Roman" w:cs="Times New Roman"/>
        </w:rPr>
      </w:pPr>
      <w:r>
        <w:rPr>
          <w:rFonts w:ascii="Times New Roman" w:hAnsi="Times New Roman" w:cs="Times New Roman"/>
        </w:rPr>
        <w:t>Marsh Hall at</w:t>
      </w:r>
      <w:r w:rsidR="006D4BCB" w:rsidRPr="00BB7F32">
        <w:rPr>
          <w:rFonts w:ascii="Times New Roman" w:hAnsi="Times New Roman" w:cs="Times New Roman"/>
        </w:rPr>
        <w:t xml:space="preserve"> 36</w:t>
      </w:r>
      <w:r w:rsidR="006D4BCB">
        <w:rPr>
          <w:rFonts w:ascii="Times New Roman" w:hAnsi="Times New Roman" w:cs="Times New Roman"/>
        </w:rPr>
        <w:t>0 Prospect St</w:t>
      </w:r>
      <w:r>
        <w:rPr>
          <w:rFonts w:ascii="Times New Roman" w:hAnsi="Times New Roman" w:cs="Times New Roman"/>
        </w:rPr>
        <w:t>reet was built in 1878 but updates as necessary.  It is</w:t>
      </w:r>
      <w:r w:rsidR="006D4BCB">
        <w:rPr>
          <w:rFonts w:ascii="Times New Roman" w:hAnsi="Times New Roman" w:cs="Times New Roman"/>
        </w:rPr>
        <w:t xml:space="preserve"> 13,048 square feet</w:t>
      </w:r>
      <w:r>
        <w:rPr>
          <w:rFonts w:ascii="Times New Roman" w:hAnsi="Times New Roman" w:cs="Times New Roman"/>
        </w:rPr>
        <w:t xml:space="preserve"> in the form of a multistory Victorian home</w:t>
      </w:r>
      <w:r w:rsidR="006D4BCB">
        <w:rPr>
          <w:rFonts w:ascii="Times New Roman" w:hAnsi="Times New Roman" w:cs="Times New Roman"/>
        </w:rPr>
        <w:t xml:space="preserve">.  </w:t>
      </w:r>
      <w:r>
        <w:rPr>
          <w:rFonts w:ascii="Times New Roman" w:hAnsi="Times New Roman" w:cs="Times New Roman"/>
        </w:rPr>
        <w:t>Marsh houses faculty, staff, and one seminar room as well as two research centers</w:t>
      </w:r>
      <w:r w:rsidR="006D4BCB">
        <w:rPr>
          <w:rFonts w:ascii="Times New Roman" w:hAnsi="Times New Roman" w:cs="Times New Roman"/>
        </w:rPr>
        <w:t>.</w:t>
      </w:r>
    </w:p>
    <w:p w:rsidR="006D4BCB" w:rsidRPr="00BB7F32" w:rsidRDefault="006D4BCB" w:rsidP="006D4BCB">
      <w:pPr>
        <w:spacing w:after="120" w:line="240" w:lineRule="auto"/>
        <w:rPr>
          <w:rFonts w:ascii="Times New Roman" w:hAnsi="Times New Roman" w:cs="Times New Roman"/>
        </w:rPr>
      </w:pPr>
      <w:r w:rsidRPr="00BB7F32">
        <w:rPr>
          <w:rFonts w:ascii="Times New Roman" w:hAnsi="Times New Roman" w:cs="Times New Roman"/>
        </w:rPr>
        <w:t>30</w:t>
      </w:r>
      <w:r>
        <w:rPr>
          <w:rFonts w:ascii="Times New Roman" w:hAnsi="Times New Roman" w:cs="Times New Roman"/>
        </w:rPr>
        <w:t xml:space="preserve">1 Prospect St., built in 1907, 12,932 square feet. </w:t>
      </w:r>
      <w:r w:rsidRPr="00BB7F32">
        <w:rPr>
          <w:rFonts w:ascii="Times New Roman" w:hAnsi="Times New Roman" w:cs="Times New Roman"/>
        </w:rPr>
        <w:t>Houses faculty, staff, and one 1 seminar room. Also houses the Hixon Center for Urban Ecology, the Urban Resources Initiative, the Environmental Leadership Training Initiative, the Tropical Resources Institute and the</w:t>
      </w:r>
      <w:r>
        <w:rPr>
          <w:rFonts w:ascii="Times New Roman" w:hAnsi="Times New Roman" w:cs="Times New Roman"/>
        </w:rPr>
        <w:t xml:space="preserve"> Yale Sustainable Food Project.</w:t>
      </w:r>
    </w:p>
    <w:p w:rsidR="006D4BCB" w:rsidRDefault="006D4BCB" w:rsidP="006D4BCB">
      <w:pPr>
        <w:spacing w:after="120" w:line="240" w:lineRule="auto"/>
        <w:rPr>
          <w:rFonts w:ascii="Times New Roman" w:hAnsi="Times New Roman" w:cs="Times New Roman"/>
        </w:rPr>
      </w:pPr>
      <w:r w:rsidRPr="00BB7F32">
        <w:rPr>
          <w:rFonts w:ascii="Times New Roman" w:hAnsi="Times New Roman" w:cs="Times New Roman"/>
        </w:rPr>
        <w:t>3</w:t>
      </w:r>
      <w:r>
        <w:rPr>
          <w:rFonts w:ascii="Times New Roman" w:hAnsi="Times New Roman" w:cs="Times New Roman"/>
        </w:rPr>
        <w:t xml:space="preserve">80 Edwards St., built in 1907, 10,475 square feet. </w:t>
      </w:r>
      <w:r w:rsidRPr="00BB7F32">
        <w:rPr>
          <w:rFonts w:ascii="Times New Roman" w:hAnsi="Times New Roman" w:cs="Times New Roman"/>
        </w:rPr>
        <w:t>Houses faculty, staff, and 1 seminar room. Also houses the Center for Industrial Ecology, and the</w:t>
      </w:r>
      <w:r>
        <w:rPr>
          <w:rFonts w:ascii="Times New Roman" w:hAnsi="Times New Roman" w:cs="Times New Roman"/>
        </w:rPr>
        <w:t xml:space="preserve"> Journal of Industrial Ecology.</w:t>
      </w:r>
    </w:p>
    <w:p w:rsidR="00C80CA6" w:rsidRDefault="004464CF" w:rsidP="00072995">
      <w:pPr>
        <w:pStyle w:val="ListParagraph"/>
        <w:spacing w:after="120" w:line="240" w:lineRule="auto"/>
        <w:outlineLvl w:val="1"/>
        <w:rPr>
          <w:rFonts w:ascii="Times New Roman" w:hAnsi="Times New Roman" w:cs="Times New Roman"/>
        </w:rPr>
      </w:pPr>
      <w:bookmarkStart w:id="5" w:name="_Toc479081467"/>
      <w:r>
        <w:rPr>
          <w:rFonts w:ascii="Times New Roman" w:hAnsi="Times New Roman" w:cs="Times New Roman"/>
        </w:rPr>
        <w:t>Survey p</w:t>
      </w:r>
      <w:r w:rsidR="00C80CA6">
        <w:rPr>
          <w:rFonts w:ascii="Times New Roman" w:hAnsi="Times New Roman" w:cs="Times New Roman"/>
        </w:rPr>
        <w:t>opulation and response</w:t>
      </w:r>
      <w:r>
        <w:rPr>
          <w:rFonts w:ascii="Times New Roman" w:hAnsi="Times New Roman" w:cs="Times New Roman"/>
        </w:rPr>
        <w:t xml:space="preserve"> rate</w:t>
      </w:r>
      <w:bookmarkEnd w:id="5"/>
    </w:p>
    <w:p w:rsidR="001753F3" w:rsidRDefault="00B55897" w:rsidP="00C80CA6">
      <w:pPr>
        <w:spacing w:after="120" w:line="240" w:lineRule="auto"/>
        <w:rPr>
          <w:rFonts w:ascii="Times New Roman" w:hAnsi="Times New Roman" w:cs="Times New Roman"/>
        </w:rPr>
      </w:pPr>
      <w:r>
        <w:rPr>
          <w:rFonts w:ascii="Times New Roman" w:hAnsi="Times New Roman" w:cs="Times New Roman"/>
        </w:rPr>
        <w:t>The</w:t>
      </w:r>
      <w:r w:rsidR="002D27AD">
        <w:rPr>
          <w:rFonts w:ascii="Times New Roman" w:hAnsi="Times New Roman" w:cs="Times New Roman"/>
        </w:rPr>
        <w:t xml:space="preserve"> opportunity to contribute to the survey used in this analysis was extended to the entire population of </w:t>
      </w:r>
      <w:r w:rsidR="004F13DE">
        <w:rPr>
          <w:rFonts w:ascii="Times New Roman" w:hAnsi="Times New Roman" w:cs="Times New Roman"/>
        </w:rPr>
        <w:t>Yale F&amp;ES</w:t>
      </w:r>
      <w:r w:rsidR="001034CC">
        <w:rPr>
          <w:rFonts w:ascii="Times New Roman" w:hAnsi="Times New Roman" w:cs="Times New Roman"/>
        </w:rPr>
        <w:t xml:space="preserve"> using an online survey collection platform.  Of the </w:t>
      </w:r>
      <w:r w:rsidR="00371E30">
        <w:rPr>
          <w:rFonts w:ascii="Times New Roman" w:hAnsi="Times New Roman" w:cs="Times New Roman"/>
        </w:rPr>
        <w:t>F&amp;ES population of 602</w:t>
      </w:r>
      <w:r>
        <w:rPr>
          <w:rFonts w:ascii="Times New Roman" w:hAnsi="Times New Roman" w:cs="Times New Roman"/>
        </w:rPr>
        <w:t xml:space="preserve"> at the time</w:t>
      </w:r>
      <w:r w:rsidR="00371E30">
        <w:rPr>
          <w:rFonts w:ascii="Times New Roman" w:hAnsi="Times New Roman" w:cs="Times New Roman"/>
        </w:rPr>
        <w:t xml:space="preserve">, which included students, faculty, staff, and visiting researchers, a </w:t>
      </w:r>
      <w:r w:rsidR="00563CC8">
        <w:rPr>
          <w:rFonts w:ascii="Times New Roman" w:hAnsi="Times New Roman" w:cs="Times New Roman"/>
        </w:rPr>
        <w:t>response rate of 53.7-percent</w:t>
      </w:r>
      <w:r>
        <w:rPr>
          <w:rFonts w:ascii="Times New Roman" w:hAnsi="Times New Roman" w:cs="Times New Roman"/>
        </w:rPr>
        <w:t xml:space="preserve"> was achieved with gentle prodding</w:t>
      </w:r>
      <w:r w:rsidR="00563CC8">
        <w:rPr>
          <w:rFonts w:ascii="Times New Roman" w:hAnsi="Times New Roman" w:cs="Times New Roman"/>
        </w:rPr>
        <w:t>.  The response rate was similar between</w:t>
      </w:r>
      <w:r w:rsidR="00D1202C">
        <w:rPr>
          <w:rFonts w:ascii="Times New Roman" w:hAnsi="Times New Roman" w:cs="Times New Roman"/>
        </w:rPr>
        <w:t xml:space="preserve"> the</w:t>
      </w:r>
      <w:r w:rsidR="00563CC8">
        <w:rPr>
          <w:rFonts w:ascii="Times New Roman" w:hAnsi="Times New Roman" w:cs="Times New Roman"/>
        </w:rPr>
        <w:t xml:space="preserve"> faculty and staff at 55</w:t>
      </w:r>
      <w:r w:rsidR="00D1202C">
        <w:rPr>
          <w:rFonts w:ascii="Times New Roman" w:hAnsi="Times New Roman" w:cs="Times New Roman"/>
        </w:rPr>
        <w:t>.0</w:t>
      </w:r>
      <w:r w:rsidR="00563CC8">
        <w:rPr>
          <w:rFonts w:ascii="Times New Roman" w:hAnsi="Times New Roman" w:cs="Times New Roman"/>
        </w:rPr>
        <w:t>-percent, and the student</w:t>
      </w:r>
      <w:r w:rsidR="00D1202C">
        <w:rPr>
          <w:rFonts w:ascii="Times New Roman" w:hAnsi="Times New Roman" w:cs="Times New Roman"/>
        </w:rPr>
        <w:t>s</w:t>
      </w:r>
      <w:r w:rsidR="00563CC8">
        <w:rPr>
          <w:rFonts w:ascii="Times New Roman" w:hAnsi="Times New Roman" w:cs="Times New Roman"/>
        </w:rPr>
        <w:t xml:space="preserve"> and visiting researchers at 52.4-percent.</w:t>
      </w:r>
      <w:r w:rsidR="005E5F89">
        <w:rPr>
          <w:rFonts w:ascii="Times New Roman" w:hAnsi="Times New Roman" w:cs="Times New Roman"/>
        </w:rPr>
        <w:t xml:space="preserve"> The response rate was also similar along gender lines</w:t>
      </w:r>
      <w:r w:rsidR="00D1202C">
        <w:rPr>
          <w:rFonts w:ascii="Times New Roman" w:hAnsi="Times New Roman" w:cs="Times New Roman"/>
        </w:rPr>
        <w:t>,</w:t>
      </w:r>
      <w:r w:rsidR="005E5F89">
        <w:rPr>
          <w:rFonts w:ascii="Times New Roman" w:hAnsi="Times New Roman" w:cs="Times New Roman"/>
        </w:rPr>
        <w:t xml:space="preserve"> at 51.2-percent and 49.7-percent for</w:t>
      </w:r>
      <w:r w:rsidR="00D1202C">
        <w:rPr>
          <w:rFonts w:ascii="Times New Roman" w:hAnsi="Times New Roman" w:cs="Times New Roman"/>
        </w:rPr>
        <w:t xml:space="preserve"> women and</w:t>
      </w:r>
      <w:r w:rsidR="005E5F89">
        <w:rPr>
          <w:rFonts w:ascii="Times New Roman" w:hAnsi="Times New Roman" w:cs="Times New Roman"/>
        </w:rPr>
        <w:t xml:space="preserve"> men</w:t>
      </w:r>
      <w:r w:rsidR="00D1202C">
        <w:rPr>
          <w:rFonts w:ascii="Times New Roman" w:hAnsi="Times New Roman" w:cs="Times New Roman"/>
        </w:rPr>
        <w:t>, respectively</w:t>
      </w:r>
      <w:r w:rsidR="005E5F89">
        <w:rPr>
          <w:rFonts w:ascii="Times New Roman" w:hAnsi="Times New Roman" w:cs="Times New Roman"/>
        </w:rPr>
        <w:t xml:space="preserve">.  </w:t>
      </w:r>
      <w:r w:rsidR="001753F3">
        <w:rPr>
          <w:rFonts w:ascii="Times New Roman" w:hAnsi="Times New Roman" w:cs="Times New Roman"/>
        </w:rPr>
        <w:t>Nevertheless, the survey data is weighted for responsiveness along</w:t>
      </w:r>
      <w:r w:rsidR="00D1202C">
        <w:rPr>
          <w:rFonts w:ascii="Times New Roman" w:hAnsi="Times New Roman" w:cs="Times New Roman"/>
        </w:rPr>
        <w:t xml:space="preserve"> these forms of</w:t>
      </w:r>
      <w:r w:rsidR="001753F3">
        <w:rPr>
          <w:rFonts w:ascii="Times New Roman" w:hAnsi="Times New Roman" w:cs="Times New Roman"/>
        </w:rPr>
        <w:t xml:space="preserve"> affiliation and gender using nonresponse and post-stratification weights following standard survey methodologies.</w:t>
      </w:r>
      <w:r w:rsidR="006E64E1">
        <w:rPr>
          <w:rFonts w:ascii="Times New Roman" w:hAnsi="Times New Roman" w:cs="Times New Roman"/>
        </w:rPr>
        <w:t xml:space="preserve">  This </w:t>
      </w:r>
      <w:r w:rsidR="00D1202C">
        <w:rPr>
          <w:rFonts w:ascii="Times New Roman" w:hAnsi="Times New Roman" w:cs="Times New Roman"/>
        </w:rPr>
        <w:t>is considered necessary</w:t>
      </w:r>
      <w:r w:rsidR="003C45B4">
        <w:rPr>
          <w:rFonts w:ascii="Times New Roman" w:hAnsi="Times New Roman" w:cs="Times New Roman"/>
        </w:rPr>
        <w:t xml:space="preserve"> as the former is expected to substantially impact how respondents interact with the building and the latter </w:t>
      </w:r>
      <w:r w:rsidR="00D1202C">
        <w:rPr>
          <w:rFonts w:ascii="Times New Roman" w:hAnsi="Times New Roman" w:cs="Times New Roman"/>
        </w:rPr>
        <w:t>i</w:t>
      </w:r>
      <w:r w:rsidR="003C45B4">
        <w:rPr>
          <w:rFonts w:ascii="Times New Roman" w:hAnsi="Times New Roman" w:cs="Times New Roman"/>
        </w:rPr>
        <w:t xml:space="preserve">s an important factor in comfort </w:t>
      </w:r>
      <w:r w:rsidR="00D1202C">
        <w:rPr>
          <w:rFonts w:ascii="Times New Roman" w:hAnsi="Times New Roman" w:cs="Times New Roman"/>
        </w:rPr>
        <w:t>according to the literature (i.e.</w:t>
      </w:r>
      <w:r w:rsidR="003F07D9">
        <w:rPr>
          <w:rFonts w:ascii="Times New Roman" w:hAnsi="Times New Roman" w:cs="Times New Roman"/>
        </w:rPr>
        <w:t xml:space="preserve"> </w:t>
      </w:r>
      <w:proofErr w:type="spellStart"/>
      <w:r w:rsidR="003F07D9">
        <w:rPr>
          <w:rFonts w:ascii="Times New Roman" w:hAnsi="Times New Roman" w:cs="Times New Roman"/>
        </w:rPr>
        <w:t>Kingma</w:t>
      </w:r>
      <w:proofErr w:type="spellEnd"/>
      <w:r w:rsidR="003F07D9">
        <w:rPr>
          <w:rFonts w:ascii="Times New Roman" w:hAnsi="Times New Roman" w:cs="Times New Roman"/>
        </w:rPr>
        <w:t xml:space="preserve"> and </w:t>
      </w:r>
      <w:proofErr w:type="spellStart"/>
      <w:r w:rsidR="003F07D9">
        <w:rPr>
          <w:rFonts w:ascii="Times New Roman" w:hAnsi="Times New Roman" w:cs="Times New Roman"/>
        </w:rPr>
        <w:t>Lichtenbelt</w:t>
      </w:r>
      <w:proofErr w:type="spellEnd"/>
      <w:r w:rsidR="00D1202C">
        <w:rPr>
          <w:rFonts w:ascii="Times New Roman" w:hAnsi="Times New Roman" w:cs="Times New Roman"/>
        </w:rPr>
        <w:t>,</w:t>
      </w:r>
      <w:r w:rsidR="003F07D9">
        <w:rPr>
          <w:rFonts w:ascii="Times New Roman" w:hAnsi="Times New Roman" w:cs="Times New Roman"/>
        </w:rPr>
        <w:t xml:space="preserve"> 2015).</w:t>
      </w:r>
      <w:r w:rsidR="00D1202C">
        <w:rPr>
          <w:rFonts w:ascii="Times New Roman" w:hAnsi="Times New Roman" w:cs="Times New Roman"/>
        </w:rPr>
        <w:t xml:space="preserve">  Table 1 presents survey weighted summary statistics of the data.</w:t>
      </w:r>
    </w:p>
    <w:p w:rsidR="00AD5515" w:rsidRPr="005B7536" w:rsidRDefault="00C87106" w:rsidP="00AD5515">
      <w:pPr>
        <w:spacing w:after="120" w:line="240" w:lineRule="auto"/>
        <w:rPr>
          <w:rFonts w:ascii="Times New Roman" w:hAnsi="Times New Roman" w:cs="Times New Roman"/>
        </w:rPr>
      </w:pPr>
      <w:r>
        <w:rPr>
          <w:rFonts w:ascii="Times New Roman" w:hAnsi="Times New Roman" w:cs="Times New Roman"/>
        </w:rPr>
        <w:t>S</w:t>
      </w:r>
      <w:r w:rsidR="001C21AE">
        <w:rPr>
          <w:rFonts w:ascii="Times New Roman" w:hAnsi="Times New Roman" w:cs="Times New Roman"/>
        </w:rPr>
        <w:t>urvey weighting is undertaken to ensure the survey accurately represents the survey population rather than the general population.  This supports internal validity rather than attempting to address external validity concerns.  The results are generally found at a high level of statistical significance, however.  The student subpopulation at F&amp;ES surveyed has already entered the workforce as well and so this study at a minimum still informs on at least some share of the general workforce.</w:t>
      </w:r>
      <w:r>
        <w:rPr>
          <w:rFonts w:ascii="Times New Roman" w:hAnsi="Times New Roman" w:cs="Times New Roman"/>
        </w:rPr>
        <w:t xml:space="preserve">  </w:t>
      </w:r>
      <w:r w:rsidR="00AD5515" w:rsidRPr="005B7536">
        <w:rPr>
          <w:rFonts w:ascii="Times New Roman" w:hAnsi="Times New Roman" w:cs="Times New Roman"/>
        </w:rPr>
        <w:t xml:space="preserve">The limited scope </w:t>
      </w:r>
      <w:r w:rsidR="00AD5515">
        <w:rPr>
          <w:rFonts w:ascii="Times New Roman" w:hAnsi="Times New Roman" w:cs="Times New Roman"/>
        </w:rPr>
        <w:t>of the survey means</w:t>
      </w:r>
      <w:r w:rsidR="00AD5515" w:rsidRPr="005B7536">
        <w:rPr>
          <w:rFonts w:ascii="Times New Roman" w:hAnsi="Times New Roman" w:cs="Times New Roman"/>
        </w:rPr>
        <w:t xml:space="preserve"> complex stratification or clustering</w:t>
      </w:r>
      <w:r w:rsidR="00AD5515">
        <w:rPr>
          <w:rFonts w:ascii="Times New Roman" w:hAnsi="Times New Roman" w:cs="Times New Roman"/>
        </w:rPr>
        <w:t xml:space="preserve"> techniques are also not needed-</w:t>
      </w:r>
      <w:r w:rsidR="00AD5515" w:rsidRPr="005B7536">
        <w:rPr>
          <w:rFonts w:ascii="Times New Roman" w:hAnsi="Times New Roman" w:cs="Times New Roman"/>
        </w:rPr>
        <w:t xml:space="preserve"> a single strata and a cluster of one</w:t>
      </w:r>
      <w:r w:rsidR="00AD5515">
        <w:rPr>
          <w:rFonts w:ascii="Times New Roman" w:hAnsi="Times New Roman" w:cs="Times New Roman"/>
        </w:rPr>
        <w:t xml:space="preserve"> is applicable</w:t>
      </w:r>
      <w:r w:rsidR="00AD5515" w:rsidRPr="005B7536">
        <w:rPr>
          <w:rFonts w:ascii="Times New Roman" w:hAnsi="Times New Roman" w:cs="Times New Roman"/>
        </w:rPr>
        <w:t xml:space="preserve">.  </w:t>
      </w:r>
      <w:r w:rsidR="00AD5515">
        <w:rPr>
          <w:rFonts w:ascii="Times New Roman" w:hAnsi="Times New Roman" w:cs="Times New Roman"/>
        </w:rPr>
        <w:t>The</w:t>
      </w:r>
      <w:r w:rsidR="00AD5515" w:rsidRPr="005B7536">
        <w:rPr>
          <w:rFonts w:ascii="Times New Roman" w:hAnsi="Times New Roman" w:cs="Times New Roman"/>
        </w:rPr>
        <w:t xml:space="preserve"> simple weighting strategy</w:t>
      </w:r>
      <w:r w:rsidR="00AD5515">
        <w:rPr>
          <w:rFonts w:ascii="Times New Roman" w:hAnsi="Times New Roman" w:cs="Times New Roman"/>
        </w:rPr>
        <w:t xml:space="preserve"> follows standard conventions: </w:t>
      </w:r>
      <w:r w:rsidR="00AD5515" w:rsidRPr="005B7536">
        <w:rPr>
          <w:rFonts w:ascii="Times New Roman" w:hAnsi="Times New Roman" w:cs="Times New Roman"/>
        </w:rPr>
        <w:t>W</w:t>
      </w:r>
      <w:r w:rsidR="00AD5515">
        <w:rPr>
          <w:rFonts w:ascii="Times New Roman" w:hAnsi="Times New Roman" w:cs="Times New Roman"/>
        </w:rPr>
        <w:t>eight</w:t>
      </w:r>
      <w:r w:rsidR="00AD5515" w:rsidRPr="005B7536">
        <w:rPr>
          <w:rFonts w:ascii="Times New Roman" w:hAnsi="Times New Roman" w:cs="Times New Roman"/>
        </w:rPr>
        <w:t>(Final,i)=W</w:t>
      </w:r>
      <w:r w:rsidR="00AD5515">
        <w:rPr>
          <w:rFonts w:ascii="Times New Roman" w:hAnsi="Times New Roman" w:cs="Times New Roman"/>
        </w:rPr>
        <w:t>eight</w:t>
      </w:r>
      <w:r w:rsidR="00AD5515" w:rsidRPr="005B7536">
        <w:rPr>
          <w:rFonts w:ascii="Times New Roman" w:hAnsi="Times New Roman" w:cs="Times New Roman"/>
        </w:rPr>
        <w:t>(Selection,i)*W</w:t>
      </w:r>
      <w:r w:rsidR="00AD5515">
        <w:rPr>
          <w:rFonts w:ascii="Times New Roman" w:hAnsi="Times New Roman" w:cs="Times New Roman"/>
        </w:rPr>
        <w:t>eight</w:t>
      </w:r>
      <w:r w:rsidR="00AD5515" w:rsidRPr="005B7536">
        <w:rPr>
          <w:rFonts w:ascii="Times New Roman" w:hAnsi="Times New Roman" w:cs="Times New Roman"/>
        </w:rPr>
        <w:t>(Nonresponse,i)*W</w:t>
      </w:r>
      <w:r w:rsidR="00AD5515">
        <w:rPr>
          <w:rFonts w:ascii="Times New Roman" w:hAnsi="Times New Roman" w:cs="Times New Roman"/>
        </w:rPr>
        <w:t>eight(Post</w:t>
      </w:r>
      <w:r w:rsidR="00AD5515" w:rsidRPr="005B7536">
        <w:rPr>
          <w:rFonts w:ascii="Times New Roman" w:hAnsi="Times New Roman" w:cs="Times New Roman"/>
        </w:rPr>
        <w:t>stratification,i) where W</w:t>
      </w:r>
      <w:r w:rsidR="00AD5515">
        <w:rPr>
          <w:rFonts w:ascii="Times New Roman" w:hAnsi="Times New Roman" w:cs="Times New Roman"/>
        </w:rPr>
        <w:t>eight</w:t>
      </w:r>
      <w:r w:rsidR="00AD5515" w:rsidRPr="005B7536">
        <w:rPr>
          <w:rFonts w:ascii="Times New Roman" w:hAnsi="Times New Roman" w:cs="Times New Roman"/>
        </w:rPr>
        <w:t>(</w:t>
      </w:r>
      <w:proofErr w:type="spellStart"/>
      <w:r w:rsidR="00AD5515" w:rsidRPr="005B7536">
        <w:rPr>
          <w:rFonts w:ascii="Times New Roman" w:hAnsi="Times New Roman" w:cs="Times New Roman"/>
        </w:rPr>
        <w:t>Selection,i</w:t>
      </w:r>
      <w:proofErr w:type="spellEnd"/>
      <w:r w:rsidR="00AD5515" w:rsidRPr="005B7536">
        <w:rPr>
          <w:rFonts w:ascii="Times New Roman" w:hAnsi="Times New Roman" w:cs="Times New Roman"/>
        </w:rPr>
        <w:t>)=1 in our survey due to full sampling of the population, W</w:t>
      </w:r>
      <w:r w:rsidR="00AD5515">
        <w:rPr>
          <w:rFonts w:ascii="Times New Roman" w:hAnsi="Times New Roman" w:cs="Times New Roman"/>
        </w:rPr>
        <w:t>eight</w:t>
      </w:r>
      <w:r w:rsidR="00AD5515" w:rsidRPr="005B7536">
        <w:rPr>
          <w:rFonts w:ascii="Times New Roman" w:hAnsi="Times New Roman" w:cs="Times New Roman"/>
        </w:rPr>
        <w:t>(</w:t>
      </w:r>
      <w:proofErr w:type="spellStart"/>
      <w:r w:rsidR="00AD5515" w:rsidRPr="005B7536">
        <w:rPr>
          <w:rFonts w:ascii="Times New Roman" w:hAnsi="Times New Roman" w:cs="Times New Roman"/>
        </w:rPr>
        <w:t>Nonresponse,i</w:t>
      </w:r>
      <w:proofErr w:type="spellEnd"/>
      <w:r w:rsidR="00AD5515" w:rsidRPr="005B7536">
        <w:rPr>
          <w:rFonts w:ascii="Times New Roman" w:hAnsi="Times New Roman" w:cs="Times New Roman"/>
        </w:rPr>
        <w:t>) is the inverse of the response rate for key respon</w:t>
      </w:r>
      <w:r w:rsidR="00AD5515">
        <w:rPr>
          <w:rFonts w:ascii="Times New Roman" w:hAnsi="Times New Roman" w:cs="Times New Roman"/>
        </w:rPr>
        <w:t>se categories of faculty and staff</w:t>
      </w:r>
      <w:r w:rsidR="00AD5515" w:rsidRPr="005B7536">
        <w:rPr>
          <w:rFonts w:ascii="Times New Roman" w:hAnsi="Times New Roman" w:cs="Times New Roman"/>
        </w:rPr>
        <w:t xml:space="preserve"> versus stu</w:t>
      </w:r>
      <w:r w:rsidR="00AD5515">
        <w:rPr>
          <w:rFonts w:ascii="Times New Roman" w:hAnsi="Times New Roman" w:cs="Times New Roman"/>
        </w:rPr>
        <w:t>dent body, and Weight(</w:t>
      </w:r>
      <w:proofErr w:type="spellStart"/>
      <w:r w:rsidR="00AD5515">
        <w:rPr>
          <w:rFonts w:ascii="Times New Roman" w:hAnsi="Times New Roman" w:cs="Times New Roman"/>
        </w:rPr>
        <w:t>Post</w:t>
      </w:r>
      <w:r w:rsidR="00AD5515" w:rsidRPr="005B7536">
        <w:rPr>
          <w:rFonts w:ascii="Times New Roman" w:hAnsi="Times New Roman" w:cs="Times New Roman"/>
        </w:rPr>
        <w:t>stratification,i</w:t>
      </w:r>
      <w:proofErr w:type="spellEnd"/>
      <w:r w:rsidR="00AD5515" w:rsidRPr="005B7536">
        <w:rPr>
          <w:rFonts w:ascii="Times New Roman" w:hAnsi="Times New Roman" w:cs="Times New Roman"/>
        </w:rPr>
        <w:t xml:space="preserve">) is </w:t>
      </w:r>
      <w:r w:rsidR="00AD5515">
        <w:rPr>
          <w:rFonts w:ascii="Times New Roman" w:hAnsi="Times New Roman" w:cs="Times New Roman"/>
        </w:rPr>
        <w:t>used</w:t>
      </w:r>
      <w:r w:rsidR="00AD5515" w:rsidRPr="005B7536">
        <w:rPr>
          <w:rFonts w:ascii="Times New Roman" w:hAnsi="Times New Roman" w:cs="Times New Roman"/>
        </w:rPr>
        <w:t xml:space="preserve"> to account for small proportional differences in gender response rate</w:t>
      </w:r>
      <w:r w:rsidR="00AD5515">
        <w:rPr>
          <w:rFonts w:ascii="Times New Roman" w:hAnsi="Times New Roman" w:cs="Times New Roman"/>
        </w:rPr>
        <w:t>s</w:t>
      </w:r>
      <w:r w:rsidR="00AD5515" w:rsidRPr="005B7536">
        <w:rPr>
          <w:rFonts w:ascii="Times New Roman" w:hAnsi="Times New Roman" w:cs="Times New Roman"/>
        </w:rPr>
        <w:t xml:space="preserve"> relative to the F&amp;ES population (</w:t>
      </w:r>
      <w:proofErr w:type="spellStart"/>
      <w:r w:rsidR="00AD5515" w:rsidRPr="005B7536">
        <w:rPr>
          <w:rFonts w:ascii="Times New Roman" w:hAnsi="Times New Roman" w:cs="Times New Roman"/>
        </w:rPr>
        <w:t>Heeringa</w:t>
      </w:r>
      <w:proofErr w:type="spellEnd"/>
      <w:r w:rsidR="00AD5515" w:rsidRPr="005B7536">
        <w:rPr>
          <w:rFonts w:ascii="Times New Roman" w:hAnsi="Times New Roman" w:cs="Times New Roman"/>
        </w:rPr>
        <w:t xml:space="preserve">, West, &amp; Berglund; 2010).  </w:t>
      </w:r>
      <w:r w:rsidR="00AD5515">
        <w:rPr>
          <w:rFonts w:ascii="Times New Roman" w:hAnsi="Times New Roman" w:cs="Times New Roman"/>
        </w:rPr>
        <w:t>W</w:t>
      </w:r>
      <w:r w:rsidR="00AD5515" w:rsidRPr="005B7536">
        <w:rPr>
          <w:rFonts w:ascii="Times New Roman" w:hAnsi="Times New Roman" w:cs="Times New Roman"/>
        </w:rPr>
        <w:t xml:space="preserve">hile </w:t>
      </w:r>
      <w:r w:rsidR="00AD5515">
        <w:rPr>
          <w:rFonts w:ascii="Times New Roman" w:hAnsi="Times New Roman" w:cs="Times New Roman"/>
        </w:rPr>
        <w:t>the use of strata</w:t>
      </w:r>
      <w:r w:rsidR="00AD5515" w:rsidRPr="005B7536">
        <w:rPr>
          <w:rFonts w:ascii="Times New Roman" w:hAnsi="Times New Roman" w:cs="Times New Roman"/>
        </w:rPr>
        <w:t xml:space="preserve"> is known to reduc</w:t>
      </w:r>
      <w:r w:rsidR="00AD5515">
        <w:rPr>
          <w:rFonts w:ascii="Times New Roman" w:hAnsi="Times New Roman" w:cs="Times New Roman"/>
        </w:rPr>
        <w:t xml:space="preserve">e standard errors, </w:t>
      </w:r>
      <w:r w:rsidR="00AD5515" w:rsidRPr="005B7536">
        <w:rPr>
          <w:rFonts w:ascii="Times New Roman" w:hAnsi="Times New Roman" w:cs="Times New Roman"/>
        </w:rPr>
        <w:t>and clustering and weighting increase standard errors, only weighting is applied in this survey.  The standard errors are</w:t>
      </w:r>
      <w:r w:rsidR="00AD5515">
        <w:rPr>
          <w:rFonts w:ascii="Times New Roman" w:hAnsi="Times New Roman" w:cs="Times New Roman"/>
        </w:rPr>
        <w:t xml:space="preserve"> then</w:t>
      </w:r>
      <w:r w:rsidR="00AD5515" w:rsidRPr="005B7536">
        <w:rPr>
          <w:rFonts w:ascii="Times New Roman" w:hAnsi="Times New Roman" w:cs="Times New Roman"/>
        </w:rPr>
        <w:t xml:space="preserve"> equal or greater than would be derived in a perfect survey</w:t>
      </w:r>
      <w:r w:rsidR="00AD5515">
        <w:rPr>
          <w:rFonts w:ascii="Times New Roman" w:hAnsi="Times New Roman" w:cs="Times New Roman"/>
        </w:rPr>
        <w:t xml:space="preserve"> </w:t>
      </w:r>
      <w:r w:rsidR="00AD5515" w:rsidRPr="005B7536">
        <w:rPr>
          <w:rFonts w:ascii="Times New Roman" w:hAnsi="Times New Roman" w:cs="Times New Roman"/>
        </w:rPr>
        <w:t xml:space="preserve">and the </w:t>
      </w:r>
      <w:r w:rsidR="00AD5515">
        <w:rPr>
          <w:rFonts w:ascii="Times New Roman" w:hAnsi="Times New Roman" w:cs="Times New Roman"/>
        </w:rPr>
        <w:t xml:space="preserve">statistical </w:t>
      </w:r>
      <w:r w:rsidR="00AD5515" w:rsidRPr="005B7536">
        <w:rPr>
          <w:rFonts w:ascii="Times New Roman" w:hAnsi="Times New Roman" w:cs="Times New Roman"/>
        </w:rPr>
        <w:t>significance of results are a lower bound.  Finally, due to the simple survey design, Taylor series linearization</w:t>
      </w:r>
      <w:r w:rsidR="00AD5515">
        <w:rPr>
          <w:rFonts w:ascii="Times New Roman" w:hAnsi="Times New Roman" w:cs="Times New Roman"/>
        </w:rPr>
        <w:t>, the generally accepted default,</w:t>
      </w:r>
      <w:r w:rsidR="00AD5515" w:rsidRPr="005B7536">
        <w:rPr>
          <w:rFonts w:ascii="Times New Roman" w:hAnsi="Times New Roman" w:cs="Times New Roman"/>
        </w:rPr>
        <w:t xml:space="preserve"> is retained</w:t>
      </w:r>
      <w:r w:rsidR="00AD5515">
        <w:rPr>
          <w:rFonts w:ascii="Times New Roman" w:hAnsi="Times New Roman" w:cs="Times New Roman"/>
        </w:rPr>
        <w:t xml:space="preserve"> in computing sampling variance</w:t>
      </w:r>
      <w:r w:rsidR="00AD5515" w:rsidRPr="005B7536">
        <w:rPr>
          <w:rFonts w:ascii="Times New Roman" w:hAnsi="Times New Roman" w:cs="Times New Roman"/>
        </w:rPr>
        <w:t>.</w:t>
      </w:r>
    </w:p>
    <w:p w:rsidR="001C21AE" w:rsidRDefault="001C21AE" w:rsidP="00C80CA6">
      <w:pPr>
        <w:spacing w:after="120" w:line="240" w:lineRule="auto"/>
        <w:rPr>
          <w:rFonts w:ascii="Times New Roman" w:hAnsi="Times New Roman" w:cs="Times New Roman"/>
        </w:rPr>
      </w:pPr>
    </w:p>
    <w:tbl>
      <w:tblPr>
        <w:tblW w:w="8340" w:type="dxa"/>
        <w:tblLook w:val="04A0" w:firstRow="1" w:lastRow="0" w:firstColumn="1" w:lastColumn="0" w:noHBand="0" w:noVBand="1"/>
      </w:tblPr>
      <w:tblGrid>
        <w:gridCol w:w="3092"/>
        <w:gridCol w:w="1160"/>
        <w:gridCol w:w="2763"/>
        <w:gridCol w:w="1325"/>
      </w:tblGrid>
      <w:tr w:rsidR="0097644E" w:rsidRPr="0097644E" w:rsidTr="00EB244E">
        <w:trPr>
          <w:trHeight w:val="315"/>
        </w:trPr>
        <w:tc>
          <w:tcPr>
            <w:tcW w:w="8340" w:type="dxa"/>
            <w:gridSpan w:val="4"/>
            <w:tcBorders>
              <w:top w:val="nil"/>
              <w:left w:val="nil"/>
              <w:bottom w:val="single" w:sz="4" w:space="0" w:color="auto"/>
              <w:right w:val="nil"/>
            </w:tcBorders>
            <w:shd w:val="clear" w:color="000000" w:fill="D9D9D9"/>
            <w:noWrap/>
            <w:vAlign w:val="bottom"/>
            <w:hideMark/>
          </w:tcPr>
          <w:p w:rsidR="0097644E" w:rsidRPr="0097644E" w:rsidRDefault="0097644E" w:rsidP="00943732">
            <w:pPr>
              <w:keepNext/>
              <w:spacing w:after="0" w:line="240" w:lineRule="auto"/>
              <w:rPr>
                <w:rFonts w:ascii="Times New Roman" w:eastAsia="Times New Roman" w:hAnsi="Times New Roman" w:cs="Times New Roman"/>
                <w:b/>
                <w:bCs/>
                <w:color w:val="000000"/>
                <w:sz w:val="24"/>
                <w:szCs w:val="24"/>
              </w:rPr>
            </w:pPr>
            <w:r w:rsidRPr="0097644E">
              <w:rPr>
                <w:rFonts w:ascii="Times New Roman" w:eastAsia="Times New Roman" w:hAnsi="Times New Roman" w:cs="Times New Roman"/>
                <w:b/>
                <w:bCs/>
                <w:color w:val="000000"/>
                <w:sz w:val="24"/>
                <w:szCs w:val="24"/>
              </w:rPr>
              <w:lastRenderedPageBreak/>
              <w:t>Table 1 | Summary statistics</w:t>
            </w:r>
          </w:p>
        </w:tc>
      </w:tr>
      <w:tr w:rsidR="0097644E" w:rsidRPr="0097644E" w:rsidTr="00EB244E">
        <w:trPr>
          <w:trHeight w:val="315"/>
        </w:trPr>
        <w:tc>
          <w:tcPr>
            <w:tcW w:w="3092" w:type="dxa"/>
            <w:tcBorders>
              <w:top w:val="single" w:sz="4" w:space="0" w:color="auto"/>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Variable</w:t>
            </w:r>
          </w:p>
        </w:tc>
        <w:tc>
          <w:tcPr>
            <w:tcW w:w="1160" w:type="dxa"/>
            <w:tcBorders>
              <w:top w:val="single" w:sz="4" w:space="0" w:color="auto"/>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Overall</w:t>
            </w:r>
          </w:p>
        </w:tc>
        <w:tc>
          <w:tcPr>
            <w:tcW w:w="2763" w:type="dxa"/>
            <w:tcBorders>
              <w:top w:val="single" w:sz="4" w:space="0" w:color="auto"/>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sz w:val="24"/>
                <w:szCs w:val="24"/>
              </w:rPr>
            </w:pPr>
            <w:r w:rsidRPr="0097644E">
              <w:rPr>
                <w:rFonts w:ascii="Times New Roman" w:eastAsia="Times New Roman" w:hAnsi="Times New Roman" w:cs="Times New Roman"/>
                <w:color w:val="000000"/>
                <w:sz w:val="24"/>
                <w:szCs w:val="24"/>
              </w:rPr>
              <w:t>Faculty and staff</w:t>
            </w:r>
          </w:p>
        </w:tc>
        <w:tc>
          <w:tcPr>
            <w:tcW w:w="1325" w:type="dxa"/>
            <w:tcBorders>
              <w:top w:val="single" w:sz="4" w:space="0" w:color="auto"/>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Students</w:t>
            </w:r>
          </w:p>
        </w:tc>
      </w:tr>
      <w:tr w:rsidR="0097644E" w:rsidRPr="0097644E" w:rsidTr="00EB244E">
        <w:trPr>
          <w:trHeight w:val="315"/>
        </w:trPr>
        <w:tc>
          <w:tcPr>
            <w:tcW w:w="3092" w:type="dxa"/>
            <w:tcBorders>
              <w:top w:val="single" w:sz="4" w:space="0" w:color="auto"/>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Kroon</w:t>
            </w:r>
            <w:r w:rsidR="00EB244E">
              <w:rPr>
                <w:rFonts w:ascii="Times New Roman" w:eastAsia="Times New Roman" w:hAnsi="Times New Roman" w:cs="Times New Roman"/>
                <w:color w:val="000000"/>
              </w:rPr>
              <w:t xml:space="preserve"> Hall</w:t>
            </w:r>
          </w:p>
        </w:tc>
        <w:tc>
          <w:tcPr>
            <w:tcW w:w="1160" w:type="dxa"/>
            <w:tcBorders>
              <w:top w:val="single" w:sz="4" w:space="0" w:color="auto"/>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0.60</w:t>
            </w:r>
          </w:p>
        </w:tc>
        <w:tc>
          <w:tcPr>
            <w:tcW w:w="2763" w:type="dxa"/>
            <w:tcBorders>
              <w:top w:val="single" w:sz="4" w:space="0" w:color="auto"/>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0.34</w:t>
            </w:r>
          </w:p>
        </w:tc>
        <w:tc>
          <w:tcPr>
            <w:tcW w:w="1325" w:type="dxa"/>
            <w:tcBorders>
              <w:top w:val="single" w:sz="4" w:space="0" w:color="auto"/>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0.84</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(0.04)</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Fac</w:t>
            </w:r>
            <w:r w:rsidR="00857528">
              <w:rPr>
                <w:rFonts w:ascii="Times New Roman" w:eastAsia="Times New Roman" w:hAnsi="Times New Roman" w:cs="Times New Roman"/>
                <w:color w:val="000000"/>
              </w:rPr>
              <w:t>ulty &amp; staff</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0.48</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1</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Kroon</w:t>
            </w:r>
            <w:r w:rsidR="00857528">
              <w:rPr>
                <w:rFonts w:ascii="Times New Roman" w:eastAsia="Times New Roman" w:hAnsi="Times New Roman" w:cs="Times New Roman"/>
                <w:color w:val="000000"/>
              </w:rPr>
              <w:t>*Faculty &amp; staff</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0.17</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0.34</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(0.02)</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(0.04)</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Office</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0.45</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0.90</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0.02</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(0.01)</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Kroon</w:t>
            </w:r>
            <w:r w:rsidR="00857528">
              <w:rPr>
                <w:rFonts w:ascii="Times New Roman" w:eastAsia="Times New Roman" w:hAnsi="Times New Roman" w:cs="Times New Roman"/>
                <w:color w:val="000000"/>
              </w:rPr>
              <w:t xml:space="preserve"> Hall*</w:t>
            </w:r>
            <w:r w:rsidRPr="0097644E">
              <w:rPr>
                <w:rFonts w:ascii="Times New Roman" w:eastAsia="Times New Roman" w:hAnsi="Times New Roman" w:cs="Times New Roman"/>
                <w:color w:val="000000"/>
              </w:rPr>
              <w:t>Office</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0.15</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0.29</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0.01</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(0.02)</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(0.04)</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(0.01)</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Age</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36.34</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45.30</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27.97</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(0.80)</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(1.14)</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(0.44)</w:t>
            </w:r>
          </w:p>
        </w:tc>
      </w:tr>
      <w:tr w:rsidR="0097644E" w:rsidRPr="0097644E" w:rsidTr="0097644E">
        <w:trPr>
          <w:trHeight w:val="315"/>
        </w:trPr>
        <w:tc>
          <w:tcPr>
            <w:tcW w:w="3092"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Female</w:t>
            </w:r>
          </w:p>
        </w:tc>
        <w:tc>
          <w:tcPr>
            <w:tcW w:w="1160"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0.53</w:t>
            </w:r>
          </w:p>
        </w:tc>
        <w:tc>
          <w:tcPr>
            <w:tcW w:w="2763"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0.57</w:t>
            </w:r>
          </w:p>
        </w:tc>
        <w:tc>
          <w:tcPr>
            <w:tcW w:w="1325" w:type="dxa"/>
            <w:tcBorders>
              <w:top w:val="nil"/>
              <w:left w:val="nil"/>
              <w:bottom w:val="nil"/>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0.49</w:t>
            </w:r>
          </w:p>
        </w:tc>
      </w:tr>
      <w:tr w:rsidR="0097644E" w:rsidRPr="0097644E" w:rsidTr="0097644E">
        <w:trPr>
          <w:trHeight w:val="315"/>
        </w:trPr>
        <w:tc>
          <w:tcPr>
            <w:tcW w:w="3092" w:type="dxa"/>
            <w:tcBorders>
              <w:top w:val="nil"/>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rPr>
                <w:rFonts w:ascii="Times New Roman" w:eastAsia="Times New Roman" w:hAnsi="Times New Roman" w:cs="Times New Roman"/>
                <w:color w:val="000000"/>
              </w:rPr>
            </w:pPr>
            <w:r w:rsidRPr="0097644E">
              <w:rPr>
                <w:rFonts w:ascii="Times New Roman" w:eastAsia="Times New Roman" w:hAnsi="Times New Roman" w:cs="Times New Roman"/>
                <w:color w:val="000000"/>
              </w:rPr>
              <w:t> </w:t>
            </w:r>
          </w:p>
        </w:tc>
        <w:tc>
          <w:tcPr>
            <w:tcW w:w="1160" w:type="dxa"/>
            <w:tcBorders>
              <w:top w:val="nil"/>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(0.03)</w:t>
            </w:r>
          </w:p>
        </w:tc>
        <w:tc>
          <w:tcPr>
            <w:tcW w:w="2763" w:type="dxa"/>
            <w:tcBorders>
              <w:top w:val="nil"/>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(0.04)</w:t>
            </w:r>
          </w:p>
        </w:tc>
        <w:tc>
          <w:tcPr>
            <w:tcW w:w="1325" w:type="dxa"/>
            <w:tcBorders>
              <w:top w:val="nil"/>
              <w:left w:val="nil"/>
              <w:bottom w:val="single" w:sz="4" w:space="0" w:color="auto"/>
              <w:right w:val="nil"/>
            </w:tcBorders>
            <w:shd w:val="clear" w:color="000000" w:fill="F2F2F2"/>
            <w:noWrap/>
            <w:vAlign w:val="bottom"/>
            <w:hideMark/>
          </w:tcPr>
          <w:p w:rsidR="0097644E" w:rsidRPr="0097644E" w:rsidRDefault="0097644E" w:rsidP="00943732">
            <w:pPr>
              <w:keepNext/>
              <w:spacing w:after="0" w:line="240" w:lineRule="auto"/>
              <w:jc w:val="center"/>
              <w:rPr>
                <w:rFonts w:ascii="Times New Roman" w:eastAsia="Times New Roman" w:hAnsi="Times New Roman" w:cs="Times New Roman"/>
                <w:color w:val="000000"/>
              </w:rPr>
            </w:pPr>
            <w:r w:rsidRPr="0097644E">
              <w:rPr>
                <w:rFonts w:ascii="Times New Roman" w:eastAsia="Times New Roman" w:hAnsi="Times New Roman" w:cs="Times New Roman"/>
                <w:color w:val="000000"/>
              </w:rPr>
              <w:t>(0.04)</w:t>
            </w:r>
          </w:p>
        </w:tc>
      </w:tr>
      <w:tr w:rsidR="0097644E" w:rsidRPr="0097644E" w:rsidTr="0097644E">
        <w:trPr>
          <w:trHeight w:val="315"/>
        </w:trPr>
        <w:tc>
          <w:tcPr>
            <w:tcW w:w="8340" w:type="dxa"/>
            <w:gridSpan w:val="4"/>
            <w:tcBorders>
              <w:top w:val="single" w:sz="4" w:space="0" w:color="auto"/>
              <w:left w:val="nil"/>
              <w:bottom w:val="nil"/>
              <w:right w:val="nil"/>
            </w:tcBorders>
            <w:shd w:val="clear" w:color="000000" w:fill="F2F2F2"/>
            <w:noWrap/>
            <w:hideMark/>
          </w:tcPr>
          <w:p w:rsidR="0097644E" w:rsidRPr="0097644E" w:rsidRDefault="0097644E" w:rsidP="00943732">
            <w:pPr>
              <w:keepNext/>
              <w:spacing w:after="0" w:line="240" w:lineRule="auto"/>
              <w:rPr>
                <w:rFonts w:ascii="Times New Roman" w:eastAsia="Times New Roman" w:hAnsi="Times New Roman" w:cs="Times New Roman"/>
                <w:color w:val="000000"/>
                <w:sz w:val="18"/>
                <w:szCs w:val="18"/>
              </w:rPr>
            </w:pPr>
            <w:r w:rsidRPr="0097644E">
              <w:rPr>
                <w:rFonts w:ascii="Times New Roman" w:eastAsia="Times New Roman" w:hAnsi="Times New Roman" w:cs="Times New Roman"/>
                <w:color w:val="000000"/>
                <w:sz w:val="18"/>
                <w:szCs w:val="18"/>
              </w:rPr>
              <w:t>Survey weighted statistics</w:t>
            </w:r>
            <w:r w:rsidR="00B1249B">
              <w:rPr>
                <w:rFonts w:ascii="Times New Roman" w:eastAsia="Times New Roman" w:hAnsi="Times New Roman" w:cs="Times New Roman"/>
                <w:color w:val="000000"/>
                <w:sz w:val="18"/>
                <w:szCs w:val="18"/>
              </w:rPr>
              <w:t xml:space="preserve"> with standard errors in parentheses</w:t>
            </w:r>
            <w:r w:rsidRPr="0097644E">
              <w:rPr>
                <w:rFonts w:ascii="Times New Roman" w:eastAsia="Times New Roman" w:hAnsi="Times New Roman" w:cs="Times New Roman"/>
                <w:color w:val="000000"/>
                <w:sz w:val="18"/>
                <w:szCs w:val="18"/>
              </w:rPr>
              <w:t>.</w:t>
            </w:r>
            <w:r w:rsidR="00B1249B">
              <w:rPr>
                <w:rFonts w:ascii="Times New Roman" w:eastAsia="Times New Roman" w:hAnsi="Times New Roman" w:cs="Times New Roman"/>
                <w:color w:val="000000"/>
                <w:sz w:val="18"/>
                <w:szCs w:val="18"/>
              </w:rPr>
              <w:t xml:space="preserve">  There are 323 responses in the survey, suggesting a 53.7-percent response rate.  However, only </w:t>
            </w:r>
            <w:r w:rsidRPr="0097644E">
              <w:rPr>
                <w:rFonts w:ascii="Times New Roman" w:eastAsia="Times New Roman" w:hAnsi="Times New Roman" w:cs="Times New Roman"/>
                <w:color w:val="000000"/>
                <w:sz w:val="18"/>
                <w:szCs w:val="18"/>
              </w:rPr>
              <w:t>259 observations</w:t>
            </w:r>
            <w:r w:rsidR="00B1249B">
              <w:rPr>
                <w:rFonts w:ascii="Times New Roman" w:eastAsia="Times New Roman" w:hAnsi="Times New Roman" w:cs="Times New Roman"/>
                <w:color w:val="000000"/>
                <w:sz w:val="18"/>
                <w:szCs w:val="18"/>
              </w:rPr>
              <w:t xml:space="preserve"> are complete to include age and gender indicators, a 43</w:t>
            </w:r>
            <w:r w:rsidR="00E04DEE">
              <w:rPr>
                <w:rFonts w:ascii="Times New Roman" w:eastAsia="Times New Roman" w:hAnsi="Times New Roman" w:cs="Times New Roman"/>
                <w:color w:val="000000"/>
                <w:sz w:val="18"/>
                <w:szCs w:val="18"/>
              </w:rPr>
              <w:t>.0</w:t>
            </w:r>
            <w:r w:rsidR="00B1249B">
              <w:rPr>
                <w:rFonts w:ascii="Times New Roman" w:eastAsia="Times New Roman" w:hAnsi="Times New Roman" w:cs="Times New Roman"/>
                <w:color w:val="000000"/>
                <w:sz w:val="18"/>
                <w:szCs w:val="18"/>
              </w:rPr>
              <w:t>-percent effective response</w:t>
            </w:r>
            <w:r w:rsidRPr="0097644E">
              <w:rPr>
                <w:rFonts w:ascii="Times New Roman" w:eastAsia="Times New Roman" w:hAnsi="Times New Roman" w:cs="Times New Roman"/>
                <w:color w:val="000000"/>
                <w:sz w:val="18"/>
                <w:szCs w:val="18"/>
              </w:rPr>
              <w:t>.</w:t>
            </w:r>
          </w:p>
        </w:tc>
      </w:tr>
    </w:tbl>
    <w:p w:rsidR="00095756" w:rsidRPr="00BA755E" w:rsidRDefault="00095756" w:rsidP="00BA755E">
      <w:pPr>
        <w:spacing w:before="240" w:after="120" w:line="240" w:lineRule="auto"/>
        <w:ind w:firstLine="720"/>
        <w:outlineLvl w:val="1"/>
        <w:rPr>
          <w:rFonts w:ascii="Times New Roman" w:hAnsi="Times New Roman" w:cs="Times New Roman"/>
        </w:rPr>
      </w:pPr>
      <w:bookmarkStart w:id="6" w:name="_Toc479081468"/>
      <w:r w:rsidRPr="00BA755E">
        <w:rPr>
          <w:rFonts w:ascii="Times New Roman" w:hAnsi="Times New Roman" w:cs="Times New Roman"/>
        </w:rPr>
        <w:t>Survey Design</w:t>
      </w:r>
      <w:bookmarkEnd w:id="6"/>
    </w:p>
    <w:p w:rsidR="00F325E4" w:rsidRPr="00991596" w:rsidRDefault="00AB0E0B" w:rsidP="00095756">
      <w:pPr>
        <w:spacing w:after="120" w:line="240" w:lineRule="auto"/>
        <w:rPr>
          <w:rFonts w:ascii="Times New Roman" w:hAnsi="Times New Roman" w:cs="Times New Roman"/>
        </w:rPr>
      </w:pPr>
      <w:r>
        <w:rPr>
          <w:rFonts w:ascii="Times New Roman" w:hAnsi="Times New Roman" w:cs="Times New Roman"/>
        </w:rPr>
        <w:t>The survey was conducted throughout April 2015 and</w:t>
      </w:r>
      <w:r w:rsidR="003C4C11" w:rsidRPr="00991596">
        <w:rPr>
          <w:rFonts w:ascii="Times New Roman" w:hAnsi="Times New Roman" w:cs="Times New Roman"/>
        </w:rPr>
        <w:t xml:space="preserve"> </w:t>
      </w:r>
      <w:r w:rsidR="00DB7659">
        <w:rPr>
          <w:rFonts w:ascii="Times New Roman" w:hAnsi="Times New Roman" w:cs="Times New Roman"/>
        </w:rPr>
        <w:t xml:space="preserve">asked </w:t>
      </w:r>
      <w:r w:rsidR="003C4C11" w:rsidRPr="00991596">
        <w:rPr>
          <w:rFonts w:ascii="Times New Roman" w:hAnsi="Times New Roman" w:cs="Times New Roman"/>
        </w:rPr>
        <w:t xml:space="preserve">questions on respondent usage and satisfaction with F&amp;ES </w:t>
      </w:r>
      <w:r w:rsidR="006E4C78" w:rsidRPr="00991596">
        <w:rPr>
          <w:rFonts w:ascii="Times New Roman" w:hAnsi="Times New Roman" w:cs="Times New Roman"/>
        </w:rPr>
        <w:t xml:space="preserve">facilities </w:t>
      </w:r>
      <w:r w:rsidR="003C4C11" w:rsidRPr="00991596">
        <w:rPr>
          <w:rFonts w:ascii="Times New Roman" w:hAnsi="Times New Roman" w:cs="Times New Roman"/>
        </w:rPr>
        <w:t>on campus</w:t>
      </w:r>
      <w:r w:rsidR="006E4C78" w:rsidRPr="00991596">
        <w:rPr>
          <w:rFonts w:ascii="Times New Roman" w:hAnsi="Times New Roman" w:cs="Times New Roman"/>
        </w:rPr>
        <w:t>,</w:t>
      </w:r>
      <w:r w:rsidR="003C4C11" w:rsidRPr="00991596">
        <w:rPr>
          <w:rFonts w:ascii="Times New Roman" w:hAnsi="Times New Roman" w:cs="Times New Roman"/>
        </w:rPr>
        <w:t xml:space="preserve"> </w:t>
      </w:r>
      <w:r w:rsidR="00DB7659">
        <w:rPr>
          <w:rFonts w:ascii="Times New Roman" w:hAnsi="Times New Roman" w:cs="Times New Roman"/>
        </w:rPr>
        <w:t>basic demographics</w:t>
      </w:r>
      <w:r w:rsidR="006E4C78" w:rsidRPr="00991596">
        <w:rPr>
          <w:rFonts w:ascii="Times New Roman" w:hAnsi="Times New Roman" w:cs="Times New Roman"/>
        </w:rPr>
        <w:t xml:space="preserve">, and a </w:t>
      </w:r>
      <w:r w:rsidR="007C72BC">
        <w:rPr>
          <w:rFonts w:ascii="Times New Roman" w:hAnsi="Times New Roman" w:cs="Times New Roman"/>
        </w:rPr>
        <w:t>few questions of less general interest</w:t>
      </w:r>
      <w:r w:rsidR="003C4C11" w:rsidRPr="00991596">
        <w:rPr>
          <w:rFonts w:ascii="Times New Roman" w:hAnsi="Times New Roman" w:cs="Times New Roman"/>
        </w:rPr>
        <w:t xml:space="preserve">.  The core </w:t>
      </w:r>
      <w:r w:rsidR="00333239">
        <w:rPr>
          <w:rFonts w:ascii="Times New Roman" w:hAnsi="Times New Roman" w:cs="Times New Roman"/>
        </w:rPr>
        <w:t xml:space="preserve">survey </w:t>
      </w:r>
      <w:r w:rsidR="003C4C11" w:rsidRPr="00991596">
        <w:rPr>
          <w:rFonts w:ascii="Times New Roman" w:hAnsi="Times New Roman" w:cs="Times New Roman"/>
        </w:rPr>
        <w:t xml:space="preserve">component </w:t>
      </w:r>
      <w:r w:rsidR="007C72BC">
        <w:rPr>
          <w:rFonts w:ascii="Times New Roman" w:hAnsi="Times New Roman" w:cs="Times New Roman"/>
        </w:rPr>
        <w:t>was</w:t>
      </w:r>
      <w:r w:rsidR="003C4C11" w:rsidRPr="00991596">
        <w:rPr>
          <w:rFonts w:ascii="Times New Roman" w:hAnsi="Times New Roman" w:cs="Times New Roman"/>
        </w:rPr>
        <w:t xml:space="preserve"> a set of nine questions </w:t>
      </w:r>
      <w:r w:rsidR="00075909" w:rsidRPr="00991596">
        <w:rPr>
          <w:rFonts w:ascii="Times New Roman" w:hAnsi="Times New Roman" w:cs="Times New Roman"/>
        </w:rPr>
        <w:t xml:space="preserve">on </w:t>
      </w:r>
      <w:r w:rsidR="00333239">
        <w:rPr>
          <w:rFonts w:ascii="Times New Roman" w:hAnsi="Times New Roman" w:cs="Times New Roman"/>
        </w:rPr>
        <w:t>the satisfaction with</w:t>
      </w:r>
      <w:r w:rsidR="007C72BC">
        <w:rPr>
          <w:rFonts w:ascii="Times New Roman" w:hAnsi="Times New Roman" w:cs="Times New Roman"/>
        </w:rPr>
        <w:t>,</w:t>
      </w:r>
      <w:r w:rsidR="00333239">
        <w:rPr>
          <w:rFonts w:ascii="Times New Roman" w:hAnsi="Times New Roman" w:cs="Times New Roman"/>
        </w:rPr>
        <w:t xml:space="preserve"> and impact on productivity of building</w:t>
      </w:r>
      <w:r w:rsidR="007C72BC">
        <w:rPr>
          <w:rFonts w:ascii="Times New Roman" w:hAnsi="Times New Roman" w:cs="Times New Roman"/>
        </w:rPr>
        <w:t xml:space="preserve"> characteristics categorized as</w:t>
      </w:r>
      <w:r w:rsidR="00075909" w:rsidRPr="00991596">
        <w:rPr>
          <w:rFonts w:ascii="Times New Roman" w:hAnsi="Times New Roman" w:cs="Times New Roman"/>
        </w:rPr>
        <w:t xml:space="preserve"> acoustics, aesthetics, air quality, sustainability features, furniture, lighting, functionality, </w:t>
      </w:r>
      <w:r w:rsidR="006E4C78" w:rsidRPr="00991596">
        <w:rPr>
          <w:rFonts w:ascii="Times New Roman" w:hAnsi="Times New Roman" w:cs="Times New Roman"/>
        </w:rPr>
        <w:t xml:space="preserve">thermal comfort, and </w:t>
      </w:r>
      <w:r w:rsidR="00075909" w:rsidRPr="00991596">
        <w:rPr>
          <w:rFonts w:ascii="Times New Roman" w:hAnsi="Times New Roman" w:cs="Times New Roman"/>
        </w:rPr>
        <w:t>other (with</w:t>
      </w:r>
      <w:r w:rsidR="006E4C78" w:rsidRPr="00991596">
        <w:rPr>
          <w:rFonts w:ascii="Times New Roman" w:hAnsi="Times New Roman" w:cs="Times New Roman"/>
        </w:rPr>
        <w:t xml:space="preserve"> an</w:t>
      </w:r>
      <w:r w:rsidR="00075909" w:rsidRPr="00991596">
        <w:rPr>
          <w:rFonts w:ascii="Times New Roman" w:hAnsi="Times New Roman" w:cs="Times New Roman"/>
        </w:rPr>
        <w:t xml:space="preserve"> option to write in text).  </w:t>
      </w:r>
      <w:r w:rsidR="00333239">
        <w:rPr>
          <w:rFonts w:ascii="Times New Roman" w:hAnsi="Times New Roman" w:cs="Times New Roman"/>
        </w:rPr>
        <w:t>For each category, respondents</w:t>
      </w:r>
      <w:r w:rsidR="002D4F37" w:rsidRPr="00991596">
        <w:rPr>
          <w:rFonts w:ascii="Times New Roman" w:hAnsi="Times New Roman" w:cs="Times New Roman"/>
        </w:rPr>
        <w:t xml:space="preserve"> were </w:t>
      </w:r>
      <w:r w:rsidR="006E4C78" w:rsidRPr="00991596">
        <w:rPr>
          <w:rFonts w:ascii="Times New Roman" w:hAnsi="Times New Roman" w:cs="Times New Roman"/>
        </w:rPr>
        <w:t>asked</w:t>
      </w:r>
      <w:r w:rsidR="002D4F37" w:rsidRPr="00991596">
        <w:rPr>
          <w:rFonts w:ascii="Times New Roman" w:hAnsi="Times New Roman" w:cs="Times New Roman"/>
        </w:rPr>
        <w:t xml:space="preserve"> </w:t>
      </w:r>
      <w:r w:rsidR="00333239">
        <w:rPr>
          <w:rFonts w:ascii="Times New Roman" w:hAnsi="Times New Roman" w:cs="Times New Roman"/>
        </w:rPr>
        <w:t xml:space="preserve">about the </w:t>
      </w:r>
      <w:r w:rsidR="00075909" w:rsidRPr="00991596">
        <w:rPr>
          <w:rFonts w:ascii="Times New Roman" w:hAnsi="Times New Roman" w:cs="Times New Roman"/>
        </w:rPr>
        <w:t>importance</w:t>
      </w:r>
      <w:r w:rsidR="00333239">
        <w:rPr>
          <w:rFonts w:ascii="Times New Roman" w:hAnsi="Times New Roman" w:cs="Times New Roman"/>
        </w:rPr>
        <w:t xml:space="preserve"> of the category</w:t>
      </w:r>
      <w:r w:rsidR="00075909" w:rsidRPr="00991596">
        <w:rPr>
          <w:rFonts w:ascii="Times New Roman" w:hAnsi="Times New Roman" w:cs="Times New Roman"/>
        </w:rPr>
        <w:t>, satisfaction</w:t>
      </w:r>
      <w:r w:rsidR="00333239">
        <w:rPr>
          <w:rFonts w:ascii="Times New Roman" w:hAnsi="Times New Roman" w:cs="Times New Roman"/>
        </w:rPr>
        <w:t xml:space="preserve"> with the F&amp;ES building they most use</w:t>
      </w:r>
      <w:r w:rsidR="00075909" w:rsidRPr="00991596">
        <w:rPr>
          <w:rFonts w:ascii="Times New Roman" w:hAnsi="Times New Roman" w:cs="Times New Roman"/>
        </w:rPr>
        <w:t>,</w:t>
      </w:r>
      <w:r w:rsidR="002D4F37" w:rsidRPr="00991596">
        <w:rPr>
          <w:rFonts w:ascii="Times New Roman" w:hAnsi="Times New Roman" w:cs="Times New Roman"/>
        </w:rPr>
        <w:t xml:space="preserve"> </w:t>
      </w:r>
      <w:r w:rsidR="00333239">
        <w:rPr>
          <w:rFonts w:ascii="Times New Roman" w:hAnsi="Times New Roman" w:cs="Times New Roman"/>
        </w:rPr>
        <w:t xml:space="preserve">the impact on their productivity </w:t>
      </w:r>
      <w:r w:rsidR="007C72BC">
        <w:rPr>
          <w:rFonts w:ascii="Times New Roman" w:hAnsi="Times New Roman" w:cs="Times New Roman"/>
        </w:rPr>
        <w:t>in that</w:t>
      </w:r>
      <w:r w:rsidR="00333239">
        <w:rPr>
          <w:rFonts w:ascii="Times New Roman" w:hAnsi="Times New Roman" w:cs="Times New Roman"/>
        </w:rPr>
        <w:t xml:space="preserve"> building</w:t>
      </w:r>
      <w:r w:rsidR="002D4F37" w:rsidRPr="00991596">
        <w:rPr>
          <w:rFonts w:ascii="Times New Roman" w:hAnsi="Times New Roman" w:cs="Times New Roman"/>
        </w:rPr>
        <w:t>, and</w:t>
      </w:r>
      <w:r w:rsidR="007C72BC">
        <w:rPr>
          <w:rFonts w:ascii="Times New Roman" w:hAnsi="Times New Roman" w:cs="Times New Roman"/>
        </w:rPr>
        <w:t xml:space="preserve"> the impact on </w:t>
      </w:r>
      <w:r w:rsidR="00333239">
        <w:rPr>
          <w:rFonts w:ascii="Times New Roman" w:hAnsi="Times New Roman" w:cs="Times New Roman"/>
        </w:rPr>
        <w:t>amount of</w:t>
      </w:r>
      <w:r w:rsidR="00075909" w:rsidRPr="00991596">
        <w:rPr>
          <w:rFonts w:ascii="Times New Roman" w:hAnsi="Times New Roman" w:cs="Times New Roman"/>
        </w:rPr>
        <w:t xml:space="preserve"> time</w:t>
      </w:r>
      <w:r w:rsidR="002D4F37" w:rsidRPr="00991596">
        <w:rPr>
          <w:rFonts w:ascii="Times New Roman" w:hAnsi="Times New Roman" w:cs="Times New Roman"/>
        </w:rPr>
        <w:t xml:space="preserve"> </w:t>
      </w:r>
      <w:r w:rsidR="00333239">
        <w:rPr>
          <w:rFonts w:ascii="Times New Roman" w:hAnsi="Times New Roman" w:cs="Times New Roman"/>
        </w:rPr>
        <w:t xml:space="preserve">spent in the building.  </w:t>
      </w:r>
      <w:r w:rsidR="007C72BC">
        <w:rPr>
          <w:rFonts w:ascii="Times New Roman" w:hAnsi="Times New Roman" w:cs="Times New Roman"/>
        </w:rPr>
        <w:t>R</w:t>
      </w:r>
      <w:r w:rsidR="00075909" w:rsidRPr="00991596">
        <w:rPr>
          <w:rFonts w:ascii="Times New Roman" w:hAnsi="Times New Roman" w:cs="Times New Roman"/>
        </w:rPr>
        <w:t>espondents rank</w:t>
      </w:r>
      <w:r w:rsidR="006E4C78" w:rsidRPr="00991596">
        <w:rPr>
          <w:rFonts w:ascii="Times New Roman" w:hAnsi="Times New Roman" w:cs="Times New Roman"/>
        </w:rPr>
        <w:t>ed</w:t>
      </w:r>
      <w:r w:rsidR="00075909" w:rsidRPr="00991596">
        <w:rPr>
          <w:rFonts w:ascii="Times New Roman" w:hAnsi="Times New Roman" w:cs="Times New Roman"/>
        </w:rPr>
        <w:t xml:space="preserve"> </w:t>
      </w:r>
      <w:r w:rsidR="007C72BC">
        <w:rPr>
          <w:rFonts w:ascii="Times New Roman" w:hAnsi="Times New Roman" w:cs="Times New Roman"/>
        </w:rPr>
        <w:t xml:space="preserve">each </w:t>
      </w:r>
      <w:r w:rsidR="00075909" w:rsidRPr="00991596">
        <w:rPr>
          <w:rFonts w:ascii="Times New Roman" w:hAnsi="Times New Roman" w:cs="Times New Roman"/>
        </w:rPr>
        <w:t>from very unimportant, very dissatisfied, greatly interfere, or a lot less time</w:t>
      </w:r>
      <w:r w:rsidR="00333239">
        <w:rPr>
          <w:rFonts w:ascii="Times New Roman" w:hAnsi="Times New Roman" w:cs="Times New Roman"/>
        </w:rPr>
        <w:t xml:space="preserve"> (response</w:t>
      </w:r>
      <w:r w:rsidR="007C72BC">
        <w:rPr>
          <w:rFonts w:ascii="Times New Roman" w:hAnsi="Times New Roman" w:cs="Times New Roman"/>
        </w:rPr>
        <w:t>s</w:t>
      </w:r>
      <w:r w:rsidR="00333239">
        <w:rPr>
          <w:rFonts w:ascii="Times New Roman" w:hAnsi="Times New Roman" w:cs="Times New Roman"/>
        </w:rPr>
        <w:t>=1),</w:t>
      </w:r>
      <w:r w:rsidR="00075909" w:rsidRPr="00991596">
        <w:rPr>
          <w:rFonts w:ascii="Times New Roman" w:hAnsi="Times New Roman" w:cs="Times New Roman"/>
        </w:rPr>
        <w:t xml:space="preserve"> to</w:t>
      </w:r>
      <w:r w:rsidR="00333239">
        <w:rPr>
          <w:rFonts w:ascii="Times New Roman" w:hAnsi="Times New Roman" w:cs="Times New Roman"/>
        </w:rPr>
        <w:t xml:space="preserve"> </w:t>
      </w:r>
      <w:r w:rsidR="00075909" w:rsidRPr="00991596">
        <w:rPr>
          <w:rFonts w:ascii="Times New Roman" w:hAnsi="Times New Roman" w:cs="Times New Roman"/>
        </w:rPr>
        <w:t>very important, very satisfied, greatly enhance, or a lot more time</w:t>
      </w:r>
      <w:r w:rsidR="00FC7E4D">
        <w:rPr>
          <w:rFonts w:ascii="Times New Roman" w:hAnsi="Times New Roman" w:cs="Times New Roman"/>
        </w:rPr>
        <w:t xml:space="preserve"> (respons</w:t>
      </w:r>
      <w:r w:rsidR="00333239">
        <w:rPr>
          <w:rFonts w:ascii="Times New Roman" w:hAnsi="Times New Roman" w:cs="Times New Roman"/>
        </w:rPr>
        <w:t>e</w:t>
      </w:r>
      <w:r w:rsidR="007C72BC">
        <w:rPr>
          <w:rFonts w:ascii="Times New Roman" w:hAnsi="Times New Roman" w:cs="Times New Roman"/>
        </w:rPr>
        <w:t>s</w:t>
      </w:r>
      <w:r w:rsidR="00333239">
        <w:rPr>
          <w:rFonts w:ascii="Times New Roman" w:hAnsi="Times New Roman" w:cs="Times New Roman"/>
        </w:rPr>
        <w:t>=5)</w:t>
      </w:r>
      <w:r w:rsidR="00075909" w:rsidRPr="00991596">
        <w:rPr>
          <w:rFonts w:ascii="Times New Roman" w:hAnsi="Times New Roman" w:cs="Times New Roman"/>
        </w:rPr>
        <w:t xml:space="preserve"> </w:t>
      </w:r>
      <w:r w:rsidR="007C72BC">
        <w:rPr>
          <w:rFonts w:ascii="Times New Roman" w:hAnsi="Times New Roman" w:cs="Times New Roman"/>
        </w:rPr>
        <w:t>as applicable</w:t>
      </w:r>
      <w:r w:rsidR="00075909" w:rsidRPr="00991596">
        <w:rPr>
          <w:rFonts w:ascii="Times New Roman" w:hAnsi="Times New Roman" w:cs="Times New Roman"/>
        </w:rPr>
        <w:t>.</w:t>
      </w:r>
      <w:r w:rsidR="009153CB">
        <w:rPr>
          <w:rFonts w:ascii="Times New Roman" w:hAnsi="Times New Roman" w:cs="Times New Roman"/>
        </w:rPr>
        <w:t xml:space="preserve">  </w:t>
      </w:r>
      <w:r w:rsidR="0061726E">
        <w:rPr>
          <w:rFonts w:ascii="Times New Roman" w:hAnsi="Times New Roman" w:cs="Times New Roman"/>
        </w:rPr>
        <w:t>This data offers a substantial picture of respondent experiences with green</w:t>
      </w:r>
      <w:r w:rsidR="007C72BC">
        <w:rPr>
          <w:rFonts w:ascii="Times New Roman" w:hAnsi="Times New Roman" w:cs="Times New Roman"/>
        </w:rPr>
        <w:t xml:space="preserve"> Kroon Hall</w:t>
      </w:r>
      <w:r w:rsidR="0061726E">
        <w:rPr>
          <w:rFonts w:ascii="Times New Roman" w:hAnsi="Times New Roman" w:cs="Times New Roman"/>
        </w:rPr>
        <w:t xml:space="preserve"> versus traditional buildings</w:t>
      </w:r>
      <w:r w:rsidR="00964381">
        <w:rPr>
          <w:rFonts w:ascii="Times New Roman" w:hAnsi="Times New Roman" w:cs="Times New Roman"/>
        </w:rPr>
        <w:t xml:space="preserve">.  </w:t>
      </w:r>
      <w:r w:rsidR="007C72BC">
        <w:rPr>
          <w:rFonts w:ascii="Times New Roman" w:hAnsi="Times New Roman" w:cs="Times New Roman"/>
        </w:rPr>
        <w:t>In total, nine built environment characteristics are analyzed for their impact on four satisfaction and importance measures.  This offers</w:t>
      </w:r>
      <w:r w:rsidR="0061726E">
        <w:rPr>
          <w:rFonts w:ascii="Times New Roman" w:hAnsi="Times New Roman" w:cs="Times New Roman"/>
        </w:rPr>
        <w:t xml:space="preserve"> </w:t>
      </w:r>
      <w:r w:rsidR="002D4F37" w:rsidRPr="00991596">
        <w:rPr>
          <w:rFonts w:ascii="Times New Roman" w:hAnsi="Times New Roman" w:cs="Times New Roman"/>
        </w:rPr>
        <w:t xml:space="preserve">54 </w:t>
      </w:r>
      <w:r w:rsidR="006E4C78" w:rsidRPr="00991596">
        <w:rPr>
          <w:rFonts w:ascii="Times New Roman" w:hAnsi="Times New Roman" w:cs="Times New Roman"/>
        </w:rPr>
        <w:t xml:space="preserve">data points per </w:t>
      </w:r>
      <w:r w:rsidR="00964381">
        <w:rPr>
          <w:rFonts w:ascii="Times New Roman" w:hAnsi="Times New Roman" w:cs="Times New Roman"/>
        </w:rPr>
        <w:t>respondent</w:t>
      </w:r>
      <w:r w:rsidR="00DC7CFC">
        <w:rPr>
          <w:rFonts w:ascii="Times New Roman" w:hAnsi="Times New Roman" w:cs="Times New Roman"/>
        </w:rPr>
        <w:t xml:space="preserve">, </w:t>
      </w:r>
      <w:r w:rsidR="007C72BC">
        <w:rPr>
          <w:rFonts w:ascii="Times New Roman" w:hAnsi="Times New Roman" w:cs="Times New Roman"/>
        </w:rPr>
        <w:t>measured at a</w:t>
      </w:r>
      <w:r w:rsidR="00964381">
        <w:rPr>
          <w:rFonts w:ascii="Times New Roman" w:hAnsi="Times New Roman" w:cs="Times New Roman"/>
        </w:rPr>
        <w:t xml:space="preserve"> resolution of </w:t>
      </w:r>
      <w:r w:rsidR="00DC7CFC">
        <w:rPr>
          <w:rFonts w:ascii="Times New Roman" w:hAnsi="Times New Roman" w:cs="Times New Roman"/>
        </w:rPr>
        <w:t xml:space="preserve">a scale </w:t>
      </w:r>
      <w:r w:rsidR="00964381">
        <w:rPr>
          <w:rFonts w:ascii="Times New Roman" w:hAnsi="Times New Roman" w:cs="Times New Roman"/>
        </w:rPr>
        <w:t>from one to five</w:t>
      </w:r>
      <w:r w:rsidR="00DC7CFC">
        <w:rPr>
          <w:rFonts w:ascii="Times New Roman" w:hAnsi="Times New Roman" w:cs="Times New Roman"/>
        </w:rPr>
        <w:t>.</w:t>
      </w:r>
      <w:r w:rsidR="0095261C">
        <w:rPr>
          <w:rFonts w:ascii="Times New Roman" w:hAnsi="Times New Roman" w:cs="Times New Roman"/>
        </w:rPr>
        <w:t xml:space="preserve">  Respondents were also queried on how they adjust the building environment with a dichotomous choice for nine adaptation options</w:t>
      </w:r>
      <w:r w:rsidR="00D87F44" w:rsidRPr="00991596">
        <w:rPr>
          <w:rFonts w:ascii="Times New Roman" w:hAnsi="Times New Roman" w:cs="Times New Roman"/>
        </w:rPr>
        <w:t>: open and close windows, doors, raise and lower window blinds, adjust building thermostats, air vents, bring in portable heaters, fans, wear different clothing, or other (with an</w:t>
      </w:r>
      <w:r w:rsidR="00D87F44">
        <w:rPr>
          <w:rFonts w:ascii="Times New Roman" w:hAnsi="Times New Roman" w:cs="Times New Roman"/>
        </w:rPr>
        <w:t>other write-in</w:t>
      </w:r>
      <w:r w:rsidR="00D87F44" w:rsidRPr="00991596">
        <w:rPr>
          <w:rFonts w:ascii="Times New Roman" w:hAnsi="Times New Roman" w:cs="Times New Roman"/>
        </w:rPr>
        <w:t xml:space="preserve"> option).  </w:t>
      </w:r>
      <w:r w:rsidR="00FA4D16" w:rsidRPr="00991596">
        <w:rPr>
          <w:rFonts w:ascii="Times New Roman" w:hAnsi="Times New Roman" w:cs="Times New Roman"/>
        </w:rPr>
        <w:t xml:space="preserve"> </w:t>
      </w:r>
      <w:r w:rsidR="00D87F44">
        <w:rPr>
          <w:rFonts w:ascii="Times New Roman" w:hAnsi="Times New Roman" w:cs="Times New Roman"/>
        </w:rPr>
        <w:t xml:space="preserve"> </w:t>
      </w:r>
    </w:p>
    <w:p w:rsidR="00D32932" w:rsidRPr="002B46AA" w:rsidRDefault="00D32932" w:rsidP="00072995">
      <w:pPr>
        <w:pStyle w:val="ListParagraph"/>
        <w:spacing w:after="120" w:line="240" w:lineRule="auto"/>
        <w:outlineLvl w:val="1"/>
        <w:rPr>
          <w:rFonts w:ascii="Times New Roman" w:hAnsi="Times New Roman" w:cs="Times New Roman"/>
        </w:rPr>
      </w:pPr>
      <w:bookmarkStart w:id="7" w:name="_Toc479081469"/>
      <w:r w:rsidRPr="002B46AA">
        <w:rPr>
          <w:rFonts w:ascii="Times New Roman" w:hAnsi="Times New Roman" w:cs="Times New Roman"/>
        </w:rPr>
        <w:t>Econometric model</w:t>
      </w:r>
      <w:bookmarkEnd w:id="7"/>
    </w:p>
    <w:p w:rsidR="000E6B9F" w:rsidRPr="00991596" w:rsidRDefault="009F4A20" w:rsidP="000E6B9F">
      <w:pPr>
        <w:spacing w:after="120" w:line="240" w:lineRule="auto"/>
        <w:rPr>
          <w:rFonts w:ascii="Times New Roman" w:hAnsi="Times New Roman" w:cs="Times New Roman"/>
        </w:rPr>
      </w:pPr>
      <w:r>
        <w:rPr>
          <w:rFonts w:ascii="Times New Roman" w:hAnsi="Times New Roman" w:cs="Times New Roman"/>
        </w:rPr>
        <w:t>The econometric models attempt to identify whether there is an</w:t>
      </w:r>
      <w:r w:rsidR="00FC01D3">
        <w:rPr>
          <w:rFonts w:ascii="Times New Roman" w:hAnsi="Times New Roman" w:cs="Times New Roman"/>
        </w:rPr>
        <w:t xml:space="preserve"> impact of</w:t>
      </w:r>
      <w:r w:rsidR="000E6B9F" w:rsidRPr="00991596">
        <w:rPr>
          <w:rFonts w:ascii="Times New Roman" w:hAnsi="Times New Roman" w:cs="Times New Roman"/>
        </w:rPr>
        <w:t xml:space="preserve"> LEED certified Kroon Hall versus </w:t>
      </w:r>
      <w:r w:rsidR="005C0717" w:rsidRPr="00991596">
        <w:rPr>
          <w:rFonts w:ascii="Times New Roman" w:hAnsi="Times New Roman" w:cs="Times New Roman"/>
        </w:rPr>
        <w:t>the rest of the F&amp;ES building</w:t>
      </w:r>
      <w:r w:rsidR="000E6B9F" w:rsidRPr="00991596">
        <w:rPr>
          <w:rFonts w:ascii="Times New Roman" w:hAnsi="Times New Roman" w:cs="Times New Roman"/>
        </w:rPr>
        <w:t xml:space="preserve"> </w:t>
      </w:r>
      <w:r w:rsidR="005C0717" w:rsidRPr="00991596">
        <w:rPr>
          <w:rFonts w:ascii="Times New Roman" w:hAnsi="Times New Roman" w:cs="Times New Roman"/>
        </w:rPr>
        <w:t>inventory</w:t>
      </w:r>
      <w:r>
        <w:rPr>
          <w:rFonts w:ascii="Times New Roman" w:hAnsi="Times New Roman" w:cs="Times New Roman"/>
        </w:rPr>
        <w:t>-</w:t>
      </w:r>
      <w:r w:rsidR="005C0717" w:rsidRPr="00991596">
        <w:rPr>
          <w:rFonts w:ascii="Times New Roman" w:hAnsi="Times New Roman" w:cs="Times New Roman"/>
        </w:rPr>
        <w:t xml:space="preserve"> </w:t>
      </w:r>
      <w:r>
        <w:rPr>
          <w:rFonts w:ascii="Times New Roman" w:hAnsi="Times New Roman" w:cs="Times New Roman"/>
        </w:rPr>
        <w:t>the</w:t>
      </w:r>
      <w:r w:rsidR="00FC01D3">
        <w:rPr>
          <w:rFonts w:ascii="Times New Roman" w:hAnsi="Times New Roman" w:cs="Times New Roman"/>
        </w:rPr>
        <w:t xml:space="preserve"> comparatively standard buildings</w:t>
      </w:r>
      <w:r>
        <w:rPr>
          <w:rFonts w:ascii="Times New Roman" w:hAnsi="Times New Roman" w:cs="Times New Roman"/>
        </w:rPr>
        <w:t>, and whether adaptive behavior differs</w:t>
      </w:r>
      <w:r w:rsidR="000E6B9F" w:rsidRPr="00991596">
        <w:rPr>
          <w:rFonts w:ascii="Times New Roman" w:hAnsi="Times New Roman" w:cs="Times New Roman"/>
        </w:rPr>
        <w:t xml:space="preserve">.  </w:t>
      </w:r>
      <w:r w:rsidR="00127006">
        <w:rPr>
          <w:rFonts w:ascii="Times New Roman" w:hAnsi="Times New Roman" w:cs="Times New Roman"/>
        </w:rPr>
        <w:t>A</w:t>
      </w:r>
      <w:r w:rsidR="007772BA">
        <w:rPr>
          <w:rFonts w:ascii="Times New Roman" w:hAnsi="Times New Roman" w:cs="Times New Roman"/>
        </w:rPr>
        <w:t>n</w:t>
      </w:r>
      <w:r w:rsidR="00127006">
        <w:rPr>
          <w:rFonts w:ascii="Times New Roman" w:hAnsi="Times New Roman" w:cs="Times New Roman"/>
        </w:rPr>
        <w:t xml:space="preserve"> orde</w:t>
      </w:r>
      <w:r w:rsidR="007772BA">
        <w:rPr>
          <w:rFonts w:ascii="Times New Roman" w:hAnsi="Times New Roman" w:cs="Times New Roman"/>
        </w:rPr>
        <w:t xml:space="preserve">red </w:t>
      </w:r>
      <w:proofErr w:type="spellStart"/>
      <w:r w:rsidR="007772BA">
        <w:rPr>
          <w:rFonts w:ascii="Times New Roman" w:hAnsi="Times New Roman" w:cs="Times New Roman"/>
        </w:rPr>
        <w:t>probit</w:t>
      </w:r>
      <w:proofErr w:type="spellEnd"/>
      <w:r w:rsidR="007772BA">
        <w:rPr>
          <w:rFonts w:ascii="Times New Roman" w:hAnsi="Times New Roman" w:cs="Times New Roman"/>
        </w:rPr>
        <w:t xml:space="preserve"> model</w:t>
      </w:r>
      <w:r>
        <w:rPr>
          <w:rFonts w:ascii="Times New Roman" w:hAnsi="Times New Roman" w:cs="Times New Roman"/>
        </w:rPr>
        <w:t xml:space="preserve"> </w:t>
      </w:r>
      <w:r w:rsidR="007772BA">
        <w:rPr>
          <w:rFonts w:ascii="Times New Roman" w:hAnsi="Times New Roman" w:cs="Times New Roman"/>
        </w:rPr>
        <w:t>is</w:t>
      </w:r>
      <w:r>
        <w:rPr>
          <w:rFonts w:ascii="Times New Roman" w:hAnsi="Times New Roman" w:cs="Times New Roman"/>
        </w:rPr>
        <w:t xml:space="preserve"> estimated</w:t>
      </w:r>
      <w:r w:rsidR="007772BA">
        <w:rPr>
          <w:rFonts w:ascii="Times New Roman" w:hAnsi="Times New Roman" w:cs="Times New Roman"/>
        </w:rPr>
        <w:t xml:space="preserve"> for each experience and impact category</w:t>
      </w:r>
      <w:r w:rsidR="00127006">
        <w:rPr>
          <w:rFonts w:ascii="Times New Roman" w:hAnsi="Times New Roman" w:cs="Times New Roman"/>
        </w:rPr>
        <w:t xml:space="preserve"> to capture to the fullest extent </w:t>
      </w:r>
      <w:r w:rsidR="007772BA">
        <w:rPr>
          <w:rFonts w:ascii="Times New Roman" w:hAnsi="Times New Roman" w:cs="Times New Roman"/>
        </w:rPr>
        <w:t xml:space="preserve">of </w:t>
      </w:r>
      <w:r w:rsidR="00127006">
        <w:rPr>
          <w:rFonts w:ascii="Times New Roman" w:hAnsi="Times New Roman" w:cs="Times New Roman"/>
        </w:rPr>
        <w:t>the impact of the green structure.</w:t>
      </w:r>
      <w:r w:rsidR="007772BA">
        <w:rPr>
          <w:rFonts w:ascii="Times New Roman" w:hAnsi="Times New Roman" w:cs="Times New Roman"/>
        </w:rPr>
        <w:t xml:space="preserve">  The models take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0E6B9F" w:rsidRPr="00991596" w:rsidTr="000E6B9F">
        <w:tc>
          <w:tcPr>
            <w:tcW w:w="8815" w:type="dxa"/>
          </w:tcPr>
          <w:p w:rsidR="000E6B9F" w:rsidRPr="00991596" w:rsidRDefault="00B77489" w:rsidP="000E6B9F">
            <w:pPr>
              <w:spacing w:after="120"/>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Cat</m:t>
                    </m: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KroonPrimary+</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Kroon*Office+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r>
                  <w:rPr>
                    <w:rFonts w:ascii="Cambria Math" w:eastAsiaTheme="minorEastAsia" w:hAnsi="Cambria Math" w:cs="Times New Roman"/>
                  </w:rPr>
                  <m:t>Office+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4</m:t>
                    </m:r>
                  </m:sub>
                </m:sSub>
                <m:r>
                  <w:rPr>
                    <w:rFonts w:ascii="Cambria Math" w:eastAsiaTheme="minorEastAsia" w:hAnsi="Cambria Math" w:cs="Times New Roman"/>
                  </w:rPr>
                  <m:t>Age+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Gender+ε</m:t>
                </m:r>
              </m:oMath>
            </m:oMathPara>
          </w:p>
        </w:tc>
        <w:tc>
          <w:tcPr>
            <w:tcW w:w="535" w:type="dxa"/>
          </w:tcPr>
          <w:p w:rsidR="000E6B9F" w:rsidRPr="00991596" w:rsidRDefault="000E6B9F" w:rsidP="000E6B9F">
            <w:pPr>
              <w:spacing w:after="120"/>
              <w:rPr>
                <w:rFonts w:ascii="Times New Roman" w:hAnsi="Times New Roman" w:cs="Times New Roman"/>
              </w:rPr>
            </w:pPr>
            <w:r w:rsidRPr="00991596">
              <w:rPr>
                <w:rFonts w:ascii="Times New Roman" w:hAnsi="Times New Roman" w:cs="Times New Roman"/>
              </w:rPr>
              <w:t>(1)</w:t>
            </w:r>
          </w:p>
        </w:tc>
      </w:tr>
    </w:tbl>
    <w:p w:rsidR="005B70A9" w:rsidRDefault="007772BA" w:rsidP="007772BA">
      <w:pPr>
        <w:spacing w:after="120"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i/>
        </w:rPr>
        <w:t>i</w:t>
      </w:r>
      <w:proofErr w:type="spellEnd"/>
      <w:r>
        <w:rPr>
          <w:rFonts w:ascii="Times New Roman" w:eastAsiaTheme="minorEastAsia" w:hAnsi="Times New Roman" w:cs="Times New Roman"/>
        </w:rPr>
        <w:t xml:space="preserve"> indicators the four measures (importance, satisfaction, work impact, time impact), </w:t>
      </w:r>
      <w:r>
        <w:rPr>
          <w:rFonts w:ascii="Times New Roman" w:eastAsiaTheme="minorEastAsia" w:hAnsi="Times New Roman" w:cs="Times New Roman"/>
          <w:i/>
        </w:rPr>
        <w:t>j</w:t>
      </w:r>
      <w:r>
        <w:rPr>
          <w:rFonts w:ascii="Times New Roman" w:eastAsiaTheme="minorEastAsia" w:hAnsi="Times New Roman" w:cs="Times New Roman"/>
        </w:rPr>
        <w:t xml:space="preserve"> indicators the nine building characteristics (thermal impact, acoustics, aesthetics, etc.), and </w:t>
      </w:r>
      <w:r w:rsidR="000E6B9F" w:rsidRPr="00991596">
        <w:rPr>
          <w:rFonts w:ascii="Times New Roman" w:eastAsiaTheme="minorEastAsia" w:hAnsi="Times New Roman" w:cs="Times New Roman"/>
        </w:rPr>
        <w:t>subscript</w:t>
      </w:r>
      <w:r>
        <w:rPr>
          <w:rFonts w:ascii="Times New Roman" w:eastAsiaTheme="minorEastAsia" w:hAnsi="Times New Roman" w:cs="Times New Roman"/>
        </w:rPr>
        <w:t xml:space="preserve">s for individual </w:t>
      </w:r>
      <w:r>
        <w:rPr>
          <w:rFonts w:ascii="Times New Roman" w:eastAsiaTheme="minorEastAsia" w:hAnsi="Times New Roman" w:cs="Times New Roman"/>
        </w:rPr>
        <w:lastRenderedPageBreak/>
        <w:t>observations are suppressed for clarity.</w:t>
      </w:r>
      <w:r w:rsidR="000E6B9F" w:rsidRPr="009915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0E6B9F" w:rsidRPr="00991596">
        <w:rPr>
          <w:rFonts w:ascii="Times New Roman" w:eastAsiaTheme="minorEastAsia" w:hAnsi="Times New Roman" w:cs="Times New Roman"/>
          <w:i/>
        </w:rPr>
        <w:t>Cat</w:t>
      </w:r>
      <w:r w:rsidR="000E6B9F" w:rsidRPr="00991596">
        <w:rPr>
          <w:rFonts w:ascii="Times New Roman" w:eastAsiaTheme="minorEastAsia" w:hAnsi="Times New Roman" w:cs="Times New Roman"/>
        </w:rPr>
        <w:t xml:space="preserve"> indicates the ord</w:t>
      </w:r>
      <w:r w:rsidR="005C0717" w:rsidRPr="00991596">
        <w:rPr>
          <w:rFonts w:ascii="Times New Roman" w:eastAsiaTheme="minorEastAsia" w:hAnsi="Times New Roman" w:cs="Times New Roman"/>
        </w:rPr>
        <w:t>inal</w:t>
      </w:r>
      <w:r w:rsidR="000E6B9F" w:rsidRPr="00991596">
        <w:rPr>
          <w:rFonts w:ascii="Times New Roman" w:eastAsiaTheme="minorEastAsia" w:hAnsi="Times New Roman" w:cs="Times New Roman"/>
        </w:rPr>
        <w:t xml:space="preserve"> response </w:t>
      </w:r>
      <w:r w:rsidR="005C0717" w:rsidRPr="00991596">
        <w:rPr>
          <w:rFonts w:ascii="Times New Roman" w:eastAsiaTheme="minorEastAsia" w:hAnsi="Times New Roman" w:cs="Times New Roman"/>
        </w:rPr>
        <w:t>sub</w:t>
      </w:r>
      <w:r w:rsidR="000E6B9F" w:rsidRPr="00991596">
        <w:rPr>
          <w:rFonts w:ascii="Times New Roman" w:eastAsiaTheme="minorEastAsia" w:hAnsi="Times New Roman" w:cs="Times New Roman"/>
        </w:rPr>
        <w:t xml:space="preserve">category, </w:t>
      </w:r>
      <w:proofErr w:type="spellStart"/>
      <w:r w:rsidR="000E6B9F" w:rsidRPr="00991596">
        <w:rPr>
          <w:rFonts w:ascii="Times New Roman" w:eastAsiaTheme="minorEastAsia" w:hAnsi="Times New Roman" w:cs="Times New Roman"/>
          <w:i/>
        </w:rPr>
        <w:t>KroonPrimary</w:t>
      </w:r>
      <w:proofErr w:type="spellEnd"/>
      <w:r w:rsidR="000E6B9F" w:rsidRPr="00991596">
        <w:rPr>
          <w:rFonts w:ascii="Times New Roman" w:eastAsiaTheme="minorEastAsia" w:hAnsi="Times New Roman" w:cs="Times New Roman"/>
        </w:rPr>
        <w:t xml:space="preserve">=1 if Kroon Hall is the respondent’s </w:t>
      </w:r>
      <w:r w:rsidR="00986314">
        <w:rPr>
          <w:rFonts w:ascii="Times New Roman" w:eastAsiaTheme="minorEastAsia" w:hAnsi="Times New Roman" w:cs="Times New Roman"/>
        </w:rPr>
        <w:t xml:space="preserve">self-reported </w:t>
      </w:r>
      <w:r w:rsidR="000E6B9F" w:rsidRPr="00991596">
        <w:rPr>
          <w:rFonts w:ascii="Times New Roman" w:eastAsiaTheme="minorEastAsia" w:hAnsi="Times New Roman" w:cs="Times New Roman"/>
        </w:rPr>
        <w:t xml:space="preserve">primary F&amp;ES building, </w:t>
      </w:r>
      <w:r w:rsidR="000E6B9F" w:rsidRPr="00991596">
        <w:rPr>
          <w:rFonts w:ascii="Times New Roman" w:eastAsiaTheme="minorEastAsia" w:hAnsi="Times New Roman" w:cs="Times New Roman"/>
          <w:i/>
        </w:rPr>
        <w:t>Office</w:t>
      </w:r>
      <w:r w:rsidR="000E6B9F" w:rsidRPr="00991596">
        <w:rPr>
          <w:rFonts w:ascii="Times New Roman" w:eastAsiaTheme="minorEastAsia" w:hAnsi="Times New Roman" w:cs="Times New Roman"/>
        </w:rPr>
        <w:t xml:space="preserve">=1 if they have an office at F&amp;ES, </w:t>
      </w:r>
      <w:r w:rsidR="000E6B9F" w:rsidRPr="00991596">
        <w:rPr>
          <w:rFonts w:ascii="Times New Roman" w:eastAsiaTheme="minorEastAsia" w:hAnsi="Times New Roman" w:cs="Times New Roman"/>
          <w:i/>
        </w:rPr>
        <w:t>Kroon*Office</w:t>
      </w:r>
      <w:r w:rsidR="000E6B9F" w:rsidRPr="00991596">
        <w:rPr>
          <w:rFonts w:ascii="Times New Roman" w:eastAsiaTheme="minorEastAsia" w:hAnsi="Times New Roman" w:cs="Times New Roman"/>
        </w:rPr>
        <w:t xml:space="preserve"> as interaction term, and </w:t>
      </w:r>
      <w:r w:rsidR="000E6B9F" w:rsidRPr="00991596">
        <w:rPr>
          <w:rFonts w:ascii="Times New Roman" w:eastAsiaTheme="minorEastAsia" w:hAnsi="Times New Roman" w:cs="Times New Roman"/>
          <w:i/>
        </w:rPr>
        <w:t>Age</w:t>
      </w:r>
      <w:r w:rsidR="000E6B9F" w:rsidRPr="00991596">
        <w:rPr>
          <w:rFonts w:ascii="Times New Roman" w:eastAsiaTheme="minorEastAsia" w:hAnsi="Times New Roman" w:cs="Times New Roman"/>
        </w:rPr>
        <w:t xml:space="preserve"> and </w:t>
      </w:r>
      <w:r w:rsidR="000E6B9F" w:rsidRPr="00991596">
        <w:rPr>
          <w:rFonts w:ascii="Times New Roman" w:eastAsiaTheme="minorEastAsia" w:hAnsi="Times New Roman" w:cs="Times New Roman"/>
          <w:i/>
        </w:rPr>
        <w:t>Female</w:t>
      </w:r>
      <w:r w:rsidR="000E6B9F" w:rsidRPr="00991596">
        <w:rPr>
          <w:rFonts w:ascii="Times New Roman" w:eastAsiaTheme="minorEastAsia" w:hAnsi="Times New Roman" w:cs="Times New Roman"/>
        </w:rPr>
        <w:t xml:space="preserve"> as expected.</w:t>
      </w:r>
      <w:r w:rsidR="005B70A9">
        <w:rPr>
          <w:rFonts w:ascii="Times New Roman" w:eastAsiaTheme="minorEastAsia" w:hAnsi="Times New Roman" w:cs="Times New Roman"/>
        </w:rPr>
        <w:t xml:space="preserve">  </w:t>
      </w:r>
      <w:r w:rsidR="005B70A9" w:rsidRPr="00991596">
        <w:rPr>
          <w:rFonts w:ascii="Times New Roman" w:eastAsiaTheme="minorEastAsia" w:hAnsi="Times New Roman" w:cs="Times New Roman"/>
        </w:rPr>
        <w:t>In select</w:t>
      </w:r>
      <w:r w:rsidR="005B70A9">
        <w:rPr>
          <w:rFonts w:ascii="Times New Roman" w:eastAsiaTheme="minorEastAsia" w:hAnsi="Times New Roman" w:cs="Times New Roman"/>
        </w:rPr>
        <w:t>ing</w:t>
      </w:r>
      <w:r w:rsidR="005B70A9" w:rsidRPr="00991596">
        <w:rPr>
          <w:rFonts w:ascii="Times New Roman" w:eastAsiaTheme="minorEastAsia" w:hAnsi="Times New Roman" w:cs="Times New Roman"/>
        </w:rPr>
        <w:t xml:space="preserve"> </w:t>
      </w:r>
      <w:r>
        <w:rPr>
          <w:rFonts w:ascii="Times New Roman" w:eastAsiaTheme="minorEastAsia" w:hAnsi="Times New Roman" w:cs="Times New Roman"/>
        </w:rPr>
        <w:t>the</w:t>
      </w:r>
      <w:r w:rsidR="005B70A9" w:rsidRPr="00991596">
        <w:rPr>
          <w:rFonts w:ascii="Times New Roman" w:eastAsiaTheme="minorEastAsia" w:hAnsi="Times New Roman" w:cs="Times New Roman"/>
        </w:rPr>
        <w:t xml:space="preserve"> independent variables, </w:t>
      </w:r>
      <w:proofErr w:type="spellStart"/>
      <w:r w:rsidR="005B70A9" w:rsidRPr="00991596">
        <w:rPr>
          <w:rFonts w:ascii="Times New Roman" w:eastAsiaTheme="minorEastAsia" w:hAnsi="Times New Roman" w:cs="Times New Roman"/>
        </w:rPr>
        <w:t>Frontczak</w:t>
      </w:r>
      <w:proofErr w:type="spellEnd"/>
      <w:r w:rsidR="005B70A9" w:rsidRPr="00991596">
        <w:rPr>
          <w:rFonts w:ascii="Times New Roman" w:eastAsiaTheme="minorEastAsia" w:hAnsi="Times New Roman" w:cs="Times New Roman"/>
        </w:rPr>
        <w:t xml:space="preserve"> &amp; </w:t>
      </w:r>
      <w:proofErr w:type="spellStart"/>
      <w:r w:rsidR="005B70A9" w:rsidRPr="00991596">
        <w:rPr>
          <w:rFonts w:ascii="Times New Roman" w:eastAsiaTheme="minorEastAsia" w:hAnsi="Times New Roman" w:cs="Times New Roman"/>
        </w:rPr>
        <w:t>Wargocki</w:t>
      </w:r>
      <w:proofErr w:type="spellEnd"/>
      <w:r w:rsidR="005B70A9" w:rsidRPr="00991596">
        <w:rPr>
          <w:rFonts w:ascii="Times New Roman" w:eastAsiaTheme="minorEastAsia" w:hAnsi="Times New Roman" w:cs="Times New Roman"/>
        </w:rPr>
        <w:t xml:space="preserve"> (2011) and </w:t>
      </w:r>
      <w:proofErr w:type="spellStart"/>
      <w:r w:rsidR="005B70A9" w:rsidRPr="00991596">
        <w:rPr>
          <w:rFonts w:ascii="Times New Roman" w:eastAsiaTheme="minorEastAsia" w:hAnsi="Times New Roman" w:cs="Times New Roman"/>
        </w:rPr>
        <w:t>Kingma</w:t>
      </w:r>
      <w:proofErr w:type="spellEnd"/>
      <w:r w:rsidR="005B70A9" w:rsidRPr="00991596">
        <w:rPr>
          <w:rFonts w:ascii="Times New Roman" w:eastAsiaTheme="minorEastAsia" w:hAnsi="Times New Roman" w:cs="Times New Roman"/>
        </w:rPr>
        <w:t xml:space="preserve"> &amp; </w:t>
      </w:r>
      <w:proofErr w:type="spellStart"/>
      <w:r w:rsidR="005B70A9" w:rsidRPr="00991596">
        <w:rPr>
          <w:rFonts w:ascii="Times New Roman" w:eastAsiaTheme="minorEastAsia" w:hAnsi="Times New Roman" w:cs="Times New Roman"/>
        </w:rPr>
        <w:t>Lichtenbelt</w:t>
      </w:r>
      <w:proofErr w:type="spellEnd"/>
      <w:r w:rsidR="005B70A9" w:rsidRPr="00991596">
        <w:rPr>
          <w:rFonts w:ascii="Times New Roman" w:eastAsiaTheme="minorEastAsia" w:hAnsi="Times New Roman" w:cs="Times New Roman"/>
        </w:rPr>
        <w:t xml:space="preserve"> (2015) </w:t>
      </w:r>
      <w:r>
        <w:rPr>
          <w:rFonts w:ascii="Times New Roman" w:eastAsiaTheme="minorEastAsia" w:hAnsi="Times New Roman" w:cs="Times New Roman"/>
        </w:rPr>
        <w:t>emphasize</w:t>
      </w:r>
      <w:r w:rsidR="005B70A9" w:rsidRPr="00991596">
        <w:rPr>
          <w:rFonts w:ascii="Times New Roman" w:eastAsiaTheme="minorEastAsia" w:hAnsi="Times New Roman" w:cs="Times New Roman"/>
        </w:rPr>
        <w:t xml:space="preserve"> </w:t>
      </w:r>
      <w:r>
        <w:rPr>
          <w:rFonts w:ascii="Times New Roman" w:eastAsiaTheme="minorEastAsia" w:hAnsi="Times New Roman" w:cs="Times New Roman"/>
        </w:rPr>
        <w:t xml:space="preserve">age and gender </w:t>
      </w:r>
      <w:r w:rsidR="005B70A9" w:rsidRPr="00991596">
        <w:rPr>
          <w:rFonts w:ascii="Times New Roman" w:eastAsiaTheme="minorEastAsia" w:hAnsi="Times New Roman" w:cs="Times New Roman"/>
        </w:rPr>
        <w:t xml:space="preserve">are important factors </w:t>
      </w:r>
      <w:r w:rsidR="005B70A9">
        <w:rPr>
          <w:rFonts w:ascii="Times New Roman" w:eastAsiaTheme="minorEastAsia" w:hAnsi="Times New Roman" w:cs="Times New Roman"/>
        </w:rPr>
        <w:t>influencing</w:t>
      </w:r>
      <w:r w:rsidR="005B70A9" w:rsidRPr="00991596">
        <w:rPr>
          <w:rFonts w:ascii="Times New Roman" w:eastAsiaTheme="minorEastAsia" w:hAnsi="Times New Roman" w:cs="Times New Roman"/>
        </w:rPr>
        <w:t xml:space="preserve"> indoor comf</w:t>
      </w:r>
      <w:r>
        <w:rPr>
          <w:rFonts w:ascii="Times New Roman" w:eastAsiaTheme="minorEastAsia" w:hAnsi="Times New Roman" w:cs="Times New Roman"/>
        </w:rPr>
        <w:t xml:space="preserve">ort.  </w:t>
      </w:r>
      <w:r w:rsidR="000D043B">
        <w:rPr>
          <w:rFonts w:ascii="Times New Roman" w:eastAsiaTheme="minorEastAsia" w:hAnsi="Times New Roman" w:cs="Times New Roman"/>
        </w:rPr>
        <w:t xml:space="preserve">A </w:t>
      </w:r>
      <w:r w:rsidR="00887E59" w:rsidRPr="00991596">
        <w:rPr>
          <w:rFonts w:ascii="Times New Roman" w:eastAsiaTheme="minorEastAsia" w:hAnsi="Times New Roman" w:cs="Times New Roman"/>
        </w:rPr>
        <w:t>second version</w:t>
      </w:r>
      <w:r w:rsidR="000D043B">
        <w:rPr>
          <w:rFonts w:ascii="Times New Roman" w:eastAsiaTheme="minorEastAsia" w:hAnsi="Times New Roman" w:cs="Times New Roman"/>
        </w:rPr>
        <w:t xml:space="preserve"> using</w:t>
      </w:r>
      <w:r w:rsidR="000E6B9F" w:rsidRPr="00991596">
        <w:rPr>
          <w:rFonts w:ascii="Times New Roman" w:eastAsiaTheme="minorEastAsia" w:hAnsi="Times New Roman" w:cs="Times New Roman"/>
        </w:rPr>
        <w:t xml:space="preserve"> </w:t>
      </w:r>
      <w:proofErr w:type="spellStart"/>
      <w:r w:rsidR="000E6B9F" w:rsidRPr="00991596">
        <w:rPr>
          <w:rFonts w:ascii="Times New Roman" w:eastAsiaTheme="minorEastAsia" w:hAnsi="Times New Roman" w:cs="Times New Roman"/>
          <w:i/>
        </w:rPr>
        <w:t>FacStaffOther</w:t>
      </w:r>
      <w:proofErr w:type="spellEnd"/>
      <w:r w:rsidR="000E6B9F" w:rsidRPr="00991596">
        <w:rPr>
          <w:rFonts w:ascii="Times New Roman" w:eastAsiaTheme="minorEastAsia" w:hAnsi="Times New Roman" w:cs="Times New Roman"/>
        </w:rPr>
        <w:t>=1 if the respondent is faculty, staff, or</w:t>
      </w:r>
      <w:r w:rsidR="000E0471" w:rsidRPr="00991596">
        <w:rPr>
          <w:rFonts w:ascii="Times New Roman" w:eastAsiaTheme="minorEastAsia" w:hAnsi="Times New Roman" w:cs="Times New Roman"/>
        </w:rPr>
        <w:t xml:space="preserve"> has indicated</w:t>
      </w:r>
      <w:r w:rsidR="000E6B9F" w:rsidRPr="00991596">
        <w:rPr>
          <w:rFonts w:ascii="Times New Roman" w:eastAsiaTheme="minorEastAsia" w:hAnsi="Times New Roman" w:cs="Times New Roman"/>
        </w:rPr>
        <w:t xml:space="preserve"> a role such as visiting research fellow or postdoc</w:t>
      </w:r>
      <w:r w:rsidR="000D043B">
        <w:rPr>
          <w:rFonts w:ascii="Times New Roman" w:eastAsiaTheme="minorEastAsia" w:hAnsi="Times New Roman" w:cs="Times New Roman"/>
        </w:rPr>
        <w:t xml:space="preserve"> rather than</w:t>
      </w:r>
      <w:r>
        <w:rPr>
          <w:rFonts w:ascii="Times New Roman" w:eastAsiaTheme="minorEastAsia" w:hAnsi="Times New Roman" w:cs="Times New Roman"/>
        </w:rPr>
        <w:t xml:space="preserve"> using</w:t>
      </w:r>
      <w:r w:rsidR="000D043B">
        <w:rPr>
          <w:rFonts w:ascii="Times New Roman" w:eastAsiaTheme="minorEastAsia" w:hAnsi="Times New Roman" w:cs="Times New Roman"/>
        </w:rPr>
        <w:t xml:space="preserve"> </w:t>
      </w:r>
      <w:r w:rsidR="000D043B">
        <w:rPr>
          <w:rFonts w:ascii="Times New Roman" w:eastAsiaTheme="minorEastAsia" w:hAnsi="Times New Roman" w:cs="Times New Roman"/>
          <w:i/>
        </w:rPr>
        <w:t>Office</w:t>
      </w:r>
      <w:r w:rsidR="000D043B">
        <w:rPr>
          <w:rFonts w:ascii="Times New Roman" w:eastAsiaTheme="minorEastAsia" w:hAnsi="Times New Roman" w:cs="Times New Roman"/>
        </w:rPr>
        <w:t xml:space="preserve"> results in qualitatively same results</w:t>
      </w:r>
      <w:r w:rsidR="000E6B9F" w:rsidRPr="00991596">
        <w:rPr>
          <w:rFonts w:ascii="Times New Roman" w:eastAsiaTheme="minorEastAsia" w:hAnsi="Times New Roman" w:cs="Times New Roman"/>
        </w:rPr>
        <w:t>.</w:t>
      </w:r>
      <w:r w:rsidR="00CF3A37">
        <w:rPr>
          <w:rFonts w:ascii="Times New Roman" w:eastAsiaTheme="minorEastAsia" w:hAnsi="Times New Roman" w:cs="Times New Roman"/>
        </w:rPr>
        <w:t xml:space="preserve">  The correlation between being faculty/staff and having an office is expectedly high- only students in particular research roles and doctoral students generally receive office assignments.  Th</w:t>
      </w:r>
      <w:r>
        <w:rPr>
          <w:rFonts w:ascii="Times New Roman" w:eastAsiaTheme="minorEastAsia" w:hAnsi="Times New Roman" w:cs="Times New Roman"/>
        </w:rPr>
        <w:t>e</w:t>
      </w:r>
      <w:r w:rsidR="00CF3A37">
        <w:rPr>
          <w:rFonts w:ascii="Times New Roman" w:eastAsiaTheme="minorEastAsia" w:hAnsi="Times New Roman" w:cs="Times New Roman"/>
        </w:rPr>
        <w:t xml:space="preserve"> office assignment is similar to that of faculty and staff</w:t>
      </w:r>
      <w:r>
        <w:rPr>
          <w:rFonts w:ascii="Times New Roman" w:eastAsiaTheme="minorEastAsia" w:hAnsi="Times New Roman" w:cs="Times New Roman"/>
        </w:rPr>
        <w:t xml:space="preserve"> for these people</w:t>
      </w:r>
      <w:r w:rsidR="00CF3A37">
        <w:rPr>
          <w:rFonts w:ascii="Times New Roman" w:eastAsiaTheme="minorEastAsia" w:hAnsi="Times New Roman" w:cs="Times New Roman"/>
        </w:rPr>
        <w:t>- exogenousl</w:t>
      </w:r>
      <w:r>
        <w:rPr>
          <w:rFonts w:ascii="Times New Roman" w:eastAsiaTheme="minorEastAsia" w:hAnsi="Times New Roman" w:cs="Times New Roman"/>
        </w:rPr>
        <w:t>y determined for the individual</w:t>
      </w:r>
      <w:r w:rsidR="00CF3A37">
        <w:rPr>
          <w:rFonts w:ascii="Times New Roman" w:eastAsiaTheme="minorEastAsia" w:hAnsi="Times New Roman" w:cs="Times New Roman"/>
        </w:rPr>
        <w:t xml:space="preserve"> and thus the random assignment characteristic of office </w:t>
      </w:r>
      <w:r>
        <w:rPr>
          <w:rFonts w:ascii="Times New Roman" w:eastAsiaTheme="minorEastAsia" w:hAnsi="Times New Roman" w:cs="Times New Roman"/>
        </w:rPr>
        <w:t>is preferred</w:t>
      </w:r>
      <w:r w:rsidR="005B70A9">
        <w:rPr>
          <w:rFonts w:ascii="Times New Roman" w:eastAsiaTheme="minorEastAsia" w:hAnsi="Times New Roman" w:cs="Times New Roman"/>
        </w:rPr>
        <w:t>.</w:t>
      </w:r>
      <w:r w:rsidR="003A3200" w:rsidRPr="00991596">
        <w:rPr>
          <w:rFonts w:ascii="Times New Roman" w:eastAsiaTheme="minorEastAsia" w:hAnsi="Times New Roman" w:cs="Times New Roman"/>
        </w:rPr>
        <w:t xml:space="preserve">  </w:t>
      </w:r>
    </w:p>
    <w:p w:rsidR="003268A9" w:rsidRPr="00991596" w:rsidRDefault="000D043B" w:rsidP="000E6B9F">
      <w:pPr>
        <w:spacing w:after="120" w:line="240" w:lineRule="auto"/>
        <w:rPr>
          <w:rFonts w:ascii="Times New Roman" w:eastAsiaTheme="minorEastAsia" w:hAnsi="Times New Roman" w:cs="Times New Roman"/>
        </w:rPr>
      </w:pPr>
      <w:r>
        <w:rPr>
          <w:rFonts w:ascii="Times New Roman" w:eastAsiaTheme="minorEastAsia" w:hAnsi="Times New Roman" w:cs="Times New Roman"/>
        </w:rPr>
        <w:t>Equation</w:t>
      </w:r>
      <w:r w:rsidR="000E0471" w:rsidRPr="00991596">
        <w:rPr>
          <w:rFonts w:ascii="Times New Roman" w:eastAsiaTheme="minorEastAsia" w:hAnsi="Times New Roman" w:cs="Times New Roman"/>
        </w:rPr>
        <w:t xml:space="preserve"> (1) </w:t>
      </w:r>
      <w:r>
        <w:rPr>
          <w:rFonts w:ascii="Times New Roman" w:eastAsiaTheme="minorEastAsia" w:hAnsi="Times New Roman" w:cs="Times New Roman"/>
        </w:rPr>
        <w:t>is</w:t>
      </w:r>
      <w:r w:rsidR="000E6B9F" w:rsidRPr="00991596">
        <w:rPr>
          <w:rFonts w:ascii="Times New Roman" w:eastAsiaTheme="minorEastAsia" w:hAnsi="Times New Roman" w:cs="Times New Roman"/>
        </w:rPr>
        <w:t xml:space="preserve"> estimated for each of our 54 </w:t>
      </w:r>
      <w:proofErr w:type="spellStart"/>
      <w:r w:rsidR="000E6B9F" w:rsidRPr="00991596">
        <w:rPr>
          <w:rFonts w:ascii="Times New Roman" w:eastAsiaTheme="minorEastAsia" w:hAnsi="Times New Roman" w:cs="Times New Roman"/>
          <w:i/>
        </w:rPr>
        <w:t>Cat</w:t>
      </w:r>
      <w:r w:rsidR="000E6B9F" w:rsidRPr="00991596">
        <w:rPr>
          <w:rFonts w:ascii="Times New Roman" w:eastAsiaTheme="minorEastAsia" w:hAnsi="Times New Roman" w:cs="Times New Roman"/>
          <w:i/>
          <w:vertAlign w:val="subscript"/>
        </w:rPr>
        <w:t>i</w:t>
      </w:r>
      <w:r w:rsidR="0019709F">
        <w:rPr>
          <w:rFonts w:ascii="Times New Roman" w:eastAsiaTheme="minorEastAsia" w:hAnsi="Times New Roman" w:cs="Times New Roman"/>
          <w:i/>
          <w:vertAlign w:val="subscript"/>
        </w:rPr>
        <w:t>j</w:t>
      </w:r>
      <w:proofErr w:type="spellEnd"/>
      <w:r w:rsidR="000E6B9F" w:rsidRPr="00991596">
        <w:rPr>
          <w:rFonts w:ascii="Times New Roman" w:eastAsiaTheme="minorEastAsia" w:hAnsi="Times New Roman" w:cs="Times New Roman"/>
          <w:i/>
        </w:rPr>
        <w:t xml:space="preserve"> </w:t>
      </w:r>
      <w:r w:rsidR="000E6B9F" w:rsidRPr="00991596">
        <w:rPr>
          <w:rFonts w:ascii="Times New Roman" w:eastAsiaTheme="minorEastAsia" w:hAnsi="Times New Roman" w:cs="Times New Roman"/>
        </w:rPr>
        <w:t>ord</w:t>
      </w:r>
      <w:r w:rsidR="000E0471" w:rsidRPr="00991596">
        <w:rPr>
          <w:rFonts w:ascii="Times New Roman" w:eastAsiaTheme="minorEastAsia" w:hAnsi="Times New Roman" w:cs="Times New Roman"/>
        </w:rPr>
        <w:t>inal</w:t>
      </w:r>
      <w:r>
        <w:rPr>
          <w:rFonts w:ascii="Times New Roman" w:eastAsiaTheme="minorEastAsia" w:hAnsi="Times New Roman" w:cs="Times New Roman"/>
        </w:rPr>
        <w:t xml:space="preserve"> response subcategories.  However, the category with the greatest energy impact potential, thermal comfort, is the focus of </w:t>
      </w:r>
      <w:r w:rsidR="0019709F">
        <w:rPr>
          <w:rFonts w:ascii="Times New Roman" w:eastAsiaTheme="minorEastAsia" w:hAnsi="Times New Roman" w:cs="Times New Roman"/>
        </w:rPr>
        <w:t>the analysis</w:t>
      </w:r>
      <w:r>
        <w:rPr>
          <w:rFonts w:ascii="Times New Roman" w:eastAsiaTheme="minorEastAsia" w:hAnsi="Times New Roman" w:cs="Times New Roman"/>
        </w:rPr>
        <w:t xml:space="preserve"> while the breadth of results </w:t>
      </w:r>
      <w:r w:rsidR="00BE51B5">
        <w:rPr>
          <w:rFonts w:ascii="Times New Roman" w:eastAsiaTheme="minorEastAsia" w:hAnsi="Times New Roman" w:cs="Times New Roman"/>
        </w:rPr>
        <w:t>occupies</w:t>
      </w:r>
      <w:r>
        <w:rPr>
          <w:rFonts w:ascii="Times New Roman" w:eastAsiaTheme="minorEastAsia" w:hAnsi="Times New Roman" w:cs="Times New Roman"/>
        </w:rPr>
        <w:t xml:space="preserve"> the appendix</w:t>
      </w:r>
      <w:r w:rsidR="000E6B9F" w:rsidRPr="00991596">
        <w:rPr>
          <w:rFonts w:ascii="Times New Roman" w:eastAsiaTheme="minorEastAsia" w:hAnsi="Times New Roman" w:cs="Times New Roman"/>
        </w:rPr>
        <w:t>.</w:t>
      </w:r>
      <w:r w:rsidR="005B70A9">
        <w:rPr>
          <w:rFonts w:ascii="Times New Roman" w:eastAsiaTheme="minorEastAsia" w:hAnsi="Times New Roman" w:cs="Times New Roman"/>
        </w:rPr>
        <w:t xml:space="preserve">  </w:t>
      </w:r>
      <w:r w:rsidR="006549F4">
        <w:rPr>
          <w:rFonts w:ascii="Times New Roman" w:eastAsiaTheme="minorEastAsia" w:hAnsi="Times New Roman" w:cs="Times New Roman"/>
        </w:rPr>
        <w:t xml:space="preserve">Focusing further, the </w:t>
      </w:r>
      <w:r w:rsidR="006700D8" w:rsidRPr="00991596">
        <w:rPr>
          <w:rFonts w:ascii="Times New Roman" w:eastAsiaTheme="minorEastAsia" w:hAnsi="Times New Roman" w:cs="Times New Roman"/>
        </w:rPr>
        <w:t>variables on the usage of Kroon</w:t>
      </w:r>
      <w:r w:rsidR="006549F4">
        <w:rPr>
          <w:rFonts w:ascii="Times New Roman" w:eastAsiaTheme="minorEastAsia" w:hAnsi="Times New Roman" w:cs="Times New Roman"/>
        </w:rPr>
        <w:t xml:space="preserve"> Hall</w:t>
      </w:r>
      <w:r w:rsidR="006700D8" w:rsidRPr="00991596">
        <w:rPr>
          <w:rFonts w:ascii="Times New Roman" w:eastAsiaTheme="minorEastAsia" w:hAnsi="Times New Roman" w:cs="Times New Roman"/>
        </w:rPr>
        <w:t xml:space="preserve"> versus the rest of the F&amp;ES inventory</w:t>
      </w:r>
      <w:r w:rsidR="00BE51B5">
        <w:rPr>
          <w:rFonts w:ascii="Times New Roman" w:eastAsiaTheme="minorEastAsia" w:hAnsi="Times New Roman" w:cs="Times New Roman"/>
        </w:rPr>
        <w:t xml:space="preserve"> and the interaction of Kroon Hall and office assignment </w:t>
      </w:r>
      <w:r w:rsidR="006700D8" w:rsidRPr="00991596">
        <w:rPr>
          <w:rFonts w:ascii="Times New Roman" w:eastAsiaTheme="minorEastAsia" w:hAnsi="Times New Roman" w:cs="Times New Roman"/>
        </w:rPr>
        <w:t>are of primary interest.</w:t>
      </w:r>
    </w:p>
    <w:p w:rsidR="003A3200" w:rsidRPr="00991596" w:rsidRDefault="00B9215C" w:rsidP="000E6B9F">
      <w:pPr>
        <w:spacing w:after="120" w:line="240" w:lineRule="auto"/>
        <w:rPr>
          <w:rFonts w:ascii="Times New Roman" w:eastAsiaTheme="minorEastAsia" w:hAnsi="Times New Roman" w:cs="Times New Roman"/>
        </w:rPr>
      </w:pPr>
      <w:r>
        <w:rPr>
          <w:rFonts w:ascii="Times New Roman" w:eastAsiaTheme="minorEastAsia" w:hAnsi="Times New Roman" w:cs="Times New Roman"/>
        </w:rPr>
        <w:t>The next</w:t>
      </w:r>
      <w:r w:rsidR="00887E59" w:rsidRPr="00991596">
        <w:rPr>
          <w:rFonts w:ascii="Times New Roman" w:eastAsiaTheme="minorEastAsia" w:hAnsi="Times New Roman" w:cs="Times New Roman"/>
        </w:rPr>
        <w:t xml:space="preserve"> measure of building satisfaction </w:t>
      </w:r>
      <w:r w:rsidR="00C643C2">
        <w:rPr>
          <w:rFonts w:ascii="Times New Roman" w:eastAsiaTheme="minorEastAsia" w:hAnsi="Times New Roman" w:cs="Times New Roman"/>
        </w:rPr>
        <w:t>is</w:t>
      </w:r>
      <w:r w:rsidR="00887E59" w:rsidRPr="00991596">
        <w:rPr>
          <w:rFonts w:ascii="Times New Roman" w:eastAsiaTheme="minorEastAsia" w:hAnsi="Times New Roman" w:cs="Times New Roman"/>
        </w:rPr>
        <w:t xml:space="preserve"> whether use of </w:t>
      </w:r>
      <w:r>
        <w:rPr>
          <w:rFonts w:ascii="Times New Roman" w:eastAsiaTheme="minorEastAsia" w:hAnsi="Times New Roman" w:cs="Times New Roman"/>
        </w:rPr>
        <w:t>the green</w:t>
      </w:r>
      <w:r w:rsidR="00887E59" w:rsidRPr="00991596">
        <w:rPr>
          <w:rFonts w:ascii="Times New Roman" w:eastAsiaTheme="minorEastAsia" w:hAnsi="Times New Roman" w:cs="Times New Roman"/>
        </w:rPr>
        <w:t xml:space="preserve"> building </w:t>
      </w:r>
      <w:r w:rsidR="00AB6175" w:rsidRPr="00991596">
        <w:rPr>
          <w:rFonts w:ascii="Times New Roman" w:eastAsiaTheme="minorEastAsia" w:hAnsi="Times New Roman" w:cs="Times New Roman"/>
        </w:rPr>
        <w:t xml:space="preserve">results in </w:t>
      </w:r>
      <w:r w:rsidR="00C643C2">
        <w:rPr>
          <w:rFonts w:ascii="Times New Roman" w:eastAsiaTheme="minorEastAsia" w:hAnsi="Times New Roman" w:cs="Times New Roman"/>
        </w:rPr>
        <w:t>a difference in</w:t>
      </w:r>
      <w:r w:rsidR="00887E59" w:rsidRPr="00991596">
        <w:rPr>
          <w:rFonts w:ascii="Times New Roman" w:eastAsiaTheme="minorEastAsia" w:hAnsi="Times New Roman" w:cs="Times New Roman"/>
        </w:rPr>
        <w:t xml:space="preserve"> </w:t>
      </w:r>
      <w:r w:rsidR="00C643C2">
        <w:rPr>
          <w:rFonts w:ascii="Times New Roman" w:eastAsiaTheme="minorEastAsia" w:hAnsi="Times New Roman" w:cs="Times New Roman"/>
        </w:rPr>
        <w:t>effort</w:t>
      </w:r>
      <w:r>
        <w:rPr>
          <w:rFonts w:ascii="Times New Roman" w:eastAsiaTheme="minorEastAsia" w:hAnsi="Times New Roman" w:cs="Times New Roman"/>
        </w:rPr>
        <w:t>s</w:t>
      </w:r>
      <w:r w:rsidR="00887E59" w:rsidRPr="00991596">
        <w:rPr>
          <w:rFonts w:ascii="Times New Roman" w:eastAsiaTheme="minorEastAsia" w:hAnsi="Times New Roman" w:cs="Times New Roman"/>
        </w:rPr>
        <w:t xml:space="preserve"> to modify the indoor climate </w:t>
      </w:r>
      <w:r w:rsidR="00AB6175" w:rsidRPr="00991596">
        <w:rPr>
          <w:rFonts w:ascii="Times New Roman" w:eastAsiaTheme="minorEastAsia" w:hAnsi="Times New Roman" w:cs="Times New Roman"/>
        </w:rPr>
        <w:t xml:space="preserve">by </w:t>
      </w:r>
      <w:r>
        <w:rPr>
          <w:rFonts w:ascii="Times New Roman" w:eastAsiaTheme="minorEastAsia" w:hAnsi="Times New Roman" w:cs="Times New Roman"/>
        </w:rPr>
        <w:t>occupants</w:t>
      </w:r>
      <w:r w:rsidR="00887E59" w:rsidRPr="00991596">
        <w:rPr>
          <w:rFonts w:ascii="Times New Roman" w:eastAsiaTheme="minorEastAsia" w:hAnsi="Times New Roman" w:cs="Times New Roman"/>
        </w:rPr>
        <w:t>.  To explore this</w:t>
      </w:r>
      <w:r w:rsidR="00C643C2">
        <w:rPr>
          <w:rFonts w:ascii="Times New Roman" w:eastAsiaTheme="minorEastAsia" w:hAnsi="Times New Roman" w:cs="Times New Roman"/>
        </w:rPr>
        <w:t>,</w:t>
      </w:r>
      <w:r w:rsidR="00887E59" w:rsidRPr="00991596">
        <w:rPr>
          <w:rFonts w:ascii="Times New Roman" w:eastAsiaTheme="minorEastAsia" w:hAnsi="Times New Roman" w:cs="Times New Roman"/>
        </w:rPr>
        <w:t xml:space="preserve"> </w:t>
      </w:r>
      <w:r w:rsidR="00160A97" w:rsidRPr="00991596">
        <w:rPr>
          <w:rFonts w:ascii="Times New Roman" w:eastAsiaTheme="minorEastAsia" w:hAnsi="Times New Roman" w:cs="Times New Roman"/>
        </w:rPr>
        <w:t>a</w:t>
      </w:r>
      <w:r w:rsidR="003A3200" w:rsidRPr="00991596">
        <w:rPr>
          <w:rFonts w:ascii="Times New Roman" w:eastAsiaTheme="minorEastAsia" w:hAnsi="Times New Roman" w:cs="Times New Roman"/>
        </w:rPr>
        <w:t xml:space="preserve"> </w:t>
      </w:r>
      <w:r w:rsidR="00887E59" w:rsidRPr="00991596">
        <w:rPr>
          <w:rFonts w:ascii="Times New Roman" w:eastAsiaTheme="minorEastAsia" w:hAnsi="Times New Roman" w:cs="Times New Roman"/>
        </w:rPr>
        <w:t>dependent variable</w:t>
      </w:r>
      <w:r w:rsidR="00160A97" w:rsidRPr="00991596">
        <w:rPr>
          <w:rFonts w:ascii="Times New Roman" w:eastAsiaTheme="minorEastAsia" w:hAnsi="Times New Roman" w:cs="Times New Roman"/>
        </w:rPr>
        <w:t xml:space="preserve"> </w:t>
      </w:r>
      <w:r w:rsidR="00AB6175" w:rsidRPr="00991596">
        <w:rPr>
          <w:rFonts w:ascii="Times New Roman" w:eastAsiaTheme="minorEastAsia" w:hAnsi="Times New Roman" w:cs="Times New Roman"/>
        </w:rPr>
        <w:t xml:space="preserve">indicating whether the respondent adjusts thermostats, vents, </w:t>
      </w:r>
      <w:r w:rsidR="00C643C2">
        <w:rPr>
          <w:rFonts w:ascii="Times New Roman" w:eastAsiaTheme="minorEastAsia" w:hAnsi="Times New Roman" w:cs="Times New Roman"/>
        </w:rPr>
        <w:t xml:space="preserve">and </w:t>
      </w:r>
      <w:r>
        <w:rPr>
          <w:rFonts w:ascii="Times New Roman" w:eastAsiaTheme="minorEastAsia" w:hAnsi="Times New Roman" w:cs="Times New Roman"/>
        </w:rPr>
        <w:t>seven</w:t>
      </w:r>
      <w:r w:rsidR="00C643C2">
        <w:rPr>
          <w:rFonts w:ascii="Times New Roman" w:eastAsiaTheme="minorEastAsia" w:hAnsi="Times New Roman" w:cs="Times New Roman"/>
        </w:rPr>
        <w:t xml:space="preserve"> other adaptive behaviors </w:t>
      </w:r>
      <w:r>
        <w:rPr>
          <w:rFonts w:ascii="Times New Roman" w:eastAsiaTheme="minorEastAsia" w:hAnsi="Times New Roman" w:cs="Times New Roman"/>
        </w:rPr>
        <w:t xml:space="preserve">as well as a </w:t>
      </w:r>
      <w:r w:rsidR="00E65413">
        <w:rPr>
          <w:rFonts w:ascii="Times New Roman" w:eastAsiaTheme="minorEastAsia" w:hAnsi="Times New Roman" w:cs="Times New Roman"/>
        </w:rPr>
        <w:t>do-nothing</w:t>
      </w:r>
      <w:r>
        <w:rPr>
          <w:rFonts w:ascii="Times New Roman" w:eastAsiaTheme="minorEastAsia" w:hAnsi="Times New Roman" w:cs="Times New Roman"/>
        </w:rPr>
        <w:t xml:space="preserve"> response option are </w:t>
      </w:r>
      <w:r w:rsidR="00C643C2">
        <w:rPr>
          <w:rFonts w:ascii="Times New Roman" w:eastAsiaTheme="minorEastAsia" w:hAnsi="Times New Roman" w:cs="Times New Roman"/>
        </w:rPr>
        <w:t>estimate</w:t>
      </w:r>
      <w:r>
        <w:rPr>
          <w:rFonts w:ascii="Times New Roman" w:eastAsiaTheme="minorEastAsia" w:hAnsi="Times New Roman" w:cs="Times New Roman"/>
        </w:rPr>
        <w:t>d</w:t>
      </w:r>
      <w:r w:rsidR="00C643C2">
        <w:rPr>
          <w:rFonts w:ascii="Times New Roman" w:eastAsiaTheme="minorEastAsia" w:hAnsi="Times New Roman" w:cs="Times New Roman"/>
        </w:rPr>
        <w:t xml:space="preserve"> in the form</w:t>
      </w:r>
      <w:r>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F74FCB" w:rsidRPr="00991596" w:rsidTr="00991596">
        <w:tc>
          <w:tcPr>
            <w:tcW w:w="8815" w:type="dxa"/>
          </w:tcPr>
          <w:p w:rsidR="00F74FCB" w:rsidRPr="00991596" w:rsidRDefault="00B77489" w:rsidP="008C3A94">
            <w:pPr>
              <w:spacing w:after="120"/>
              <w:rPr>
                <w:rFonts w:ascii="Times New Roman" w:hAnsi="Times New Roman" w:cs="Times New Roman"/>
              </w:rPr>
            </w:pPr>
            <m:oMathPara>
              <m:oMath>
                <m:m>
                  <m:mPr>
                    <m:mcs>
                      <m:mc>
                        <m:mcPr>
                          <m:count m:val="1"/>
                          <m:mcJc m:val="center"/>
                        </m:mcPr>
                      </m:mc>
                    </m:mcs>
                    <m:ctrlPr>
                      <w:rPr>
                        <w:rFonts w:ascii="Cambria Math" w:eastAsiaTheme="minorEastAsia" w:hAnsi="Cambria Math" w:cs="Times New Roman"/>
                        <w:i/>
                      </w:rPr>
                    </m:ctrlPr>
                  </m:mPr>
                  <m:mr>
                    <m:e>
                      <m:r>
                        <w:rPr>
                          <w:rFonts w:ascii="Cambria Math" w:eastAsiaTheme="minorEastAsia" w:hAnsi="Cambria Math" w:cs="Times New Roman"/>
                        </w:rPr>
                        <m:t>Adaptive</m:t>
                      </m:r>
                    </m:e>
                  </m:mr>
                  <m:mr>
                    <m:e>
                      <m:sSub>
                        <m:sSubPr>
                          <m:ctrlPr>
                            <w:rPr>
                              <w:rFonts w:ascii="Cambria Math" w:eastAsiaTheme="minorEastAsia" w:hAnsi="Cambria Math" w:cs="Times New Roman"/>
                              <w:i/>
                            </w:rPr>
                          </m:ctrlPr>
                        </m:sSubPr>
                        <m:e>
                          <m:r>
                            <w:rPr>
                              <w:rFonts w:ascii="Cambria Math" w:eastAsiaTheme="minorEastAsia" w:hAnsi="Cambria Math" w:cs="Times New Roman"/>
                            </w:rPr>
                            <m:t>Behavior</m:t>
                          </m:r>
                        </m:e>
                        <m:sub>
                          <m:r>
                            <w:rPr>
                              <w:rFonts w:ascii="Cambria Math" w:eastAsiaTheme="minorEastAsia" w:hAnsi="Cambria Math" w:cs="Times New Roman"/>
                            </w:rPr>
                            <m:t>i</m:t>
                          </m:r>
                        </m:sub>
                      </m:sSub>
                    </m:e>
                  </m:mr>
                </m:m>
                <m:r>
                  <w:rPr>
                    <w:rFonts w:ascii="Cambria Math" w:eastAsiaTheme="minorEastAsia" w:hAnsi="Cambria Math" w:cs="Times New Roman"/>
                  </w:rPr>
                  <m:t>=</m:t>
                </m:r>
                <m:r>
                  <m:rPr>
                    <m:sty m:val="bi"/>
                  </m:rPr>
                  <w:rPr>
                    <w:rFonts w:ascii="Cambria Math" w:eastAsiaTheme="minorEastAsia" w:hAnsi="Cambria Math" w:cs="Times New Roman"/>
                  </w:rPr>
                  <m:t>βX</m:t>
                </m:r>
                <m:r>
                  <w:rPr>
                    <w:rFonts w:ascii="Cambria Math" w:eastAsiaTheme="minorEastAsia" w:hAnsi="Cambria Math" w:cs="Times New Roman"/>
                  </w:rPr>
                  <m:t>+ε</m:t>
                </m:r>
              </m:oMath>
            </m:oMathPara>
          </w:p>
        </w:tc>
        <w:tc>
          <w:tcPr>
            <w:tcW w:w="535" w:type="dxa"/>
          </w:tcPr>
          <w:p w:rsidR="00F74FCB" w:rsidRPr="00991596" w:rsidRDefault="00887E59" w:rsidP="00991596">
            <w:pPr>
              <w:spacing w:after="120"/>
              <w:rPr>
                <w:rFonts w:ascii="Times New Roman" w:hAnsi="Times New Roman" w:cs="Times New Roman"/>
              </w:rPr>
            </w:pPr>
            <w:r w:rsidRPr="00991596">
              <w:rPr>
                <w:rFonts w:ascii="Times New Roman" w:hAnsi="Times New Roman" w:cs="Times New Roman"/>
              </w:rPr>
              <w:t>(2</w:t>
            </w:r>
            <w:r w:rsidR="00F74FCB" w:rsidRPr="00991596">
              <w:rPr>
                <w:rFonts w:ascii="Times New Roman" w:hAnsi="Times New Roman" w:cs="Times New Roman"/>
              </w:rPr>
              <w:t>)</w:t>
            </w:r>
          </w:p>
        </w:tc>
      </w:tr>
    </w:tbl>
    <w:p w:rsidR="007319D1" w:rsidRDefault="00887E59" w:rsidP="000E6B9F">
      <w:pPr>
        <w:spacing w:after="120" w:line="240" w:lineRule="auto"/>
        <w:rPr>
          <w:rFonts w:ascii="Times New Roman" w:eastAsiaTheme="minorEastAsia" w:hAnsi="Times New Roman" w:cs="Times New Roman"/>
        </w:rPr>
      </w:pPr>
      <w:r w:rsidRPr="00991596">
        <w:rPr>
          <w:rFonts w:ascii="Times New Roman" w:eastAsiaTheme="minorEastAsia" w:hAnsi="Times New Roman" w:cs="Times New Roman"/>
        </w:rPr>
        <w:t xml:space="preserve">where </w:t>
      </w:r>
      <w:r w:rsidRPr="00991596">
        <w:rPr>
          <w:rFonts w:ascii="Times New Roman" w:eastAsiaTheme="minorEastAsia" w:hAnsi="Times New Roman" w:cs="Times New Roman"/>
          <w:b/>
        </w:rPr>
        <w:t>X</w:t>
      </w:r>
      <w:r w:rsidRPr="00991596">
        <w:rPr>
          <w:rFonts w:ascii="Times New Roman" w:eastAsiaTheme="minorEastAsia" w:hAnsi="Times New Roman" w:cs="Times New Roman"/>
        </w:rPr>
        <w:t xml:space="preserve"> is the </w:t>
      </w:r>
      <w:r w:rsidR="00B55E58">
        <w:rPr>
          <w:rFonts w:ascii="Times New Roman" w:eastAsiaTheme="minorEastAsia" w:hAnsi="Times New Roman" w:cs="Times New Roman"/>
        </w:rPr>
        <w:t>vector</w:t>
      </w:r>
      <w:r w:rsidR="00AB6175" w:rsidRPr="00991596">
        <w:rPr>
          <w:rFonts w:ascii="Times New Roman" w:eastAsiaTheme="minorEastAsia" w:hAnsi="Times New Roman" w:cs="Times New Roman"/>
        </w:rPr>
        <w:t xml:space="preserve"> of right hand side</w:t>
      </w:r>
      <w:r w:rsidR="00B55E58">
        <w:rPr>
          <w:rFonts w:ascii="Times New Roman" w:eastAsiaTheme="minorEastAsia" w:hAnsi="Times New Roman" w:cs="Times New Roman"/>
        </w:rPr>
        <w:t xml:space="preserve"> variables </w:t>
      </w:r>
      <w:r w:rsidR="00B9215C">
        <w:rPr>
          <w:rFonts w:ascii="Times New Roman" w:eastAsiaTheme="minorEastAsia" w:hAnsi="Times New Roman" w:cs="Times New Roman"/>
        </w:rPr>
        <w:t>from</w:t>
      </w:r>
      <w:r w:rsidR="00B55E58">
        <w:rPr>
          <w:rFonts w:ascii="Times New Roman" w:eastAsiaTheme="minorEastAsia" w:hAnsi="Times New Roman" w:cs="Times New Roman"/>
        </w:rPr>
        <w:t xml:space="preserve"> </w:t>
      </w:r>
      <w:r w:rsidRPr="00991596">
        <w:rPr>
          <w:rFonts w:ascii="Times New Roman" w:eastAsiaTheme="minorEastAsia" w:hAnsi="Times New Roman" w:cs="Times New Roman"/>
        </w:rPr>
        <w:t xml:space="preserve">equation (1), and </w:t>
      </w:r>
      <w:proofErr w:type="spellStart"/>
      <w:r w:rsidRPr="00991596">
        <w:rPr>
          <w:rFonts w:ascii="Times New Roman" w:eastAsiaTheme="minorEastAsia" w:hAnsi="Times New Roman" w:cs="Times New Roman"/>
          <w:i/>
        </w:rPr>
        <w:t>Adaptive</w:t>
      </w:r>
      <w:r w:rsidR="008C3A94" w:rsidRPr="00991596">
        <w:rPr>
          <w:rFonts w:ascii="Times New Roman" w:eastAsiaTheme="minorEastAsia" w:hAnsi="Times New Roman" w:cs="Times New Roman"/>
          <w:i/>
        </w:rPr>
        <w:t>Behavior</w:t>
      </w:r>
      <w:r w:rsidRPr="00991596">
        <w:rPr>
          <w:rFonts w:ascii="Times New Roman" w:eastAsiaTheme="minorEastAsia" w:hAnsi="Times New Roman" w:cs="Times New Roman"/>
          <w:i/>
          <w:vertAlign w:val="subscript"/>
        </w:rPr>
        <w:t>i</w:t>
      </w:r>
      <w:proofErr w:type="spellEnd"/>
      <w:r w:rsidRPr="00991596">
        <w:rPr>
          <w:rFonts w:ascii="Times New Roman" w:eastAsiaTheme="minorEastAsia" w:hAnsi="Times New Roman" w:cs="Times New Roman"/>
          <w:i/>
        </w:rPr>
        <w:t xml:space="preserve"> </w:t>
      </w:r>
      <w:r w:rsidRPr="00991596">
        <w:rPr>
          <w:rFonts w:ascii="Times New Roman" w:eastAsiaTheme="minorEastAsia" w:hAnsi="Times New Roman" w:cs="Times New Roman"/>
        </w:rPr>
        <w:t xml:space="preserve">is </w:t>
      </w:r>
      <w:r w:rsidR="00986314">
        <w:rPr>
          <w:rFonts w:ascii="Times New Roman" w:eastAsiaTheme="minorEastAsia" w:hAnsi="Times New Roman" w:cs="Times New Roman"/>
        </w:rPr>
        <w:t>a</w:t>
      </w:r>
      <w:r w:rsidR="00E62EDB">
        <w:rPr>
          <w:rFonts w:ascii="Times New Roman" w:eastAsiaTheme="minorEastAsia" w:hAnsi="Times New Roman" w:cs="Times New Roman"/>
        </w:rPr>
        <w:t xml:space="preserve"> dichotomous choice</w:t>
      </w:r>
      <w:r w:rsidR="00986314">
        <w:rPr>
          <w:rFonts w:ascii="Times New Roman" w:eastAsiaTheme="minorEastAsia" w:hAnsi="Times New Roman" w:cs="Times New Roman"/>
        </w:rPr>
        <w:t xml:space="preserve"> measure of whether </w:t>
      </w:r>
      <w:r w:rsidR="00D40D03">
        <w:rPr>
          <w:rFonts w:ascii="Times New Roman" w:eastAsiaTheme="minorEastAsia" w:hAnsi="Times New Roman" w:cs="Times New Roman"/>
        </w:rPr>
        <w:t>the respondent</w:t>
      </w:r>
      <w:r w:rsidR="00986314">
        <w:rPr>
          <w:rFonts w:ascii="Times New Roman" w:eastAsiaTheme="minorEastAsia" w:hAnsi="Times New Roman" w:cs="Times New Roman"/>
        </w:rPr>
        <w:t xml:space="preserve"> engage</w:t>
      </w:r>
      <w:r w:rsidR="00D40D03">
        <w:rPr>
          <w:rFonts w:ascii="Times New Roman" w:eastAsiaTheme="minorEastAsia" w:hAnsi="Times New Roman" w:cs="Times New Roman"/>
        </w:rPr>
        <w:t>s</w:t>
      </w:r>
      <w:r w:rsidR="00986314">
        <w:rPr>
          <w:rFonts w:ascii="Times New Roman" w:eastAsiaTheme="minorEastAsia" w:hAnsi="Times New Roman" w:cs="Times New Roman"/>
        </w:rPr>
        <w:t xml:space="preserve"> in </w:t>
      </w:r>
      <w:r w:rsidR="00E62EDB">
        <w:rPr>
          <w:rFonts w:ascii="Times New Roman" w:eastAsiaTheme="minorEastAsia" w:hAnsi="Times New Roman" w:cs="Times New Roman"/>
        </w:rPr>
        <w:t xml:space="preserve">the </w:t>
      </w:r>
      <w:r w:rsidR="00B55E58">
        <w:rPr>
          <w:rFonts w:ascii="Times New Roman" w:eastAsiaTheme="minorEastAsia" w:hAnsi="Times New Roman" w:cs="Times New Roman"/>
        </w:rPr>
        <w:t>stated</w:t>
      </w:r>
      <w:r w:rsidR="00E62EDB">
        <w:rPr>
          <w:rFonts w:ascii="Times New Roman" w:eastAsiaTheme="minorEastAsia" w:hAnsi="Times New Roman" w:cs="Times New Roman"/>
        </w:rPr>
        <w:t xml:space="preserve"> behavior.  This specification is estimated </w:t>
      </w:r>
      <w:r w:rsidR="00B55E58">
        <w:rPr>
          <w:rFonts w:ascii="Times New Roman" w:eastAsiaTheme="minorEastAsia" w:hAnsi="Times New Roman" w:cs="Times New Roman"/>
        </w:rPr>
        <w:t>by</w:t>
      </w:r>
      <w:r w:rsidR="00E62EDB">
        <w:rPr>
          <w:rFonts w:ascii="Times New Roman" w:eastAsiaTheme="minorEastAsia" w:hAnsi="Times New Roman" w:cs="Times New Roman"/>
        </w:rPr>
        <w:t xml:space="preserve"> </w:t>
      </w:r>
      <w:r w:rsidR="007319D1">
        <w:rPr>
          <w:rFonts w:ascii="Times New Roman" w:eastAsiaTheme="minorEastAsia" w:hAnsi="Times New Roman" w:cs="Times New Roman"/>
        </w:rPr>
        <w:t>two</w:t>
      </w:r>
      <w:r w:rsidR="00E62EDB">
        <w:rPr>
          <w:rFonts w:ascii="Times New Roman" w:eastAsiaTheme="minorEastAsia" w:hAnsi="Times New Roman" w:cs="Times New Roman"/>
        </w:rPr>
        <w:t xml:space="preserve"> methods</w:t>
      </w:r>
      <w:r w:rsidR="00986314">
        <w:rPr>
          <w:rFonts w:ascii="Times New Roman" w:eastAsiaTheme="minorEastAsia" w:hAnsi="Times New Roman" w:cs="Times New Roman"/>
        </w:rPr>
        <w:t xml:space="preserve">.  First, each behavior </w:t>
      </w:r>
      <w:r w:rsidR="00E62EDB">
        <w:rPr>
          <w:rFonts w:ascii="Times New Roman" w:eastAsiaTheme="minorEastAsia" w:hAnsi="Times New Roman" w:cs="Times New Roman"/>
        </w:rPr>
        <w:t xml:space="preserve">is </w:t>
      </w:r>
      <w:r w:rsidR="0024067F">
        <w:rPr>
          <w:rFonts w:ascii="Times New Roman" w:eastAsiaTheme="minorEastAsia" w:hAnsi="Times New Roman" w:cs="Times New Roman"/>
        </w:rPr>
        <w:t>taken</w:t>
      </w:r>
      <w:r w:rsidR="00E62EDB">
        <w:rPr>
          <w:rFonts w:ascii="Times New Roman" w:eastAsiaTheme="minorEastAsia" w:hAnsi="Times New Roman" w:cs="Times New Roman"/>
        </w:rPr>
        <w:t xml:space="preserve"> separately</w:t>
      </w:r>
      <w:r w:rsidR="007319D1">
        <w:rPr>
          <w:rFonts w:ascii="Times New Roman" w:eastAsiaTheme="minorEastAsia" w:hAnsi="Times New Roman" w:cs="Times New Roman"/>
        </w:rPr>
        <w:t xml:space="preserve"> </w:t>
      </w:r>
      <w:r w:rsidR="0024067F">
        <w:rPr>
          <w:rFonts w:ascii="Times New Roman" w:eastAsiaTheme="minorEastAsia" w:hAnsi="Times New Roman" w:cs="Times New Roman"/>
        </w:rPr>
        <w:t>using</w:t>
      </w:r>
      <w:r w:rsidR="007319D1">
        <w:rPr>
          <w:rFonts w:ascii="Times New Roman" w:eastAsiaTheme="minorEastAsia" w:hAnsi="Times New Roman" w:cs="Times New Roman"/>
        </w:rPr>
        <w:t xml:space="preserve"> a survey weighted </w:t>
      </w:r>
      <w:proofErr w:type="spellStart"/>
      <w:r w:rsidR="007319D1">
        <w:rPr>
          <w:rFonts w:ascii="Times New Roman" w:eastAsiaTheme="minorEastAsia" w:hAnsi="Times New Roman" w:cs="Times New Roman"/>
        </w:rPr>
        <w:t>probit</w:t>
      </w:r>
      <w:proofErr w:type="spellEnd"/>
      <w:r w:rsidR="007319D1">
        <w:rPr>
          <w:rFonts w:ascii="Times New Roman" w:eastAsiaTheme="minorEastAsia" w:hAnsi="Times New Roman" w:cs="Times New Roman"/>
        </w:rPr>
        <w:t xml:space="preserve"> model</w:t>
      </w:r>
      <w:r w:rsidR="00E62EDB">
        <w:rPr>
          <w:rFonts w:ascii="Times New Roman" w:eastAsiaTheme="minorEastAsia" w:hAnsi="Times New Roman" w:cs="Times New Roman"/>
        </w:rPr>
        <w:t xml:space="preserve">.  This </w:t>
      </w:r>
      <w:r w:rsidR="0024067F">
        <w:rPr>
          <w:rFonts w:ascii="Times New Roman" w:eastAsiaTheme="minorEastAsia" w:hAnsi="Times New Roman" w:cs="Times New Roman"/>
        </w:rPr>
        <w:t>indicates</w:t>
      </w:r>
      <w:r w:rsidR="00E62EDB">
        <w:rPr>
          <w:rFonts w:ascii="Times New Roman" w:eastAsiaTheme="minorEastAsia" w:hAnsi="Times New Roman" w:cs="Times New Roman"/>
        </w:rPr>
        <w:t xml:space="preserve"> which sorts of behavior have the highest probability of </w:t>
      </w:r>
      <w:r w:rsidR="00B2640A">
        <w:rPr>
          <w:rFonts w:ascii="Times New Roman" w:eastAsiaTheme="minorEastAsia" w:hAnsi="Times New Roman" w:cs="Times New Roman"/>
        </w:rPr>
        <w:t>occurring</w:t>
      </w:r>
      <w:r w:rsidR="00E65413">
        <w:rPr>
          <w:rFonts w:ascii="Times New Roman" w:eastAsiaTheme="minorEastAsia" w:hAnsi="Times New Roman" w:cs="Times New Roman"/>
        </w:rPr>
        <w:t>,</w:t>
      </w:r>
      <w:r w:rsidR="007319D1">
        <w:rPr>
          <w:rFonts w:ascii="Times New Roman" w:eastAsiaTheme="minorEastAsia" w:hAnsi="Times New Roman" w:cs="Times New Roman"/>
        </w:rPr>
        <w:t xml:space="preserve"> but not about how many are engaged in by </w:t>
      </w:r>
      <w:r w:rsidR="0024067F">
        <w:rPr>
          <w:rFonts w:ascii="Times New Roman" w:eastAsiaTheme="minorEastAsia" w:hAnsi="Times New Roman" w:cs="Times New Roman"/>
        </w:rPr>
        <w:t>an individual</w:t>
      </w:r>
      <w:r w:rsidR="00E65413">
        <w:rPr>
          <w:rFonts w:ascii="Times New Roman" w:eastAsiaTheme="minorEastAsia" w:hAnsi="Times New Roman" w:cs="Times New Roman"/>
        </w:rPr>
        <w:t xml:space="preserve"> on average</w:t>
      </w:r>
      <w:r w:rsidR="007319D1">
        <w:rPr>
          <w:rFonts w:ascii="Times New Roman" w:eastAsiaTheme="minorEastAsia" w:hAnsi="Times New Roman" w:cs="Times New Roman"/>
        </w:rPr>
        <w:t>.  Second, the individual behaviors are transformed into a</w:t>
      </w:r>
      <w:r w:rsidR="0024067F">
        <w:rPr>
          <w:rFonts w:ascii="Times New Roman" w:eastAsiaTheme="minorEastAsia" w:hAnsi="Times New Roman" w:cs="Times New Roman"/>
        </w:rPr>
        <w:t xml:space="preserve"> dependent</w:t>
      </w:r>
      <w:r w:rsidR="007319D1">
        <w:rPr>
          <w:rFonts w:ascii="Times New Roman" w:eastAsiaTheme="minorEastAsia" w:hAnsi="Times New Roman" w:cs="Times New Roman"/>
        </w:rPr>
        <w:t xml:space="preserve"> count </w:t>
      </w:r>
      <w:r w:rsidR="0024067F">
        <w:rPr>
          <w:rFonts w:ascii="Times New Roman" w:eastAsiaTheme="minorEastAsia" w:hAnsi="Times New Roman" w:cs="Times New Roman"/>
        </w:rPr>
        <w:t xml:space="preserve">variable </w:t>
      </w:r>
      <w:r w:rsidR="007319D1">
        <w:rPr>
          <w:rFonts w:ascii="Times New Roman" w:eastAsiaTheme="minorEastAsia" w:hAnsi="Times New Roman" w:cs="Times New Roman"/>
        </w:rPr>
        <w:t xml:space="preserve">of how many behaviors are engaged in.  This has the disadvantage of implicitly weighing each behavior equally </w:t>
      </w:r>
      <w:r w:rsidR="00A82F19">
        <w:rPr>
          <w:rFonts w:ascii="Times New Roman" w:eastAsiaTheme="minorEastAsia" w:hAnsi="Times New Roman" w:cs="Times New Roman"/>
        </w:rPr>
        <w:t>while</w:t>
      </w:r>
      <w:r w:rsidR="007319D1">
        <w:rPr>
          <w:rFonts w:ascii="Times New Roman" w:eastAsiaTheme="minorEastAsia" w:hAnsi="Times New Roman" w:cs="Times New Roman"/>
        </w:rPr>
        <w:t xml:space="preserve"> some </w:t>
      </w:r>
      <w:r w:rsidR="00A82F19">
        <w:rPr>
          <w:rFonts w:ascii="Times New Roman" w:eastAsiaTheme="minorEastAsia" w:hAnsi="Times New Roman" w:cs="Times New Roman"/>
        </w:rPr>
        <w:t>are</w:t>
      </w:r>
      <w:r w:rsidR="007319D1">
        <w:rPr>
          <w:rFonts w:ascii="Times New Roman" w:eastAsiaTheme="minorEastAsia" w:hAnsi="Times New Roman" w:cs="Times New Roman"/>
        </w:rPr>
        <w:t xml:space="preserve"> costlier to the building</w:t>
      </w:r>
      <w:r w:rsidR="00A82F19">
        <w:rPr>
          <w:rFonts w:ascii="Times New Roman" w:eastAsiaTheme="minorEastAsia" w:hAnsi="Times New Roman" w:cs="Times New Roman"/>
        </w:rPr>
        <w:t>’s bottom line</w:t>
      </w:r>
      <w:r w:rsidR="00A96322">
        <w:rPr>
          <w:rFonts w:ascii="Times New Roman" w:eastAsiaTheme="minorEastAsia" w:hAnsi="Times New Roman" w:cs="Times New Roman"/>
        </w:rPr>
        <w:t>.  The advantage</w:t>
      </w:r>
      <w:r w:rsidR="007319D1">
        <w:rPr>
          <w:rFonts w:ascii="Times New Roman" w:eastAsiaTheme="minorEastAsia" w:hAnsi="Times New Roman" w:cs="Times New Roman"/>
        </w:rPr>
        <w:t xml:space="preserve"> is </w:t>
      </w:r>
      <w:r w:rsidR="00E65413">
        <w:rPr>
          <w:rFonts w:ascii="Times New Roman" w:eastAsiaTheme="minorEastAsia" w:hAnsi="Times New Roman" w:cs="Times New Roman"/>
        </w:rPr>
        <w:t>it</w:t>
      </w:r>
      <w:r w:rsidR="007319D1">
        <w:rPr>
          <w:rFonts w:ascii="Times New Roman" w:eastAsiaTheme="minorEastAsia" w:hAnsi="Times New Roman" w:cs="Times New Roman"/>
        </w:rPr>
        <w:t xml:space="preserve"> suggest</w:t>
      </w:r>
      <w:r w:rsidR="00E65413">
        <w:rPr>
          <w:rFonts w:ascii="Times New Roman" w:eastAsiaTheme="minorEastAsia" w:hAnsi="Times New Roman" w:cs="Times New Roman"/>
        </w:rPr>
        <w:t>s</w:t>
      </w:r>
      <w:r w:rsidR="007319D1">
        <w:rPr>
          <w:rFonts w:ascii="Times New Roman" w:eastAsiaTheme="minorEastAsia" w:hAnsi="Times New Roman" w:cs="Times New Roman"/>
        </w:rPr>
        <w:t xml:space="preserve"> the severity of </w:t>
      </w:r>
      <w:r w:rsidR="00A82F19">
        <w:rPr>
          <w:rFonts w:ascii="Times New Roman" w:eastAsiaTheme="minorEastAsia" w:hAnsi="Times New Roman" w:cs="Times New Roman"/>
        </w:rPr>
        <w:t>the environmental mismatch</w:t>
      </w:r>
      <w:r w:rsidR="007319D1">
        <w:rPr>
          <w:rFonts w:ascii="Times New Roman" w:eastAsiaTheme="minorEastAsia" w:hAnsi="Times New Roman" w:cs="Times New Roman"/>
        </w:rPr>
        <w:t xml:space="preserve"> through how many adaptive behaviors are </w:t>
      </w:r>
      <w:r w:rsidR="00A82F19">
        <w:rPr>
          <w:rFonts w:ascii="Times New Roman" w:eastAsiaTheme="minorEastAsia" w:hAnsi="Times New Roman" w:cs="Times New Roman"/>
        </w:rPr>
        <w:t>undertaken</w:t>
      </w:r>
      <w:r w:rsidR="00A433F9">
        <w:rPr>
          <w:rFonts w:ascii="Times New Roman" w:eastAsiaTheme="minorEastAsia" w:hAnsi="Times New Roman" w:cs="Times New Roman"/>
        </w:rPr>
        <w:t xml:space="preserve">.  </w:t>
      </w:r>
      <w:r w:rsidR="00E65413">
        <w:rPr>
          <w:rFonts w:ascii="Times New Roman" w:eastAsiaTheme="minorEastAsia" w:hAnsi="Times New Roman" w:cs="Times New Roman"/>
        </w:rPr>
        <w:t>As a final exploration</w:t>
      </w:r>
      <w:r w:rsidR="00A433F9">
        <w:rPr>
          <w:rFonts w:ascii="Times New Roman" w:eastAsiaTheme="minorEastAsia" w:hAnsi="Times New Roman" w:cs="Times New Roman"/>
        </w:rPr>
        <w:t xml:space="preserve">, the marginal effects of the Kroon hall treatment on level of thermal comfort satisfaction are explored </w:t>
      </w:r>
      <w:r w:rsidR="00E65413">
        <w:rPr>
          <w:rFonts w:ascii="Times New Roman" w:eastAsiaTheme="minorEastAsia" w:hAnsi="Times New Roman" w:cs="Times New Roman"/>
        </w:rPr>
        <w:t>at the end</w:t>
      </w:r>
      <w:r w:rsidR="00A433F9">
        <w:rPr>
          <w:rFonts w:ascii="Times New Roman" w:eastAsiaTheme="minorEastAsia" w:hAnsi="Times New Roman" w:cs="Times New Roman"/>
        </w:rPr>
        <w:t>.</w:t>
      </w:r>
    </w:p>
    <w:p w:rsidR="00016116" w:rsidRDefault="00AC02CC" w:rsidP="00016116">
      <w:pPr>
        <w:spacing w:after="120" w:line="240" w:lineRule="auto"/>
        <w:rPr>
          <w:rFonts w:ascii="Times New Roman" w:eastAsiaTheme="minorEastAsia" w:hAnsi="Times New Roman" w:cs="Times New Roman"/>
        </w:rPr>
      </w:pPr>
      <w:r>
        <w:rPr>
          <w:rFonts w:ascii="Times New Roman" w:eastAsiaTheme="minorEastAsia" w:hAnsi="Times New Roman" w:cs="Times New Roman"/>
        </w:rPr>
        <w:t xml:space="preserve">Key to </w:t>
      </w:r>
      <w:r w:rsidR="00E65413">
        <w:rPr>
          <w:rFonts w:ascii="Times New Roman" w:eastAsiaTheme="minorEastAsia" w:hAnsi="Times New Roman" w:cs="Times New Roman"/>
        </w:rPr>
        <w:t>the novelty of the</w:t>
      </w:r>
      <w:r w:rsidR="00F33146">
        <w:rPr>
          <w:rFonts w:ascii="Times New Roman" w:eastAsiaTheme="minorEastAsia" w:hAnsi="Times New Roman" w:cs="Times New Roman"/>
        </w:rPr>
        <w:t xml:space="preserve"> </w:t>
      </w:r>
      <w:r>
        <w:rPr>
          <w:rFonts w:ascii="Times New Roman" w:eastAsiaTheme="minorEastAsia" w:hAnsi="Times New Roman" w:cs="Times New Roman"/>
        </w:rPr>
        <w:t xml:space="preserve">results, the population </w:t>
      </w:r>
      <w:r w:rsidR="00E65413">
        <w:rPr>
          <w:rFonts w:ascii="Times New Roman" w:eastAsiaTheme="minorEastAsia" w:hAnsi="Times New Roman" w:cs="Times New Roman"/>
        </w:rPr>
        <w:t>under</w:t>
      </w:r>
      <w:r>
        <w:rPr>
          <w:rFonts w:ascii="Times New Roman" w:eastAsiaTheme="minorEastAsia" w:hAnsi="Times New Roman" w:cs="Times New Roman"/>
        </w:rPr>
        <w:t xml:space="preserve"> study is composed of two groups which are materially different in both purpose </w:t>
      </w:r>
      <w:r w:rsidR="00F33146">
        <w:rPr>
          <w:rFonts w:ascii="Times New Roman" w:eastAsiaTheme="minorEastAsia" w:hAnsi="Times New Roman" w:cs="Times New Roman"/>
        </w:rPr>
        <w:t xml:space="preserve">at the university </w:t>
      </w:r>
      <w:r>
        <w:rPr>
          <w:rFonts w:ascii="Times New Roman" w:eastAsiaTheme="minorEastAsia" w:hAnsi="Times New Roman" w:cs="Times New Roman"/>
        </w:rPr>
        <w:t>a</w:t>
      </w:r>
      <w:r w:rsidR="00F33146">
        <w:rPr>
          <w:rFonts w:ascii="Times New Roman" w:eastAsiaTheme="minorEastAsia" w:hAnsi="Times New Roman" w:cs="Times New Roman"/>
        </w:rPr>
        <w:t>nd</w:t>
      </w:r>
      <w:r w:rsidR="00E65413">
        <w:rPr>
          <w:rFonts w:ascii="Times New Roman" w:eastAsiaTheme="minorEastAsia" w:hAnsi="Times New Roman" w:cs="Times New Roman"/>
        </w:rPr>
        <w:t xml:space="preserve"> the</w:t>
      </w:r>
      <w:r w:rsidR="00F33146">
        <w:rPr>
          <w:rFonts w:ascii="Times New Roman" w:eastAsiaTheme="minorEastAsia" w:hAnsi="Times New Roman" w:cs="Times New Roman"/>
        </w:rPr>
        <w:t xml:space="preserve"> methodological implication.  One group, non-office</w:t>
      </w:r>
      <w:r w:rsidR="00E65413">
        <w:rPr>
          <w:rFonts w:ascii="Times New Roman" w:eastAsiaTheme="minorEastAsia" w:hAnsi="Times New Roman" w:cs="Times New Roman"/>
        </w:rPr>
        <w:t xml:space="preserve"> </w:t>
      </w:r>
      <w:r w:rsidR="00F33146">
        <w:rPr>
          <w:rFonts w:ascii="Times New Roman" w:eastAsiaTheme="minorEastAsia" w:hAnsi="Times New Roman" w:cs="Times New Roman"/>
        </w:rPr>
        <w:t>students, can select into and out of Kroon Hall and any other F&amp;ES b</w:t>
      </w:r>
      <w:r w:rsidR="00E65413">
        <w:rPr>
          <w:rFonts w:ascii="Times New Roman" w:eastAsiaTheme="minorEastAsia" w:hAnsi="Times New Roman" w:cs="Times New Roman"/>
        </w:rPr>
        <w:t>uilding.  They</w:t>
      </w:r>
      <w:r w:rsidR="00F33146">
        <w:rPr>
          <w:rFonts w:ascii="Times New Roman" w:eastAsiaTheme="minorEastAsia" w:hAnsi="Times New Roman" w:cs="Times New Roman"/>
        </w:rPr>
        <w:t xml:space="preserve"> choose which building to spend time in and designate as their primary in the survey.  This self-selection implies </w:t>
      </w:r>
      <w:r w:rsidR="00715363">
        <w:rPr>
          <w:rFonts w:ascii="Times New Roman" w:eastAsiaTheme="minorEastAsia" w:hAnsi="Times New Roman" w:cs="Times New Roman"/>
        </w:rPr>
        <w:t xml:space="preserve">the coefficient on Kroon Hall </w:t>
      </w:r>
      <w:r w:rsidR="00A96322">
        <w:rPr>
          <w:rFonts w:ascii="Times New Roman" w:eastAsiaTheme="minorEastAsia" w:hAnsi="Times New Roman" w:cs="Times New Roman"/>
        </w:rPr>
        <w:t xml:space="preserve">alone </w:t>
      </w:r>
      <w:r w:rsidR="00715363">
        <w:rPr>
          <w:rFonts w:ascii="Times New Roman" w:eastAsiaTheme="minorEastAsia" w:hAnsi="Times New Roman" w:cs="Times New Roman"/>
        </w:rPr>
        <w:t>cannot be interpreted in the context of a quasi-random experiment.  It is likely that students who select Kroon Hall do so because they prefer</w:t>
      </w:r>
      <w:r w:rsidR="00E1454D">
        <w:rPr>
          <w:rFonts w:ascii="Times New Roman" w:eastAsiaTheme="minorEastAsia" w:hAnsi="Times New Roman" w:cs="Times New Roman"/>
        </w:rPr>
        <w:t xml:space="preserve"> it over the baseline options.  One way to check for</w:t>
      </w:r>
      <w:r w:rsidR="00A96322">
        <w:rPr>
          <w:rFonts w:ascii="Times New Roman" w:eastAsiaTheme="minorEastAsia" w:hAnsi="Times New Roman" w:cs="Times New Roman"/>
        </w:rPr>
        <w:t xml:space="preserve"> evidence of</w:t>
      </w:r>
      <w:r w:rsidR="00E1454D">
        <w:rPr>
          <w:rFonts w:ascii="Times New Roman" w:eastAsiaTheme="minorEastAsia" w:hAnsi="Times New Roman" w:cs="Times New Roman"/>
        </w:rPr>
        <w:t xml:space="preserve"> this </w:t>
      </w:r>
      <w:r w:rsidR="00A96322">
        <w:rPr>
          <w:rFonts w:ascii="Times New Roman" w:eastAsiaTheme="minorEastAsia" w:hAnsi="Times New Roman" w:cs="Times New Roman"/>
        </w:rPr>
        <w:t>is through the coefficient</w:t>
      </w:r>
      <w:r w:rsidR="00E1454D">
        <w:rPr>
          <w:rFonts w:ascii="Times New Roman" w:eastAsiaTheme="minorEastAsia" w:hAnsi="Times New Roman" w:cs="Times New Roman"/>
        </w:rPr>
        <w:t xml:space="preserve"> on Kroon Hall estimat</w:t>
      </w:r>
      <w:r w:rsidR="00A96322">
        <w:rPr>
          <w:rFonts w:ascii="Times New Roman" w:eastAsiaTheme="minorEastAsia" w:hAnsi="Times New Roman" w:cs="Times New Roman"/>
        </w:rPr>
        <w:t>ed</w:t>
      </w:r>
      <w:r w:rsidR="00E1454D">
        <w:rPr>
          <w:rFonts w:ascii="Times New Roman" w:eastAsiaTheme="minorEastAsia" w:hAnsi="Times New Roman" w:cs="Times New Roman"/>
        </w:rPr>
        <w:t xml:space="preserve"> </w:t>
      </w:r>
      <w:r w:rsidR="00A96322">
        <w:rPr>
          <w:rFonts w:ascii="Times New Roman" w:eastAsiaTheme="minorEastAsia" w:hAnsi="Times New Roman" w:cs="Times New Roman"/>
        </w:rPr>
        <w:t>on the importance category as in column 1 of Table 2.</w:t>
      </w:r>
      <w:r w:rsidR="00E1454D">
        <w:rPr>
          <w:rFonts w:ascii="Times New Roman" w:eastAsiaTheme="minorEastAsia" w:hAnsi="Times New Roman" w:cs="Times New Roman"/>
        </w:rPr>
        <w:t xml:space="preserve"> </w:t>
      </w:r>
      <w:r w:rsidR="00A96322">
        <w:rPr>
          <w:rFonts w:ascii="Times New Roman" w:eastAsiaTheme="minorEastAsia" w:hAnsi="Times New Roman" w:cs="Times New Roman"/>
        </w:rPr>
        <w:t xml:space="preserve"> </w:t>
      </w:r>
      <w:r w:rsidR="00E1454D">
        <w:rPr>
          <w:rFonts w:ascii="Times New Roman" w:eastAsiaTheme="minorEastAsia" w:hAnsi="Times New Roman" w:cs="Times New Roman"/>
        </w:rPr>
        <w:t>In a true random experiment</w:t>
      </w:r>
      <w:r w:rsidR="00A96322">
        <w:rPr>
          <w:rFonts w:ascii="Times New Roman" w:eastAsiaTheme="minorEastAsia" w:hAnsi="Times New Roman" w:cs="Times New Roman"/>
        </w:rPr>
        <w:t>,</w:t>
      </w:r>
      <w:r w:rsidR="00E1454D">
        <w:rPr>
          <w:rFonts w:ascii="Times New Roman" w:eastAsiaTheme="minorEastAsia" w:hAnsi="Times New Roman" w:cs="Times New Roman"/>
        </w:rPr>
        <w:t xml:space="preserve"> or setting that mimics it, the importance of any attribute should not differ between treatment and control groups</w:t>
      </w:r>
      <w:r w:rsidR="00A96322">
        <w:rPr>
          <w:rFonts w:ascii="Times New Roman" w:eastAsiaTheme="minorEastAsia" w:hAnsi="Times New Roman" w:cs="Times New Roman"/>
        </w:rPr>
        <w:t xml:space="preserve"> yet is statistically significant for the Kroon Hall group</w:t>
      </w:r>
      <w:r w:rsidR="00E1454D">
        <w:rPr>
          <w:rFonts w:ascii="Times New Roman" w:eastAsiaTheme="minorEastAsia" w:hAnsi="Times New Roman" w:cs="Times New Roman"/>
        </w:rPr>
        <w:t xml:space="preserve">.  </w:t>
      </w:r>
      <w:r w:rsidR="00A96322">
        <w:rPr>
          <w:rFonts w:ascii="Times New Roman" w:eastAsiaTheme="minorEastAsia" w:hAnsi="Times New Roman" w:cs="Times New Roman"/>
        </w:rPr>
        <w:t>An</w:t>
      </w:r>
      <w:r w:rsidR="00E1454D">
        <w:rPr>
          <w:rFonts w:ascii="Times New Roman" w:eastAsiaTheme="minorEastAsia" w:hAnsi="Times New Roman" w:cs="Times New Roman"/>
        </w:rPr>
        <w:t xml:space="preserve"> exception </w:t>
      </w:r>
      <w:r w:rsidR="00A96322">
        <w:rPr>
          <w:rFonts w:ascii="Times New Roman" w:eastAsiaTheme="minorEastAsia" w:hAnsi="Times New Roman" w:cs="Times New Roman"/>
        </w:rPr>
        <w:t>occurs when</w:t>
      </w:r>
      <w:r w:rsidR="00E1454D">
        <w:rPr>
          <w:rFonts w:ascii="Times New Roman" w:eastAsiaTheme="minorEastAsia" w:hAnsi="Times New Roman" w:cs="Times New Roman"/>
        </w:rPr>
        <w:t xml:space="preserve"> the treatment results in the treated developing an affinity for the category being tested</w:t>
      </w:r>
      <w:r w:rsidR="00A96322">
        <w:rPr>
          <w:rFonts w:ascii="Times New Roman" w:eastAsiaTheme="minorEastAsia" w:hAnsi="Times New Roman" w:cs="Times New Roman"/>
        </w:rPr>
        <w:t>-</w:t>
      </w:r>
      <w:r w:rsidR="00E1454D">
        <w:rPr>
          <w:rFonts w:ascii="Times New Roman" w:eastAsiaTheme="minorEastAsia" w:hAnsi="Times New Roman" w:cs="Times New Roman"/>
        </w:rPr>
        <w:t xml:space="preserve"> </w:t>
      </w:r>
      <w:r w:rsidR="00A96322">
        <w:rPr>
          <w:rFonts w:ascii="Times New Roman" w:eastAsiaTheme="minorEastAsia" w:hAnsi="Times New Roman" w:cs="Times New Roman"/>
        </w:rPr>
        <w:t>the attribute</w:t>
      </w:r>
      <w:r w:rsidR="00E1454D">
        <w:rPr>
          <w:rFonts w:ascii="Times New Roman" w:eastAsiaTheme="minorEastAsia" w:hAnsi="Times New Roman" w:cs="Times New Roman"/>
        </w:rPr>
        <w:t xml:space="preserve"> becomes important</w:t>
      </w:r>
      <w:r w:rsidR="00A96322">
        <w:rPr>
          <w:rFonts w:ascii="Times New Roman" w:eastAsiaTheme="minorEastAsia" w:hAnsi="Times New Roman" w:cs="Times New Roman"/>
        </w:rPr>
        <w:t xml:space="preserve"> after exposure</w:t>
      </w:r>
      <w:r w:rsidR="00E1454D">
        <w:rPr>
          <w:rFonts w:ascii="Times New Roman" w:eastAsiaTheme="minorEastAsia" w:hAnsi="Times New Roman" w:cs="Times New Roman"/>
        </w:rPr>
        <w:t>.</w:t>
      </w:r>
      <w:r w:rsidR="00A96322">
        <w:rPr>
          <w:rFonts w:ascii="Times New Roman" w:eastAsiaTheme="minorEastAsia" w:hAnsi="Times New Roman" w:cs="Times New Roman"/>
        </w:rPr>
        <w:t xml:space="preserve">  This exception cannot be tested from the survey data, unfortunately.</w:t>
      </w:r>
    </w:p>
    <w:p w:rsidR="00016116" w:rsidRPr="00D20F9F" w:rsidRDefault="00B37DD1" w:rsidP="000E6B9F">
      <w:pPr>
        <w:spacing w:after="120" w:line="240" w:lineRule="auto"/>
        <w:rPr>
          <w:rFonts w:ascii="Times New Roman" w:eastAsiaTheme="minorEastAsia" w:hAnsi="Times New Roman" w:cs="Times New Roman"/>
        </w:rPr>
      </w:pPr>
      <w:r>
        <w:rPr>
          <w:rFonts w:ascii="Times New Roman" w:eastAsiaTheme="minorEastAsia" w:hAnsi="Times New Roman" w:cs="Times New Roman"/>
        </w:rPr>
        <w:t>Fortunately, e</w:t>
      </w:r>
      <w:r w:rsidR="00E1454D">
        <w:rPr>
          <w:rFonts w:ascii="Times New Roman" w:eastAsiaTheme="minorEastAsia" w:hAnsi="Times New Roman" w:cs="Times New Roman"/>
        </w:rPr>
        <w:t>stimates on the second group in the study</w:t>
      </w:r>
      <w:r>
        <w:rPr>
          <w:rFonts w:ascii="Times New Roman" w:eastAsiaTheme="minorEastAsia" w:hAnsi="Times New Roman" w:cs="Times New Roman"/>
        </w:rPr>
        <w:t>- those with an office at F&amp;ES</w:t>
      </w:r>
      <w:r w:rsidR="00E1454D">
        <w:rPr>
          <w:rFonts w:ascii="Times New Roman" w:eastAsiaTheme="minorEastAsia" w:hAnsi="Times New Roman" w:cs="Times New Roman"/>
        </w:rPr>
        <w:t xml:space="preserve"> take</w:t>
      </w:r>
      <w:r>
        <w:rPr>
          <w:rFonts w:ascii="Times New Roman" w:eastAsiaTheme="minorEastAsia" w:hAnsi="Times New Roman" w:cs="Times New Roman"/>
        </w:rPr>
        <w:t>s</w:t>
      </w:r>
      <w:r w:rsidR="00E1454D">
        <w:rPr>
          <w:rFonts w:ascii="Times New Roman" w:eastAsiaTheme="minorEastAsia" w:hAnsi="Times New Roman" w:cs="Times New Roman"/>
        </w:rPr>
        <w:t xml:space="preserve"> a different interpretation.  Assignment to an office in Kroon Hall or </w:t>
      </w:r>
      <w:r>
        <w:rPr>
          <w:rFonts w:ascii="Times New Roman" w:eastAsiaTheme="minorEastAsia" w:hAnsi="Times New Roman" w:cs="Times New Roman"/>
        </w:rPr>
        <w:t>elsewhere</w:t>
      </w:r>
      <w:r w:rsidR="00E1454D">
        <w:rPr>
          <w:rFonts w:ascii="Times New Roman" w:eastAsiaTheme="minorEastAsia" w:hAnsi="Times New Roman" w:cs="Times New Roman"/>
        </w:rPr>
        <w:t xml:space="preserve">, whether faculty and staff or the few students who </w:t>
      </w:r>
      <w:r>
        <w:rPr>
          <w:rFonts w:ascii="Times New Roman" w:eastAsiaTheme="minorEastAsia" w:hAnsi="Times New Roman" w:cs="Times New Roman"/>
        </w:rPr>
        <w:t>are placed</w:t>
      </w:r>
      <w:r w:rsidR="00E1454D">
        <w:rPr>
          <w:rFonts w:ascii="Times New Roman" w:eastAsiaTheme="minorEastAsia" w:hAnsi="Times New Roman" w:cs="Times New Roman"/>
        </w:rPr>
        <w:t xml:space="preserve"> through research roles</w:t>
      </w:r>
      <w:r>
        <w:rPr>
          <w:rFonts w:ascii="Times New Roman" w:eastAsiaTheme="minorEastAsia" w:hAnsi="Times New Roman" w:cs="Times New Roman"/>
        </w:rPr>
        <w:t xml:space="preserve"> is effectively</w:t>
      </w:r>
      <w:r w:rsidR="00E1454D">
        <w:rPr>
          <w:rFonts w:ascii="Times New Roman" w:eastAsiaTheme="minorEastAsia" w:hAnsi="Times New Roman" w:cs="Times New Roman"/>
        </w:rPr>
        <w:t xml:space="preserve"> random</w:t>
      </w:r>
      <w:r>
        <w:rPr>
          <w:rFonts w:ascii="Times New Roman" w:eastAsiaTheme="minorEastAsia" w:hAnsi="Times New Roman" w:cs="Times New Roman"/>
        </w:rPr>
        <w:t>ly</w:t>
      </w:r>
      <w:r w:rsidR="00E1454D">
        <w:rPr>
          <w:rFonts w:ascii="Times New Roman" w:eastAsiaTheme="minorEastAsia" w:hAnsi="Times New Roman" w:cs="Times New Roman"/>
        </w:rPr>
        <w:t xml:space="preserve"> assign</w:t>
      </w:r>
      <w:r>
        <w:rPr>
          <w:rFonts w:ascii="Times New Roman" w:eastAsiaTheme="minorEastAsia" w:hAnsi="Times New Roman" w:cs="Times New Roman"/>
        </w:rPr>
        <w:t>ed relative to their preferences</w:t>
      </w:r>
      <w:r w:rsidR="00E1454D">
        <w:rPr>
          <w:rFonts w:ascii="Times New Roman" w:eastAsiaTheme="minorEastAsia" w:hAnsi="Times New Roman" w:cs="Times New Roman"/>
        </w:rPr>
        <w:t>.  Whether the office is in Kroon Hall or the base</w:t>
      </w:r>
      <w:r>
        <w:rPr>
          <w:rFonts w:ascii="Times New Roman" w:eastAsiaTheme="minorEastAsia" w:hAnsi="Times New Roman" w:cs="Times New Roman"/>
        </w:rPr>
        <w:t>line building</w:t>
      </w:r>
      <w:r w:rsidR="00E1454D">
        <w:rPr>
          <w:rFonts w:ascii="Times New Roman" w:eastAsiaTheme="minorEastAsia" w:hAnsi="Times New Roman" w:cs="Times New Roman"/>
        </w:rPr>
        <w:t xml:space="preserve"> group is entirely independent of the person.  Rather, office assignment has to do with the F&amp;ES administrative division’s location or the </w:t>
      </w:r>
      <w:r w:rsidR="00E1454D">
        <w:rPr>
          <w:rFonts w:ascii="Times New Roman" w:eastAsiaTheme="minorEastAsia" w:hAnsi="Times New Roman" w:cs="Times New Roman"/>
        </w:rPr>
        <w:lastRenderedPageBreak/>
        <w:t>researc</w:t>
      </w:r>
      <w:r w:rsidR="001F6C73">
        <w:rPr>
          <w:rFonts w:ascii="Times New Roman" w:eastAsiaTheme="minorEastAsia" w:hAnsi="Times New Roman" w:cs="Times New Roman"/>
        </w:rPr>
        <w:t xml:space="preserve">h </w:t>
      </w:r>
      <w:r>
        <w:rPr>
          <w:rFonts w:ascii="Times New Roman" w:eastAsiaTheme="minorEastAsia" w:hAnsi="Times New Roman" w:cs="Times New Roman"/>
        </w:rPr>
        <w:t>center</w:t>
      </w:r>
      <w:r w:rsidR="001F6C73">
        <w:rPr>
          <w:rFonts w:ascii="Times New Roman" w:eastAsiaTheme="minorEastAsia" w:hAnsi="Times New Roman" w:cs="Times New Roman"/>
        </w:rPr>
        <w:t xml:space="preserve">.  </w:t>
      </w:r>
      <w:r>
        <w:rPr>
          <w:rFonts w:ascii="Times New Roman" w:eastAsiaTheme="minorEastAsia" w:hAnsi="Times New Roman" w:cs="Times New Roman"/>
        </w:rPr>
        <w:t>I</w:t>
      </w:r>
      <w:r w:rsidR="001F6C73">
        <w:rPr>
          <w:rFonts w:ascii="Times New Roman" w:eastAsiaTheme="minorEastAsia" w:hAnsi="Times New Roman" w:cs="Times New Roman"/>
        </w:rPr>
        <w:t>mportant</w:t>
      </w:r>
      <w:r>
        <w:rPr>
          <w:rFonts w:ascii="Times New Roman" w:eastAsiaTheme="minorEastAsia" w:hAnsi="Times New Roman" w:cs="Times New Roman"/>
        </w:rPr>
        <w:t>ly,</w:t>
      </w:r>
      <w:r w:rsidR="001F6C73">
        <w:rPr>
          <w:rFonts w:ascii="Times New Roman" w:eastAsiaTheme="minorEastAsia" w:hAnsi="Times New Roman" w:cs="Times New Roman"/>
        </w:rPr>
        <w:t xml:space="preserve"> there is no reason to believe personnel select into or are hired by these divisions or research projects specifically because of an interest in being seated in Kroon Hall</w:t>
      </w:r>
      <w:r>
        <w:rPr>
          <w:rFonts w:ascii="Times New Roman" w:eastAsiaTheme="minorEastAsia" w:hAnsi="Times New Roman" w:cs="Times New Roman"/>
        </w:rPr>
        <w:t xml:space="preserve"> or not</w:t>
      </w:r>
      <w:r w:rsidR="001F6C73">
        <w:rPr>
          <w:rFonts w:ascii="Times New Roman" w:eastAsiaTheme="minorEastAsia" w:hAnsi="Times New Roman" w:cs="Times New Roman"/>
        </w:rPr>
        <w:t>.  Because of this independence of assignme</w:t>
      </w:r>
      <w:r w:rsidR="0063425B">
        <w:rPr>
          <w:rFonts w:ascii="Times New Roman" w:eastAsiaTheme="minorEastAsia" w:hAnsi="Times New Roman" w:cs="Times New Roman"/>
        </w:rPr>
        <w:t>nt, the treatment of Kroon Hall can be taken as a quasi-</w:t>
      </w:r>
      <w:r w:rsidR="00AC2FAE">
        <w:rPr>
          <w:rFonts w:ascii="Times New Roman" w:eastAsiaTheme="minorEastAsia" w:hAnsi="Times New Roman" w:cs="Times New Roman"/>
        </w:rPr>
        <w:t>experimental assignment and discussed in a randomized controlled trial (RCT) framework</w:t>
      </w:r>
      <w:r>
        <w:rPr>
          <w:rFonts w:ascii="Times New Roman" w:eastAsiaTheme="minorEastAsia" w:hAnsi="Times New Roman" w:cs="Times New Roman"/>
        </w:rPr>
        <w:t xml:space="preserve"> for the office subgroup</w:t>
      </w:r>
      <w:r w:rsidR="00AC2FAE">
        <w:rPr>
          <w:rFonts w:ascii="Times New Roman" w:eastAsiaTheme="minorEastAsia" w:hAnsi="Times New Roman" w:cs="Times New Roman"/>
        </w:rPr>
        <w:t xml:space="preserve">.  </w:t>
      </w:r>
      <w:r w:rsidR="000873CA">
        <w:rPr>
          <w:rFonts w:ascii="Times New Roman" w:eastAsiaTheme="minorEastAsia" w:hAnsi="Times New Roman" w:cs="Times New Roman"/>
        </w:rPr>
        <w:t xml:space="preserve">This adds to the validity of the coefficients discovered- </w:t>
      </w:r>
      <w:r w:rsidR="005F655D">
        <w:rPr>
          <w:rFonts w:ascii="Times New Roman" w:eastAsiaTheme="minorEastAsia" w:hAnsi="Times New Roman" w:cs="Times New Roman"/>
        </w:rPr>
        <w:t>they represent the treatment of</w:t>
      </w:r>
      <w:r w:rsidR="000873CA">
        <w:rPr>
          <w:rFonts w:ascii="Times New Roman" w:eastAsiaTheme="minorEastAsia" w:hAnsi="Times New Roman" w:cs="Times New Roman"/>
        </w:rPr>
        <w:t xml:space="preserve"> Kroon Hall </w:t>
      </w:r>
      <w:r>
        <w:rPr>
          <w:rFonts w:ascii="Times New Roman" w:eastAsiaTheme="minorEastAsia" w:hAnsi="Times New Roman" w:cs="Times New Roman"/>
        </w:rPr>
        <w:t xml:space="preserve">on the treated, </w:t>
      </w:r>
      <w:r w:rsidR="005F655D">
        <w:rPr>
          <w:rFonts w:ascii="Times New Roman" w:eastAsiaTheme="minorEastAsia" w:hAnsi="Times New Roman" w:cs="Times New Roman"/>
        </w:rPr>
        <w:t>unaffected by self-selecti</w:t>
      </w:r>
      <w:r>
        <w:rPr>
          <w:rFonts w:ascii="Times New Roman" w:eastAsiaTheme="minorEastAsia" w:hAnsi="Times New Roman" w:cs="Times New Roman"/>
        </w:rPr>
        <w:t>on</w:t>
      </w:r>
      <w:r w:rsidR="005F655D">
        <w:rPr>
          <w:rFonts w:ascii="Times New Roman" w:eastAsiaTheme="minorEastAsia" w:hAnsi="Times New Roman" w:cs="Times New Roman"/>
        </w:rPr>
        <w:t>.</w:t>
      </w:r>
      <w:r>
        <w:rPr>
          <w:rFonts w:ascii="Times New Roman" w:eastAsiaTheme="minorEastAsia" w:hAnsi="Times New Roman" w:cs="Times New Roman"/>
        </w:rPr>
        <w:t xml:space="preserve">  The resulting estimates</w:t>
      </w:r>
      <w:r w:rsidR="00AF6FD3">
        <w:rPr>
          <w:rFonts w:ascii="Times New Roman" w:eastAsiaTheme="minorEastAsia" w:hAnsi="Times New Roman" w:cs="Times New Roman"/>
        </w:rPr>
        <w:t xml:space="preserve"> could still </w:t>
      </w:r>
      <w:r>
        <w:rPr>
          <w:rFonts w:ascii="Times New Roman" w:eastAsiaTheme="minorEastAsia" w:hAnsi="Times New Roman" w:cs="Times New Roman"/>
        </w:rPr>
        <w:t>indicate</w:t>
      </w:r>
      <w:r w:rsidR="00AF6FD3">
        <w:rPr>
          <w:rFonts w:ascii="Times New Roman" w:eastAsiaTheme="minorEastAsia" w:hAnsi="Times New Roman" w:cs="Times New Roman"/>
        </w:rPr>
        <w:t xml:space="preserve"> a statistically significant coefficient on importance of attributes, but only under the aforementioned circumstance that an affinity </w:t>
      </w:r>
      <w:r>
        <w:rPr>
          <w:rFonts w:ascii="Times New Roman" w:eastAsiaTheme="minorEastAsia" w:hAnsi="Times New Roman" w:cs="Times New Roman"/>
        </w:rPr>
        <w:t>has developed from</w:t>
      </w:r>
      <w:r w:rsidR="00AF6FD3">
        <w:rPr>
          <w:rFonts w:ascii="Times New Roman" w:eastAsiaTheme="minorEastAsia" w:hAnsi="Times New Roman" w:cs="Times New Roman"/>
        </w:rPr>
        <w:t xml:space="preserve"> treatment.  This is generally not</w:t>
      </w:r>
      <w:r>
        <w:rPr>
          <w:rFonts w:ascii="Times New Roman" w:eastAsiaTheme="minorEastAsia" w:hAnsi="Times New Roman" w:cs="Times New Roman"/>
        </w:rPr>
        <w:t xml:space="preserve"> found in the results to follow and therefore not at risk of undermining </w:t>
      </w:r>
      <w:r w:rsidR="00AF6FD3">
        <w:rPr>
          <w:rFonts w:ascii="Times New Roman" w:eastAsiaTheme="minorEastAsia" w:hAnsi="Times New Roman" w:cs="Times New Roman"/>
        </w:rPr>
        <w:t xml:space="preserve">the claim of a quasi-experimental </w:t>
      </w:r>
      <w:r w:rsidR="00600513">
        <w:rPr>
          <w:rFonts w:ascii="Times New Roman" w:eastAsiaTheme="minorEastAsia" w:hAnsi="Times New Roman" w:cs="Times New Roman"/>
        </w:rPr>
        <w:t>environment for the office subgroup.</w:t>
      </w:r>
    </w:p>
    <w:p w:rsidR="00D32932" w:rsidRPr="00072995" w:rsidRDefault="00553F61" w:rsidP="00072995">
      <w:pPr>
        <w:pStyle w:val="Heading1"/>
        <w:rPr>
          <w:rFonts w:cs="Times New Roman"/>
        </w:rPr>
      </w:pPr>
      <w:bookmarkStart w:id="8" w:name="_Toc479081470"/>
      <w:r w:rsidRPr="00072995">
        <w:rPr>
          <w:rFonts w:cs="Times New Roman"/>
        </w:rPr>
        <w:t>Results</w:t>
      </w:r>
      <w:bookmarkEnd w:id="8"/>
    </w:p>
    <w:p w:rsidR="005B7536" w:rsidRPr="005B7536" w:rsidRDefault="003C657D" w:rsidP="005B7536">
      <w:pPr>
        <w:spacing w:after="120" w:line="240" w:lineRule="auto"/>
        <w:rPr>
          <w:rFonts w:ascii="Times New Roman" w:hAnsi="Times New Roman" w:cs="Times New Roman"/>
        </w:rPr>
      </w:pPr>
      <w:r>
        <w:rPr>
          <w:rFonts w:ascii="Times New Roman" w:hAnsi="Times New Roman" w:cs="Times New Roman"/>
        </w:rPr>
        <w:t>This paper</w:t>
      </w:r>
      <w:r w:rsidR="00596B79">
        <w:rPr>
          <w:rFonts w:ascii="Times New Roman" w:hAnsi="Times New Roman" w:cs="Times New Roman"/>
        </w:rPr>
        <w:t xml:space="preserve"> focus</w:t>
      </w:r>
      <w:r>
        <w:rPr>
          <w:rFonts w:ascii="Times New Roman" w:hAnsi="Times New Roman" w:cs="Times New Roman"/>
        </w:rPr>
        <w:t>es</w:t>
      </w:r>
      <w:r w:rsidR="00596B79">
        <w:rPr>
          <w:rFonts w:ascii="Times New Roman" w:hAnsi="Times New Roman" w:cs="Times New Roman"/>
        </w:rPr>
        <w:t xml:space="preserve"> on the result </w:t>
      </w:r>
      <w:r>
        <w:rPr>
          <w:rFonts w:ascii="Times New Roman" w:hAnsi="Times New Roman" w:cs="Times New Roman"/>
        </w:rPr>
        <w:t>with perhaps</w:t>
      </w:r>
      <w:r w:rsidR="00596B79">
        <w:rPr>
          <w:rFonts w:ascii="Times New Roman" w:hAnsi="Times New Roman" w:cs="Times New Roman"/>
        </w:rPr>
        <w:t xml:space="preserve"> the largest implication for energy use- thermal comfort.  </w:t>
      </w:r>
      <w:r w:rsidR="00D242CC">
        <w:rPr>
          <w:rFonts w:ascii="Times New Roman" w:hAnsi="Times New Roman" w:cs="Times New Roman"/>
        </w:rPr>
        <w:t>All other results</w:t>
      </w:r>
      <w:r w:rsidR="00596B79">
        <w:rPr>
          <w:rFonts w:ascii="Times New Roman" w:hAnsi="Times New Roman" w:cs="Times New Roman"/>
        </w:rPr>
        <w:t xml:space="preserve"> are presented in the appendix.</w:t>
      </w:r>
    </w:p>
    <w:p w:rsidR="00017A8E" w:rsidRDefault="005B7536" w:rsidP="005B7536">
      <w:pPr>
        <w:spacing w:after="120" w:line="240" w:lineRule="auto"/>
        <w:rPr>
          <w:rFonts w:ascii="Times New Roman" w:hAnsi="Times New Roman" w:cs="Times New Roman"/>
        </w:rPr>
      </w:pPr>
      <w:r w:rsidRPr="005B7536">
        <w:rPr>
          <w:rFonts w:ascii="Times New Roman" w:hAnsi="Times New Roman" w:cs="Times New Roman"/>
        </w:rPr>
        <w:t xml:space="preserve">Equation (1) </w:t>
      </w:r>
      <w:r w:rsidR="00A577C7">
        <w:rPr>
          <w:rFonts w:ascii="Times New Roman" w:hAnsi="Times New Roman" w:cs="Times New Roman"/>
        </w:rPr>
        <w:t>is</w:t>
      </w:r>
      <w:r w:rsidRPr="005B7536">
        <w:rPr>
          <w:rFonts w:ascii="Times New Roman" w:hAnsi="Times New Roman" w:cs="Times New Roman"/>
        </w:rPr>
        <w:t xml:space="preserve"> estimated using </w:t>
      </w:r>
      <w:r w:rsidR="00A577C7">
        <w:rPr>
          <w:rFonts w:ascii="Times New Roman" w:hAnsi="Times New Roman" w:cs="Times New Roman"/>
        </w:rPr>
        <w:t>an</w:t>
      </w:r>
      <w:r w:rsidRPr="005B7536">
        <w:rPr>
          <w:rFonts w:ascii="Times New Roman" w:hAnsi="Times New Roman" w:cs="Times New Roman"/>
        </w:rPr>
        <w:t xml:space="preserve"> ordered </w:t>
      </w:r>
      <w:proofErr w:type="spellStart"/>
      <w:r w:rsidRPr="005B7536">
        <w:rPr>
          <w:rFonts w:ascii="Times New Roman" w:hAnsi="Times New Roman" w:cs="Times New Roman"/>
        </w:rPr>
        <w:t>probit</w:t>
      </w:r>
      <w:proofErr w:type="spellEnd"/>
      <w:r w:rsidR="00A577C7">
        <w:rPr>
          <w:rFonts w:ascii="Times New Roman" w:hAnsi="Times New Roman" w:cs="Times New Roman"/>
        </w:rPr>
        <w:t xml:space="preserve"> model of the probability of selecting </w:t>
      </w:r>
      <w:r w:rsidR="00017A8E">
        <w:rPr>
          <w:rFonts w:ascii="Times New Roman" w:hAnsi="Times New Roman" w:cs="Times New Roman"/>
        </w:rPr>
        <w:t xml:space="preserve">between </w:t>
      </w:r>
      <w:r w:rsidR="00A577C7">
        <w:rPr>
          <w:rFonts w:ascii="Times New Roman" w:hAnsi="Times New Roman" w:cs="Times New Roman"/>
        </w:rPr>
        <w:t>the</w:t>
      </w:r>
      <w:r w:rsidR="00017A8E">
        <w:rPr>
          <w:rFonts w:ascii="Times New Roman" w:hAnsi="Times New Roman" w:cs="Times New Roman"/>
        </w:rPr>
        <w:t xml:space="preserve"> five</w:t>
      </w:r>
      <w:r w:rsidR="00A577C7">
        <w:rPr>
          <w:rFonts w:ascii="Times New Roman" w:hAnsi="Times New Roman" w:cs="Times New Roman"/>
        </w:rPr>
        <w:t xml:space="preserve"> levels of satisfaction,</w:t>
      </w:r>
      <w:r w:rsidR="00017A8E">
        <w:rPr>
          <w:rFonts w:ascii="Times New Roman" w:hAnsi="Times New Roman" w:cs="Times New Roman"/>
        </w:rPr>
        <w:t xml:space="preserve"> impact,</w:t>
      </w:r>
      <w:r w:rsidR="00A577C7">
        <w:rPr>
          <w:rFonts w:ascii="Times New Roman" w:hAnsi="Times New Roman" w:cs="Times New Roman"/>
        </w:rPr>
        <w:t xml:space="preserve"> etc.</w:t>
      </w:r>
      <w:r w:rsidR="00575CB3">
        <w:rPr>
          <w:rFonts w:ascii="Times New Roman" w:hAnsi="Times New Roman" w:cs="Times New Roman"/>
        </w:rPr>
        <w:t xml:space="preserve">  </w:t>
      </w:r>
      <w:r w:rsidR="009C17EC">
        <w:rPr>
          <w:rFonts w:ascii="Times New Roman" w:hAnsi="Times New Roman" w:cs="Times New Roman"/>
        </w:rPr>
        <w:t>An</w:t>
      </w:r>
      <w:r w:rsidR="00575CB3">
        <w:rPr>
          <w:rFonts w:ascii="Times New Roman" w:hAnsi="Times New Roman" w:cs="Times New Roman"/>
        </w:rPr>
        <w:t xml:space="preserve"> ordered </w:t>
      </w:r>
      <w:proofErr w:type="spellStart"/>
      <w:r w:rsidR="00575CB3">
        <w:rPr>
          <w:rFonts w:ascii="Times New Roman" w:hAnsi="Times New Roman" w:cs="Times New Roman"/>
        </w:rPr>
        <w:t>probit</w:t>
      </w:r>
      <w:proofErr w:type="spellEnd"/>
      <w:r w:rsidR="00575CB3">
        <w:rPr>
          <w:rFonts w:ascii="Times New Roman" w:hAnsi="Times New Roman" w:cs="Times New Roman"/>
        </w:rPr>
        <w:t xml:space="preserve"> is selected because it makes less restrictive </w:t>
      </w:r>
      <w:r w:rsidR="00A17C31">
        <w:rPr>
          <w:rFonts w:ascii="Times New Roman" w:hAnsi="Times New Roman" w:cs="Times New Roman"/>
        </w:rPr>
        <w:t>assumptions</w:t>
      </w:r>
      <w:r w:rsidR="00575CB3">
        <w:rPr>
          <w:rFonts w:ascii="Times New Roman" w:hAnsi="Times New Roman" w:cs="Times New Roman"/>
        </w:rPr>
        <w:t xml:space="preserve"> about the data</w:t>
      </w:r>
      <w:r w:rsidR="00A17C31">
        <w:rPr>
          <w:rFonts w:ascii="Times New Roman" w:hAnsi="Times New Roman" w:cs="Times New Roman"/>
        </w:rPr>
        <w:t xml:space="preserve"> than the logistic alternative</w:t>
      </w:r>
      <w:r w:rsidR="00575CB3">
        <w:rPr>
          <w:rFonts w:ascii="Times New Roman" w:hAnsi="Times New Roman" w:cs="Times New Roman"/>
        </w:rPr>
        <w:t>.</w:t>
      </w:r>
      <w:r w:rsidR="00F947C4">
        <w:rPr>
          <w:rFonts w:ascii="Times New Roman" w:hAnsi="Times New Roman" w:cs="Times New Roman"/>
        </w:rPr>
        <w:t xml:space="preserve"> </w:t>
      </w:r>
      <w:r w:rsidRPr="005B7536">
        <w:rPr>
          <w:rFonts w:ascii="Times New Roman" w:hAnsi="Times New Roman" w:cs="Times New Roman"/>
        </w:rPr>
        <w:t xml:space="preserve"> </w:t>
      </w:r>
      <w:r w:rsidR="003D0698">
        <w:rPr>
          <w:rFonts w:ascii="Times New Roman" w:hAnsi="Times New Roman" w:cs="Times New Roman"/>
        </w:rPr>
        <w:t xml:space="preserve">Unfortunately, while </w:t>
      </w:r>
      <w:r w:rsidR="00A17C31">
        <w:rPr>
          <w:rFonts w:ascii="Times New Roman" w:hAnsi="Times New Roman" w:cs="Times New Roman"/>
        </w:rPr>
        <w:t>more appr</w:t>
      </w:r>
      <w:r w:rsidR="00345121">
        <w:rPr>
          <w:rFonts w:ascii="Times New Roman" w:hAnsi="Times New Roman" w:cs="Times New Roman"/>
        </w:rPr>
        <w:t>opriate for this sort of analysis</w:t>
      </w:r>
      <w:r w:rsidR="003D0698">
        <w:rPr>
          <w:rFonts w:ascii="Times New Roman" w:hAnsi="Times New Roman" w:cs="Times New Roman"/>
        </w:rPr>
        <w:t>,</w:t>
      </w:r>
      <w:r w:rsidR="00A17C31">
        <w:rPr>
          <w:rFonts w:ascii="Times New Roman" w:hAnsi="Times New Roman" w:cs="Times New Roman"/>
        </w:rPr>
        <w:t xml:space="preserve"> the</w:t>
      </w:r>
      <w:r w:rsidR="003D0698" w:rsidRPr="005B7536">
        <w:rPr>
          <w:rFonts w:ascii="Times New Roman" w:hAnsi="Times New Roman" w:cs="Times New Roman"/>
        </w:rPr>
        <w:t xml:space="preserve"> ordered </w:t>
      </w:r>
      <w:proofErr w:type="spellStart"/>
      <w:r w:rsidR="003D0698" w:rsidRPr="005B7536">
        <w:rPr>
          <w:rFonts w:ascii="Times New Roman" w:hAnsi="Times New Roman" w:cs="Times New Roman"/>
        </w:rPr>
        <w:t>probit</w:t>
      </w:r>
      <w:proofErr w:type="spellEnd"/>
      <w:r w:rsidR="003D0698" w:rsidRPr="005B7536">
        <w:rPr>
          <w:rFonts w:ascii="Times New Roman" w:hAnsi="Times New Roman" w:cs="Times New Roman"/>
        </w:rPr>
        <w:t xml:space="preserve"> model</w:t>
      </w:r>
      <w:r w:rsidR="003D0698">
        <w:rPr>
          <w:rFonts w:ascii="Times New Roman" w:hAnsi="Times New Roman" w:cs="Times New Roman"/>
        </w:rPr>
        <w:t xml:space="preserve"> </w:t>
      </w:r>
      <w:r w:rsidR="003D0698" w:rsidRPr="005B7536">
        <w:rPr>
          <w:rFonts w:ascii="Times New Roman" w:hAnsi="Times New Roman" w:cs="Times New Roman"/>
        </w:rPr>
        <w:t>coefficients are difficult to interpret</w:t>
      </w:r>
      <w:r w:rsidR="00345121">
        <w:rPr>
          <w:rFonts w:ascii="Times New Roman" w:hAnsi="Times New Roman" w:cs="Times New Roman"/>
        </w:rPr>
        <w:t xml:space="preserve"> as they are a change in z-scores</w:t>
      </w:r>
      <w:r w:rsidR="003D0698" w:rsidRPr="005B7536">
        <w:rPr>
          <w:rFonts w:ascii="Times New Roman" w:hAnsi="Times New Roman" w:cs="Times New Roman"/>
        </w:rPr>
        <w:t xml:space="preserve">.  </w:t>
      </w:r>
      <w:r w:rsidR="00345121">
        <w:rPr>
          <w:rFonts w:ascii="Times New Roman" w:hAnsi="Times New Roman" w:cs="Times New Roman"/>
        </w:rPr>
        <w:t>The c</w:t>
      </w:r>
      <w:r w:rsidR="003D0698" w:rsidRPr="005B7536">
        <w:rPr>
          <w:rFonts w:ascii="Times New Roman" w:hAnsi="Times New Roman" w:cs="Times New Roman"/>
        </w:rPr>
        <w:t xml:space="preserve">alculated marginal effects are at a specific point, holding </w:t>
      </w:r>
      <w:r w:rsidR="00345121">
        <w:rPr>
          <w:rFonts w:ascii="Times New Roman" w:hAnsi="Times New Roman" w:cs="Times New Roman"/>
        </w:rPr>
        <w:t>all else</w:t>
      </w:r>
      <w:r w:rsidR="003D0698" w:rsidRPr="005B7536">
        <w:rPr>
          <w:rFonts w:ascii="Times New Roman" w:hAnsi="Times New Roman" w:cs="Times New Roman"/>
        </w:rPr>
        <w:t xml:space="preserve"> at their means or other significant value.  This is further complicated in an ordered </w:t>
      </w:r>
      <w:proofErr w:type="spellStart"/>
      <w:r w:rsidR="003D0698" w:rsidRPr="005B7536">
        <w:rPr>
          <w:rFonts w:ascii="Times New Roman" w:hAnsi="Times New Roman" w:cs="Times New Roman"/>
        </w:rPr>
        <w:t>probit</w:t>
      </w:r>
      <w:proofErr w:type="spellEnd"/>
      <w:r w:rsidR="003D0698" w:rsidRPr="005B7536">
        <w:rPr>
          <w:rFonts w:ascii="Times New Roman" w:hAnsi="Times New Roman" w:cs="Times New Roman"/>
        </w:rPr>
        <w:t xml:space="preserve"> model</w:t>
      </w:r>
      <w:r w:rsidR="003D0698">
        <w:rPr>
          <w:rFonts w:ascii="Times New Roman" w:hAnsi="Times New Roman" w:cs="Times New Roman"/>
        </w:rPr>
        <w:t>.  T</w:t>
      </w:r>
      <w:r w:rsidR="003D0698" w:rsidRPr="005B7536">
        <w:rPr>
          <w:rFonts w:ascii="Times New Roman" w:hAnsi="Times New Roman" w:cs="Times New Roman"/>
        </w:rPr>
        <w:t xml:space="preserve">he probabilities are calculated of moving </w:t>
      </w:r>
      <w:r w:rsidR="00345121">
        <w:rPr>
          <w:rFonts w:ascii="Times New Roman" w:hAnsi="Times New Roman" w:cs="Times New Roman"/>
        </w:rPr>
        <w:t>between</w:t>
      </w:r>
      <w:r w:rsidR="003D0698" w:rsidRPr="005B7536">
        <w:rPr>
          <w:rFonts w:ascii="Times New Roman" w:hAnsi="Times New Roman" w:cs="Times New Roman"/>
        </w:rPr>
        <w:t xml:space="preserve"> each dependent variable </w:t>
      </w:r>
      <w:r w:rsidR="00345121">
        <w:rPr>
          <w:rFonts w:ascii="Times New Roman" w:hAnsi="Times New Roman" w:cs="Times New Roman"/>
        </w:rPr>
        <w:t xml:space="preserve">respondent </w:t>
      </w:r>
      <w:r w:rsidR="003D0698" w:rsidRPr="005B7536">
        <w:rPr>
          <w:rFonts w:ascii="Times New Roman" w:hAnsi="Times New Roman" w:cs="Times New Roman"/>
        </w:rPr>
        <w:t>score, from one through five, for each independent variable</w:t>
      </w:r>
      <w:r w:rsidR="00345121">
        <w:rPr>
          <w:rFonts w:ascii="Times New Roman" w:hAnsi="Times New Roman" w:cs="Times New Roman"/>
        </w:rPr>
        <w:t>-</w:t>
      </w:r>
      <w:r w:rsidR="003D0698" w:rsidRPr="005B7536">
        <w:rPr>
          <w:rFonts w:ascii="Times New Roman" w:hAnsi="Times New Roman" w:cs="Times New Roman"/>
        </w:rPr>
        <w:t xml:space="preserve"> a large </w:t>
      </w:r>
      <w:r w:rsidR="003D0698">
        <w:rPr>
          <w:rFonts w:ascii="Times New Roman" w:hAnsi="Times New Roman" w:cs="Times New Roman"/>
        </w:rPr>
        <w:t>set of results which are</w:t>
      </w:r>
      <w:r w:rsidR="003D0698" w:rsidRPr="005B7536">
        <w:rPr>
          <w:rFonts w:ascii="Times New Roman" w:hAnsi="Times New Roman" w:cs="Times New Roman"/>
        </w:rPr>
        <w:t xml:space="preserve"> </w:t>
      </w:r>
      <w:r w:rsidR="00345121">
        <w:rPr>
          <w:rFonts w:ascii="Times New Roman" w:hAnsi="Times New Roman" w:cs="Times New Roman"/>
        </w:rPr>
        <w:t>for the most part not particularly useful</w:t>
      </w:r>
      <w:r w:rsidR="003D0698" w:rsidRPr="005B7536">
        <w:rPr>
          <w:rFonts w:ascii="Times New Roman" w:hAnsi="Times New Roman" w:cs="Times New Roman"/>
        </w:rPr>
        <w:t xml:space="preserve"> outside </w:t>
      </w:r>
      <w:r w:rsidR="003D0698">
        <w:rPr>
          <w:rFonts w:ascii="Times New Roman" w:hAnsi="Times New Roman" w:cs="Times New Roman"/>
        </w:rPr>
        <w:t>F&amp;ES.  Simpler</w:t>
      </w:r>
      <w:r w:rsidR="00345121">
        <w:rPr>
          <w:rFonts w:ascii="Times New Roman" w:hAnsi="Times New Roman" w:cs="Times New Roman"/>
        </w:rPr>
        <w:t>,</w:t>
      </w:r>
      <w:r w:rsidR="003D0698">
        <w:rPr>
          <w:rFonts w:ascii="Times New Roman" w:hAnsi="Times New Roman" w:cs="Times New Roman"/>
        </w:rPr>
        <w:t xml:space="preserve"> and to the point of the research, significance and sign of results indicate which groups, if any, are impacted by Kroon Hall</w:t>
      </w:r>
      <w:r w:rsidR="00345121">
        <w:rPr>
          <w:rFonts w:ascii="Times New Roman" w:hAnsi="Times New Roman" w:cs="Times New Roman"/>
        </w:rPr>
        <w:t>’s</w:t>
      </w:r>
      <w:r w:rsidR="003D0698">
        <w:rPr>
          <w:rFonts w:ascii="Times New Roman" w:hAnsi="Times New Roman" w:cs="Times New Roman"/>
        </w:rPr>
        <w:t xml:space="preserve"> green building treatment.</w:t>
      </w:r>
    </w:p>
    <w:p w:rsidR="004D113F" w:rsidRDefault="008F16A7" w:rsidP="005B7536">
      <w:pPr>
        <w:spacing w:after="120" w:line="240" w:lineRule="auto"/>
        <w:rPr>
          <w:rFonts w:ascii="Times New Roman" w:hAnsi="Times New Roman" w:cs="Times New Roman"/>
        </w:rPr>
      </w:pPr>
      <w:r>
        <w:rPr>
          <w:rFonts w:ascii="Times New Roman" w:hAnsi="Times New Roman" w:cs="Times New Roman"/>
        </w:rPr>
        <w:t>The results on thermal comfort importance (1), satisfaction (2), work impact (3), and time imp</w:t>
      </w:r>
      <w:r w:rsidR="00450B18">
        <w:rPr>
          <w:rFonts w:ascii="Times New Roman" w:hAnsi="Times New Roman" w:cs="Times New Roman"/>
        </w:rPr>
        <w:t>act (4) are presented in Table 2</w:t>
      </w:r>
      <w:r>
        <w:rPr>
          <w:rFonts w:ascii="Times New Roman" w:hAnsi="Times New Roman" w:cs="Times New Roman"/>
        </w:rPr>
        <w:t xml:space="preserve">.  </w:t>
      </w:r>
      <w:r w:rsidR="00450B18">
        <w:rPr>
          <w:rFonts w:ascii="Times New Roman" w:hAnsi="Times New Roman" w:cs="Times New Roman"/>
        </w:rPr>
        <w:t>From the model specification, t</w:t>
      </w:r>
      <w:r w:rsidR="005B7536" w:rsidRPr="005B7536">
        <w:rPr>
          <w:rFonts w:ascii="Times New Roman" w:hAnsi="Times New Roman" w:cs="Times New Roman"/>
        </w:rPr>
        <w:t xml:space="preserve">he base category </w:t>
      </w:r>
      <w:r>
        <w:rPr>
          <w:rFonts w:ascii="Times New Roman" w:hAnsi="Times New Roman" w:cs="Times New Roman"/>
        </w:rPr>
        <w:t>in the results</w:t>
      </w:r>
      <w:r w:rsidR="00450B18">
        <w:rPr>
          <w:rFonts w:ascii="Times New Roman" w:hAnsi="Times New Roman" w:cs="Times New Roman"/>
        </w:rPr>
        <w:t xml:space="preserve"> are</w:t>
      </w:r>
      <w:r w:rsidR="00A577C7">
        <w:rPr>
          <w:rFonts w:ascii="Times New Roman" w:hAnsi="Times New Roman" w:cs="Times New Roman"/>
        </w:rPr>
        <w:t xml:space="preserve"> </w:t>
      </w:r>
      <w:r>
        <w:rPr>
          <w:rFonts w:ascii="Times New Roman" w:hAnsi="Times New Roman" w:cs="Times New Roman"/>
        </w:rPr>
        <w:t>primarily</w:t>
      </w:r>
      <w:r w:rsidR="00A577C7">
        <w:rPr>
          <w:rFonts w:ascii="Times New Roman" w:hAnsi="Times New Roman" w:cs="Times New Roman"/>
        </w:rPr>
        <w:t xml:space="preserve"> F&amp;ES master’s students</w:t>
      </w:r>
      <w:r>
        <w:rPr>
          <w:rFonts w:ascii="Times New Roman" w:hAnsi="Times New Roman" w:cs="Times New Roman"/>
        </w:rPr>
        <w:t xml:space="preserve"> </w:t>
      </w:r>
      <w:r w:rsidR="005B7536" w:rsidRPr="005B7536">
        <w:rPr>
          <w:rFonts w:ascii="Times New Roman" w:hAnsi="Times New Roman" w:cs="Times New Roman"/>
        </w:rPr>
        <w:t>not</w:t>
      </w:r>
      <w:r>
        <w:rPr>
          <w:rFonts w:ascii="Times New Roman" w:hAnsi="Times New Roman" w:cs="Times New Roman"/>
        </w:rPr>
        <w:t xml:space="preserve"> based in</w:t>
      </w:r>
      <w:r w:rsidR="005B7536" w:rsidRPr="005B7536">
        <w:rPr>
          <w:rFonts w:ascii="Times New Roman" w:hAnsi="Times New Roman" w:cs="Times New Roman"/>
        </w:rPr>
        <w:t xml:space="preserve"> Kroon Hall,</w:t>
      </w:r>
      <w:r w:rsidR="00450B18">
        <w:rPr>
          <w:rFonts w:ascii="Times New Roman" w:hAnsi="Times New Roman" w:cs="Times New Roman"/>
        </w:rPr>
        <w:t xml:space="preserve"> </w:t>
      </w:r>
      <w:r w:rsidR="005B7536" w:rsidRPr="005B7536">
        <w:rPr>
          <w:rFonts w:ascii="Times New Roman" w:hAnsi="Times New Roman" w:cs="Times New Roman"/>
        </w:rPr>
        <w:t>do not have an office</w:t>
      </w:r>
      <w:r w:rsidR="00186CCA">
        <w:rPr>
          <w:rFonts w:ascii="Times New Roman" w:hAnsi="Times New Roman" w:cs="Times New Roman"/>
        </w:rPr>
        <w:t>, and is male</w:t>
      </w:r>
      <w:r>
        <w:rPr>
          <w:rFonts w:ascii="Times New Roman" w:hAnsi="Times New Roman" w:cs="Times New Roman"/>
        </w:rPr>
        <w:t>.  They</w:t>
      </w:r>
      <w:r w:rsidR="005B7536" w:rsidRPr="005B7536">
        <w:rPr>
          <w:rFonts w:ascii="Times New Roman" w:hAnsi="Times New Roman" w:cs="Times New Roman"/>
        </w:rPr>
        <w:t xml:space="preserve"> are not </w:t>
      </w:r>
      <w:r w:rsidR="00A577C7">
        <w:rPr>
          <w:rFonts w:ascii="Times New Roman" w:hAnsi="Times New Roman" w:cs="Times New Roman"/>
        </w:rPr>
        <w:t>facul</w:t>
      </w:r>
      <w:r w:rsidR="00450B18">
        <w:rPr>
          <w:rFonts w:ascii="Times New Roman" w:hAnsi="Times New Roman" w:cs="Times New Roman"/>
        </w:rPr>
        <w:t xml:space="preserve">ty, staff, or </w:t>
      </w:r>
      <w:r w:rsidR="00186CCA">
        <w:rPr>
          <w:rFonts w:ascii="Times New Roman" w:hAnsi="Times New Roman" w:cs="Times New Roman"/>
        </w:rPr>
        <w:t xml:space="preserve">a </w:t>
      </w:r>
      <w:r w:rsidR="00450B18">
        <w:rPr>
          <w:rFonts w:ascii="Times New Roman" w:hAnsi="Times New Roman" w:cs="Times New Roman"/>
        </w:rPr>
        <w:t>doctoral student.  This base category then may self-select into Kroon Hall versus other F&amp;ES buildings in the survey and is more transient in nature.</w:t>
      </w:r>
      <w:r w:rsidR="004D113F">
        <w:rPr>
          <w:rFonts w:ascii="Times New Roman" w:hAnsi="Times New Roman" w:cs="Times New Roman"/>
        </w:rPr>
        <w:t xml:space="preserve">  The coefficient on Kroon Hall identifies the effect of Kroon Hall on this population.</w:t>
      </w:r>
      <w:r w:rsidR="00395DAC">
        <w:rPr>
          <w:rFonts w:ascii="Times New Roman" w:hAnsi="Times New Roman" w:cs="Times New Roman"/>
        </w:rPr>
        <w:t xml:space="preserve">  The more rigorously interpretable effect of Kroon Hall on the F&amp;ES subgroup with an office is found by linear combination of coefficients on Kroon Hall and Kroon*Office.  This is provided at the bottom of Table 2 for each column.  </w:t>
      </w:r>
      <w:r w:rsidR="00A53B16">
        <w:rPr>
          <w:rFonts w:ascii="Times New Roman" w:hAnsi="Times New Roman" w:cs="Times New Roman"/>
        </w:rPr>
        <w:t xml:space="preserve">By this specification, the faculty and staff with a Kroon Hall office are compared to those with an office elsewhere in the F&amp;ES inventory.  </w:t>
      </w:r>
    </w:p>
    <w:p w:rsidR="00044C0E" w:rsidRPr="005B7536" w:rsidRDefault="00A53B16" w:rsidP="005B7536">
      <w:pPr>
        <w:spacing w:after="120" w:line="240" w:lineRule="auto"/>
        <w:rPr>
          <w:rFonts w:ascii="Times New Roman" w:hAnsi="Times New Roman" w:cs="Times New Roman"/>
        </w:rPr>
      </w:pPr>
      <w:r>
        <w:rPr>
          <w:rFonts w:ascii="Times New Roman" w:hAnsi="Times New Roman" w:cs="Times New Roman"/>
        </w:rPr>
        <w:t xml:space="preserve">From Table 2, it is clear that the student population reports a statistically significant effect of Kroon Hall on general satisfaction, work impact, and time impact.  However, as cautioned in earlier sections, the negative and statistically significant coefficient on Kroon Hall in the importance category may </w:t>
      </w:r>
      <w:r w:rsidR="00311FD2">
        <w:rPr>
          <w:rFonts w:ascii="Times New Roman" w:hAnsi="Times New Roman" w:cs="Times New Roman"/>
        </w:rPr>
        <w:t xml:space="preserve">indicate self-selection.  </w:t>
      </w:r>
      <w:r w:rsidR="004C13D0">
        <w:rPr>
          <w:rFonts w:ascii="Times New Roman" w:hAnsi="Times New Roman" w:cs="Times New Roman"/>
        </w:rPr>
        <w:t xml:space="preserve">The linear combination coefficients for office users </w:t>
      </w:r>
      <w:r w:rsidR="003A1068">
        <w:rPr>
          <w:rFonts w:ascii="Times New Roman" w:hAnsi="Times New Roman" w:cs="Times New Roman"/>
        </w:rPr>
        <w:t>in</w:t>
      </w:r>
      <w:r w:rsidR="004C13D0">
        <w:rPr>
          <w:rFonts w:ascii="Times New Roman" w:hAnsi="Times New Roman" w:cs="Times New Roman"/>
        </w:rPr>
        <w:t xml:space="preserve"> Kroon Hall all come up</w:t>
      </w:r>
      <w:r w:rsidR="003A1068">
        <w:rPr>
          <w:rFonts w:ascii="Times New Roman" w:hAnsi="Times New Roman" w:cs="Times New Roman"/>
        </w:rPr>
        <w:t xml:space="preserve"> insignificant.  These members of F&amp;ES are made no better office statistically than their counterparts- an office remains an office.</w:t>
      </w:r>
      <w:r w:rsidR="004C13D0">
        <w:rPr>
          <w:rFonts w:ascii="Times New Roman" w:hAnsi="Times New Roman" w:cs="Times New Roman"/>
        </w:rPr>
        <w:t xml:space="preserve"> </w:t>
      </w:r>
      <w:r w:rsidR="003A1068">
        <w:rPr>
          <w:rFonts w:ascii="Times New Roman" w:hAnsi="Times New Roman" w:cs="Times New Roman"/>
        </w:rPr>
        <w:t xml:space="preserve"> </w:t>
      </w:r>
      <w:r w:rsidR="00311FD2">
        <w:rPr>
          <w:rFonts w:ascii="Times New Roman" w:hAnsi="Times New Roman" w:cs="Times New Roman"/>
        </w:rPr>
        <w:t>The comparison of these results</w:t>
      </w:r>
      <w:r>
        <w:rPr>
          <w:rFonts w:ascii="Times New Roman" w:hAnsi="Times New Roman" w:cs="Times New Roman"/>
        </w:rPr>
        <w:t xml:space="preserve"> itself </w:t>
      </w:r>
      <w:r w:rsidR="00311FD2">
        <w:rPr>
          <w:rFonts w:ascii="Times New Roman" w:hAnsi="Times New Roman" w:cs="Times New Roman"/>
        </w:rPr>
        <w:t>may be</w:t>
      </w:r>
      <w:r>
        <w:rPr>
          <w:rFonts w:ascii="Times New Roman" w:hAnsi="Times New Roman" w:cs="Times New Roman"/>
        </w:rPr>
        <w:t xml:space="preserve"> an important takeaway- choice is an imp</w:t>
      </w:r>
      <w:r w:rsidR="00311FD2">
        <w:rPr>
          <w:rFonts w:ascii="Times New Roman" w:hAnsi="Times New Roman" w:cs="Times New Roman"/>
        </w:rPr>
        <w:t>ortant driver of satisfaction.</w:t>
      </w:r>
      <w:r w:rsidR="00543021">
        <w:rPr>
          <w:rFonts w:ascii="Times New Roman" w:hAnsi="Times New Roman" w:cs="Times New Roman"/>
        </w:rPr>
        <w:t xml:space="preserve">  However, personal experience cannot reject an alternative explanation- green ‘vanity architecture’ has primarily revolutionized public spaces rather than the office environment.</w:t>
      </w:r>
    </w:p>
    <w:tbl>
      <w:tblPr>
        <w:tblW w:w="5000" w:type="pct"/>
        <w:tblLook w:val="04A0" w:firstRow="1" w:lastRow="0" w:firstColumn="1" w:lastColumn="0" w:noHBand="0" w:noVBand="1"/>
      </w:tblPr>
      <w:tblGrid>
        <w:gridCol w:w="2137"/>
        <w:gridCol w:w="1781"/>
        <w:gridCol w:w="1835"/>
        <w:gridCol w:w="1832"/>
        <w:gridCol w:w="1775"/>
      </w:tblGrid>
      <w:tr w:rsidR="00957E11" w:rsidRPr="00957E11" w:rsidTr="00957E11">
        <w:trPr>
          <w:trHeight w:val="300"/>
        </w:trPr>
        <w:tc>
          <w:tcPr>
            <w:tcW w:w="5000" w:type="pct"/>
            <w:gridSpan w:val="5"/>
            <w:tcBorders>
              <w:top w:val="nil"/>
              <w:left w:val="nil"/>
              <w:bottom w:val="single" w:sz="4" w:space="0" w:color="auto"/>
              <w:right w:val="nil"/>
            </w:tcBorders>
            <w:shd w:val="clear" w:color="000000" w:fill="D0CECE"/>
            <w:noWrap/>
            <w:vAlign w:val="bottom"/>
            <w:hideMark/>
          </w:tcPr>
          <w:p w:rsidR="00957E11" w:rsidRPr="00957E11" w:rsidRDefault="00450B18" w:rsidP="00957E11">
            <w:pPr>
              <w:keepNext/>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Table 2</w:t>
            </w:r>
            <w:r w:rsidR="00957E11" w:rsidRPr="00957E11">
              <w:rPr>
                <w:rFonts w:ascii="Times New Roman" w:eastAsia="Times New Roman" w:hAnsi="Times New Roman" w:cs="Times New Roman"/>
                <w:b/>
                <w:bCs/>
                <w:color w:val="000000"/>
              </w:rPr>
              <w:t xml:space="preserve"> | Thermal comfort order</w:t>
            </w:r>
            <w:r w:rsidR="005F7129">
              <w:rPr>
                <w:rFonts w:ascii="Times New Roman" w:eastAsia="Times New Roman" w:hAnsi="Times New Roman" w:cs="Times New Roman"/>
                <w:b/>
                <w:bCs/>
                <w:color w:val="000000"/>
              </w:rPr>
              <w:t>ed</w:t>
            </w:r>
            <w:r w:rsidR="00957E11" w:rsidRPr="00957E11">
              <w:rPr>
                <w:rFonts w:ascii="Times New Roman" w:eastAsia="Times New Roman" w:hAnsi="Times New Roman" w:cs="Times New Roman"/>
                <w:b/>
                <w:bCs/>
                <w:color w:val="000000"/>
              </w:rPr>
              <w:t xml:space="preserve"> </w:t>
            </w:r>
            <w:proofErr w:type="spellStart"/>
            <w:r w:rsidR="00957E11" w:rsidRPr="00957E11">
              <w:rPr>
                <w:rFonts w:ascii="Times New Roman" w:eastAsia="Times New Roman" w:hAnsi="Times New Roman" w:cs="Times New Roman"/>
                <w:b/>
                <w:bCs/>
                <w:color w:val="000000"/>
              </w:rPr>
              <w:t>probit</w:t>
            </w:r>
            <w:proofErr w:type="spellEnd"/>
            <w:r w:rsidR="00957E11" w:rsidRPr="00957E11">
              <w:rPr>
                <w:rFonts w:ascii="Times New Roman" w:eastAsia="Times New Roman" w:hAnsi="Times New Roman" w:cs="Times New Roman"/>
                <w:b/>
                <w:bCs/>
                <w:color w:val="000000"/>
              </w:rPr>
              <w:t xml:space="preserve"> results</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b/>
                <w:bCs/>
                <w:color w:val="000000"/>
              </w:rPr>
            </w:pPr>
            <w:r w:rsidRPr="00957E11">
              <w:rPr>
                <w:rFonts w:ascii="Times New Roman" w:eastAsia="Times New Roman" w:hAnsi="Times New Roman" w:cs="Times New Roman"/>
                <w:b/>
                <w:bCs/>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(1)</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(2)</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(3)</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(4)</w:t>
            </w:r>
          </w:p>
        </w:tc>
      </w:tr>
      <w:tr w:rsidR="00957E11" w:rsidRPr="00957E11" w:rsidTr="00957E11">
        <w:trPr>
          <w:trHeight w:val="300"/>
        </w:trPr>
        <w:tc>
          <w:tcPr>
            <w:tcW w:w="1135"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Importance</w:t>
            </w:r>
          </w:p>
        </w:tc>
        <w:tc>
          <w:tcPr>
            <w:tcW w:w="982"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Satisfaction</w:t>
            </w:r>
          </w:p>
        </w:tc>
        <w:tc>
          <w:tcPr>
            <w:tcW w:w="980"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Work impact</w:t>
            </w:r>
          </w:p>
        </w:tc>
        <w:tc>
          <w:tcPr>
            <w:tcW w:w="949"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Time impact</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E63FF0" w:rsidP="00957E11">
            <w:pPr>
              <w:keepNext/>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Kroon H</w:t>
            </w:r>
            <w:r w:rsidR="00957E11" w:rsidRPr="00957E11">
              <w:rPr>
                <w:rFonts w:ascii="Times New Roman" w:eastAsia="Times New Roman" w:hAnsi="Times New Roman" w:cs="Times New Roman"/>
                <w:color w:val="000000"/>
              </w:rPr>
              <w:t>all</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-0.672**</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0.777***</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0.560**</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0.681***</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(0.336)</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(0.216)</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(0.217)</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(0.258)</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Kroon*Office</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0.631</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-0.888***</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-0.595*</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-0.917***</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(0.421)</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(0.311)</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(0.327)</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(0.342)</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Office</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-0.129</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0.027</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-0.112</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0.230</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(0.351)</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(0.249)</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(0.239)</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(0.261)</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Age</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-0.006</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0.004</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w:t>
            </w:r>
            <w:r w:rsidR="008959BF">
              <w:rPr>
                <w:rFonts w:ascii="Times New Roman" w:eastAsia="Times New Roman" w:hAnsi="Times New Roman" w:cs="Times New Roman"/>
                <w:color w:val="000000"/>
              </w:rPr>
              <w:t>8</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0.0118*</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w:t>
            </w:r>
            <w:r w:rsidR="008959BF">
              <w:rPr>
                <w:rFonts w:ascii="Times New Roman" w:eastAsia="Times New Roman" w:hAnsi="Times New Roman" w:cs="Times New Roman"/>
                <w:color w:val="000000"/>
              </w:rPr>
              <w:t>6</w:t>
            </w:r>
            <w:r w:rsidRPr="00957E11">
              <w:rPr>
                <w:rFonts w:ascii="Times New Roman" w:eastAsia="Times New Roman" w:hAnsi="Times New Roman" w:cs="Times New Roman"/>
                <w:color w:val="000000"/>
              </w:rPr>
              <w:t>)</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(0.007)</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w:t>
            </w:r>
            <w:r w:rsidR="008959BF">
              <w:rPr>
                <w:rFonts w:ascii="Times New Roman" w:eastAsia="Times New Roman" w:hAnsi="Times New Roman" w:cs="Times New Roman"/>
                <w:color w:val="000000"/>
              </w:rPr>
              <w:t>7</w:t>
            </w:r>
            <w:r w:rsidRPr="00957E11">
              <w:rPr>
                <w:rFonts w:ascii="Times New Roman" w:eastAsia="Times New Roman" w:hAnsi="Times New Roman" w:cs="Times New Roman"/>
                <w:color w:val="000000"/>
              </w:rPr>
              <w:t>)</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w:t>
            </w:r>
            <w:r w:rsidR="008959BF">
              <w:rPr>
                <w:rFonts w:ascii="Times New Roman" w:eastAsia="Times New Roman" w:hAnsi="Times New Roman" w:cs="Times New Roman"/>
                <w:color w:val="000000"/>
              </w:rPr>
              <w:t>7</w:t>
            </w:r>
            <w:r w:rsidRPr="00957E11">
              <w:rPr>
                <w:rFonts w:ascii="Times New Roman" w:eastAsia="Times New Roman" w:hAnsi="Times New Roman" w:cs="Times New Roman"/>
                <w:color w:val="000000"/>
              </w:rPr>
              <w:t>)</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Female</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0.388**</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w:t>
            </w:r>
            <w:r w:rsidR="008959BF">
              <w:rPr>
                <w:rFonts w:ascii="Times New Roman" w:eastAsia="Times New Roman" w:hAnsi="Times New Roman" w:cs="Times New Roman"/>
                <w:color w:val="000000"/>
              </w:rPr>
              <w:t>9</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-0.0405</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0.000</w:t>
            </w:r>
            <w:r w:rsidR="008959BF">
              <w:rPr>
                <w:rFonts w:ascii="Times New Roman" w:eastAsia="Times New Roman" w:hAnsi="Times New Roman" w:cs="Times New Roman"/>
                <w:color w:val="000000"/>
              </w:rPr>
              <w:t>4</w:t>
            </w:r>
          </w:p>
        </w:tc>
      </w:tr>
      <w:tr w:rsidR="00957E11" w:rsidRPr="00957E11" w:rsidTr="00957E11">
        <w:trPr>
          <w:trHeight w:val="300"/>
        </w:trPr>
        <w:tc>
          <w:tcPr>
            <w:tcW w:w="1135"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 </w:t>
            </w:r>
          </w:p>
        </w:tc>
        <w:tc>
          <w:tcPr>
            <w:tcW w:w="953"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(0.155)</w:t>
            </w:r>
          </w:p>
        </w:tc>
        <w:tc>
          <w:tcPr>
            <w:tcW w:w="982"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(0.140)</w:t>
            </w:r>
          </w:p>
        </w:tc>
        <w:tc>
          <w:tcPr>
            <w:tcW w:w="980"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(0.133)</w:t>
            </w:r>
          </w:p>
        </w:tc>
        <w:tc>
          <w:tcPr>
            <w:tcW w:w="949" w:type="pct"/>
            <w:tcBorders>
              <w:top w:val="nil"/>
              <w:left w:val="nil"/>
              <w:bottom w:val="nil"/>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(0.140)</w:t>
            </w:r>
          </w:p>
        </w:tc>
      </w:tr>
      <w:tr w:rsidR="00957E11" w:rsidRPr="00957E11" w:rsidTr="00957E11">
        <w:trPr>
          <w:trHeight w:val="300"/>
        </w:trPr>
        <w:tc>
          <w:tcPr>
            <w:tcW w:w="1135"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rPr>
                <w:rFonts w:ascii="Times New Roman" w:eastAsia="Times New Roman" w:hAnsi="Times New Roman" w:cs="Times New Roman"/>
                <w:color w:val="000000"/>
              </w:rPr>
            </w:pPr>
            <w:r w:rsidRPr="00957E11">
              <w:rPr>
                <w:rFonts w:ascii="Times New Roman" w:eastAsia="Times New Roman" w:hAnsi="Times New Roman" w:cs="Times New Roman"/>
                <w:color w:val="000000"/>
              </w:rPr>
              <w:t>Observations</w:t>
            </w:r>
          </w:p>
        </w:tc>
        <w:tc>
          <w:tcPr>
            <w:tcW w:w="953"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258</w:t>
            </w:r>
          </w:p>
        </w:tc>
        <w:tc>
          <w:tcPr>
            <w:tcW w:w="982"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255</w:t>
            </w:r>
          </w:p>
        </w:tc>
        <w:tc>
          <w:tcPr>
            <w:tcW w:w="980"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254</w:t>
            </w:r>
          </w:p>
        </w:tc>
        <w:tc>
          <w:tcPr>
            <w:tcW w:w="949" w:type="pct"/>
            <w:tcBorders>
              <w:top w:val="nil"/>
              <w:left w:val="nil"/>
              <w:bottom w:val="single" w:sz="4" w:space="0" w:color="auto"/>
              <w:right w:val="nil"/>
            </w:tcBorders>
            <w:shd w:val="clear" w:color="000000" w:fill="F2F2F2"/>
            <w:noWrap/>
            <w:vAlign w:val="bottom"/>
            <w:hideMark/>
          </w:tcPr>
          <w:p w:rsidR="00957E11" w:rsidRPr="00957E11" w:rsidRDefault="00957E11" w:rsidP="00957E11">
            <w:pPr>
              <w:keepNext/>
              <w:spacing w:after="0" w:line="240" w:lineRule="auto"/>
              <w:jc w:val="center"/>
              <w:rPr>
                <w:rFonts w:ascii="Times New Roman" w:eastAsia="Times New Roman" w:hAnsi="Times New Roman" w:cs="Times New Roman"/>
                <w:color w:val="000000"/>
              </w:rPr>
            </w:pPr>
            <w:r w:rsidRPr="00957E11">
              <w:rPr>
                <w:rFonts w:ascii="Times New Roman" w:eastAsia="Times New Roman" w:hAnsi="Times New Roman" w:cs="Times New Roman"/>
                <w:color w:val="000000"/>
              </w:rPr>
              <w:t>248</w:t>
            </w:r>
          </w:p>
        </w:tc>
      </w:tr>
      <w:tr w:rsidR="008959BF" w:rsidRPr="00957E11" w:rsidTr="008959BF">
        <w:trPr>
          <w:trHeight w:val="300"/>
        </w:trPr>
        <w:tc>
          <w:tcPr>
            <w:tcW w:w="1135" w:type="pct"/>
            <w:tcBorders>
              <w:top w:val="nil"/>
              <w:left w:val="nil"/>
              <w:right w:val="nil"/>
            </w:tcBorders>
            <w:shd w:val="clear" w:color="000000" w:fill="F2F2F2"/>
            <w:noWrap/>
            <w:vAlign w:val="bottom"/>
          </w:tcPr>
          <w:p w:rsidR="008959BF" w:rsidRPr="00957E11" w:rsidRDefault="008959BF" w:rsidP="00957E11">
            <w:pPr>
              <w:keepNext/>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Combination:</w:t>
            </w:r>
          </w:p>
        </w:tc>
        <w:tc>
          <w:tcPr>
            <w:tcW w:w="953" w:type="pct"/>
            <w:tcBorders>
              <w:top w:val="nil"/>
              <w:left w:val="nil"/>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-0.041</w:t>
            </w:r>
          </w:p>
        </w:tc>
        <w:tc>
          <w:tcPr>
            <w:tcW w:w="982" w:type="pct"/>
            <w:tcBorders>
              <w:top w:val="nil"/>
              <w:left w:val="nil"/>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-0.110</w:t>
            </w:r>
          </w:p>
        </w:tc>
        <w:tc>
          <w:tcPr>
            <w:tcW w:w="980" w:type="pct"/>
            <w:tcBorders>
              <w:top w:val="nil"/>
              <w:left w:val="nil"/>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-0.036</w:t>
            </w:r>
          </w:p>
        </w:tc>
        <w:tc>
          <w:tcPr>
            <w:tcW w:w="949" w:type="pct"/>
            <w:tcBorders>
              <w:top w:val="nil"/>
              <w:left w:val="nil"/>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-0.236</w:t>
            </w:r>
          </w:p>
        </w:tc>
      </w:tr>
      <w:tr w:rsidR="008959BF" w:rsidRPr="00957E11" w:rsidTr="00957E11">
        <w:trPr>
          <w:trHeight w:val="300"/>
        </w:trPr>
        <w:tc>
          <w:tcPr>
            <w:tcW w:w="1135" w:type="pct"/>
            <w:tcBorders>
              <w:top w:val="nil"/>
              <w:left w:val="nil"/>
              <w:bottom w:val="single" w:sz="4" w:space="0" w:color="auto"/>
              <w:right w:val="nil"/>
            </w:tcBorders>
            <w:shd w:val="clear" w:color="000000" w:fill="F2F2F2"/>
            <w:noWrap/>
            <w:vAlign w:val="bottom"/>
          </w:tcPr>
          <w:p w:rsidR="008959BF" w:rsidRDefault="008959BF" w:rsidP="00957E11">
            <w:pPr>
              <w:keepNext/>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Kroon+Kroon</w:t>
            </w:r>
            <w:proofErr w:type="spellEnd"/>
            <w:r>
              <w:rPr>
                <w:rFonts w:ascii="Times New Roman" w:eastAsia="Times New Roman" w:hAnsi="Times New Roman" w:cs="Times New Roman"/>
                <w:color w:val="000000"/>
              </w:rPr>
              <w:t>*Office</w:t>
            </w:r>
          </w:p>
        </w:tc>
        <w:tc>
          <w:tcPr>
            <w:tcW w:w="953" w:type="pct"/>
            <w:tcBorders>
              <w:top w:val="nil"/>
              <w:left w:val="nil"/>
              <w:bottom w:val="single" w:sz="4" w:space="0" w:color="auto"/>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(0.254)</w:t>
            </w:r>
          </w:p>
        </w:tc>
        <w:tc>
          <w:tcPr>
            <w:tcW w:w="982" w:type="pct"/>
            <w:tcBorders>
              <w:top w:val="nil"/>
              <w:left w:val="nil"/>
              <w:bottom w:val="single" w:sz="4" w:space="0" w:color="auto"/>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(0.225)</w:t>
            </w:r>
          </w:p>
        </w:tc>
        <w:tc>
          <w:tcPr>
            <w:tcW w:w="980" w:type="pct"/>
            <w:tcBorders>
              <w:top w:val="nil"/>
              <w:left w:val="nil"/>
              <w:bottom w:val="single" w:sz="4" w:space="0" w:color="auto"/>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(0.244)</w:t>
            </w:r>
          </w:p>
        </w:tc>
        <w:tc>
          <w:tcPr>
            <w:tcW w:w="949" w:type="pct"/>
            <w:tcBorders>
              <w:top w:val="nil"/>
              <w:left w:val="nil"/>
              <w:bottom w:val="single" w:sz="4" w:space="0" w:color="auto"/>
              <w:right w:val="nil"/>
            </w:tcBorders>
            <w:shd w:val="clear" w:color="000000" w:fill="F2F2F2"/>
            <w:noWrap/>
            <w:vAlign w:val="bottom"/>
          </w:tcPr>
          <w:p w:rsidR="008959BF" w:rsidRPr="00957E11" w:rsidRDefault="008959BF" w:rsidP="00957E11">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(0.215)</w:t>
            </w:r>
          </w:p>
        </w:tc>
      </w:tr>
      <w:tr w:rsidR="00957E11" w:rsidRPr="00957E11" w:rsidTr="00957E11">
        <w:trPr>
          <w:trHeight w:val="300"/>
        </w:trPr>
        <w:tc>
          <w:tcPr>
            <w:tcW w:w="5000" w:type="pct"/>
            <w:gridSpan w:val="5"/>
            <w:tcBorders>
              <w:top w:val="single" w:sz="4" w:space="0" w:color="auto"/>
              <w:left w:val="nil"/>
              <w:bottom w:val="nil"/>
              <w:right w:val="nil"/>
            </w:tcBorders>
            <w:shd w:val="clear" w:color="000000" w:fill="F2F2F2"/>
            <w:noWrap/>
            <w:hideMark/>
          </w:tcPr>
          <w:p w:rsidR="00957E11" w:rsidRPr="00957E11" w:rsidRDefault="00957E11" w:rsidP="00957E11">
            <w:pPr>
              <w:keepNext/>
              <w:spacing w:after="0" w:line="240" w:lineRule="auto"/>
              <w:rPr>
                <w:rFonts w:ascii="Times New Roman" w:eastAsia="Times New Roman" w:hAnsi="Times New Roman" w:cs="Times New Roman"/>
                <w:color w:val="000000"/>
                <w:sz w:val="18"/>
                <w:szCs w:val="18"/>
              </w:rPr>
            </w:pPr>
            <w:r w:rsidRPr="00957E11">
              <w:rPr>
                <w:rFonts w:ascii="Times New Roman" w:eastAsia="Times New Roman" w:hAnsi="Times New Roman" w:cs="Times New Roman"/>
                <w:color w:val="000000"/>
                <w:sz w:val="18"/>
                <w:szCs w:val="18"/>
              </w:rPr>
              <w:t>Standard errors in parentheses: *** p&lt;0.01, ** p&lt;0.05, * p&lt;0.1</w:t>
            </w:r>
          </w:p>
        </w:tc>
      </w:tr>
    </w:tbl>
    <w:p w:rsidR="00EA14EA" w:rsidRDefault="00EA14EA" w:rsidP="00335EA3">
      <w:pPr>
        <w:spacing w:before="240" w:after="0"/>
        <w:rPr>
          <w:rFonts w:ascii="Times New Roman" w:hAnsi="Times New Roman" w:cs="Times New Roman"/>
        </w:rPr>
      </w:pPr>
      <w:r>
        <w:rPr>
          <w:rFonts w:ascii="Times New Roman" w:hAnsi="Times New Roman" w:cs="Times New Roman"/>
        </w:rPr>
        <w:t>To ensure</w:t>
      </w:r>
      <w:r w:rsidR="00335EA3">
        <w:rPr>
          <w:rFonts w:ascii="Times New Roman" w:hAnsi="Times New Roman" w:cs="Times New Roman"/>
        </w:rPr>
        <w:t xml:space="preserve"> reader</w:t>
      </w:r>
      <w:r>
        <w:rPr>
          <w:rFonts w:ascii="Times New Roman" w:hAnsi="Times New Roman" w:cs="Times New Roman"/>
        </w:rPr>
        <w:t xml:space="preserve"> confidence in </w:t>
      </w:r>
      <w:r w:rsidR="00335EA3">
        <w:rPr>
          <w:rFonts w:ascii="Times New Roman" w:hAnsi="Times New Roman" w:cs="Times New Roman"/>
        </w:rPr>
        <w:t>t</w:t>
      </w:r>
      <w:r w:rsidR="003A68CA">
        <w:rPr>
          <w:rFonts w:ascii="Times New Roman" w:hAnsi="Times New Roman" w:cs="Times New Roman"/>
        </w:rPr>
        <w:t>he estimation results</w:t>
      </w:r>
      <w:r w:rsidR="00186CCA">
        <w:rPr>
          <w:rFonts w:ascii="Times New Roman" w:hAnsi="Times New Roman" w:cs="Times New Roman"/>
        </w:rPr>
        <w:t xml:space="preserve"> of Table 2</w:t>
      </w:r>
      <w:r w:rsidR="00335EA3">
        <w:rPr>
          <w:rFonts w:ascii="Times New Roman" w:hAnsi="Times New Roman" w:cs="Times New Roman"/>
        </w:rPr>
        <w:t xml:space="preserve">, equation (1) is also estimated separately for the respondents with and without offices and the coefficients presented in Table </w:t>
      </w:r>
      <w:r w:rsidR="00186CCA">
        <w:rPr>
          <w:rFonts w:ascii="Times New Roman" w:hAnsi="Times New Roman" w:cs="Times New Roman"/>
        </w:rPr>
        <w:t>2</w:t>
      </w:r>
      <w:r w:rsidR="00335EA3">
        <w:rPr>
          <w:rFonts w:ascii="Times New Roman" w:hAnsi="Times New Roman" w:cs="Times New Roman"/>
        </w:rPr>
        <w:t xml:space="preserve">a.  </w:t>
      </w:r>
      <w:r w:rsidR="003A1068">
        <w:rPr>
          <w:rFonts w:ascii="Times New Roman" w:hAnsi="Times New Roman" w:cs="Times New Roman"/>
        </w:rPr>
        <w:t>Separate</w:t>
      </w:r>
      <w:r w:rsidR="00335EA3">
        <w:rPr>
          <w:rFonts w:ascii="Times New Roman" w:hAnsi="Times New Roman" w:cs="Times New Roman"/>
        </w:rPr>
        <w:t xml:space="preserve"> estimation reduces to</w:t>
      </w:r>
      <w:r w:rsidR="00186CCA">
        <w:rPr>
          <w:rFonts w:ascii="Times New Roman" w:hAnsi="Times New Roman" w:cs="Times New Roman"/>
        </w:rPr>
        <w:t>:</w:t>
      </w:r>
    </w:p>
    <w:p w:rsidR="00335EA3" w:rsidRPr="00335EA3" w:rsidRDefault="00B77489" w:rsidP="00335EA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Cat</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KroonPrimary+</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4</m:t>
              </m:r>
            </m:sub>
          </m:sSub>
          <m:r>
            <w:rPr>
              <w:rFonts w:ascii="Cambria Math" w:eastAsiaTheme="minorEastAsia" w:hAnsi="Cambria Math" w:cs="Times New Roman"/>
            </w:rPr>
            <m:t>Age+</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r>
            <w:rPr>
              <w:rFonts w:ascii="Cambria Math" w:eastAsiaTheme="minorEastAsia" w:hAnsi="Cambria Math" w:cs="Times New Roman"/>
            </w:rPr>
            <m:t>Gender+ε</m:t>
          </m:r>
        </m:oMath>
      </m:oMathPara>
    </w:p>
    <w:p w:rsidR="00335EA3" w:rsidRDefault="00335EA3" w:rsidP="00335EA3">
      <w:pPr>
        <w:rPr>
          <w:rFonts w:ascii="Times New Roman" w:hAnsi="Times New Roman" w:cs="Times New Roman"/>
        </w:rPr>
      </w:pPr>
      <w:r>
        <w:rPr>
          <w:rFonts w:ascii="Times New Roman" w:hAnsi="Times New Roman" w:cs="Times New Roman"/>
        </w:rPr>
        <w:t>for each of the two separate groups.  It is perhaps clearer</w:t>
      </w:r>
      <w:r w:rsidR="00186CCA">
        <w:rPr>
          <w:rFonts w:ascii="Times New Roman" w:hAnsi="Times New Roman" w:cs="Times New Roman"/>
        </w:rPr>
        <w:t xml:space="preserve"> then</w:t>
      </w:r>
      <w:r>
        <w:rPr>
          <w:rFonts w:ascii="Times New Roman" w:hAnsi="Times New Roman" w:cs="Times New Roman"/>
        </w:rPr>
        <w:t xml:space="preserve"> that</w:t>
      </w:r>
      <w:r w:rsidR="00186CCA">
        <w:rPr>
          <w:rFonts w:ascii="Times New Roman" w:hAnsi="Times New Roman" w:cs="Times New Roman"/>
        </w:rPr>
        <w:t xml:space="preserve"> the</w:t>
      </w:r>
      <w:r>
        <w:rPr>
          <w:rFonts w:ascii="Times New Roman" w:hAnsi="Times New Roman" w:cs="Times New Roman"/>
        </w:rPr>
        <w:t xml:space="preserve"> Kroon Hall</w:t>
      </w:r>
      <w:r w:rsidR="00186CCA">
        <w:rPr>
          <w:rFonts w:ascii="Times New Roman" w:hAnsi="Times New Roman" w:cs="Times New Roman"/>
        </w:rPr>
        <w:t xml:space="preserve"> coefficient</w:t>
      </w:r>
      <w:r>
        <w:rPr>
          <w:rFonts w:ascii="Times New Roman" w:hAnsi="Times New Roman" w:cs="Times New Roman"/>
        </w:rPr>
        <w:t xml:space="preserve"> is </w:t>
      </w:r>
      <w:r w:rsidR="00186CCA">
        <w:rPr>
          <w:rFonts w:ascii="Times New Roman" w:hAnsi="Times New Roman" w:cs="Times New Roman"/>
        </w:rPr>
        <w:t>interpretable</w:t>
      </w:r>
      <w:r>
        <w:rPr>
          <w:rFonts w:ascii="Times New Roman" w:hAnsi="Times New Roman" w:cs="Times New Roman"/>
        </w:rPr>
        <w:t xml:space="preserve"> as a treatment </w:t>
      </w:r>
      <w:r w:rsidR="00186CCA">
        <w:rPr>
          <w:rFonts w:ascii="Times New Roman" w:hAnsi="Times New Roman" w:cs="Times New Roman"/>
        </w:rPr>
        <w:t>effect in</w:t>
      </w:r>
      <w:r>
        <w:rPr>
          <w:rFonts w:ascii="Times New Roman" w:hAnsi="Times New Roman" w:cs="Times New Roman"/>
        </w:rPr>
        <w:t xml:space="preserve"> the ordered </w:t>
      </w:r>
      <w:proofErr w:type="spellStart"/>
      <w:r>
        <w:rPr>
          <w:rFonts w:ascii="Times New Roman" w:hAnsi="Times New Roman" w:cs="Times New Roman"/>
        </w:rPr>
        <w:t>probit</w:t>
      </w:r>
      <w:proofErr w:type="spellEnd"/>
      <w:r>
        <w:rPr>
          <w:rFonts w:ascii="Times New Roman" w:hAnsi="Times New Roman" w:cs="Times New Roman"/>
        </w:rPr>
        <w:t xml:space="preserve"> results </w:t>
      </w:r>
      <w:r w:rsidR="00186CCA">
        <w:rPr>
          <w:rFonts w:ascii="Times New Roman" w:hAnsi="Times New Roman" w:cs="Times New Roman"/>
        </w:rPr>
        <w:t>while controlling</w:t>
      </w:r>
      <w:r>
        <w:rPr>
          <w:rFonts w:ascii="Times New Roman" w:hAnsi="Times New Roman" w:cs="Times New Roman"/>
        </w:rPr>
        <w:t xml:space="preserve"> for age and gender differences.  The coefficients in Table </w:t>
      </w:r>
      <w:r w:rsidR="00186CCA">
        <w:rPr>
          <w:rFonts w:ascii="Times New Roman" w:hAnsi="Times New Roman" w:cs="Times New Roman"/>
        </w:rPr>
        <w:t>2</w:t>
      </w:r>
      <w:r>
        <w:rPr>
          <w:rFonts w:ascii="Times New Roman" w:hAnsi="Times New Roman" w:cs="Times New Roman"/>
        </w:rPr>
        <w:t>a</w:t>
      </w:r>
      <w:r w:rsidR="00186CCA">
        <w:rPr>
          <w:rFonts w:ascii="Times New Roman" w:hAnsi="Times New Roman" w:cs="Times New Roman"/>
        </w:rPr>
        <w:t xml:space="preserve"> reporting</w:t>
      </w:r>
      <w:r>
        <w:rPr>
          <w:rFonts w:ascii="Times New Roman" w:hAnsi="Times New Roman" w:cs="Times New Roman"/>
        </w:rPr>
        <w:t xml:space="preserve"> the Kroon hall </w:t>
      </w:r>
      <w:r w:rsidR="00186CCA">
        <w:rPr>
          <w:rFonts w:ascii="Times New Roman" w:hAnsi="Times New Roman" w:cs="Times New Roman"/>
        </w:rPr>
        <w:t>treatment</w:t>
      </w:r>
      <w:r>
        <w:rPr>
          <w:rFonts w:ascii="Times New Roman" w:hAnsi="Times New Roman" w:cs="Times New Roman"/>
        </w:rPr>
        <w:t xml:space="preserve"> for non-office and office subgroups</w:t>
      </w:r>
      <w:r w:rsidR="00186CCA">
        <w:rPr>
          <w:rFonts w:ascii="Times New Roman" w:hAnsi="Times New Roman" w:cs="Times New Roman"/>
        </w:rPr>
        <w:t xml:space="preserve"> separately</w:t>
      </w:r>
      <w:r>
        <w:rPr>
          <w:rFonts w:ascii="Times New Roman" w:hAnsi="Times New Roman" w:cs="Times New Roman"/>
        </w:rPr>
        <w:t>, are qualitatively</w:t>
      </w:r>
      <w:r w:rsidR="00186CCA">
        <w:rPr>
          <w:rFonts w:ascii="Times New Roman" w:hAnsi="Times New Roman" w:cs="Times New Roman"/>
        </w:rPr>
        <w:t xml:space="preserve"> the</w:t>
      </w:r>
      <w:r>
        <w:rPr>
          <w:rFonts w:ascii="Times New Roman" w:hAnsi="Times New Roman" w:cs="Times New Roman"/>
        </w:rPr>
        <w:t xml:space="preserve"> same to the </w:t>
      </w:r>
      <w:r w:rsidR="00186CCA">
        <w:rPr>
          <w:rFonts w:ascii="Times New Roman" w:hAnsi="Times New Roman" w:cs="Times New Roman"/>
        </w:rPr>
        <w:t>Table 2</w:t>
      </w:r>
      <w:r>
        <w:rPr>
          <w:rFonts w:ascii="Times New Roman" w:hAnsi="Times New Roman" w:cs="Times New Roman"/>
        </w:rPr>
        <w:t xml:space="preserve"> coefficients.</w:t>
      </w:r>
      <w:r w:rsidR="00C22248">
        <w:rPr>
          <w:rFonts w:ascii="Times New Roman" w:hAnsi="Times New Roman" w:cs="Times New Roman"/>
        </w:rPr>
        <w:t xml:space="preserve">  Note</w:t>
      </w:r>
      <w:r w:rsidR="00186CCA">
        <w:rPr>
          <w:rFonts w:ascii="Times New Roman" w:hAnsi="Times New Roman" w:cs="Times New Roman"/>
        </w:rPr>
        <w:t>,</w:t>
      </w:r>
      <w:r w:rsidR="00C22248">
        <w:rPr>
          <w:rFonts w:ascii="Times New Roman" w:hAnsi="Times New Roman" w:cs="Times New Roman"/>
        </w:rPr>
        <w:t xml:space="preserve"> the </w:t>
      </w:r>
      <w:r w:rsidR="00186CCA" w:rsidRPr="00186CCA">
        <w:rPr>
          <w:rFonts w:ascii="Times New Roman" w:hAnsi="Times New Roman" w:cs="Times New Roman"/>
          <w:i/>
        </w:rPr>
        <w:t>N</w:t>
      </w:r>
      <w:r w:rsidR="00C22248" w:rsidRPr="00186CCA">
        <w:rPr>
          <w:rFonts w:ascii="Times New Roman" w:hAnsi="Times New Roman" w:cs="Times New Roman"/>
          <w:i/>
        </w:rPr>
        <w:t>on-office</w:t>
      </w:r>
      <w:r w:rsidR="00C22248">
        <w:rPr>
          <w:rFonts w:ascii="Times New Roman" w:hAnsi="Times New Roman" w:cs="Times New Roman"/>
        </w:rPr>
        <w:t xml:space="preserve"> coefficients in Table </w:t>
      </w:r>
      <w:r w:rsidR="00186CCA">
        <w:rPr>
          <w:rFonts w:ascii="Times New Roman" w:hAnsi="Times New Roman" w:cs="Times New Roman"/>
        </w:rPr>
        <w:t>2</w:t>
      </w:r>
      <w:r w:rsidR="00C22248">
        <w:rPr>
          <w:rFonts w:ascii="Times New Roman" w:hAnsi="Times New Roman" w:cs="Times New Roman"/>
        </w:rPr>
        <w:t xml:space="preserve">a correspond to the </w:t>
      </w:r>
      <w:r w:rsidR="00C22248" w:rsidRPr="00186CCA">
        <w:rPr>
          <w:rFonts w:ascii="Times New Roman" w:hAnsi="Times New Roman" w:cs="Times New Roman"/>
          <w:i/>
        </w:rPr>
        <w:t>Kroon Hall</w:t>
      </w:r>
      <w:r w:rsidR="00C22248">
        <w:rPr>
          <w:rFonts w:ascii="Times New Roman" w:hAnsi="Times New Roman" w:cs="Times New Roman"/>
        </w:rPr>
        <w:t xml:space="preserve"> treatment in Table </w:t>
      </w:r>
      <w:r w:rsidR="00186CCA">
        <w:rPr>
          <w:rFonts w:ascii="Times New Roman" w:hAnsi="Times New Roman" w:cs="Times New Roman"/>
        </w:rPr>
        <w:t>2</w:t>
      </w:r>
      <w:r w:rsidR="00C22248">
        <w:rPr>
          <w:rFonts w:ascii="Times New Roman" w:hAnsi="Times New Roman" w:cs="Times New Roman"/>
        </w:rPr>
        <w:t xml:space="preserve"> and the </w:t>
      </w:r>
      <w:r w:rsidR="00C22248" w:rsidRPr="00186CCA">
        <w:rPr>
          <w:rFonts w:ascii="Times New Roman" w:hAnsi="Times New Roman" w:cs="Times New Roman"/>
          <w:i/>
        </w:rPr>
        <w:t>Office</w:t>
      </w:r>
      <w:r w:rsidR="00C22248">
        <w:rPr>
          <w:rFonts w:ascii="Times New Roman" w:hAnsi="Times New Roman" w:cs="Times New Roman"/>
        </w:rPr>
        <w:t xml:space="preserve"> coefficients correspond to the linear combination </w:t>
      </w:r>
      <w:proofErr w:type="spellStart"/>
      <w:r w:rsidR="00C22248" w:rsidRPr="00186CCA">
        <w:rPr>
          <w:rFonts w:ascii="Times New Roman" w:hAnsi="Times New Roman" w:cs="Times New Roman"/>
          <w:i/>
        </w:rPr>
        <w:t>Kroon+Kroon</w:t>
      </w:r>
      <w:proofErr w:type="spellEnd"/>
      <w:r w:rsidR="00C22248" w:rsidRPr="00186CCA">
        <w:rPr>
          <w:rFonts w:ascii="Times New Roman" w:hAnsi="Times New Roman" w:cs="Times New Roman"/>
          <w:i/>
        </w:rPr>
        <w:t>*Office</w:t>
      </w:r>
      <w:r w:rsidR="00C22248">
        <w:rPr>
          <w:rFonts w:ascii="Times New Roman" w:hAnsi="Times New Roman" w:cs="Times New Roman"/>
        </w:rPr>
        <w:t>.</w:t>
      </w:r>
      <w:r>
        <w:rPr>
          <w:rFonts w:ascii="Times New Roman" w:hAnsi="Times New Roman" w:cs="Times New Roman"/>
        </w:rPr>
        <w:t xml:space="preserve">  Small differences occur, however, as estimating the model separately no longer constrains the coefficients on age and female to be</w:t>
      </w:r>
      <w:r w:rsidR="00186CCA">
        <w:rPr>
          <w:rFonts w:ascii="Times New Roman" w:hAnsi="Times New Roman" w:cs="Times New Roman"/>
        </w:rPr>
        <w:t xml:space="preserve"> the</w:t>
      </w:r>
      <w:r>
        <w:rPr>
          <w:rFonts w:ascii="Times New Roman" w:hAnsi="Times New Roman" w:cs="Times New Roman"/>
        </w:rPr>
        <w:t xml:space="preserve"> same</w:t>
      </w:r>
      <w:r w:rsidR="00186CCA">
        <w:rPr>
          <w:rFonts w:ascii="Times New Roman" w:hAnsi="Times New Roman" w:cs="Times New Roman"/>
        </w:rPr>
        <w:t xml:space="preserve"> for office and non-office members of F&amp;ES</w:t>
      </w:r>
      <w:r>
        <w:rPr>
          <w:rFonts w:ascii="Times New Roman" w:hAnsi="Times New Roman" w:cs="Times New Roman"/>
        </w:rPr>
        <w:t xml:space="preserve">. </w:t>
      </w:r>
    </w:p>
    <w:tbl>
      <w:tblPr>
        <w:tblW w:w="5000" w:type="pct"/>
        <w:tblLook w:val="04A0" w:firstRow="1" w:lastRow="0" w:firstColumn="1" w:lastColumn="0" w:noHBand="0" w:noVBand="1"/>
      </w:tblPr>
      <w:tblGrid>
        <w:gridCol w:w="1659"/>
        <w:gridCol w:w="1900"/>
        <w:gridCol w:w="1955"/>
        <w:gridCol w:w="1951"/>
        <w:gridCol w:w="1895"/>
      </w:tblGrid>
      <w:tr w:rsidR="00EA14EA" w:rsidRPr="00EA14EA" w:rsidTr="00EA14EA">
        <w:trPr>
          <w:trHeight w:val="300"/>
        </w:trPr>
        <w:tc>
          <w:tcPr>
            <w:tcW w:w="5000" w:type="pct"/>
            <w:gridSpan w:val="5"/>
            <w:tcBorders>
              <w:top w:val="nil"/>
              <w:left w:val="nil"/>
              <w:bottom w:val="single" w:sz="4" w:space="0" w:color="auto"/>
              <w:right w:val="nil"/>
            </w:tcBorders>
            <w:shd w:val="clear" w:color="000000" w:fill="D0CECE"/>
            <w:noWrap/>
            <w:hideMark/>
          </w:tcPr>
          <w:p w:rsidR="00EA14EA" w:rsidRPr="00EA14EA" w:rsidRDefault="00372CD5" w:rsidP="009F2494">
            <w:pPr>
              <w:keepNext/>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2</w:t>
            </w:r>
            <w:r w:rsidR="00EA14EA" w:rsidRPr="00EA14EA">
              <w:rPr>
                <w:rFonts w:ascii="Times New Roman" w:eastAsia="Times New Roman" w:hAnsi="Times New Roman" w:cs="Times New Roman"/>
                <w:b/>
                <w:bCs/>
                <w:color w:val="000000"/>
              </w:rPr>
              <w:t>a | Coefficients on Kroon Hall from estimatin</w:t>
            </w:r>
            <w:r w:rsidR="00EA14EA">
              <w:rPr>
                <w:rFonts w:ascii="Times New Roman" w:eastAsia="Times New Roman" w:hAnsi="Times New Roman" w:cs="Times New Roman"/>
                <w:b/>
                <w:bCs/>
                <w:color w:val="000000"/>
              </w:rPr>
              <w:t>g</w:t>
            </w:r>
            <w:r w:rsidR="00EA14EA" w:rsidRPr="00EA14EA">
              <w:rPr>
                <w:rFonts w:ascii="Times New Roman" w:eastAsia="Times New Roman" w:hAnsi="Times New Roman" w:cs="Times New Roman"/>
                <w:b/>
                <w:bCs/>
                <w:color w:val="000000"/>
              </w:rPr>
              <w:t xml:space="preserve"> non-office and office groups separately </w:t>
            </w:r>
          </w:p>
        </w:tc>
      </w:tr>
      <w:tr w:rsidR="00D412CC" w:rsidRPr="00EA14EA" w:rsidTr="00EA14EA">
        <w:trPr>
          <w:trHeight w:val="300"/>
        </w:trPr>
        <w:tc>
          <w:tcPr>
            <w:tcW w:w="879"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b/>
                <w:bCs/>
                <w:color w:val="000000"/>
              </w:rPr>
            </w:pPr>
            <w:r w:rsidRPr="00EA14EA">
              <w:rPr>
                <w:rFonts w:ascii="Times New Roman" w:eastAsia="Times New Roman" w:hAnsi="Times New Roman" w:cs="Times New Roman"/>
                <w:b/>
                <w:bCs/>
                <w:color w:val="000000"/>
              </w:rPr>
              <w:t> </w:t>
            </w:r>
          </w:p>
        </w:tc>
        <w:tc>
          <w:tcPr>
            <w:tcW w:w="1016"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(1)</w:t>
            </w:r>
          </w:p>
        </w:tc>
        <w:tc>
          <w:tcPr>
            <w:tcW w:w="1047"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(2)</w:t>
            </w:r>
          </w:p>
        </w:tc>
        <w:tc>
          <w:tcPr>
            <w:tcW w:w="1045"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(3)</w:t>
            </w:r>
          </w:p>
        </w:tc>
        <w:tc>
          <w:tcPr>
            <w:tcW w:w="1013"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(4)</w:t>
            </w:r>
          </w:p>
        </w:tc>
      </w:tr>
      <w:tr w:rsidR="00D412CC" w:rsidRPr="00EA14EA" w:rsidTr="00EA14EA">
        <w:trPr>
          <w:trHeight w:val="300"/>
        </w:trPr>
        <w:tc>
          <w:tcPr>
            <w:tcW w:w="879"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b/>
                <w:bCs/>
                <w:color w:val="000000"/>
              </w:rPr>
            </w:pPr>
            <w:r w:rsidRPr="00EA14EA">
              <w:rPr>
                <w:rFonts w:ascii="Times New Roman" w:eastAsia="Times New Roman" w:hAnsi="Times New Roman" w:cs="Times New Roman"/>
                <w:b/>
                <w:bCs/>
                <w:color w:val="000000"/>
              </w:rPr>
              <w:t> </w:t>
            </w:r>
          </w:p>
        </w:tc>
        <w:tc>
          <w:tcPr>
            <w:tcW w:w="1016"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Importance</w:t>
            </w:r>
          </w:p>
        </w:tc>
        <w:tc>
          <w:tcPr>
            <w:tcW w:w="1047"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Satisfaction</w:t>
            </w:r>
          </w:p>
        </w:tc>
        <w:tc>
          <w:tcPr>
            <w:tcW w:w="1045"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Work impact</w:t>
            </w:r>
          </w:p>
        </w:tc>
        <w:tc>
          <w:tcPr>
            <w:tcW w:w="1013"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Time impact</w:t>
            </w:r>
          </w:p>
        </w:tc>
      </w:tr>
      <w:tr w:rsidR="00D412CC" w:rsidRPr="00EA14EA" w:rsidTr="00EA14EA">
        <w:trPr>
          <w:trHeight w:val="300"/>
        </w:trPr>
        <w:tc>
          <w:tcPr>
            <w:tcW w:w="879"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Non-office</w:t>
            </w:r>
          </w:p>
        </w:tc>
        <w:tc>
          <w:tcPr>
            <w:tcW w:w="1016"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-0.692**</w:t>
            </w:r>
          </w:p>
        </w:tc>
        <w:tc>
          <w:tcPr>
            <w:tcW w:w="1047"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0.904***</w:t>
            </w:r>
          </w:p>
        </w:tc>
        <w:tc>
          <w:tcPr>
            <w:tcW w:w="1045"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0.659***</w:t>
            </w:r>
          </w:p>
        </w:tc>
        <w:tc>
          <w:tcPr>
            <w:tcW w:w="1013" w:type="pct"/>
            <w:tcBorders>
              <w:top w:val="nil"/>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0.627***</w:t>
            </w:r>
          </w:p>
        </w:tc>
      </w:tr>
      <w:tr w:rsidR="00D412CC" w:rsidRPr="00EA14EA" w:rsidTr="009F2494">
        <w:trPr>
          <w:trHeight w:val="300"/>
        </w:trPr>
        <w:tc>
          <w:tcPr>
            <w:tcW w:w="879"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 </w:t>
            </w:r>
          </w:p>
        </w:tc>
        <w:tc>
          <w:tcPr>
            <w:tcW w:w="1016"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(0.339)</w:t>
            </w:r>
          </w:p>
        </w:tc>
        <w:tc>
          <w:tcPr>
            <w:tcW w:w="1047"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(0.228)</w:t>
            </w:r>
          </w:p>
        </w:tc>
        <w:tc>
          <w:tcPr>
            <w:tcW w:w="1045"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(0.235)</w:t>
            </w:r>
          </w:p>
        </w:tc>
        <w:tc>
          <w:tcPr>
            <w:tcW w:w="1013"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(0.240)</w:t>
            </w:r>
          </w:p>
        </w:tc>
      </w:tr>
      <w:tr w:rsidR="00D412CC" w:rsidRPr="00EA14EA" w:rsidTr="009F2494">
        <w:trPr>
          <w:trHeight w:val="300"/>
        </w:trPr>
        <w:tc>
          <w:tcPr>
            <w:tcW w:w="879" w:type="pct"/>
            <w:tcBorders>
              <w:top w:val="single" w:sz="4" w:space="0" w:color="auto"/>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Office</w:t>
            </w:r>
          </w:p>
        </w:tc>
        <w:tc>
          <w:tcPr>
            <w:tcW w:w="1016" w:type="pct"/>
            <w:tcBorders>
              <w:top w:val="single" w:sz="4" w:space="0" w:color="auto"/>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-0.051</w:t>
            </w:r>
          </w:p>
        </w:tc>
        <w:tc>
          <w:tcPr>
            <w:tcW w:w="1047" w:type="pct"/>
            <w:tcBorders>
              <w:top w:val="single" w:sz="4" w:space="0" w:color="auto"/>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-0.090</w:t>
            </w:r>
          </w:p>
        </w:tc>
        <w:tc>
          <w:tcPr>
            <w:tcW w:w="1045" w:type="pct"/>
            <w:tcBorders>
              <w:top w:val="single" w:sz="4" w:space="0" w:color="auto"/>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-0.022</w:t>
            </w:r>
          </w:p>
        </w:tc>
        <w:tc>
          <w:tcPr>
            <w:tcW w:w="1013" w:type="pct"/>
            <w:tcBorders>
              <w:top w:val="single" w:sz="4" w:space="0" w:color="auto"/>
              <w:left w:val="nil"/>
              <w:bottom w:val="nil"/>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-0.285</w:t>
            </w:r>
          </w:p>
        </w:tc>
      </w:tr>
      <w:tr w:rsidR="00D412CC" w:rsidRPr="00EA14EA" w:rsidTr="00EA14EA">
        <w:trPr>
          <w:trHeight w:val="300"/>
        </w:trPr>
        <w:tc>
          <w:tcPr>
            <w:tcW w:w="879"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 </w:t>
            </w:r>
          </w:p>
        </w:tc>
        <w:tc>
          <w:tcPr>
            <w:tcW w:w="1016"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(0.248)</w:t>
            </w:r>
          </w:p>
        </w:tc>
        <w:tc>
          <w:tcPr>
            <w:tcW w:w="1047"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(0.214)</w:t>
            </w:r>
          </w:p>
        </w:tc>
        <w:tc>
          <w:tcPr>
            <w:tcW w:w="1045"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(0.233)</w:t>
            </w:r>
          </w:p>
        </w:tc>
        <w:tc>
          <w:tcPr>
            <w:tcW w:w="1013" w:type="pct"/>
            <w:tcBorders>
              <w:top w:val="nil"/>
              <w:left w:val="nil"/>
              <w:bottom w:val="single" w:sz="4" w:space="0" w:color="auto"/>
              <w:right w:val="nil"/>
            </w:tcBorders>
            <w:shd w:val="clear" w:color="000000" w:fill="F2F2F2"/>
            <w:noWrap/>
            <w:vAlign w:val="bottom"/>
            <w:hideMark/>
          </w:tcPr>
          <w:p w:rsidR="00EA14EA" w:rsidRPr="00EA14EA" w:rsidRDefault="00EA14EA" w:rsidP="009F2494">
            <w:pPr>
              <w:keepNext/>
              <w:spacing w:after="0" w:line="240" w:lineRule="auto"/>
              <w:rPr>
                <w:rFonts w:ascii="Times New Roman" w:eastAsia="Times New Roman" w:hAnsi="Times New Roman" w:cs="Times New Roman"/>
                <w:color w:val="000000"/>
              </w:rPr>
            </w:pPr>
            <w:r w:rsidRPr="00EA14EA">
              <w:rPr>
                <w:rFonts w:ascii="Times New Roman" w:eastAsia="Times New Roman" w:hAnsi="Times New Roman" w:cs="Times New Roman"/>
                <w:color w:val="000000"/>
              </w:rPr>
              <w:t>(0.251)</w:t>
            </w:r>
          </w:p>
        </w:tc>
      </w:tr>
      <w:tr w:rsidR="00EA14EA" w:rsidRPr="00EA14EA" w:rsidTr="00EA14EA">
        <w:trPr>
          <w:trHeight w:val="300"/>
        </w:trPr>
        <w:tc>
          <w:tcPr>
            <w:tcW w:w="5000" w:type="pct"/>
            <w:gridSpan w:val="5"/>
            <w:tcBorders>
              <w:top w:val="single" w:sz="4" w:space="0" w:color="auto"/>
              <w:left w:val="nil"/>
              <w:bottom w:val="nil"/>
              <w:right w:val="nil"/>
            </w:tcBorders>
            <w:shd w:val="clear" w:color="000000" w:fill="F2F2F2"/>
            <w:noWrap/>
            <w:hideMark/>
          </w:tcPr>
          <w:p w:rsidR="00EA14EA" w:rsidRPr="00EA14EA" w:rsidRDefault="00EA14EA" w:rsidP="009F2494">
            <w:pPr>
              <w:keepNext/>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Only the quasi-treatment coefficient on Kroon Hall is reported while age and gender coefficients </w:t>
            </w:r>
            <w:r w:rsidR="00B769FB">
              <w:rPr>
                <w:rFonts w:ascii="Times New Roman" w:eastAsia="Times New Roman" w:hAnsi="Times New Roman" w:cs="Times New Roman"/>
                <w:color w:val="000000"/>
                <w:sz w:val="18"/>
                <w:szCs w:val="18"/>
              </w:rPr>
              <w:t>are</w:t>
            </w:r>
            <w:r>
              <w:rPr>
                <w:rFonts w:ascii="Times New Roman" w:eastAsia="Times New Roman" w:hAnsi="Times New Roman" w:cs="Times New Roman"/>
                <w:color w:val="000000"/>
                <w:sz w:val="18"/>
                <w:szCs w:val="18"/>
              </w:rPr>
              <w:t xml:space="preserve"> included</w:t>
            </w:r>
            <w:r w:rsidR="00B769FB">
              <w:rPr>
                <w:rFonts w:ascii="Times New Roman" w:eastAsia="Times New Roman" w:hAnsi="Times New Roman" w:cs="Times New Roman"/>
                <w:color w:val="000000"/>
                <w:sz w:val="18"/>
                <w:szCs w:val="18"/>
              </w:rPr>
              <w:t xml:space="preserve"> in the estimation just</w:t>
            </w:r>
            <w:r>
              <w:rPr>
                <w:rFonts w:ascii="Times New Roman" w:eastAsia="Times New Roman" w:hAnsi="Times New Roman" w:cs="Times New Roman"/>
                <w:color w:val="000000"/>
                <w:sz w:val="18"/>
                <w:szCs w:val="18"/>
              </w:rPr>
              <w:t xml:space="preserve"> as in the primary results in Table </w:t>
            </w:r>
            <w:r w:rsidR="00B769FB">
              <w:rPr>
                <w:rFonts w:ascii="Times New Roman" w:eastAsia="Times New Roman" w:hAnsi="Times New Roman" w:cs="Times New Roman"/>
                <w:color w:val="000000"/>
                <w:sz w:val="18"/>
                <w:szCs w:val="18"/>
              </w:rPr>
              <w:t>2</w:t>
            </w:r>
            <w:r>
              <w:rPr>
                <w:rFonts w:ascii="Times New Roman" w:eastAsia="Times New Roman" w:hAnsi="Times New Roman" w:cs="Times New Roman"/>
                <w:color w:val="000000"/>
                <w:sz w:val="18"/>
                <w:szCs w:val="18"/>
              </w:rPr>
              <w:t xml:space="preserve">.  </w:t>
            </w:r>
            <w:r w:rsidRPr="00EA14EA">
              <w:rPr>
                <w:rFonts w:ascii="Times New Roman" w:eastAsia="Times New Roman" w:hAnsi="Times New Roman" w:cs="Times New Roman"/>
                <w:color w:val="000000"/>
                <w:sz w:val="18"/>
                <w:szCs w:val="18"/>
              </w:rPr>
              <w:t>Standard errors in parentheses: *** p&lt;0.01, ** p&lt;0.05, * p&lt;0.1</w:t>
            </w:r>
          </w:p>
        </w:tc>
      </w:tr>
    </w:tbl>
    <w:p w:rsidR="004364EC" w:rsidRDefault="003F24AB" w:rsidP="00D944F3">
      <w:pPr>
        <w:spacing w:before="240"/>
        <w:rPr>
          <w:rFonts w:ascii="Times New Roman" w:hAnsi="Times New Roman" w:cs="Times New Roman"/>
        </w:rPr>
      </w:pPr>
      <w:r>
        <w:rPr>
          <w:rFonts w:ascii="Times New Roman" w:hAnsi="Times New Roman" w:cs="Times New Roman"/>
        </w:rPr>
        <w:t>This paper now analyzes</w:t>
      </w:r>
      <w:r w:rsidR="005B7536" w:rsidRPr="00991596">
        <w:rPr>
          <w:rFonts w:ascii="Times New Roman" w:hAnsi="Times New Roman" w:cs="Times New Roman"/>
        </w:rPr>
        <w:t xml:space="preserve"> how respondents adjust </w:t>
      </w:r>
      <w:r w:rsidR="000A49EE">
        <w:rPr>
          <w:rFonts w:ascii="Times New Roman" w:hAnsi="Times New Roman" w:cs="Times New Roman"/>
        </w:rPr>
        <w:t>the building atmosphere</w:t>
      </w:r>
      <w:r w:rsidR="005B7536" w:rsidRPr="00991596">
        <w:rPr>
          <w:rFonts w:ascii="Times New Roman" w:hAnsi="Times New Roman" w:cs="Times New Roman"/>
        </w:rPr>
        <w:t xml:space="preserve"> when it doesn’t fit </w:t>
      </w:r>
      <w:r w:rsidR="000A49EE">
        <w:rPr>
          <w:rFonts w:ascii="Times New Roman" w:hAnsi="Times New Roman" w:cs="Times New Roman"/>
        </w:rPr>
        <w:t>preference</w:t>
      </w:r>
      <w:r>
        <w:rPr>
          <w:rFonts w:ascii="Times New Roman" w:hAnsi="Times New Roman" w:cs="Times New Roman"/>
        </w:rPr>
        <w:t>s</w:t>
      </w:r>
      <w:r w:rsidR="005B7536" w:rsidRPr="00991596">
        <w:rPr>
          <w:rFonts w:ascii="Times New Roman" w:hAnsi="Times New Roman" w:cs="Times New Roman"/>
        </w:rPr>
        <w:t>.  This question is</w:t>
      </w:r>
      <w:r>
        <w:rPr>
          <w:rFonts w:ascii="Times New Roman" w:hAnsi="Times New Roman" w:cs="Times New Roman"/>
        </w:rPr>
        <w:t xml:space="preserve"> clearly</w:t>
      </w:r>
      <w:r w:rsidR="005B7536" w:rsidRPr="00991596">
        <w:rPr>
          <w:rFonts w:ascii="Times New Roman" w:hAnsi="Times New Roman" w:cs="Times New Roman"/>
        </w:rPr>
        <w:t xml:space="preserve"> important in the context of running </w:t>
      </w:r>
      <w:r w:rsidR="000A49EE">
        <w:rPr>
          <w:rFonts w:ascii="Times New Roman" w:hAnsi="Times New Roman" w:cs="Times New Roman"/>
        </w:rPr>
        <w:t>a building efficiently.  I</w:t>
      </w:r>
      <w:r w:rsidR="005B7536" w:rsidRPr="00991596">
        <w:rPr>
          <w:rFonts w:ascii="Times New Roman" w:hAnsi="Times New Roman" w:cs="Times New Roman"/>
        </w:rPr>
        <w:t xml:space="preserve">f a significant </w:t>
      </w:r>
      <w:r>
        <w:rPr>
          <w:rFonts w:ascii="Times New Roman" w:hAnsi="Times New Roman" w:cs="Times New Roman"/>
        </w:rPr>
        <w:t>share</w:t>
      </w:r>
      <w:r w:rsidR="00B1036E">
        <w:rPr>
          <w:rFonts w:ascii="Times New Roman" w:hAnsi="Times New Roman" w:cs="Times New Roman"/>
        </w:rPr>
        <w:t xml:space="preserve"> of residents</w:t>
      </w:r>
      <w:r w:rsidR="005B7536" w:rsidRPr="00991596">
        <w:rPr>
          <w:rFonts w:ascii="Times New Roman" w:hAnsi="Times New Roman" w:cs="Times New Roman"/>
        </w:rPr>
        <w:t xml:space="preserve"> behav</w:t>
      </w:r>
      <w:r w:rsidR="00B1036E">
        <w:rPr>
          <w:rFonts w:ascii="Times New Roman" w:hAnsi="Times New Roman" w:cs="Times New Roman"/>
        </w:rPr>
        <w:t>e in ways c</w:t>
      </w:r>
      <w:r w:rsidR="005B7536" w:rsidRPr="00991596">
        <w:rPr>
          <w:rFonts w:ascii="Times New Roman" w:hAnsi="Times New Roman" w:cs="Times New Roman"/>
        </w:rPr>
        <w:t xml:space="preserve">ounter </w:t>
      </w:r>
      <w:r w:rsidR="00B1036E">
        <w:rPr>
          <w:rFonts w:ascii="Times New Roman" w:hAnsi="Times New Roman" w:cs="Times New Roman"/>
        </w:rPr>
        <w:t xml:space="preserve">to </w:t>
      </w:r>
      <w:r w:rsidR="005B7536" w:rsidRPr="00991596">
        <w:rPr>
          <w:rFonts w:ascii="Times New Roman" w:hAnsi="Times New Roman" w:cs="Times New Roman"/>
        </w:rPr>
        <w:t>efficient operation, it may require a different set of operating parameters where the marginal savings from reduc</w:t>
      </w:r>
      <w:r w:rsidR="000A49EE">
        <w:rPr>
          <w:rFonts w:ascii="Times New Roman" w:hAnsi="Times New Roman" w:cs="Times New Roman"/>
        </w:rPr>
        <w:t>ing</w:t>
      </w:r>
      <w:r w:rsidR="005B7536" w:rsidRPr="00991596">
        <w:rPr>
          <w:rFonts w:ascii="Times New Roman" w:hAnsi="Times New Roman" w:cs="Times New Roman"/>
        </w:rPr>
        <w:t xml:space="preserve"> counter-efficient behavior meets the increase in </w:t>
      </w:r>
      <w:r w:rsidR="005B7536" w:rsidRPr="00991596">
        <w:rPr>
          <w:rFonts w:ascii="Times New Roman" w:hAnsi="Times New Roman" w:cs="Times New Roman"/>
        </w:rPr>
        <w:lastRenderedPageBreak/>
        <w:t xml:space="preserve">marginal costs from operating the building less than textbook efficient.  In </w:t>
      </w:r>
      <w:r w:rsidR="00B1036E">
        <w:rPr>
          <w:rFonts w:ascii="Times New Roman" w:hAnsi="Times New Roman" w:cs="Times New Roman"/>
        </w:rPr>
        <w:t>other words</w:t>
      </w:r>
      <w:r w:rsidR="005B7536" w:rsidRPr="00991596">
        <w:rPr>
          <w:rFonts w:ascii="Times New Roman" w:hAnsi="Times New Roman" w:cs="Times New Roman"/>
        </w:rPr>
        <w:t>, if increasing the building’s temperature such that less portable heaters ar</w:t>
      </w:r>
      <w:r w:rsidR="000A49EE">
        <w:rPr>
          <w:rFonts w:ascii="Times New Roman" w:hAnsi="Times New Roman" w:cs="Times New Roman"/>
        </w:rPr>
        <w:t xml:space="preserve">e brought in during the winter </w:t>
      </w:r>
      <w:r w:rsidR="005B7536" w:rsidRPr="00991596">
        <w:rPr>
          <w:rFonts w:ascii="Times New Roman" w:hAnsi="Times New Roman" w:cs="Times New Roman"/>
        </w:rPr>
        <w:t xml:space="preserve">results in a net decrease in operating cost, </w:t>
      </w:r>
      <w:r w:rsidR="00B1036E">
        <w:rPr>
          <w:rFonts w:ascii="Times New Roman" w:hAnsi="Times New Roman" w:cs="Times New Roman"/>
        </w:rPr>
        <w:t>it would be more efficient to do so</w:t>
      </w:r>
      <w:r w:rsidR="005B7536" w:rsidRPr="00991596">
        <w:rPr>
          <w:rFonts w:ascii="Times New Roman" w:hAnsi="Times New Roman" w:cs="Times New Roman"/>
        </w:rPr>
        <w:t xml:space="preserve">.  </w:t>
      </w:r>
      <w:r w:rsidR="005B7536">
        <w:rPr>
          <w:rFonts w:ascii="Times New Roman" w:hAnsi="Times New Roman" w:cs="Times New Roman"/>
        </w:rPr>
        <w:t xml:space="preserve">Table </w:t>
      </w:r>
      <w:r w:rsidR="00B1036E">
        <w:rPr>
          <w:rFonts w:ascii="Times New Roman" w:hAnsi="Times New Roman" w:cs="Times New Roman"/>
        </w:rPr>
        <w:t>3</w:t>
      </w:r>
      <w:r w:rsidR="005B7536" w:rsidRPr="00991596">
        <w:rPr>
          <w:rFonts w:ascii="Times New Roman" w:hAnsi="Times New Roman" w:cs="Times New Roman"/>
        </w:rPr>
        <w:t xml:space="preserve"> shows the results from a set of </w:t>
      </w:r>
      <w:proofErr w:type="spellStart"/>
      <w:r w:rsidR="005B7536" w:rsidRPr="00991596">
        <w:rPr>
          <w:rFonts w:ascii="Times New Roman" w:hAnsi="Times New Roman" w:cs="Times New Roman"/>
        </w:rPr>
        <w:t>probit</w:t>
      </w:r>
      <w:proofErr w:type="spellEnd"/>
      <w:r w:rsidR="005B7536" w:rsidRPr="00991596">
        <w:rPr>
          <w:rFonts w:ascii="Times New Roman" w:hAnsi="Times New Roman" w:cs="Times New Roman"/>
        </w:rPr>
        <w:t xml:space="preserve"> regressions </w:t>
      </w:r>
      <w:r w:rsidR="000A49EE">
        <w:rPr>
          <w:rFonts w:ascii="Times New Roman" w:hAnsi="Times New Roman" w:cs="Times New Roman"/>
        </w:rPr>
        <w:t>where</w:t>
      </w:r>
      <w:r w:rsidR="005B7536" w:rsidRPr="00991596">
        <w:rPr>
          <w:rFonts w:ascii="Times New Roman" w:hAnsi="Times New Roman" w:cs="Times New Roman"/>
        </w:rPr>
        <w:t xml:space="preserve"> the dependent</w:t>
      </w:r>
      <w:r w:rsidR="000A49EE">
        <w:rPr>
          <w:rFonts w:ascii="Times New Roman" w:hAnsi="Times New Roman" w:cs="Times New Roman"/>
        </w:rPr>
        <w:t xml:space="preserve"> variable is either zero or one</w:t>
      </w:r>
      <w:r w:rsidR="005B7536" w:rsidRPr="00991596">
        <w:rPr>
          <w:rFonts w:ascii="Times New Roman" w:hAnsi="Times New Roman" w:cs="Times New Roman"/>
        </w:rPr>
        <w:t xml:space="preserve"> for whether the adaptive behavior is indicated.  Column </w:t>
      </w:r>
      <w:r w:rsidR="000A49EE">
        <w:rPr>
          <w:rFonts w:ascii="Times New Roman" w:hAnsi="Times New Roman" w:cs="Times New Roman"/>
        </w:rPr>
        <w:t>(7</w:t>
      </w:r>
      <w:r w:rsidR="005B7536" w:rsidRPr="00991596">
        <w:rPr>
          <w:rFonts w:ascii="Times New Roman" w:hAnsi="Times New Roman" w:cs="Times New Roman"/>
        </w:rPr>
        <w:t>)</w:t>
      </w:r>
      <w:r w:rsidR="00B1036E">
        <w:rPr>
          <w:rFonts w:ascii="Times New Roman" w:hAnsi="Times New Roman" w:cs="Times New Roman"/>
        </w:rPr>
        <w:t xml:space="preserve"> on operating a portable heater</w:t>
      </w:r>
      <w:r w:rsidR="005B7536" w:rsidRPr="00991596">
        <w:rPr>
          <w:rFonts w:ascii="Times New Roman" w:hAnsi="Times New Roman" w:cs="Times New Roman"/>
        </w:rPr>
        <w:t xml:space="preserve"> may be of greatest concern from an energy saving perspective.  </w:t>
      </w:r>
      <w:r w:rsidR="00B1036E">
        <w:rPr>
          <w:rFonts w:ascii="Times New Roman" w:hAnsi="Times New Roman" w:cs="Times New Roman"/>
        </w:rPr>
        <w:t>The survey finds</w:t>
      </w:r>
      <w:r w:rsidR="000A49EE">
        <w:rPr>
          <w:rFonts w:ascii="Times New Roman" w:hAnsi="Times New Roman" w:cs="Times New Roman"/>
        </w:rPr>
        <w:t xml:space="preserve"> that</w:t>
      </w:r>
      <w:r w:rsidR="005B7536" w:rsidRPr="00991596">
        <w:rPr>
          <w:rFonts w:ascii="Times New Roman" w:hAnsi="Times New Roman" w:cs="Times New Roman"/>
        </w:rPr>
        <w:t xml:space="preserve"> across F&amp;ES facilities, </w:t>
      </w:r>
      <w:r w:rsidR="000A49EE">
        <w:rPr>
          <w:rFonts w:ascii="Times New Roman" w:hAnsi="Times New Roman" w:cs="Times New Roman"/>
        </w:rPr>
        <w:t>more than one in ten</w:t>
      </w:r>
      <w:r w:rsidR="00EA2DAD">
        <w:rPr>
          <w:rFonts w:ascii="Times New Roman" w:hAnsi="Times New Roman" w:cs="Times New Roman"/>
        </w:rPr>
        <w:t xml:space="preserve"> users brings in a space heater.  However, this is highly concentrated in the office group of</w:t>
      </w:r>
      <w:r w:rsidR="000A49EE">
        <w:rPr>
          <w:rFonts w:ascii="Times New Roman" w:hAnsi="Times New Roman" w:cs="Times New Roman"/>
        </w:rPr>
        <w:t xml:space="preserve"> </w:t>
      </w:r>
      <w:r w:rsidR="005B7536" w:rsidRPr="00991596">
        <w:rPr>
          <w:rFonts w:ascii="Times New Roman" w:hAnsi="Times New Roman" w:cs="Times New Roman"/>
        </w:rPr>
        <w:t>faculty, staff, and researchers</w:t>
      </w:r>
      <w:r w:rsidR="00EA2DAD">
        <w:rPr>
          <w:rFonts w:ascii="Times New Roman" w:hAnsi="Times New Roman" w:cs="Times New Roman"/>
        </w:rPr>
        <w:t xml:space="preserve">- nearly a quarter admit to bringing a heater in to supplement office heating.  The analysis finds, however, that </w:t>
      </w:r>
      <w:r w:rsidR="004364EC">
        <w:rPr>
          <w:rFonts w:ascii="Times New Roman" w:hAnsi="Times New Roman" w:cs="Times New Roman"/>
        </w:rPr>
        <w:t xml:space="preserve">the </w:t>
      </w:r>
      <w:r w:rsidR="005B7536" w:rsidRPr="00991596">
        <w:rPr>
          <w:rFonts w:ascii="Times New Roman" w:hAnsi="Times New Roman" w:cs="Times New Roman"/>
        </w:rPr>
        <w:t xml:space="preserve">Kroon Hall faculty are no different from </w:t>
      </w:r>
      <w:r w:rsidR="00EA2DAD">
        <w:rPr>
          <w:rFonts w:ascii="Times New Roman" w:hAnsi="Times New Roman" w:cs="Times New Roman"/>
        </w:rPr>
        <w:t xml:space="preserve">counterparts </w:t>
      </w:r>
      <w:r w:rsidR="005B7536" w:rsidRPr="00991596">
        <w:rPr>
          <w:rFonts w:ascii="Times New Roman" w:hAnsi="Times New Roman" w:cs="Times New Roman"/>
        </w:rPr>
        <w:t>residing in other F&amp;ES spaces</w:t>
      </w:r>
      <w:r w:rsidR="00EA2DAD">
        <w:rPr>
          <w:rFonts w:ascii="Times New Roman" w:hAnsi="Times New Roman" w:cs="Times New Roman"/>
        </w:rPr>
        <w:t xml:space="preserve"> in this regard.  In fact only</w:t>
      </w:r>
      <w:r w:rsidR="005B7536" w:rsidRPr="00991596">
        <w:rPr>
          <w:rFonts w:ascii="Times New Roman" w:hAnsi="Times New Roman" w:cs="Times New Roman"/>
        </w:rPr>
        <w:t xml:space="preserve"> </w:t>
      </w:r>
      <w:r w:rsidR="00EA2DAD">
        <w:rPr>
          <w:rFonts w:ascii="Times New Roman" w:hAnsi="Times New Roman" w:cs="Times New Roman"/>
        </w:rPr>
        <w:t>a</w:t>
      </w:r>
      <w:r w:rsidR="005B7536" w:rsidRPr="00991596">
        <w:rPr>
          <w:rFonts w:ascii="Times New Roman" w:hAnsi="Times New Roman" w:cs="Times New Roman"/>
        </w:rPr>
        <w:t xml:space="preserve">djusting thermostats and air vents </w:t>
      </w:r>
      <w:r w:rsidR="00EA2DAD">
        <w:rPr>
          <w:rFonts w:ascii="Times New Roman" w:hAnsi="Times New Roman" w:cs="Times New Roman"/>
        </w:rPr>
        <w:t>are statistically different for Kroon Hall office users and these can be explained by building design.  The Kroon Hall thermostats differ from most structures in that they allow the user to only slightly modify the temperature from the building mean rather than full control.  In contrast, Kroon Hall has far more vents than most buildings, several hundred disp</w:t>
      </w:r>
      <w:r w:rsidR="00AF7236">
        <w:rPr>
          <w:rFonts w:ascii="Times New Roman" w:hAnsi="Times New Roman" w:cs="Times New Roman"/>
        </w:rPr>
        <w:t>ersed across the floors</w:t>
      </w:r>
      <w:r w:rsidR="005B7536" w:rsidRPr="00991596">
        <w:rPr>
          <w:rFonts w:ascii="Times New Roman" w:hAnsi="Times New Roman" w:cs="Times New Roman"/>
        </w:rPr>
        <w:t xml:space="preserve">.  </w:t>
      </w:r>
    </w:p>
    <w:p w:rsidR="00000706" w:rsidRDefault="005B7536" w:rsidP="00D944F3">
      <w:pPr>
        <w:spacing w:before="240"/>
        <w:rPr>
          <w:rFonts w:ascii="Times New Roman" w:hAnsi="Times New Roman" w:cs="Times New Roman"/>
        </w:rPr>
      </w:pPr>
      <w:r w:rsidRPr="00991596">
        <w:rPr>
          <w:rFonts w:ascii="Times New Roman" w:hAnsi="Times New Roman" w:cs="Times New Roman"/>
        </w:rPr>
        <w:t xml:space="preserve">A qualitative analysis of the text submitted </w:t>
      </w:r>
      <w:r w:rsidR="004364EC">
        <w:rPr>
          <w:rFonts w:ascii="Times New Roman" w:hAnsi="Times New Roman" w:cs="Times New Roman"/>
        </w:rPr>
        <w:t>in conjunction with</w:t>
      </w:r>
      <w:r w:rsidRPr="00991596">
        <w:rPr>
          <w:rFonts w:ascii="Times New Roman" w:hAnsi="Times New Roman" w:cs="Times New Roman"/>
        </w:rPr>
        <w:t xml:space="preserve"> the Other category </w:t>
      </w:r>
      <w:r w:rsidR="004364EC">
        <w:rPr>
          <w:rFonts w:ascii="Times New Roman" w:hAnsi="Times New Roman" w:cs="Times New Roman"/>
        </w:rPr>
        <w:t xml:space="preserve">(10) </w:t>
      </w:r>
      <w:r w:rsidRPr="00991596">
        <w:rPr>
          <w:rFonts w:ascii="Times New Roman" w:hAnsi="Times New Roman" w:cs="Times New Roman"/>
        </w:rPr>
        <w:t xml:space="preserve">also </w:t>
      </w:r>
      <w:r w:rsidR="004364EC">
        <w:rPr>
          <w:rFonts w:ascii="Times New Roman" w:hAnsi="Times New Roman" w:cs="Times New Roman"/>
        </w:rPr>
        <w:t>supports</w:t>
      </w:r>
      <w:r w:rsidRPr="00991596">
        <w:rPr>
          <w:rFonts w:ascii="Times New Roman" w:hAnsi="Times New Roman" w:cs="Times New Roman"/>
        </w:rPr>
        <w:t xml:space="preserve"> </w:t>
      </w:r>
      <w:r w:rsidR="004364EC">
        <w:rPr>
          <w:rFonts w:ascii="Times New Roman" w:hAnsi="Times New Roman" w:cs="Times New Roman"/>
        </w:rPr>
        <w:t>general building atmosphere mismatches</w:t>
      </w:r>
      <w:r w:rsidR="00FA5FB7">
        <w:rPr>
          <w:rFonts w:ascii="Times New Roman" w:hAnsi="Times New Roman" w:cs="Times New Roman"/>
        </w:rPr>
        <w:t>, not specifically at Kroon Hall but for office users in general</w:t>
      </w:r>
      <w:r w:rsidRPr="00991596">
        <w:rPr>
          <w:rFonts w:ascii="Times New Roman" w:hAnsi="Times New Roman" w:cs="Times New Roman"/>
        </w:rPr>
        <w:t xml:space="preserve">.  The majority of such responses discuss strategies to compensate for excessively hot temperatures, either from weather in the summer or from </w:t>
      </w:r>
      <w:r w:rsidR="004364EC">
        <w:rPr>
          <w:rFonts w:ascii="Times New Roman" w:hAnsi="Times New Roman" w:cs="Times New Roman"/>
        </w:rPr>
        <w:t>a building system mismatch</w:t>
      </w:r>
      <w:r w:rsidR="00340907">
        <w:rPr>
          <w:rFonts w:ascii="Times New Roman" w:hAnsi="Times New Roman" w:cs="Times New Roman"/>
        </w:rPr>
        <w:t>ed</w:t>
      </w:r>
      <w:r w:rsidR="004364EC">
        <w:rPr>
          <w:rFonts w:ascii="Times New Roman" w:hAnsi="Times New Roman" w:cs="Times New Roman"/>
        </w:rPr>
        <w:t xml:space="preserve"> with preferences</w:t>
      </w:r>
      <w:r w:rsidRPr="00991596">
        <w:rPr>
          <w:rFonts w:ascii="Times New Roman" w:hAnsi="Times New Roman" w:cs="Times New Roman"/>
        </w:rPr>
        <w:t>.  These are as extreme as leaving on hot summer days</w:t>
      </w:r>
      <w:r w:rsidR="004364EC">
        <w:rPr>
          <w:rFonts w:ascii="Times New Roman" w:hAnsi="Times New Roman" w:cs="Times New Roman"/>
        </w:rPr>
        <w:t>- reducing productivity,</w:t>
      </w:r>
      <w:r w:rsidRPr="00991596">
        <w:rPr>
          <w:rFonts w:ascii="Times New Roman" w:hAnsi="Times New Roman" w:cs="Times New Roman"/>
        </w:rPr>
        <w:t xml:space="preserve"> and turning on window air conditioners in the winter to offset the building heating system</w:t>
      </w:r>
      <w:r w:rsidR="004364EC">
        <w:rPr>
          <w:rFonts w:ascii="Times New Roman" w:hAnsi="Times New Roman" w:cs="Times New Roman"/>
        </w:rPr>
        <w:t>- a surprising waste</w:t>
      </w:r>
      <w:r w:rsidRPr="00991596">
        <w:rPr>
          <w:rFonts w:ascii="Times New Roman" w:hAnsi="Times New Roman" w:cs="Times New Roman"/>
        </w:rPr>
        <w:t xml:space="preserve">.  </w:t>
      </w:r>
      <w:r w:rsidR="00340907">
        <w:rPr>
          <w:rFonts w:ascii="Times New Roman" w:hAnsi="Times New Roman" w:cs="Times New Roman"/>
        </w:rPr>
        <w:t>O</w:t>
      </w:r>
      <w:r w:rsidRPr="00991596">
        <w:rPr>
          <w:rFonts w:ascii="Times New Roman" w:hAnsi="Times New Roman" w:cs="Times New Roman"/>
        </w:rPr>
        <w:t>bviously</w:t>
      </w:r>
      <w:r w:rsidR="00340907">
        <w:rPr>
          <w:rFonts w:ascii="Times New Roman" w:hAnsi="Times New Roman" w:cs="Times New Roman"/>
        </w:rPr>
        <w:t>, this is</w:t>
      </w:r>
      <w:r w:rsidRPr="00991596">
        <w:rPr>
          <w:rFonts w:ascii="Times New Roman" w:hAnsi="Times New Roman" w:cs="Times New Roman"/>
        </w:rPr>
        <w:t xml:space="preserve"> an extremely inefficient method</w:t>
      </w:r>
      <w:r w:rsidR="00340907">
        <w:rPr>
          <w:rFonts w:ascii="Times New Roman" w:hAnsi="Times New Roman" w:cs="Times New Roman"/>
        </w:rPr>
        <w:t xml:space="preserve"> to compensate</w:t>
      </w:r>
      <w:r w:rsidRPr="00991596">
        <w:rPr>
          <w:rFonts w:ascii="Times New Roman" w:hAnsi="Times New Roman" w:cs="Times New Roman"/>
        </w:rPr>
        <w:t xml:space="preserve"> from a building operations s</w:t>
      </w:r>
      <w:r w:rsidR="004364EC">
        <w:rPr>
          <w:rFonts w:ascii="Times New Roman" w:hAnsi="Times New Roman" w:cs="Times New Roman"/>
        </w:rPr>
        <w:t>tandpoint</w:t>
      </w:r>
      <w:r w:rsidR="00340907">
        <w:rPr>
          <w:rFonts w:ascii="Times New Roman" w:hAnsi="Times New Roman" w:cs="Times New Roman"/>
        </w:rPr>
        <w:t>.  It is also</w:t>
      </w:r>
      <w:r w:rsidR="004364EC">
        <w:rPr>
          <w:rFonts w:ascii="Times New Roman" w:hAnsi="Times New Roman" w:cs="Times New Roman"/>
        </w:rPr>
        <w:t xml:space="preserve"> likely not</w:t>
      </w:r>
      <w:r w:rsidRPr="00991596">
        <w:rPr>
          <w:rFonts w:ascii="Times New Roman" w:hAnsi="Times New Roman" w:cs="Times New Roman"/>
        </w:rPr>
        <w:t xml:space="preserve"> preferred </w:t>
      </w:r>
      <w:r w:rsidR="00340907">
        <w:rPr>
          <w:rFonts w:ascii="Times New Roman" w:hAnsi="Times New Roman" w:cs="Times New Roman"/>
        </w:rPr>
        <w:t>by the respondent</w:t>
      </w:r>
      <w:r w:rsidRPr="00991596">
        <w:rPr>
          <w:rFonts w:ascii="Times New Roman" w:hAnsi="Times New Roman" w:cs="Times New Roman"/>
        </w:rPr>
        <w:t xml:space="preserve"> either.  </w:t>
      </w:r>
      <w:r w:rsidR="00340907">
        <w:rPr>
          <w:rFonts w:ascii="Times New Roman" w:hAnsi="Times New Roman" w:cs="Times New Roman"/>
        </w:rPr>
        <w:t>A</w:t>
      </w:r>
      <w:r w:rsidRPr="00991596">
        <w:rPr>
          <w:rFonts w:ascii="Times New Roman" w:hAnsi="Times New Roman" w:cs="Times New Roman"/>
        </w:rPr>
        <w:t xml:space="preserve"> subcategory </w:t>
      </w:r>
      <w:r w:rsidRPr="00340907">
        <w:rPr>
          <w:rFonts w:ascii="Times New Roman" w:hAnsi="Times New Roman" w:cs="Times New Roman"/>
          <w:i/>
        </w:rPr>
        <w:t xml:space="preserve">Do Nothing </w:t>
      </w:r>
      <w:r w:rsidR="00340907">
        <w:rPr>
          <w:rFonts w:ascii="Times New Roman" w:hAnsi="Times New Roman" w:cs="Times New Roman"/>
        </w:rPr>
        <w:t xml:space="preserve">was also offered in the survey </w:t>
      </w:r>
      <w:r w:rsidRPr="00991596">
        <w:rPr>
          <w:rFonts w:ascii="Times New Roman" w:hAnsi="Times New Roman" w:cs="Times New Roman"/>
        </w:rPr>
        <w:t xml:space="preserve">but </w:t>
      </w:r>
      <w:r w:rsidR="00340907">
        <w:rPr>
          <w:rFonts w:ascii="Times New Roman" w:hAnsi="Times New Roman" w:cs="Times New Roman"/>
        </w:rPr>
        <w:t xml:space="preserve">only 16 respondents </w:t>
      </w:r>
      <w:r w:rsidRPr="00991596">
        <w:rPr>
          <w:rFonts w:ascii="Times New Roman" w:hAnsi="Times New Roman" w:cs="Times New Roman"/>
        </w:rPr>
        <w:t xml:space="preserve">indicated this.  It </w:t>
      </w:r>
      <w:r w:rsidR="00340907">
        <w:rPr>
          <w:rFonts w:ascii="Times New Roman" w:hAnsi="Times New Roman" w:cs="Times New Roman"/>
        </w:rPr>
        <w:t>indicates</w:t>
      </w:r>
      <w:r w:rsidRPr="00991596">
        <w:rPr>
          <w:rFonts w:ascii="Times New Roman" w:hAnsi="Times New Roman" w:cs="Times New Roman"/>
        </w:rPr>
        <w:t xml:space="preserve"> that nearly every user attempts to adjust F&amp;ES building climates</w:t>
      </w:r>
      <w:r w:rsidR="004364EC">
        <w:rPr>
          <w:rFonts w:ascii="Times New Roman" w:hAnsi="Times New Roman" w:cs="Times New Roman"/>
        </w:rPr>
        <w:t xml:space="preserve"> in at least some way</w:t>
      </w:r>
      <w:r w:rsidRPr="00991596">
        <w:rPr>
          <w:rFonts w:ascii="Times New Roman" w:hAnsi="Times New Roman" w:cs="Times New Roman"/>
        </w:rPr>
        <w:t xml:space="preserve">.  </w:t>
      </w:r>
      <w:r w:rsidR="00340907">
        <w:rPr>
          <w:rFonts w:ascii="Times New Roman" w:hAnsi="Times New Roman" w:cs="Times New Roman"/>
        </w:rPr>
        <w:t xml:space="preserve">Finally, Table 3 includes a </w:t>
      </w:r>
      <w:r w:rsidR="005A42B9">
        <w:rPr>
          <w:rFonts w:ascii="Times New Roman" w:hAnsi="Times New Roman" w:cs="Times New Roman"/>
        </w:rPr>
        <w:t>row</w:t>
      </w:r>
      <w:r w:rsidR="00340907">
        <w:rPr>
          <w:rFonts w:ascii="Times New Roman" w:hAnsi="Times New Roman" w:cs="Times New Roman"/>
        </w:rPr>
        <w:t xml:space="preserve"> reporting the percent of respondents who reply yes to the adaptive behavior</w:t>
      </w:r>
      <w:r w:rsidRPr="00991596">
        <w:rPr>
          <w:rFonts w:ascii="Times New Roman" w:hAnsi="Times New Roman" w:cs="Times New Roman"/>
        </w:rPr>
        <w:t>.</w:t>
      </w:r>
      <w:r w:rsidR="005A42B9">
        <w:rPr>
          <w:rFonts w:ascii="Times New Roman" w:hAnsi="Times New Roman" w:cs="Times New Roman"/>
        </w:rPr>
        <w:t xml:space="preserve">  Despite all the negative discussion of costly adaptation strategies, it is reassuring to note a far larger share of respondents adapt by less costly means for the building operator.  The largest share is found in adjusting clothing which has no impact on building energy usage. </w:t>
      </w:r>
    </w:p>
    <w:p w:rsidR="00C24EA7" w:rsidRPr="005B7536" w:rsidRDefault="00C24EA7" w:rsidP="005B7536">
      <w:pPr>
        <w:spacing w:after="120" w:line="240" w:lineRule="auto"/>
        <w:rPr>
          <w:rFonts w:ascii="Times New Roman" w:hAnsi="Times New Roman" w:cs="Times New Roman"/>
          <w:b/>
        </w:rPr>
      </w:pPr>
      <w:r w:rsidRPr="00991596">
        <w:rPr>
          <w:rFonts w:ascii="Times New Roman" w:hAnsi="Times New Roman" w:cs="Times New Roman"/>
        </w:rPr>
        <w:br w:type="page"/>
      </w:r>
      <w:r w:rsidR="00AB0CA7" w:rsidRPr="00AB0CA7">
        <w:rPr>
          <w:noProof/>
        </w:rPr>
        <w:lastRenderedPageBreak/>
        <w:drawing>
          <wp:inline distT="0" distB="0" distL="0" distR="0">
            <wp:extent cx="8229600" cy="3736335"/>
            <wp:effectExtent l="0" t="953"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229600" cy="3736335"/>
                    </a:xfrm>
                    <a:prstGeom prst="rect">
                      <a:avLst/>
                    </a:prstGeom>
                    <a:noFill/>
                    <a:ln>
                      <a:noFill/>
                    </a:ln>
                  </pic:spPr>
                </pic:pic>
              </a:graphicData>
            </a:graphic>
          </wp:inline>
        </w:drawing>
      </w:r>
    </w:p>
    <w:p w:rsidR="0042777B" w:rsidRDefault="0042777B" w:rsidP="00DF63AF">
      <w:pPr>
        <w:widowControl w:val="0"/>
        <w:autoSpaceDE w:val="0"/>
        <w:autoSpaceDN w:val="0"/>
        <w:adjustRightInd w:val="0"/>
        <w:spacing w:after="0" w:line="240" w:lineRule="auto"/>
        <w:rPr>
          <w:rFonts w:ascii="Times New Roman" w:hAnsi="Times New Roman" w:cs="Times New Roman"/>
        </w:rPr>
      </w:pPr>
    </w:p>
    <w:p w:rsidR="00652BE2" w:rsidRDefault="003E4D06" w:rsidP="007901B6">
      <w:pPr>
        <w:widowControl w:val="0"/>
        <w:autoSpaceDE w:val="0"/>
        <w:autoSpaceDN w:val="0"/>
        <w:adjustRightInd w:val="0"/>
        <w:spacing w:line="240" w:lineRule="auto"/>
        <w:rPr>
          <w:rFonts w:ascii="Times New Roman" w:hAnsi="Times New Roman" w:cs="Times New Roman"/>
        </w:rPr>
      </w:pPr>
      <w:r>
        <w:rPr>
          <w:rFonts w:ascii="Times New Roman" w:hAnsi="Times New Roman" w:cs="Times New Roman"/>
        </w:rPr>
        <w:t>A</w:t>
      </w:r>
      <w:r w:rsidR="00D25181" w:rsidRPr="00991596">
        <w:rPr>
          <w:rFonts w:ascii="Times New Roman" w:hAnsi="Times New Roman" w:cs="Times New Roman"/>
        </w:rPr>
        <w:t>nother perspective on adaptive behaviors</w:t>
      </w:r>
      <w:r>
        <w:rPr>
          <w:rFonts w:ascii="Times New Roman" w:hAnsi="Times New Roman" w:cs="Times New Roman"/>
        </w:rPr>
        <w:t xml:space="preserve"> is offered in Table 4</w:t>
      </w:r>
      <w:r w:rsidR="00D25181" w:rsidRPr="00991596">
        <w:rPr>
          <w:rFonts w:ascii="Times New Roman" w:hAnsi="Times New Roman" w:cs="Times New Roman"/>
        </w:rPr>
        <w:t xml:space="preserve">.  Here the dependent variable </w:t>
      </w:r>
      <w:r w:rsidR="00DF63AF" w:rsidRPr="00991596">
        <w:rPr>
          <w:rFonts w:ascii="Times New Roman" w:hAnsi="Times New Roman" w:cs="Times New Roman"/>
        </w:rPr>
        <w:t xml:space="preserve">is a count of </w:t>
      </w:r>
      <w:r>
        <w:rPr>
          <w:rFonts w:ascii="Times New Roman" w:hAnsi="Times New Roman" w:cs="Times New Roman"/>
        </w:rPr>
        <w:t xml:space="preserve">the </w:t>
      </w:r>
      <w:r w:rsidR="00DF63AF" w:rsidRPr="00991596">
        <w:rPr>
          <w:rFonts w:ascii="Times New Roman" w:hAnsi="Times New Roman" w:cs="Times New Roman"/>
        </w:rPr>
        <w:t>adaptiv</w:t>
      </w:r>
      <w:r w:rsidR="00F82B25">
        <w:rPr>
          <w:rFonts w:ascii="Times New Roman" w:hAnsi="Times New Roman" w:cs="Times New Roman"/>
        </w:rPr>
        <w:t xml:space="preserve">e behavior categories </w:t>
      </w:r>
      <w:r>
        <w:rPr>
          <w:rFonts w:ascii="Times New Roman" w:hAnsi="Times New Roman" w:cs="Times New Roman"/>
        </w:rPr>
        <w:t>from Table 3</w:t>
      </w:r>
      <w:r w:rsidR="00F82B25">
        <w:rPr>
          <w:rFonts w:ascii="Times New Roman" w:hAnsi="Times New Roman" w:cs="Times New Roman"/>
        </w:rPr>
        <w:t>.  This implicitly</w:t>
      </w:r>
      <w:r>
        <w:rPr>
          <w:rFonts w:ascii="Times New Roman" w:hAnsi="Times New Roman" w:cs="Times New Roman"/>
        </w:rPr>
        <w:t xml:space="preserve"> assumes</w:t>
      </w:r>
      <w:r w:rsidR="00D25181" w:rsidRPr="00991596">
        <w:rPr>
          <w:rFonts w:ascii="Times New Roman" w:hAnsi="Times New Roman" w:cs="Times New Roman"/>
        </w:rPr>
        <w:t xml:space="preserve"> equal importance</w:t>
      </w:r>
      <w:r w:rsidR="00F82B25">
        <w:rPr>
          <w:rFonts w:ascii="Times New Roman" w:hAnsi="Times New Roman" w:cs="Times New Roman"/>
        </w:rPr>
        <w:t xml:space="preserve"> of the behaviors</w:t>
      </w:r>
      <w:r w:rsidR="00D25181" w:rsidRPr="00991596">
        <w:rPr>
          <w:rFonts w:ascii="Times New Roman" w:hAnsi="Times New Roman" w:cs="Times New Roman"/>
        </w:rPr>
        <w:t xml:space="preserve"> which is not </w:t>
      </w:r>
      <w:r w:rsidR="000B0544" w:rsidRPr="00991596">
        <w:rPr>
          <w:rFonts w:ascii="Times New Roman" w:hAnsi="Times New Roman" w:cs="Times New Roman"/>
        </w:rPr>
        <w:t>accurate</w:t>
      </w:r>
      <w:r w:rsidR="00D25181" w:rsidRPr="00991596">
        <w:rPr>
          <w:rFonts w:ascii="Times New Roman" w:hAnsi="Times New Roman" w:cs="Times New Roman"/>
        </w:rPr>
        <w:t xml:space="preserve"> from a building efficiency perspective.</w:t>
      </w:r>
      <w:r w:rsidR="00F82B25">
        <w:rPr>
          <w:rFonts w:ascii="Times New Roman" w:hAnsi="Times New Roman" w:cs="Times New Roman"/>
        </w:rPr>
        <w:t xml:space="preserve">  The advantage, however, is to account for the number of potential adaptive behaviors engaged in by a representative individual.</w:t>
      </w:r>
      <w:r w:rsidR="00D25181" w:rsidRPr="00991596">
        <w:rPr>
          <w:rFonts w:ascii="Times New Roman" w:hAnsi="Times New Roman" w:cs="Times New Roman"/>
        </w:rPr>
        <w:t xml:space="preserve">  The </w:t>
      </w:r>
      <w:r w:rsidR="000B0544" w:rsidRPr="00991596">
        <w:rPr>
          <w:rFonts w:ascii="Times New Roman" w:hAnsi="Times New Roman" w:cs="Times New Roman"/>
        </w:rPr>
        <w:t>model</w:t>
      </w:r>
      <w:r w:rsidR="00D25181" w:rsidRPr="00991596">
        <w:rPr>
          <w:rFonts w:ascii="Times New Roman" w:hAnsi="Times New Roman" w:cs="Times New Roman"/>
        </w:rPr>
        <w:t xml:space="preserve"> </w:t>
      </w:r>
      <w:r w:rsidR="000B0544" w:rsidRPr="00991596">
        <w:rPr>
          <w:rFonts w:ascii="Times New Roman" w:hAnsi="Times New Roman" w:cs="Times New Roman"/>
        </w:rPr>
        <w:t xml:space="preserve">from equation (2) </w:t>
      </w:r>
      <w:r w:rsidR="00D25181" w:rsidRPr="00991596">
        <w:rPr>
          <w:rFonts w:ascii="Times New Roman" w:hAnsi="Times New Roman" w:cs="Times New Roman"/>
        </w:rPr>
        <w:t>is</w:t>
      </w:r>
      <w:r>
        <w:rPr>
          <w:rFonts w:ascii="Times New Roman" w:hAnsi="Times New Roman" w:cs="Times New Roman"/>
        </w:rPr>
        <w:t xml:space="preserve"> then</w:t>
      </w:r>
      <w:r w:rsidR="00D25181" w:rsidRPr="00991596">
        <w:rPr>
          <w:rFonts w:ascii="Times New Roman" w:hAnsi="Times New Roman" w:cs="Times New Roman"/>
        </w:rPr>
        <w:t xml:space="preserve"> </w:t>
      </w:r>
      <w:r w:rsidR="000B0544" w:rsidRPr="00991596">
        <w:rPr>
          <w:rFonts w:ascii="Times New Roman" w:hAnsi="Times New Roman" w:cs="Times New Roman"/>
        </w:rPr>
        <w:t>estimated</w:t>
      </w:r>
      <w:r w:rsidR="00D25181" w:rsidRPr="00991596">
        <w:rPr>
          <w:rFonts w:ascii="Times New Roman" w:hAnsi="Times New Roman" w:cs="Times New Roman"/>
        </w:rPr>
        <w:t xml:space="preserve"> </w:t>
      </w:r>
      <w:r w:rsidR="000B0544" w:rsidRPr="00991596">
        <w:rPr>
          <w:rFonts w:ascii="Times New Roman" w:hAnsi="Times New Roman" w:cs="Times New Roman"/>
        </w:rPr>
        <w:t>with</w:t>
      </w:r>
      <w:r w:rsidR="00D25181" w:rsidRPr="00991596">
        <w:rPr>
          <w:rFonts w:ascii="Times New Roman" w:hAnsi="Times New Roman" w:cs="Times New Roman"/>
        </w:rPr>
        <w:t xml:space="preserve"> a negative binomial regression </w:t>
      </w:r>
      <w:r w:rsidR="00F82B25">
        <w:rPr>
          <w:rFonts w:ascii="Times New Roman" w:hAnsi="Times New Roman" w:cs="Times New Roman"/>
        </w:rPr>
        <w:t>as</w:t>
      </w:r>
      <w:r w:rsidR="000B0544" w:rsidRPr="00991596">
        <w:rPr>
          <w:rFonts w:ascii="Times New Roman" w:hAnsi="Times New Roman" w:cs="Times New Roman"/>
        </w:rPr>
        <w:t xml:space="preserve"> appropriate for</w:t>
      </w:r>
      <w:r w:rsidR="00D25181" w:rsidRPr="00991596">
        <w:rPr>
          <w:rFonts w:ascii="Times New Roman" w:hAnsi="Times New Roman" w:cs="Times New Roman"/>
        </w:rPr>
        <w:t xml:space="preserve"> </w:t>
      </w:r>
      <w:r w:rsidR="000B0544" w:rsidRPr="00991596">
        <w:rPr>
          <w:rFonts w:ascii="Times New Roman" w:hAnsi="Times New Roman" w:cs="Times New Roman"/>
        </w:rPr>
        <w:t xml:space="preserve">survey </w:t>
      </w:r>
      <w:r w:rsidR="00D25181" w:rsidRPr="00991596">
        <w:rPr>
          <w:rFonts w:ascii="Times New Roman" w:hAnsi="Times New Roman" w:cs="Times New Roman"/>
        </w:rPr>
        <w:t>non-ordinal</w:t>
      </w:r>
      <w:r w:rsidR="000B0544" w:rsidRPr="00991596">
        <w:rPr>
          <w:rFonts w:ascii="Times New Roman" w:hAnsi="Times New Roman" w:cs="Times New Roman"/>
        </w:rPr>
        <w:t>,</w:t>
      </w:r>
      <w:r w:rsidR="00D25181" w:rsidRPr="00991596">
        <w:rPr>
          <w:rFonts w:ascii="Times New Roman" w:hAnsi="Times New Roman" w:cs="Times New Roman"/>
        </w:rPr>
        <w:t xml:space="preserve"> count dependent</w:t>
      </w:r>
      <w:r w:rsidR="000B0544" w:rsidRPr="00991596">
        <w:rPr>
          <w:rFonts w:ascii="Times New Roman" w:hAnsi="Times New Roman" w:cs="Times New Roman"/>
        </w:rPr>
        <w:t xml:space="preserve"> </w:t>
      </w:r>
      <w:r w:rsidR="00D25181" w:rsidRPr="00991596">
        <w:rPr>
          <w:rFonts w:ascii="Times New Roman" w:hAnsi="Times New Roman" w:cs="Times New Roman"/>
        </w:rPr>
        <w:t>variable</w:t>
      </w:r>
      <w:r w:rsidR="000B0544" w:rsidRPr="00991596">
        <w:rPr>
          <w:rFonts w:ascii="Times New Roman" w:hAnsi="Times New Roman" w:cs="Times New Roman"/>
        </w:rPr>
        <w:t>s</w:t>
      </w:r>
      <w:r w:rsidR="00D25181" w:rsidRPr="00991596">
        <w:rPr>
          <w:rFonts w:ascii="Times New Roman" w:hAnsi="Times New Roman" w:cs="Times New Roman"/>
        </w:rPr>
        <w:t>.  Note ag</w:t>
      </w:r>
      <w:r w:rsidR="000B0544" w:rsidRPr="00991596">
        <w:rPr>
          <w:rFonts w:ascii="Times New Roman" w:hAnsi="Times New Roman" w:cs="Times New Roman"/>
        </w:rPr>
        <w:t xml:space="preserve">ain the significance of </w:t>
      </w:r>
      <w:r w:rsidR="000B0544" w:rsidRPr="001934F8">
        <w:rPr>
          <w:rFonts w:ascii="Times New Roman" w:hAnsi="Times New Roman" w:cs="Times New Roman"/>
          <w:i/>
        </w:rPr>
        <w:t xml:space="preserve">Office </w:t>
      </w:r>
      <w:r w:rsidR="000B0544" w:rsidRPr="00991596">
        <w:rPr>
          <w:rFonts w:ascii="Times New Roman" w:hAnsi="Times New Roman" w:cs="Times New Roman"/>
        </w:rPr>
        <w:t xml:space="preserve">and </w:t>
      </w:r>
      <w:r w:rsidR="000B0544" w:rsidRPr="001934F8">
        <w:rPr>
          <w:rFonts w:ascii="Times New Roman" w:hAnsi="Times New Roman" w:cs="Times New Roman"/>
          <w:i/>
        </w:rPr>
        <w:t>Female</w:t>
      </w:r>
      <w:r w:rsidR="001934F8">
        <w:rPr>
          <w:rFonts w:ascii="Times New Roman" w:hAnsi="Times New Roman" w:cs="Times New Roman"/>
        </w:rPr>
        <w:t xml:space="preserve"> but</w:t>
      </w:r>
      <w:r w:rsidR="000B0544" w:rsidRPr="00991596">
        <w:rPr>
          <w:rFonts w:ascii="Times New Roman" w:hAnsi="Times New Roman" w:cs="Times New Roman"/>
        </w:rPr>
        <w:t xml:space="preserve"> not </w:t>
      </w:r>
      <w:r w:rsidR="000B0544" w:rsidRPr="001934F8">
        <w:rPr>
          <w:rFonts w:ascii="Times New Roman" w:hAnsi="Times New Roman" w:cs="Times New Roman"/>
          <w:i/>
        </w:rPr>
        <w:t>Kroon</w:t>
      </w:r>
      <w:r w:rsidR="001934F8">
        <w:rPr>
          <w:rFonts w:ascii="Times New Roman" w:hAnsi="Times New Roman" w:cs="Times New Roman"/>
          <w:i/>
        </w:rPr>
        <w:t xml:space="preserve"> Hall</w:t>
      </w:r>
      <w:r w:rsidR="000B0544" w:rsidRPr="00991596">
        <w:rPr>
          <w:rFonts w:ascii="Times New Roman" w:hAnsi="Times New Roman" w:cs="Times New Roman"/>
        </w:rPr>
        <w:t xml:space="preserve"> or </w:t>
      </w:r>
      <w:r w:rsidR="001934F8">
        <w:rPr>
          <w:rFonts w:ascii="Times New Roman" w:hAnsi="Times New Roman" w:cs="Times New Roman"/>
        </w:rPr>
        <w:t xml:space="preserve">interaction term </w:t>
      </w:r>
      <w:r w:rsidR="000B0544" w:rsidRPr="001934F8">
        <w:rPr>
          <w:rFonts w:ascii="Times New Roman" w:hAnsi="Times New Roman" w:cs="Times New Roman"/>
          <w:i/>
        </w:rPr>
        <w:t>Kroon</w:t>
      </w:r>
      <w:r w:rsidR="001934F8" w:rsidRPr="001934F8">
        <w:rPr>
          <w:rFonts w:ascii="Times New Roman" w:hAnsi="Times New Roman" w:cs="Times New Roman"/>
          <w:i/>
        </w:rPr>
        <w:t>*O</w:t>
      </w:r>
      <w:r w:rsidR="000B0544" w:rsidRPr="001934F8">
        <w:rPr>
          <w:rFonts w:ascii="Times New Roman" w:hAnsi="Times New Roman" w:cs="Times New Roman"/>
          <w:i/>
        </w:rPr>
        <w:t>ffice</w:t>
      </w:r>
      <w:r w:rsidR="00D25181" w:rsidRPr="00991596">
        <w:rPr>
          <w:rFonts w:ascii="Times New Roman" w:hAnsi="Times New Roman" w:cs="Times New Roman"/>
        </w:rPr>
        <w:t xml:space="preserve">.  Both office </w:t>
      </w:r>
      <w:r w:rsidR="007901B6">
        <w:rPr>
          <w:rFonts w:ascii="Times New Roman" w:hAnsi="Times New Roman" w:cs="Times New Roman"/>
        </w:rPr>
        <w:t>users</w:t>
      </w:r>
      <w:r w:rsidR="00D25181" w:rsidRPr="00991596">
        <w:rPr>
          <w:rFonts w:ascii="Times New Roman" w:hAnsi="Times New Roman" w:cs="Times New Roman"/>
        </w:rPr>
        <w:t xml:space="preserve"> and </w:t>
      </w:r>
      <w:r w:rsidR="007901B6">
        <w:rPr>
          <w:rFonts w:ascii="Times New Roman" w:hAnsi="Times New Roman" w:cs="Times New Roman"/>
        </w:rPr>
        <w:t>women</w:t>
      </w:r>
      <w:r w:rsidR="00D25181" w:rsidRPr="00991596">
        <w:rPr>
          <w:rFonts w:ascii="Times New Roman" w:hAnsi="Times New Roman" w:cs="Times New Roman"/>
        </w:rPr>
        <w:t xml:space="preserve"> </w:t>
      </w:r>
      <w:r w:rsidR="000B0544" w:rsidRPr="00991596">
        <w:rPr>
          <w:rFonts w:ascii="Times New Roman" w:hAnsi="Times New Roman" w:cs="Times New Roman"/>
        </w:rPr>
        <w:t>are more likely to</w:t>
      </w:r>
      <w:r w:rsidR="00D25181" w:rsidRPr="00991596">
        <w:rPr>
          <w:rFonts w:ascii="Times New Roman" w:hAnsi="Times New Roman" w:cs="Times New Roman"/>
        </w:rPr>
        <w:t xml:space="preserve"> engage in a greater variety of</w:t>
      </w:r>
      <w:r w:rsidR="007901B6">
        <w:rPr>
          <w:rFonts w:ascii="Times New Roman" w:hAnsi="Times New Roman" w:cs="Times New Roman"/>
        </w:rPr>
        <w:t xml:space="preserve"> adaptive</w:t>
      </w:r>
      <w:r w:rsidR="00D25181" w:rsidRPr="00991596">
        <w:rPr>
          <w:rFonts w:ascii="Times New Roman" w:hAnsi="Times New Roman" w:cs="Times New Roman"/>
        </w:rPr>
        <w:t xml:space="preserve"> behaviors</w:t>
      </w:r>
      <w:r w:rsidR="007901B6">
        <w:rPr>
          <w:rFonts w:ascii="Times New Roman" w:hAnsi="Times New Roman" w:cs="Times New Roman"/>
        </w:rPr>
        <w:t>.</w:t>
      </w:r>
    </w:p>
    <w:tbl>
      <w:tblPr>
        <w:tblW w:w="6300" w:type="dxa"/>
        <w:tblLook w:val="04A0" w:firstRow="1" w:lastRow="0" w:firstColumn="1" w:lastColumn="0" w:noHBand="0" w:noVBand="1"/>
      </w:tblPr>
      <w:tblGrid>
        <w:gridCol w:w="3690"/>
        <w:gridCol w:w="1260"/>
        <w:gridCol w:w="1350"/>
      </w:tblGrid>
      <w:tr w:rsidR="00683089" w:rsidRPr="00683089" w:rsidTr="00683089">
        <w:trPr>
          <w:trHeight w:val="300"/>
        </w:trPr>
        <w:tc>
          <w:tcPr>
            <w:tcW w:w="6300" w:type="dxa"/>
            <w:gridSpan w:val="3"/>
            <w:tcBorders>
              <w:top w:val="nil"/>
              <w:left w:val="nil"/>
              <w:bottom w:val="nil"/>
              <w:right w:val="nil"/>
            </w:tcBorders>
            <w:shd w:val="clear" w:color="000000" w:fill="D0CECE"/>
            <w:noWrap/>
            <w:hideMark/>
          </w:tcPr>
          <w:p w:rsidR="00683089" w:rsidRPr="00683089" w:rsidRDefault="00683089" w:rsidP="00683089">
            <w:pPr>
              <w:spacing w:after="0" w:line="240" w:lineRule="auto"/>
              <w:rPr>
                <w:rFonts w:ascii="Times New Roman" w:eastAsia="Times New Roman" w:hAnsi="Times New Roman" w:cs="Times New Roman"/>
                <w:b/>
                <w:bCs/>
                <w:color w:val="000000"/>
              </w:rPr>
            </w:pPr>
            <w:r w:rsidRPr="00683089">
              <w:rPr>
                <w:rFonts w:ascii="Times New Roman" w:eastAsia="Times New Roman" w:hAnsi="Times New Roman" w:cs="Times New Roman"/>
                <w:b/>
                <w:bCs/>
                <w:color w:val="000000"/>
              </w:rPr>
              <w:t xml:space="preserve">Table </w:t>
            </w:r>
            <w:r w:rsidR="007901B6">
              <w:rPr>
                <w:rFonts w:ascii="Times New Roman" w:eastAsia="Times New Roman" w:hAnsi="Times New Roman" w:cs="Times New Roman"/>
                <w:b/>
                <w:bCs/>
                <w:color w:val="000000"/>
              </w:rPr>
              <w:t>4</w:t>
            </w:r>
            <w:r w:rsidRPr="00683089">
              <w:rPr>
                <w:rFonts w:ascii="Times New Roman" w:eastAsia="Times New Roman" w:hAnsi="Times New Roman" w:cs="Times New Roman"/>
                <w:b/>
                <w:bCs/>
                <w:color w:val="000000"/>
              </w:rPr>
              <w:t xml:space="preserve"> | Count of adaptive behavior</w:t>
            </w:r>
          </w:p>
        </w:tc>
      </w:tr>
      <w:tr w:rsidR="00683089" w:rsidRPr="00683089" w:rsidTr="00683089">
        <w:trPr>
          <w:trHeight w:val="300"/>
        </w:trPr>
        <w:tc>
          <w:tcPr>
            <w:tcW w:w="3690" w:type="dxa"/>
            <w:tcBorders>
              <w:top w:val="single" w:sz="4" w:space="0" w:color="auto"/>
              <w:left w:val="nil"/>
              <w:bottom w:val="single" w:sz="4" w:space="0" w:color="auto"/>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Variable</w:t>
            </w:r>
          </w:p>
        </w:tc>
        <w:tc>
          <w:tcPr>
            <w:tcW w:w="1260" w:type="dxa"/>
            <w:tcBorders>
              <w:top w:val="single" w:sz="4" w:space="0" w:color="auto"/>
              <w:left w:val="nil"/>
              <w:bottom w:val="single" w:sz="4" w:space="0" w:color="auto"/>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proofErr w:type="spellStart"/>
            <w:r w:rsidRPr="00683089">
              <w:rPr>
                <w:rFonts w:ascii="Times New Roman" w:eastAsia="Times New Roman" w:hAnsi="Times New Roman" w:cs="Times New Roman"/>
                <w:color w:val="000000"/>
              </w:rPr>
              <w:t>nbreg</w:t>
            </w:r>
            <w:proofErr w:type="spellEnd"/>
          </w:p>
        </w:tc>
        <w:tc>
          <w:tcPr>
            <w:tcW w:w="1350" w:type="dxa"/>
            <w:tcBorders>
              <w:top w:val="single" w:sz="4" w:space="0" w:color="auto"/>
              <w:left w:val="nil"/>
              <w:bottom w:val="single" w:sz="4" w:space="0" w:color="auto"/>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proofErr w:type="spellStart"/>
            <w:r w:rsidRPr="00683089">
              <w:rPr>
                <w:rFonts w:ascii="Times New Roman" w:eastAsia="Times New Roman" w:hAnsi="Times New Roman" w:cs="Times New Roman"/>
                <w:color w:val="000000"/>
              </w:rPr>
              <w:t>nbreg</w:t>
            </w:r>
            <w:proofErr w:type="spellEnd"/>
            <w:r w:rsidRPr="00683089">
              <w:rPr>
                <w:rFonts w:ascii="Times New Roman" w:eastAsia="Times New Roman" w:hAnsi="Times New Roman" w:cs="Times New Roman"/>
                <w:color w:val="000000"/>
              </w:rPr>
              <w:t xml:space="preserve"> IRR</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Kroon Hall</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-0.127</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0.881</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(0.124)</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(0.109)</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Kroon*Office</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0.103</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1.109</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(0.153)</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(0.170)</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Office</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0.401***</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1.493***</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(0.124)</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(0.186)</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Age</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0.004</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1.004</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(0.003)</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(0.003)</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Female</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0.165***</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1.180***</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(0.061)</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(0.072)</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Constant</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0.738***</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2.091***</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 </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(0.158)</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(0.330)</w:t>
            </w:r>
          </w:p>
        </w:tc>
      </w:tr>
      <w:tr w:rsidR="00683089" w:rsidRPr="00683089" w:rsidTr="00683089">
        <w:trPr>
          <w:trHeight w:val="300"/>
        </w:trPr>
        <w:tc>
          <w:tcPr>
            <w:tcW w:w="3690" w:type="dxa"/>
            <w:tcBorders>
              <w:top w:val="single" w:sz="4" w:space="0" w:color="auto"/>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r w:rsidRPr="00683089">
              <w:rPr>
                <w:rFonts w:ascii="Times New Roman" w:eastAsia="Times New Roman" w:hAnsi="Times New Roman" w:cs="Times New Roman"/>
                <w:color w:val="000000"/>
              </w:rPr>
              <w:t>Combination:</w:t>
            </w:r>
          </w:p>
        </w:tc>
        <w:tc>
          <w:tcPr>
            <w:tcW w:w="1260" w:type="dxa"/>
            <w:tcBorders>
              <w:top w:val="single" w:sz="4" w:space="0" w:color="auto"/>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-0.021</w:t>
            </w:r>
          </w:p>
        </w:tc>
        <w:tc>
          <w:tcPr>
            <w:tcW w:w="1350" w:type="dxa"/>
            <w:tcBorders>
              <w:top w:val="single" w:sz="4" w:space="0" w:color="auto"/>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w:t>
            </w:r>
          </w:p>
        </w:tc>
      </w:tr>
      <w:tr w:rsidR="00683089" w:rsidRPr="00683089" w:rsidTr="00683089">
        <w:trPr>
          <w:trHeight w:val="300"/>
        </w:trPr>
        <w:tc>
          <w:tcPr>
            <w:tcW w:w="369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rPr>
                <w:rFonts w:ascii="Times New Roman" w:eastAsia="Times New Roman" w:hAnsi="Times New Roman" w:cs="Times New Roman"/>
                <w:color w:val="000000"/>
              </w:rPr>
            </w:pPr>
            <w:proofErr w:type="spellStart"/>
            <w:r w:rsidRPr="00683089">
              <w:rPr>
                <w:rFonts w:ascii="Times New Roman" w:eastAsia="Times New Roman" w:hAnsi="Times New Roman" w:cs="Times New Roman"/>
                <w:color w:val="000000"/>
              </w:rPr>
              <w:t>Kroon+Kroon</w:t>
            </w:r>
            <w:proofErr w:type="spellEnd"/>
            <w:r w:rsidRPr="00683089">
              <w:rPr>
                <w:rFonts w:ascii="Times New Roman" w:eastAsia="Times New Roman" w:hAnsi="Times New Roman" w:cs="Times New Roman"/>
                <w:color w:val="000000"/>
              </w:rPr>
              <w:t>*Office</w:t>
            </w:r>
          </w:p>
        </w:tc>
        <w:tc>
          <w:tcPr>
            <w:tcW w:w="126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(0.087)</w:t>
            </w:r>
          </w:p>
        </w:tc>
        <w:tc>
          <w:tcPr>
            <w:tcW w:w="1350" w:type="dxa"/>
            <w:tcBorders>
              <w:top w:val="nil"/>
              <w:left w:val="nil"/>
              <w:bottom w:val="nil"/>
              <w:right w:val="nil"/>
            </w:tcBorders>
            <w:shd w:val="clear" w:color="000000" w:fill="F2F2F2"/>
            <w:vAlign w:val="center"/>
            <w:hideMark/>
          </w:tcPr>
          <w:p w:rsidR="00683089" w:rsidRPr="00683089" w:rsidRDefault="00683089" w:rsidP="00683089">
            <w:pPr>
              <w:spacing w:after="0" w:line="240" w:lineRule="auto"/>
              <w:jc w:val="center"/>
              <w:rPr>
                <w:rFonts w:ascii="Times New Roman" w:eastAsia="Times New Roman" w:hAnsi="Times New Roman" w:cs="Times New Roman"/>
                <w:color w:val="000000"/>
              </w:rPr>
            </w:pPr>
            <w:r w:rsidRPr="00683089">
              <w:rPr>
                <w:rFonts w:ascii="Times New Roman" w:eastAsia="Times New Roman" w:hAnsi="Times New Roman" w:cs="Times New Roman"/>
                <w:color w:val="000000"/>
              </w:rPr>
              <w:t>-</w:t>
            </w:r>
          </w:p>
        </w:tc>
      </w:tr>
      <w:tr w:rsidR="00683089" w:rsidRPr="00683089" w:rsidTr="00DD6E23">
        <w:trPr>
          <w:trHeight w:val="260"/>
        </w:trPr>
        <w:tc>
          <w:tcPr>
            <w:tcW w:w="6300" w:type="dxa"/>
            <w:gridSpan w:val="3"/>
            <w:tcBorders>
              <w:top w:val="single" w:sz="4" w:space="0" w:color="auto"/>
              <w:left w:val="nil"/>
              <w:bottom w:val="nil"/>
              <w:right w:val="nil"/>
            </w:tcBorders>
            <w:shd w:val="clear" w:color="000000" w:fill="F2F2F2"/>
            <w:hideMark/>
          </w:tcPr>
          <w:p w:rsidR="00683089" w:rsidRPr="00683089" w:rsidRDefault="00683089" w:rsidP="00683089">
            <w:pPr>
              <w:spacing w:after="0" w:line="240" w:lineRule="auto"/>
              <w:rPr>
                <w:rFonts w:ascii="Times New Roman" w:eastAsia="Times New Roman" w:hAnsi="Times New Roman" w:cs="Times New Roman"/>
                <w:color w:val="000000"/>
                <w:sz w:val="18"/>
                <w:szCs w:val="18"/>
              </w:rPr>
            </w:pPr>
            <w:r w:rsidRPr="00683089">
              <w:rPr>
                <w:rFonts w:ascii="Times New Roman" w:eastAsia="Times New Roman" w:hAnsi="Times New Roman" w:cs="Times New Roman"/>
                <w:color w:val="000000"/>
                <w:sz w:val="18"/>
                <w:szCs w:val="18"/>
              </w:rPr>
              <w:t>259 observations. Standard errors in parentheses: *** p&lt;0.01, ** p&lt;0.05, * p&lt;0.1</w:t>
            </w:r>
            <w:r w:rsidR="00AD372D">
              <w:rPr>
                <w:rFonts w:ascii="Times New Roman" w:eastAsia="Times New Roman" w:hAnsi="Times New Roman" w:cs="Times New Roman"/>
                <w:color w:val="000000"/>
                <w:sz w:val="18"/>
                <w:szCs w:val="18"/>
              </w:rPr>
              <w:t>. F-statistic of 19.88</w:t>
            </w:r>
            <w:r w:rsidR="007C7AB4">
              <w:rPr>
                <w:rFonts w:ascii="Times New Roman" w:eastAsia="Times New Roman" w:hAnsi="Times New Roman" w:cs="Times New Roman"/>
                <w:color w:val="000000"/>
                <w:sz w:val="18"/>
                <w:szCs w:val="18"/>
              </w:rPr>
              <w:t>.</w:t>
            </w:r>
          </w:p>
        </w:tc>
      </w:tr>
    </w:tbl>
    <w:p w:rsidR="00683089" w:rsidRDefault="007901B6" w:rsidP="007901B6">
      <w:pPr>
        <w:widowControl w:val="0"/>
        <w:autoSpaceDE w:val="0"/>
        <w:autoSpaceDN w:val="0"/>
        <w:adjustRightInd w:val="0"/>
        <w:spacing w:before="240" w:line="240" w:lineRule="auto"/>
        <w:rPr>
          <w:rFonts w:ascii="Times New Roman" w:hAnsi="Times New Roman" w:cs="Times New Roman"/>
        </w:rPr>
      </w:pPr>
      <w:r>
        <w:rPr>
          <w:rFonts w:ascii="Times New Roman" w:hAnsi="Times New Roman" w:cs="Times New Roman"/>
        </w:rPr>
        <w:t>Figure 1 attempts to display the identifying variation, or lack of, graphically.  The 2-by-2 matrix of office and Kroon Hall statuses are graphed separately.  The share of respondents indicating each count of adaptive behavior is compared.  Generally shares of office workers select the same count of adaptive behaviors, and similarly so for non-office members of F&amp;ES, regardless of building.</w:t>
      </w: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348"/>
      </w:tblGrid>
      <w:tr w:rsidR="008C2655" w:rsidTr="007901B6">
        <w:tc>
          <w:tcPr>
            <w:tcW w:w="9792" w:type="dxa"/>
            <w:gridSpan w:val="2"/>
          </w:tcPr>
          <w:p w:rsidR="008C2655" w:rsidRDefault="00DF08EF" w:rsidP="00385FE6">
            <w:pPr>
              <w:widowControl w:val="0"/>
              <w:autoSpaceDE w:val="0"/>
              <w:autoSpaceDN w:val="0"/>
              <w:adjustRightInd w:val="0"/>
              <w:rPr>
                <w:rFonts w:ascii="Times New Roman" w:hAnsi="Times New Roman" w:cs="Times New Roman"/>
              </w:rPr>
            </w:pPr>
            <w:r>
              <w:rPr>
                <w:noProof/>
              </w:rPr>
              <w:lastRenderedPageBreak/>
              <w:drawing>
                <wp:inline distT="0" distB="0" distL="0" distR="0" wp14:anchorId="377A64DA" wp14:editId="3B394C5A">
                  <wp:extent cx="5943600" cy="3200400"/>
                  <wp:effectExtent l="0" t="0" r="0" b="0"/>
                  <wp:docPr id="1" name="Chart 1">
                    <a:extLst xmlns:a="http://schemas.openxmlformats.org/drawingml/2006/main">
                      <a:ext uri="{FF2B5EF4-FFF2-40B4-BE49-F238E27FC236}">
                        <a16:creationId xmlns:a16="http://schemas.microsoft.com/office/drawing/2014/main" id="{A6FF4DD9-11F0-47F5-9C66-03356A3782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8C2655" w:rsidTr="007901B6">
        <w:trPr>
          <w:gridAfter w:val="1"/>
          <w:wAfter w:w="348" w:type="dxa"/>
          <w:trHeight w:val="342"/>
        </w:trPr>
        <w:tc>
          <w:tcPr>
            <w:tcW w:w="9444" w:type="dxa"/>
          </w:tcPr>
          <w:p w:rsidR="008C2655" w:rsidRPr="008C2655" w:rsidRDefault="008C2655" w:rsidP="008C2655">
            <w:pPr>
              <w:widowControl w:val="0"/>
              <w:autoSpaceDE w:val="0"/>
              <w:autoSpaceDN w:val="0"/>
              <w:adjustRightInd w:val="0"/>
              <w:rPr>
                <w:rFonts w:ascii="Times New Roman" w:hAnsi="Times New Roman" w:cs="Times New Roman"/>
                <w:b/>
              </w:rPr>
            </w:pPr>
            <w:r>
              <w:rPr>
                <w:rFonts w:ascii="Times New Roman" w:hAnsi="Times New Roman" w:cs="Times New Roman"/>
                <w:b/>
              </w:rPr>
              <w:t>Figure 1 |</w:t>
            </w:r>
            <w:r w:rsidRPr="008C2655">
              <w:rPr>
                <w:rFonts w:ascii="Times New Roman" w:hAnsi="Times New Roman" w:cs="Times New Roman"/>
                <w:b/>
              </w:rPr>
              <w:t xml:space="preserve"> Respondent engageme</w:t>
            </w:r>
            <w:r>
              <w:rPr>
                <w:rFonts w:ascii="Times New Roman" w:hAnsi="Times New Roman" w:cs="Times New Roman"/>
                <w:b/>
              </w:rPr>
              <w:t>nt in adaptive behavior</w:t>
            </w:r>
          </w:p>
        </w:tc>
      </w:tr>
    </w:tbl>
    <w:p w:rsidR="00474938" w:rsidRPr="00422F9C" w:rsidRDefault="007901B6" w:rsidP="007901B6">
      <w:pPr>
        <w:rPr>
          <w:rFonts w:ascii="Times New Roman" w:hAnsi="Times New Roman" w:cs="Times New Roman"/>
          <w:color w:val="000000"/>
        </w:rPr>
      </w:pPr>
      <w:r>
        <w:rPr>
          <w:rFonts w:ascii="Times New Roman" w:hAnsi="Times New Roman" w:cs="Times New Roman"/>
        </w:rPr>
        <w:t xml:space="preserve">The remaining results are relevant to Yale F&amp;ES rather than the general population.  First, </w:t>
      </w:r>
      <w:r>
        <w:rPr>
          <w:rFonts w:ascii="Times New Roman" w:hAnsi="Times New Roman" w:cs="Times New Roman"/>
          <w:color w:val="000000"/>
        </w:rPr>
        <w:t>w</w:t>
      </w:r>
      <w:r w:rsidR="00F90FB9" w:rsidRPr="00422F9C">
        <w:rPr>
          <w:rFonts w:ascii="Times New Roman" w:hAnsi="Times New Roman" w:cs="Times New Roman"/>
          <w:color w:val="000000"/>
        </w:rPr>
        <w:t>hat are the probabilities of selecting each satisfaction level for different groups in Kroon?</w:t>
      </w:r>
      <w:r>
        <w:rPr>
          <w:rFonts w:ascii="Times New Roman" w:hAnsi="Times New Roman" w:cs="Times New Roman"/>
          <w:color w:val="000000"/>
        </w:rPr>
        <w:t xml:space="preserve">  Margins on satisfaction with thermal comfort are calculated for the Kroon Hall subgroup, combined and by subcategory.  W</w:t>
      </w:r>
      <w:r w:rsidRPr="00991596">
        <w:rPr>
          <w:rFonts w:ascii="Times New Roman" w:hAnsi="Times New Roman" w:cs="Times New Roman"/>
          <w:color w:val="000000"/>
        </w:rPr>
        <w:t>e see</w:t>
      </w:r>
      <w:r>
        <w:rPr>
          <w:rFonts w:ascii="Times New Roman" w:hAnsi="Times New Roman" w:cs="Times New Roman"/>
          <w:color w:val="000000"/>
        </w:rPr>
        <w:t xml:space="preserve"> that</w:t>
      </w:r>
      <w:r w:rsidRPr="00991596">
        <w:rPr>
          <w:rFonts w:ascii="Times New Roman" w:hAnsi="Times New Roman" w:cs="Times New Roman"/>
          <w:color w:val="000000"/>
        </w:rPr>
        <w:t xml:space="preserve"> students</w:t>
      </w:r>
      <w:r>
        <w:rPr>
          <w:rFonts w:ascii="Times New Roman" w:hAnsi="Times New Roman" w:cs="Times New Roman"/>
          <w:color w:val="000000"/>
        </w:rPr>
        <w:t>- those without offices,</w:t>
      </w:r>
      <w:r w:rsidRPr="00991596">
        <w:rPr>
          <w:rFonts w:ascii="Times New Roman" w:hAnsi="Times New Roman" w:cs="Times New Roman"/>
          <w:color w:val="000000"/>
        </w:rPr>
        <w:t xml:space="preserve"> are more likely to select higher satisfac</w:t>
      </w:r>
      <w:r>
        <w:rPr>
          <w:rFonts w:ascii="Times New Roman" w:hAnsi="Times New Roman" w:cs="Times New Roman"/>
          <w:color w:val="000000"/>
        </w:rPr>
        <w:t>tion levels for thermal comfort.  However,</w:t>
      </w:r>
      <w:r w:rsidRPr="00991596">
        <w:rPr>
          <w:rFonts w:ascii="Times New Roman" w:hAnsi="Times New Roman" w:cs="Times New Roman"/>
          <w:color w:val="000000"/>
        </w:rPr>
        <w:t xml:space="preserve"> both students and faculty of Kroon</w:t>
      </w:r>
      <w:r>
        <w:rPr>
          <w:rFonts w:ascii="Times New Roman" w:hAnsi="Times New Roman" w:cs="Times New Roman"/>
          <w:color w:val="000000"/>
        </w:rPr>
        <w:t xml:space="preserve"> Hall</w:t>
      </w:r>
      <w:r w:rsidRPr="00991596">
        <w:rPr>
          <w:rFonts w:ascii="Times New Roman" w:hAnsi="Times New Roman" w:cs="Times New Roman"/>
          <w:color w:val="000000"/>
        </w:rPr>
        <w:t xml:space="preserve"> are select a lev</w:t>
      </w:r>
      <w:r>
        <w:rPr>
          <w:rFonts w:ascii="Times New Roman" w:hAnsi="Times New Roman" w:cs="Times New Roman"/>
          <w:color w:val="000000"/>
        </w:rPr>
        <w:t>el of 4 which was labeled in t</w:t>
      </w:r>
      <w:r w:rsidR="005B4BAA">
        <w:rPr>
          <w:rFonts w:ascii="Times New Roman" w:hAnsi="Times New Roman" w:cs="Times New Roman"/>
          <w:color w:val="000000"/>
        </w:rPr>
        <w:t>he survey as somewhat satisfied most often.</w:t>
      </w:r>
    </w:p>
    <w:tbl>
      <w:tblPr>
        <w:tblW w:w="5000" w:type="pct"/>
        <w:tblLook w:val="04A0" w:firstRow="1" w:lastRow="0" w:firstColumn="1" w:lastColumn="0" w:noHBand="0" w:noVBand="1"/>
      </w:tblPr>
      <w:tblGrid>
        <w:gridCol w:w="1654"/>
        <w:gridCol w:w="2169"/>
        <w:gridCol w:w="2939"/>
        <w:gridCol w:w="2598"/>
      </w:tblGrid>
      <w:tr w:rsidR="00474938" w:rsidRPr="00474938" w:rsidTr="00474938">
        <w:trPr>
          <w:trHeight w:val="300"/>
        </w:trPr>
        <w:tc>
          <w:tcPr>
            <w:tcW w:w="5000" w:type="pct"/>
            <w:gridSpan w:val="4"/>
            <w:tcBorders>
              <w:top w:val="nil"/>
              <w:left w:val="nil"/>
              <w:bottom w:val="nil"/>
              <w:right w:val="nil"/>
            </w:tcBorders>
            <w:shd w:val="clear" w:color="000000" w:fill="D0CECE"/>
            <w:noWrap/>
            <w:hideMark/>
          </w:tcPr>
          <w:p w:rsidR="00474938" w:rsidRPr="00474938" w:rsidRDefault="007901B6" w:rsidP="00B972AC">
            <w:pPr>
              <w:keepNext/>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5</w:t>
            </w:r>
            <w:r w:rsidR="00474938" w:rsidRPr="00474938">
              <w:rPr>
                <w:rFonts w:ascii="Times New Roman" w:eastAsia="Times New Roman" w:hAnsi="Times New Roman" w:cs="Times New Roman"/>
                <w:b/>
                <w:bCs/>
                <w:color w:val="000000"/>
              </w:rPr>
              <w:t xml:space="preserve"> | Ordered </w:t>
            </w:r>
            <w:proofErr w:type="spellStart"/>
            <w:r w:rsidR="00474938" w:rsidRPr="00474938">
              <w:rPr>
                <w:rFonts w:ascii="Times New Roman" w:eastAsia="Times New Roman" w:hAnsi="Times New Roman" w:cs="Times New Roman"/>
                <w:b/>
                <w:bCs/>
                <w:color w:val="000000"/>
              </w:rPr>
              <w:t>probit</w:t>
            </w:r>
            <w:proofErr w:type="spellEnd"/>
            <w:r w:rsidR="00474938" w:rsidRPr="00474938">
              <w:rPr>
                <w:rFonts w:ascii="Times New Roman" w:eastAsia="Times New Roman" w:hAnsi="Times New Roman" w:cs="Times New Roman"/>
                <w:b/>
                <w:bCs/>
                <w:color w:val="000000"/>
              </w:rPr>
              <w:t xml:space="preserve"> margins on satisfaction with thermal comfort</w:t>
            </w:r>
          </w:p>
        </w:tc>
      </w:tr>
      <w:tr w:rsidR="003908D8" w:rsidRPr="00474938" w:rsidTr="003908D8">
        <w:trPr>
          <w:trHeight w:val="300"/>
        </w:trPr>
        <w:tc>
          <w:tcPr>
            <w:tcW w:w="865" w:type="pct"/>
            <w:tcBorders>
              <w:top w:val="single" w:sz="4" w:space="0" w:color="auto"/>
              <w:left w:val="nil"/>
              <w:bottom w:val="nil"/>
              <w:right w:val="nil"/>
            </w:tcBorders>
            <w:shd w:val="clear" w:color="000000" w:fill="F2F2F2"/>
            <w:vAlign w:val="center"/>
            <w:hideMark/>
          </w:tcPr>
          <w:p w:rsidR="00474938" w:rsidRPr="00474938" w:rsidRDefault="00474938" w:rsidP="00B972AC">
            <w:pPr>
              <w:keepNext/>
              <w:spacing w:after="0" w:line="240" w:lineRule="auto"/>
              <w:rPr>
                <w:rFonts w:ascii="Times New Roman" w:eastAsia="Times New Roman" w:hAnsi="Times New Roman" w:cs="Times New Roman"/>
                <w:color w:val="000000"/>
              </w:rPr>
            </w:pPr>
            <w:r w:rsidRPr="00474938">
              <w:rPr>
                <w:rFonts w:ascii="Times New Roman" w:eastAsia="Times New Roman" w:hAnsi="Times New Roman" w:cs="Times New Roman"/>
                <w:color w:val="000000"/>
              </w:rPr>
              <w:t> </w:t>
            </w:r>
          </w:p>
        </w:tc>
        <w:tc>
          <w:tcPr>
            <w:tcW w:w="1154" w:type="pct"/>
            <w:tcBorders>
              <w:top w:val="single" w:sz="4" w:space="0" w:color="auto"/>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(1)</w:t>
            </w:r>
          </w:p>
        </w:tc>
        <w:tc>
          <w:tcPr>
            <w:tcW w:w="1586" w:type="pct"/>
            <w:tcBorders>
              <w:top w:val="single" w:sz="4" w:space="0" w:color="auto"/>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(2)</w:t>
            </w:r>
          </w:p>
        </w:tc>
        <w:tc>
          <w:tcPr>
            <w:tcW w:w="1395" w:type="pct"/>
            <w:tcBorders>
              <w:top w:val="single" w:sz="4" w:space="0" w:color="auto"/>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(3)</w:t>
            </w:r>
          </w:p>
        </w:tc>
      </w:tr>
      <w:tr w:rsidR="003908D8" w:rsidRPr="00474938" w:rsidTr="003908D8">
        <w:trPr>
          <w:trHeight w:val="300"/>
        </w:trPr>
        <w:tc>
          <w:tcPr>
            <w:tcW w:w="865" w:type="pct"/>
            <w:tcBorders>
              <w:top w:val="nil"/>
              <w:left w:val="nil"/>
              <w:bottom w:val="single" w:sz="4" w:space="0" w:color="auto"/>
              <w:right w:val="nil"/>
            </w:tcBorders>
            <w:shd w:val="clear" w:color="000000" w:fill="F2F2F2"/>
            <w:vAlign w:val="center"/>
            <w:hideMark/>
          </w:tcPr>
          <w:p w:rsidR="00474938" w:rsidRPr="00474938" w:rsidRDefault="00474938" w:rsidP="00B972AC">
            <w:pPr>
              <w:keepNext/>
              <w:spacing w:after="0" w:line="240" w:lineRule="auto"/>
              <w:rPr>
                <w:rFonts w:ascii="Times New Roman" w:eastAsia="Times New Roman" w:hAnsi="Times New Roman" w:cs="Times New Roman"/>
                <w:color w:val="000000"/>
              </w:rPr>
            </w:pPr>
            <w:r w:rsidRPr="00474938">
              <w:rPr>
                <w:rFonts w:ascii="Times New Roman" w:eastAsia="Times New Roman" w:hAnsi="Times New Roman" w:cs="Times New Roman"/>
                <w:color w:val="000000"/>
              </w:rPr>
              <w:t>Response scale</w:t>
            </w:r>
          </w:p>
        </w:tc>
        <w:tc>
          <w:tcPr>
            <w:tcW w:w="1154" w:type="pct"/>
            <w:tcBorders>
              <w:top w:val="nil"/>
              <w:left w:val="nil"/>
              <w:bottom w:val="single" w:sz="4" w:space="0" w:color="auto"/>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proofErr w:type="spellStart"/>
            <w:r w:rsidRPr="00474938">
              <w:rPr>
                <w:rFonts w:ascii="Times New Roman" w:eastAsia="Times New Roman" w:hAnsi="Times New Roman" w:cs="Times New Roman"/>
                <w:color w:val="000000"/>
              </w:rPr>
              <w:t>Pr</w:t>
            </w:r>
            <w:proofErr w:type="spellEnd"/>
            <w:r w:rsidRPr="00474938">
              <w:rPr>
                <w:rFonts w:ascii="Times New Roman" w:eastAsia="Times New Roman" w:hAnsi="Times New Roman" w:cs="Times New Roman"/>
                <w:color w:val="000000"/>
              </w:rPr>
              <w:t xml:space="preserve">(Overall </w:t>
            </w:r>
            <w:proofErr w:type="spellStart"/>
            <w:r w:rsidRPr="00474938">
              <w:rPr>
                <w:rFonts w:ascii="Times New Roman" w:eastAsia="Times New Roman" w:hAnsi="Times New Roman" w:cs="Times New Roman"/>
                <w:color w:val="000000"/>
              </w:rPr>
              <w:t>Sat_level</w:t>
            </w:r>
            <w:proofErr w:type="spellEnd"/>
            <w:r w:rsidRPr="00474938">
              <w:rPr>
                <w:rFonts w:ascii="Times New Roman" w:eastAsia="Times New Roman" w:hAnsi="Times New Roman" w:cs="Times New Roman"/>
                <w:color w:val="000000"/>
              </w:rPr>
              <w:t>)</w:t>
            </w:r>
          </w:p>
        </w:tc>
        <w:tc>
          <w:tcPr>
            <w:tcW w:w="1586" w:type="pct"/>
            <w:tcBorders>
              <w:top w:val="nil"/>
              <w:left w:val="nil"/>
              <w:bottom w:val="single" w:sz="4" w:space="0" w:color="auto"/>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proofErr w:type="spellStart"/>
            <w:r w:rsidRPr="00474938">
              <w:rPr>
                <w:rFonts w:ascii="Times New Roman" w:eastAsia="Times New Roman" w:hAnsi="Times New Roman" w:cs="Times New Roman"/>
                <w:color w:val="000000"/>
              </w:rPr>
              <w:t>Pr</w:t>
            </w:r>
            <w:proofErr w:type="spellEnd"/>
            <w:r w:rsidRPr="00474938">
              <w:rPr>
                <w:rFonts w:ascii="Times New Roman" w:eastAsia="Times New Roman" w:hAnsi="Times New Roman" w:cs="Times New Roman"/>
                <w:color w:val="000000"/>
              </w:rPr>
              <w:t>(</w:t>
            </w:r>
            <w:proofErr w:type="spellStart"/>
            <w:r w:rsidRPr="00474938">
              <w:rPr>
                <w:rFonts w:ascii="Times New Roman" w:eastAsia="Times New Roman" w:hAnsi="Times New Roman" w:cs="Times New Roman"/>
                <w:color w:val="000000"/>
              </w:rPr>
              <w:t>Sat_level</w:t>
            </w:r>
            <w:proofErr w:type="spellEnd"/>
            <w:r w:rsidRPr="00474938">
              <w:rPr>
                <w:rFonts w:ascii="Times New Roman" w:eastAsia="Times New Roman" w:hAnsi="Times New Roman" w:cs="Times New Roman"/>
                <w:color w:val="000000"/>
              </w:rPr>
              <w:t>| Kroon Students)</w:t>
            </w:r>
          </w:p>
        </w:tc>
        <w:tc>
          <w:tcPr>
            <w:tcW w:w="1395" w:type="pct"/>
            <w:tcBorders>
              <w:top w:val="nil"/>
              <w:left w:val="nil"/>
              <w:bottom w:val="single" w:sz="4" w:space="0" w:color="auto"/>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proofErr w:type="spellStart"/>
            <w:r w:rsidRPr="00474938">
              <w:rPr>
                <w:rFonts w:ascii="Times New Roman" w:eastAsia="Times New Roman" w:hAnsi="Times New Roman" w:cs="Times New Roman"/>
                <w:color w:val="000000"/>
              </w:rPr>
              <w:t>Pr</w:t>
            </w:r>
            <w:proofErr w:type="spellEnd"/>
            <w:r w:rsidRPr="00474938">
              <w:rPr>
                <w:rFonts w:ascii="Times New Roman" w:eastAsia="Times New Roman" w:hAnsi="Times New Roman" w:cs="Times New Roman"/>
                <w:color w:val="000000"/>
              </w:rPr>
              <w:t>(</w:t>
            </w:r>
            <w:proofErr w:type="spellStart"/>
            <w:r w:rsidRPr="00474938">
              <w:rPr>
                <w:rFonts w:ascii="Times New Roman" w:eastAsia="Times New Roman" w:hAnsi="Times New Roman" w:cs="Times New Roman"/>
                <w:color w:val="000000"/>
              </w:rPr>
              <w:t>Sat_level</w:t>
            </w:r>
            <w:proofErr w:type="spellEnd"/>
            <w:r w:rsidRPr="00474938">
              <w:rPr>
                <w:rFonts w:ascii="Times New Roman" w:eastAsia="Times New Roman" w:hAnsi="Times New Roman" w:cs="Times New Roman"/>
                <w:color w:val="000000"/>
              </w:rPr>
              <w:t>| Kroon office)</w:t>
            </w:r>
          </w:p>
        </w:tc>
      </w:tr>
      <w:tr w:rsidR="003908D8" w:rsidRPr="00474938" w:rsidTr="003908D8">
        <w:trPr>
          <w:trHeight w:val="300"/>
        </w:trPr>
        <w:tc>
          <w:tcPr>
            <w:tcW w:w="865" w:type="pct"/>
            <w:tcBorders>
              <w:top w:val="nil"/>
              <w:left w:val="nil"/>
              <w:bottom w:val="nil"/>
              <w:right w:val="nil"/>
            </w:tcBorders>
            <w:shd w:val="clear" w:color="000000" w:fill="F2F2F2"/>
            <w:vAlign w:val="center"/>
            <w:hideMark/>
          </w:tcPr>
          <w:p w:rsidR="00474938" w:rsidRPr="00474938"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154"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0.081</w:t>
            </w:r>
          </w:p>
        </w:tc>
        <w:tc>
          <w:tcPr>
            <w:tcW w:w="1586"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0.037</w:t>
            </w:r>
          </w:p>
        </w:tc>
        <w:tc>
          <w:tcPr>
            <w:tcW w:w="1395"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0.092</w:t>
            </w:r>
          </w:p>
        </w:tc>
      </w:tr>
      <w:tr w:rsidR="003908D8" w:rsidRPr="00474938" w:rsidTr="003908D8">
        <w:trPr>
          <w:trHeight w:val="300"/>
        </w:trPr>
        <w:tc>
          <w:tcPr>
            <w:tcW w:w="865" w:type="pct"/>
            <w:tcBorders>
              <w:top w:val="nil"/>
              <w:left w:val="nil"/>
              <w:bottom w:val="nil"/>
              <w:right w:val="nil"/>
            </w:tcBorders>
            <w:shd w:val="clear" w:color="000000" w:fill="F2F2F2"/>
            <w:vAlign w:val="center"/>
            <w:hideMark/>
          </w:tcPr>
          <w:p w:rsidR="00474938" w:rsidRPr="00474938"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154"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0.242</w:t>
            </w:r>
          </w:p>
        </w:tc>
        <w:tc>
          <w:tcPr>
            <w:tcW w:w="1586"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0.174</w:t>
            </w:r>
          </w:p>
        </w:tc>
        <w:tc>
          <w:tcPr>
            <w:tcW w:w="1395"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0.273</w:t>
            </w:r>
          </w:p>
        </w:tc>
      </w:tr>
      <w:tr w:rsidR="003908D8" w:rsidRPr="00474938" w:rsidTr="003908D8">
        <w:trPr>
          <w:trHeight w:val="300"/>
        </w:trPr>
        <w:tc>
          <w:tcPr>
            <w:tcW w:w="865" w:type="pct"/>
            <w:tcBorders>
              <w:top w:val="nil"/>
              <w:left w:val="nil"/>
              <w:bottom w:val="nil"/>
              <w:right w:val="nil"/>
            </w:tcBorders>
            <w:shd w:val="clear" w:color="000000" w:fill="F2F2F2"/>
            <w:vAlign w:val="center"/>
            <w:hideMark/>
          </w:tcPr>
          <w:p w:rsidR="00474938" w:rsidRPr="00474938"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154"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0.137</w:t>
            </w:r>
          </w:p>
        </w:tc>
        <w:tc>
          <w:tcPr>
            <w:tcW w:w="1586"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0.124</w:t>
            </w:r>
          </w:p>
        </w:tc>
        <w:tc>
          <w:tcPr>
            <w:tcW w:w="1395"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0.148</w:t>
            </w:r>
          </w:p>
        </w:tc>
      </w:tr>
      <w:tr w:rsidR="003908D8" w:rsidRPr="00474938" w:rsidTr="003908D8">
        <w:trPr>
          <w:trHeight w:val="300"/>
        </w:trPr>
        <w:tc>
          <w:tcPr>
            <w:tcW w:w="865" w:type="pct"/>
            <w:tcBorders>
              <w:top w:val="nil"/>
              <w:left w:val="nil"/>
              <w:bottom w:val="nil"/>
              <w:right w:val="nil"/>
            </w:tcBorders>
            <w:shd w:val="clear" w:color="000000" w:fill="F2F2F2"/>
            <w:vAlign w:val="center"/>
            <w:hideMark/>
          </w:tcPr>
          <w:p w:rsidR="00474938" w:rsidRPr="00474938"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54"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0.366</w:t>
            </w:r>
          </w:p>
        </w:tc>
        <w:tc>
          <w:tcPr>
            <w:tcW w:w="1586"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0.411</w:t>
            </w:r>
          </w:p>
        </w:tc>
        <w:tc>
          <w:tcPr>
            <w:tcW w:w="1395"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0.356</w:t>
            </w:r>
          </w:p>
        </w:tc>
      </w:tr>
      <w:tr w:rsidR="003908D8" w:rsidRPr="00474938" w:rsidTr="003908D8">
        <w:trPr>
          <w:trHeight w:val="300"/>
        </w:trPr>
        <w:tc>
          <w:tcPr>
            <w:tcW w:w="865" w:type="pct"/>
            <w:tcBorders>
              <w:top w:val="nil"/>
              <w:left w:val="nil"/>
              <w:bottom w:val="nil"/>
              <w:right w:val="nil"/>
            </w:tcBorders>
            <w:shd w:val="clear" w:color="000000" w:fill="F2F2F2"/>
            <w:vAlign w:val="center"/>
            <w:hideMark/>
          </w:tcPr>
          <w:p w:rsidR="00474938" w:rsidRPr="00474938"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154"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0.174</w:t>
            </w:r>
          </w:p>
        </w:tc>
        <w:tc>
          <w:tcPr>
            <w:tcW w:w="1586"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0.254</w:t>
            </w:r>
          </w:p>
        </w:tc>
        <w:tc>
          <w:tcPr>
            <w:tcW w:w="1395" w:type="pct"/>
            <w:tcBorders>
              <w:top w:val="nil"/>
              <w:left w:val="nil"/>
              <w:bottom w:val="nil"/>
              <w:right w:val="nil"/>
            </w:tcBorders>
            <w:shd w:val="clear" w:color="000000" w:fill="F2F2F2"/>
            <w:vAlign w:val="center"/>
            <w:hideMark/>
          </w:tcPr>
          <w:p w:rsidR="00474938" w:rsidRPr="00474938" w:rsidRDefault="00474938" w:rsidP="00B972AC">
            <w:pPr>
              <w:keepNext/>
              <w:spacing w:after="0" w:line="240" w:lineRule="auto"/>
              <w:jc w:val="center"/>
              <w:rPr>
                <w:rFonts w:ascii="Times New Roman" w:eastAsia="Times New Roman" w:hAnsi="Times New Roman" w:cs="Times New Roman"/>
                <w:color w:val="000000"/>
              </w:rPr>
            </w:pPr>
            <w:r w:rsidRPr="00474938">
              <w:rPr>
                <w:rFonts w:ascii="Times New Roman" w:eastAsia="Times New Roman" w:hAnsi="Times New Roman" w:cs="Times New Roman"/>
                <w:color w:val="000000"/>
              </w:rPr>
              <w:t>0.131</w:t>
            </w:r>
          </w:p>
        </w:tc>
      </w:tr>
      <w:tr w:rsidR="00474938" w:rsidRPr="00474938" w:rsidTr="00474938">
        <w:trPr>
          <w:trHeight w:val="300"/>
        </w:trPr>
        <w:tc>
          <w:tcPr>
            <w:tcW w:w="5000" w:type="pct"/>
            <w:gridSpan w:val="4"/>
            <w:tcBorders>
              <w:top w:val="single" w:sz="4" w:space="0" w:color="auto"/>
              <w:left w:val="nil"/>
              <w:bottom w:val="nil"/>
              <w:right w:val="nil"/>
            </w:tcBorders>
            <w:shd w:val="clear" w:color="000000" w:fill="F2F2F2"/>
            <w:noWrap/>
            <w:hideMark/>
          </w:tcPr>
          <w:p w:rsidR="00474938" w:rsidRPr="00474938" w:rsidRDefault="00474938" w:rsidP="00B972AC">
            <w:pPr>
              <w:keepNext/>
              <w:spacing w:after="0" w:line="240" w:lineRule="auto"/>
              <w:rPr>
                <w:rFonts w:ascii="Times New Roman" w:eastAsia="Times New Roman" w:hAnsi="Times New Roman" w:cs="Times New Roman"/>
                <w:color w:val="000000"/>
                <w:sz w:val="18"/>
                <w:szCs w:val="18"/>
              </w:rPr>
            </w:pPr>
            <w:r w:rsidRPr="00474938">
              <w:rPr>
                <w:rFonts w:ascii="Times New Roman" w:eastAsia="Times New Roman" w:hAnsi="Times New Roman" w:cs="Times New Roman"/>
                <w:color w:val="000000"/>
                <w:sz w:val="18"/>
                <w:szCs w:val="18"/>
              </w:rPr>
              <w:t>Scale of 1 being the lowest to 5 being the highest satisfaction: Standard errors not shown- all significant at the 1% level</w:t>
            </w:r>
            <w:r w:rsidR="00D951EA">
              <w:rPr>
                <w:rFonts w:ascii="Times New Roman" w:eastAsia="Times New Roman" w:hAnsi="Times New Roman" w:cs="Times New Roman"/>
                <w:color w:val="000000"/>
                <w:sz w:val="18"/>
                <w:szCs w:val="18"/>
              </w:rPr>
              <w:t xml:space="preserve">. </w:t>
            </w:r>
            <w:r w:rsidR="00D951EA" w:rsidRPr="00D951EA">
              <w:rPr>
                <w:rFonts w:ascii="Times New Roman" w:eastAsia="Times New Roman" w:hAnsi="Times New Roman" w:cs="Times New Roman"/>
                <w:color w:val="000000"/>
                <w:sz w:val="14"/>
                <w:szCs w:val="18"/>
              </w:rPr>
              <w:t xml:space="preserve"> </w:t>
            </w:r>
            <w:r w:rsidR="00D951EA">
              <w:rPr>
                <w:rFonts w:ascii="Times New Roman" w:hAnsi="Times New Roman" w:cs="Times New Roman"/>
                <w:color w:val="000000"/>
                <w:sz w:val="18"/>
              </w:rPr>
              <w:t>T</w:t>
            </w:r>
            <w:r w:rsidR="00D951EA" w:rsidRPr="00D951EA">
              <w:rPr>
                <w:rFonts w:ascii="Times New Roman" w:hAnsi="Times New Roman" w:cs="Times New Roman"/>
                <w:color w:val="000000"/>
                <w:sz w:val="18"/>
              </w:rPr>
              <w:t>he potential responses are: 1=Very dissatisfied, 2=Somewhat dissatisfied, 3=Neutral, 4=Somewhat satisfied, 5=Very satisfied</w:t>
            </w:r>
          </w:p>
        </w:tc>
      </w:tr>
    </w:tbl>
    <w:p w:rsidR="00F90FB9" w:rsidRPr="00991596" w:rsidRDefault="005B4BAA" w:rsidP="00760251">
      <w:pPr>
        <w:spacing w:before="240"/>
        <w:rPr>
          <w:rFonts w:ascii="Times New Roman" w:hAnsi="Times New Roman" w:cs="Times New Roman"/>
          <w:color w:val="000000"/>
        </w:rPr>
      </w:pPr>
      <w:r>
        <w:rPr>
          <w:rFonts w:ascii="Times New Roman" w:hAnsi="Times New Roman" w:cs="Times New Roman"/>
          <w:color w:val="000000"/>
        </w:rPr>
        <w:t>I then ask, i</w:t>
      </w:r>
      <w:r w:rsidR="00422F9C" w:rsidRPr="00422F9C">
        <w:rPr>
          <w:rFonts w:ascii="Times New Roman" w:hAnsi="Times New Roman" w:cs="Times New Roman"/>
          <w:color w:val="000000"/>
        </w:rPr>
        <w:t xml:space="preserve">s the experience different for </w:t>
      </w:r>
      <w:r>
        <w:rPr>
          <w:rFonts w:ascii="Times New Roman" w:hAnsi="Times New Roman" w:cs="Times New Roman"/>
          <w:color w:val="000000"/>
        </w:rPr>
        <w:t xml:space="preserve">the </w:t>
      </w:r>
      <w:r w:rsidR="00422F9C" w:rsidRPr="00422F9C">
        <w:rPr>
          <w:rFonts w:ascii="Times New Roman" w:hAnsi="Times New Roman" w:cs="Times New Roman"/>
          <w:color w:val="000000"/>
        </w:rPr>
        <w:t xml:space="preserve">non-office </w:t>
      </w:r>
      <w:r>
        <w:rPr>
          <w:rFonts w:ascii="Times New Roman" w:hAnsi="Times New Roman" w:cs="Times New Roman"/>
          <w:color w:val="000000"/>
        </w:rPr>
        <w:t xml:space="preserve">users/students </w:t>
      </w:r>
      <w:r w:rsidR="00422F9C" w:rsidRPr="00422F9C">
        <w:rPr>
          <w:rFonts w:ascii="Times New Roman" w:hAnsi="Times New Roman" w:cs="Times New Roman"/>
          <w:color w:val="000000"/>
        </w:rPr>
        <w:t>in Kroon</w:t>
      </w:r>
      <w:r>
        <w:rPr>
          <w:rFonts w:ascii="Times New Roman" w:hAnsi="Times New Roman" w:cs="Times New Roman"/>
          <w:color w:val="000000"/>
        </w:rPr>
        <w:t xml:space="preserve"> Hall</w:t>
      </w:r>
      <w:r w:rsidR="00422F9C" w:rsidRPr="00422F9C">
        <w:rPr>
          <w:rFonts w:ascii="Times New Roman" w:hAnsi="Times New Roman" w:cs="Times New Roman"/>
          <w:color w:val="000000"/>
        </w:rPr>
        <w:t xml:space="preserve"> versus other F&amp;ES buildings?</w:t>
      </w:r>
      <w:r w:rsidR="00422F9C">
        <w:rPr>
          <w:rFonts w:ascii="Times New Roman" w:hAnsi="Times New Roman" w:cs="Times New Roman"/>
          <w:color w:val="000000"/>
        </w:rPr>
        <w:t xml:space="preserve">  </w:t>
      </w:r>
      <w:r>
        <w:rPr>
          <w:rFonts w:ascii="Times New Roman" w:hAnsi="Times New Roman" w:cs="Times New Roman"/>
          <w:color w:val="000000"/>
        </w:rPr>
        <w:t>And similarly, i</w:t>
      </w:r>
      <w:r w:rsidR="00422F9C" w:rsidRPr="00991596">
        <w:rPr>
          <w:rFonts w:ascii="Times New Roman" w:hAnsi="Times New Roman" w:cs="Times New Roman"/>
          <w:color w:val="000000"/>
        </w:rPr>
        <w:t xml:space="preserve">s it different </w:t>
      </w:r>
      <w:r w:rsidR="00422F9C">
        <w:rPr>
          <w:rFonts w:ascii="Times New Roman" w:hAnsi="Times New Roman" w:cs="Times New Roman"/>
          <w:color w:val="000000"/>
        </w:rPr>
        <w:t xml:space="preserve">for faculty and </w:t>
      </w:r>
      <w:r w:rsidR="00422F9C" w:rsidRPr="00991596">
        <w:rPr>
          <w:rFonts w:ascii="Times New Roman" w:hAnsi="Times New Roman" w:cs="Times New Roman"/>
          <w:color w:val="000000"/>
        </w:rPr>
        <w:t>staff</w:t>
      </w:r>
      <w:r w:rsidR="00422F9C">
        <w:rPr>
          <w:rFonts w:ascii="Times New Roman" w:hAnsi="Times New Roman" w:cs="Times New Roman"/>
          <w:color w:val="000000"/>
        </w:rPr>
        <w:t xml:space="preserve"> </w:t>
      </w:r>
      <w:r w:rsidR="00422F9C" w:rsidRPr="00991596">
        <w:rPr>
          <w:rFonts w:ascii="Times New Roman" w:hAnsi="Times New Roman" w:cs="Times New Roman"/>
          <w:color w:val="000000"/>
        </w:rPr>
        <w:t>in Kroon</w:t>
      </w:r>
      <w:r>
        <w:rPr>
          <w:rFonts w:ascii="Times New Roman" w:hAnsi="Times New Roman" w:cs="Times New Roman"/>
          <w:color w:val="000000"/>
        </w:rPr>
        <w:t xml:space="preserve"> Hall versus elsewhere</w:t>
      </w:r>
      <w:r w:rsidR="00422F9C" w:rsidRPr="00991596">
        <w:rPr>
          <w:rFonts w:ascii="Times New Roman" w:hAnsi="Times New Roman" w:cs="Times New Roman"/>
          <w:color w:val="000000"/>
        </w:rPr>
        <w:t>?</w:t>
      </w:r>
      <w:r>
        <w:rPr>
          <w:rFonts w:ascii="Times New Roman" w:hAnsi="Times New Roman" w:cs="Times New Roman"/>
          <w:color w:val="000000"/>
        </w:rPr>
        <w:t xml:space="preserve">  Table 6 presents instead changes in the margins from the Kroon Hall treatment for each group.  </w:t>
      </w:r>
      <w:r w:rsidR="005F4D8A" w:rsidRPr="00991596">
        <w:rPr>
          <w:rFonts w:ascii="Times New Roman" w:hAnsi="Times New Roman" w:cs="Times New Roman"/>
          <w:color w:val="000000"/>
        </w:rPr>
        <w:t>Here we se</w:t>
      </w:r>
      <w:r w:rsidR="005F4D8A">
        <w:rPr>
          <w:rFonts w:ascii="Times New Roman" w:hAnsi="Times New Roman" w:cs="Times New Roman"/>
          <w:color w:val="000000"/>
        </w:rPr>
        <w:t>e a student in Kroon hall is 11-percent</w:t>
      </w:r>
      <w:r w:rsidR="005F4D8A" w:rsidRPr="00991596">
        <w:rPr>
          <w:rFonts w:ascii="Times New Roman" w:hAnsi="Times New Roman" w:cs="Times New Roman"/>
          <w:color w:val="000000"/>
        </w:rPr>
        <w:t xml:space="preserve"> less likely to be very dissati</w:t>
      </w:r>
      <w:r w:rsidR="005F4D8A">
        <w:rPr>
          <w:rFonts w:ascii="Times New Roman" w:hAnsi="Times New Roman" w:cs="Times New Roman"/>
          <w:color w:val="000000"/>
        </w:rPr>
        <w:t>sfied and 25-percent</w:t>
      </w:r>
      <w:r w:rsidR="005F4D8A" w:rsidRPr="00991596">
        <w:rPr>
          <w:rFonts w:ascii="Times New Roman" w:hAnsi="Times New Roman" w:cs="Times New Roman"/>
          <w:color w:val="000000"/>
        </w:rPr>
        <w:t xml:space="preserve"> more like to be very satisfied than st</w:t>
      </w:r>
      <w:r w:rsidR="005F4D8A">
        <w:rPr>
          <w:rFonts w:ascii="Times New Roman" w:hAnsi="Times New Roman" w:cs="Times New Roman"/>
          <w:color w:val="000000"/>
        </w:rPr>
        <w:t xml:space="preserve">udents in other F&amp;ES buildings at a one-percent or better level of statistical significance.  </w:t>
      </w:r>
      <w:r w:rsidR="005F4D8A" w:rsidRPr="00991596">
        <w:rPr>
          <w:rFonts w:ascii="Times New Roman" w:hAnsi="Times New Roman" w:cs="Times New Roman"/>
          <w:color w:val="000000"/>
        </w:rPr>
        <w:t xml:space="preserve">Unfortunately, within Kroon we also see that having an office </w:t>
      </w:r>
      <w:r w:rsidR="005F4D8A">
        <w:rPr>
          <w:rFonts w:ascii="Times New Roman" w:hAnsi="Times New Roman" w:cs="Times New Roman"/>
          <w:color w:val="000000"/>
        </w:rPr>
        <w:t>decreases the probability of being very satisfied and increases the probability of being dissatisfied relative to other office users at F&amp;ES though statistically insignificant at any acceptable level</w:t>
      </w:r>
      <w:r w:rsidR="005F4D8A" w:rsidRPr="00991596">
        <w:rPr>
          <w:rFonts w:ascii="Times New Roman" w:hAnsi="Times New Roman" w:cs="Times New Roman"/>
          <w:color w:val="000000"/>
        </w:rPr>
        <w:t>.</w:t>
      </w:r>
    </w:p>
    <w:tbl>
      <w:tblPr>
        <w:tblW w:w="4663" w:type="pct"/>
        <w:tblLayout w:type="fixed"/>
        <w:tblLook w:val="04A0" w:firstRow="1" w:lastRow="0" w:firstColumn="1" w:lastColumn="0" w:noHBand="0" w:noVBand="1"/>
      </w:tblPr>
      <w:tblGrid>
        <w:gridCol w:w="1618"/>
        <w:gridCol w:w="3420"/>
        <w:gridCol w:w="3691"/>
      </w:tblGrid>
      <w:tr w:rsidR="00D07265" w:rsidRPr="00D07265" w:rsidTr="00D07265">
        <w:trPr>
          <w:trHeight w:val="300"/>
        </w:trPr>
        <w:tc>
          <w:tcPr>
            <w:tcW w:w="5000" w:type="pct"/>
            <w:gridSpan w:val="3"/>
            <w:tcBorders>
              <w:top w:val="nil"/>
              <w:left w:val="nil"/>
              <w:bottom w:val="single" w:sz="4" w:space="0" w:color="auto"/>
              <w:right w:val="nil"/>
            </w:tcBorders>
            <w:shd w:val="clear" w:color="000000" w:fill="D0CECE"/>
            <w:noWrap/>
            <w:hideMark/>
          </w:tcPr>
          <w:p w:rsidR="00D07265" w:rsidRPr="00D07265" w:rsidRDefault="005F4D8A" w:rsidP="00B972AC">
            <w:pPr>
              <w:keepNext/>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Table 6</w:t>
            </w:r>
            <w:r w:rsidR="00D07265" w:rsidRPr="00D07265">
              <w:rPr>
                <w:rFonts w:ascii="Times New Roman" w:eastAsia="Times New Roman" w:hAnsi="Times New Roman" w:cs="Times New Roman"/>
                <w:b/>
                <w:bCs/>
                <w:color w:val="000000"/>
              </w:rPr>
              <w:t xml:space="preserve"> | Changes in margins on satisfaction with thermal comfort</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rPr>
                <w:rFonts w:ascii="Times New Roman" w:eastAsia="Times New Roman" w:hAnsi="Times New Roman" w:cs="Times New Roman"/>
                <w:color w:val="000000"/>
              </w:rPr>
            </w:pPr>
            <w:r w:rsidRPr="00D07265">
              <w:rPr>
                <w:rFonts w:ascii="Times New Roman" w:eastAsia="Times New Roman" w:hAnsi="Times New Roman" w:cs="Times New Roman"/>
                <w:color w:val="000000"/>
              </w:rPr>
              <w:t> </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(1)</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(2)</w:t>
            </w:r>
          </w:p>
        </w:tc>
      </w:tr>
      <w:tr w:rsidR="00B972AC" w:rsidRPr="00D07265" w:rsidTr="00B972AC">
        <w:trPr>
          <w:trHeight w:val="288"/>
        </w:trPr>
        <w:tc>
          <w:tcPr>
            <w:tcW w:w="927" w:type="pct"/>
            <w:tcBorders>
              <w:top w:val="nil"/>
              <w:left w:val="nil"/>
              <w:bottom w:val="single" w:sz="4" w:space="0" w:color="auto"/>
              <w:right w:val="nil"/>
            </w:tcBorders>
            <w:shd w:val="clear" w:color="000000" w:fill="F2F2F2"/>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Response scale</w:t>
            </w:r>
          </w:p>
        </w:tc>
        <w:tc>
          <w:tcPr>
            <w:tcW w:w="1959" w:type="pct"/>
            <w:tcBorders>
              <w:top w:val="nil"/>
              <w:left w:val="nil"/>
              <w:bottom w:val="single" w:sz="4" w:space="0" w:color="auto"/>
              <w:right w:val="nil"/>
            </w:tcBorders>
            <w:shd w:val="clear" w:color="000000" w:fill="F2F2F2"/>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Effect of Kroon</w:t>
            </w:r>
            <w:r>
              <w:rPr>
                <w:rFonts w:ascii="Times New Roman" w:eastAsia="Times New Roman" w:hAnsi="Times New Roman" w:cs="Times New Roman"/>
                <w:color w:val="000000"/>
              </w:rPr>
              <w:t xml:space="preserve"> Hall</w:t>
            </w:r>
            <w:r w:rsidRPr="00D07265">
              <w:rPr>
                <w:rFonts w:ascii="Times New Roman" w:eastAsia="Times New Roman" w:hAnsi="Times New Roman" w:cs="Times New Roman"/>
                <w:color w:val="000000"/>
              </w:rPr>
              <w:t xml:space="preserve"> on students</w:t>
            </w:r>
          </w:p>
        </w:tc>
        <w:tc>
          <w:tcPr>
            <w:tcW w:w="2114" w:type="pct"/>
            <w:tcBorders>
              <w:top w:val="nil"/>
              <w:left w:val="nil"/>
              <w:bottom w:val="single" w:sz="4" w:space="0" w:color="auto"/>
              <w:right w:val="nil"/>
            </w:tcBorders>
            <w:shd w:val="clear" w:color="000000" w:fill="F2F2F2"/>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Effect of Kroon Hall on office holders</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-0.116</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0.088</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-0.196</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0.062</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-0.046</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-0.009</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0.109</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-0.090</w:t>
            </w:r>
          </w:p>
        </w:tc>
      </w:tr>
      <w:tr w:rsidR="00B972AC" w:rsidRPr="00D07265" w:rsidTr="00B972AC">
        <w:trPr>
          <w:trHeight w:val="300"/>
        </w:trPr>
        <w:tc>
          <w:tcPr>
            <w:tcW w:w="927" w:type="pct"/>
            <w:tcBorders>
              <w:top w:val="nil"/>
              <w:left w:val="nil"/>
              <w:bottom w:val="nil"/>
              <w:right w:val="nil"/>
            </w:tcBorders>
            <w:shd w:val="clear" w:color="000000" w:fill="F2F2F2"/>
            <w:vAlign w:val="center"/>
            <w:hideMark/>
          </w:tcPr>
          <w:p w:rsidR="00D07265" w:rsidRPr="00D07265" w:rsidRDefault="00D951EA" w:rsidP="00D951EA">
            <w:pPr>
              <w:keepNext/>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959" w:type="pct"/>
            <w:tcBorders>
              <w:top w:val="nil"/>
              <w:left w:val="nil"/>
              <w:bottom w:val="nil"/>
              <w:right w:val="nil"/>
            </w:tcBorders>
            <w:shd w:val="clear" w:color="000000" w:fill="F2F2F2"/>
            <w:vAlign w:val="center"/>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0.25</w:t>
            </w:r>
          </w:p>
        </w:tc>
        <w:tc>
          <w:tcPr>
            <w:tcW w:w="2114" w:type="pct"/>
            <w:tcBorders>
              <w:top w:val="nil"/>
              <w:left w:val="nil"/>
              <w:bottom w:val="nil"/>
              <w:right w:val="nil"/>
            </w:tcBorders>
            <w:shd w:val="clear" w:color="000000" w:fill="F2F2F2"/>
            <w:noWrap/>
            <w:hideMark/>
          </w:tcPr>
          <w:p w:rsidR="00D07265" w:rsidRPr="00D07265" w:rsidRDefault="00D07265" w:rsidP="00B972AC">
            <w:pPr>
              <w:keepNext/>
              <w:spacing w:after="0" w:line="240" w:lineRule="auto"/>
              <w:jc w:val="center"/>
              <w:rPr>
                <w:rFonts w:ascii="Times New Roman" w:eastAsia="Times New Roman" w:hAnsi="Times New Roman" w:cs="Times New Roman"/>
                <w:color w:val="000000"/>
              </w:rPr>
            </w:pPr>
            <w:r w:rsidRPr="00D07265">
              <w:rPr>
                <w:rFonts w:ascii="Times New Roman" w:eastAsia="Times New Roman" w:hAnsi="Times New Roman" w:cs="Times New Roman"/>
                <w:color w:val="000000"/>
              </w:rPr>
              <w:t>-0.052</w:t>
            </w:r>
          </w:p>
        </w:tc>
      </w:tr>
      <w:tr w:rsidR="00D07265" w:rsidRPr="00D07265" w:rsidTr="00B972AC">
        <w:trPr>
          <w:trHeight w:val="440"/>
        </w:trPr>
        <w:tc>
          <w:tcPr>
            <w:tcW w:w="5000" w:type="pct"/>
            <w:gridSpan w:val="3"/>
            <w:tcBorders>
              <w:top w:val="single" w:sz="4" w:space="0" w:color="auto"/>
              <w:left w:val="nil"/>
              <w:bottom w:val="nil"/>
              <w:right w:val="nil"/>
            </w:tcBorders>
            <w:shd w:val="clear" w:color="000000" w:fill="F2F2F2"/>
            <w:hideMark/>
          </w:tcPr>
          <w:p w:rsidR="00D07265" w:rsidRPr="00D07265" w:rsidRDefault="00D07265" w:rsidP="00B972AC">
            <w:pPr>
              <w:keepNext/>
              <w:spacing w:after="0" w:line="240" w:lineRule="auto"/>
              <w:rPr>
                <w:rFonts w:ascii="Times New Roman" w:eastAsia="Times New Roman" w:hAnsi="Times New Roman" w:cs="Times New Roman"/>
                <w:color w:val="000000"/>
                <w:sz w:val="18"/>
                <w:szCs w:val="18"/>
              </w:rPr>
            </w:pPr>
            <w:r w:rsidRPr="00D07265">
              <w:rPr>
                <w:rFonts w:ascii="Times New Roman" w:eastAsia="Times New Roman" w:hAnsi="Times New Roman" w:cs="Times New Roman"/>
                <w:color w:val="000000"/>
                <w:sz w:val="18"/>
                <w:szCs w:val="18"/>
              </w:rPr>
              <w:t>Scale of 1 being the lowest to 5 being the highest satisfaction.  Standard errors not shown- For column (1) all significant at the 1% level and for column (2) none are statistically significant.</w:t>
            </w:r>
            <w:r w:rsidR="00D951EA">
              <w:rPr>
                <w:rFonts w:ascii="Times New Roman" w:eastAsia="Times New Roman" w:hAnsi="Times New Roman" w:cs="Times New Roman"/>
                <w:color w:val="000000"/>
                <w:sz w:val="18"/>
                <w:szCs w:val="18"/>
              </w:rPr>
              <w:t xml:space="preserve">  </w:t>
            </w:r>
            <w:r w:rsidR="00D951EA">
              <w:rPr>
                <w:rFonts w:ascii="Times New Roman" w:hAnsi="Times New Roman" w:cs="Times New Roman"/>
                <w:color w:val="000000"/>
                <w:sz w:val="18"/>
              </w:rPr>
              <w:t>T</w:t>
            </w:r>
            <w:r w:rsidR="00D951EA" w:rsidRPr="00D951EA">
              <w:rPr>
                <w:rFonts w:ascii="Times New Roman" w:hAnsi="Times New Roman" w:cs="Times New Roman"/>
                <w:color w:val="000000"/>
                <w:sz w:val="18"/>
              </w:rPr>
              <w:t>he potential responses are: 1=Very dissatisfied, 2=Somewhat dissatisfied, 3=Neutral, 4=Somewhat satisfied, 5=Very satisfied</w:t>
            </w:r>
          </w:p>
        </w:tc>
      </w:tr>
    </w:tbl>
    <w:p w:rsidR="002B46AA" w:rsidRDefault="00D32932" w:rsidP="006A67F7">
      <w:pPr>
        <w:pStyle w:val="Heading1"/>
        <w:rPr>
          <w:rFonts w:cs="Times New Roman"/>
        </w:rPr>
      </w:pPr>
      <w:bookmarkStart w:id="9" w:name="_Toc479081471"/>
      <w:r w:rsidRPr="00072995">
        <w:rPr>
          <w:rFonts w:cs="Times New Roman"/>
        </w:rPr>
        <w:t>Discussion</w:t>
      </w:r>
      <w:r w:rsidR="002F63D7">
        <w:rPr>
          <w:rFonts w:cs="Times New Roman"/>
        </w:rPr>
        <w:t xml:space="preserve"> </w:t>
      </w:r>
      <w:r w:rsidR="00621C66">
        <w:rPr>
          <w:rFonts w:cs="Times New Roman"/>
        </w:rPr>
        <w:t>&amp; Conclusion</w:t>
      </w:r>
      <w:bookmarkEnd w:id="9"/>
    </w:p>
    <w:p w:rsidR="00621C66" w:rsidRDefault="00621C66" w:rsidP="00095756">
      <w:pPr>
        <w:spacing w:after="120" w:line="240" w:lineRule="auto"/>
        <w:rPr>
          <w:rFonts w:ascii="Times New Roman" w:hAnsi="Times New Roman" w:cs="Times New Roman"/>
        </w:rPr>
      </w:pPr>
      <w:r>
        <w:rPr>
          <w:rFonts w:ascii="Times New Roman" w:hAnsi="Times New Roman" w:cs="Times New Roman"/>
        </w:rPr>
        <w:t xml:space="preserve">This chapter provides </w:t>
      </w:r>
      <w:r w:rsidR="00A93AA6">
        <w:rPr>
          <w:rFonts w:ascii="Times New Roman" w:hAnsi="Times New Roman" w:cs="Times New Roman"/>
        </w:rPr>
        <w:t>three</w:t>
      </w:r>
      <w:r>
        <w:rPr>
          <w:rFonts w:ascii="Times New Roman" w:hAnsi="Times New Roman" w:cs="Times New Roman"/>
        </w:rPr>
        <w:t xml:space="preserve"> important results for the general audience.  First, carefully defining the population surveyed in green to conventional building comparisons informs on the context of results.  A survey that only collects on the stationary, assigned inhabitants of a green building does not inform on the experience of visit</w:t>
      </w:r>
      <w:r w:rsidR="00A93AA6">
        <w:rPr>
          <w:rFonts w:ascii="Times New Roman" w:hAnsi="Times New Roman" w:cs="Times New Roman"/>
        </w:rPr>
        <w:t xml:space="preserve">ors and vice versa.  Second, self-selecting plays an important role in building satisfaction.  Organizations that use buildings of differing character may be best served by letting their characters select and trade spaces.  And third, green vanity architecture works- for those served by spaces where the architect has focused their work.  </w:t>
      </w:r>
    </w:p>
    <w:p w:rsidR="002B46AA" w:rsidRDefault="003C263D" w:rsidP="00095756">
      <w:pPr>
        <w:spacing w:after="120" w:line="240" w:lineRule="auto"/>
        <w:rPr>
          <w:rFonts w:ascii="Times New Roman" w:hAnsi="Times New Roman" w:cs="Times New Roman"/>
        </w:rPr>
      </w:pPr>
      <w:r>
        <w:rPr>
          <w:rFonts w:ascii="Times New Roman" w:hAnsi="Times New Roman" w:cs="Times New Roman"/>
        </w:rPr>
        <w:t xml:space="preserve">By surveying both building users who can self-select and those who are assigned to </w:t>
      </w:r>
      <w:r w:rsidR="00731C74">
        <w:rPr>
          <w:rFonts w:ascii="Times New Roman" w:hAnsi="Times New Roman" w:cs="Times New Roman"/>
        </w:rPr>
        <w:t>green versus conventional buildings</w:t>
      </w:r>
      <w:r w:rsidR="009D14E7">
        <w:rPr>
          <w:rFonts w:ascii="Times New Roman" w:hAnsi="Times New Roman" w:cs="Times New Roman"/>
        </w:rPr>
        <w:t>, this study</w:t>
      </w:r>
      <w:r>
        <w:rPr>
          <w:rFonts w:ascii="Times New Roman" w:hAnsi="Times New Roman" w:cs="Times New Roman"/>
        </w:rPr>
        <w:t xml:space="preserve"> shed</w:t>
      </w:r>
      <w:r w:rsidR="009D14E7">
        <w:rPr>
          <w:rFonts w:ascii="Times New Roman" w:hAnsi="Times New Roman" w:cs="Times New Roman"/>
        </w:rPr>
        <w:t>s light on a glaring</w:t>
      </w:r>
      <w:r>
        <w:rPr>
          <w:rFonts w:ascii="Times New Roman" w:hAnsi="Times New Roman" w:cs="Times New Roman"/>
        </w:rPr>
        <w:t xml:space="preserve"> discrepancy in the green building literature.  </w:t>
      </w:r>
      <w:r w:rsidR="009D14E7">
        <w:rPr>
          <w:rFonts w:ascii="Times New Roman" w:hAnsi="Times New Roman" w:cs="Times New Roman"/>
        </w:rPr>
        <w:t>S</w:t>
      </w:r>
      <w:r>
        <w:rPr>
          <w:rFonts w:ascii="Times New Roman" w:hAnsi="Times New Roman" w:cs="Times New Roman"/>
        </w:rPr>
        <w:t>tudies</w:t>
      </w:r>
      <w:r w:rsidR="009D14E7">
        <w:rPr>
          <w:rFonts w:ascii="Times New Roman" w:hAnsi="Times New Roman" w:cs="Times New Roman"/>
        </w:rPr>
        <w:t xml:space="preserve"> generally</w:t>
      </w:r>
      <w:r>
        <w:rPr>
          <w:rFonts w:ascii="Times New Roman" w:hAnsi="Times New Roman" w:cs="Times New Roman"/>
        </w:rPr>
        <w:t xml:space="preserve"> survey transient users of green buildings, those assigned to a green versus non-green building, or </w:t>
      </w:r>
      <w:r w:rsidR="00731C74">
        <w:rPr>
          <w:rFonts w:ascii="Times New Roman" w:hAnsi="Times New Roman" w:cs="Times New Roman"/>
        </w:rPr>
        <w:t>all</w:t>
      </w:r>
      <w:r>
        <w:rPr>
          <w:rFonts w:ascii="Times New Roman" w:hAnsi="Times New Roman" w:cs="Times New Roman"/>
        </w:rPr>
        <w:t xml:space="preserve"> users</w:t>
      </w:r>
      <w:r w:rsidR="009D14E7">
        <w:rPr>
          <w:rFonts w:ascii="Times New Roman" w:hAnsi="Times New Roman" w:cs="Times New Roman"/>
        </w:rPr>
        <w:t xml:space="preserve"> of a space</w:t>
      </w:r>
      <w:r>
        <w:rPr>
          <w:rFonts w:ascii="Times New Roman" w:hAnsi="Times New Roman" w:cs="Times New Roman"/>
        </w:rPr>
        <w:t xml:space="preserve"> without distinguishing</w:t>
      </w:r>
      <w:r w:rsidR="009D14E7">
        <w:rPr>
          <w:rFonts w:ascii="Times New Roman" w:hAnsi="Times New Roman" w:cs="Times New Roman"/>
        </w:rPr>
        <w:t xml:space="preserve"> between the two</w:t>
      </w:r>
      <w:r>
        <w:rPr>
          <w:rFonts w:ascii="Times New Roman" w:hAnsi="Times New Roman" w:cs="Times New Roman"/>
        </w:rPr>
        <w:t>.</w:t>
      </w:r>
      <w:r w:rsidR="009D14E7">
        <w:rPr>
          <w:rFonts w:ascii="Times New Roman" w:hAnsi="Times New Roman" w:cs="Times New Roman"/>
        </w:rPr>
        <w:t xml:space="preserve">  </w:t>
      </w:r>
      <w:r w:rsidR="00E32BF8">
        <w:rPr>
          <w:rFonts w:ascii="Times New Roman" w:hAnsi="Times New Roman" w:cs="Times New Roman"/>
        </w:rPr>
        <w:t>Their results then mirror these differences under examination.  We contribute a</w:t>
      </w:r>
      <w:r>
        <w:rPr>
          <w:rFonts w:ascii="Times New Roman" w:hAnsi="Times New Roman" w:cs="Times New Roman"/>
        </w:rPr>
        <w:t xml:space="preserve"> unique feature of differentiation and reconcile</w:t>
      </w:r>
      <w:r w:rsidR="00E32BF8">
        <w:rPr>
          <w:rFonts w:ascii="Times New Roman" w:hAnsi="Times New Roman" w:cs="Times New Roman"/>
        </w:rPr>
        <w:t xml:space="preserve"> the</w:t>
      </w:r>
      <w:r>
        <w:rPr>
          <w:rFonts w:ascii="Times New Roman" w:hAnsi="Times New Roman" w:cs="Times New Roman"/>
        </w:rPr>
        <w:t xml:space="preserve"> results from other studies</w:t>
      </w:r>
      <w:r w:rsidR="00E32BF8">
        <w:rPr>
          <w:rFonts w:ascii="Times New Roman" w:hAnsi="Times New Roman" w:cs="Times New Roman"/>
        </w:rPr>
        <w:t xml:space="preserve"> in the process</w:t>
      </w:r>
      <w:r w:rsidR="00731C74">
        <w:rPr>
          <w:rFonts w:ascii="Times New Roman" w:hAnsi="Times New Roman" w:cs="Times New Roman"/>
        </w:rPr>
        <w:t>.</w:t>
      </w:r>
      <w:r>
        <w:rPr>
          <w:rFonts w:ascii="Times New Roman" w:hAnsi="Times New Roman" w:cs="Times New Roman"/>
        </w:rPr>
        <w:t xml:space="preserve"> </w:t>
      </w:r>
      <w:r w:rsidR="00731C74">
        <w:rPr>
          <w:rFonts w:ascii="Times New Roman" w:hAnsi="Times New Roman" w:cs="Times New Roman"/>
        </w:rPr>
        <w:t xml:space="preserve"> W</w:t>
      </w:r>
      <w:r>
        <w:rPr>
          <w:rFonts w:ascii="Times New Roman" w:hAnsi="Times New Roman" w:cs="Times New Roman"/>
        </w:rPr>
        <w:t xml:space="preserve">e find one group </w:t>
      </w:r>
      <w:r w:rsidR="00E32BF8">
        <w:rPr>
          <w:rFonts w:ascii="Times New Roman" w:hAnsi="Times New Roman" w:cs="Times New Roman"/>
        </w:rPr>
        <w:t xml:space="preserve">consistently </w:t>
      </w:r>
      <w:r>
        <w:rPr>
          <w:rFonts w:ascii="Times New Roman" w:hAnsi="Times New Roman" w:cs="Times New Roman"/>
        </w:rPr>
        <w:t>prefers the green building in our study</w:t>
      </w:r>
      <w:r w:rsidR="00E32BF8">
        <w:rPr>
          <w:rFonts w:ascii="Times New Roman" w:hAnsi="Times New Roman" w:cs="Times New Roman"/>
        </w:rPr>
        <w:t>-</w:t>
      </w:r>
      <w:r w:rsidR="00731C74">
        <w:rPr>
          <w:rFonts w:ascii="Times New Roman" w:hAnsi="Times New Roman" w:cs="Times New Roman"/>
        </w:rPr>
        <w:t xml:space="preserve"> </w:t>
      </w:r>
      <w:r w:rsidR="00763319">
        <w:rPr>
          <w:rFonts w:ascii="Times New Roman" w:hAnsi="Times New Roman" w:cs="Times New Roman"/>
        </w:rPr>
        <w:t xml:space="preserve">the </w:t>
      </w:r>
      <w:r w:rsidR="00731C74">
        <w:rPr>
          <w:rFonts w:ascii="Times New Roman" w:hAnsi="Times New Roman" w:cs="Times New Roman"/>
        </w:rPr>
        <w:t>more transient users</w:t>
      </w:r>
      <w:r w:rsidR="00E32BF8">
        <w:rPr>
          <w:rFonts w:ascii="Times New Roman" w:hAnsi="Times New Roman" w:cs="Times New Roman"/>
        </w:rPr>
        <w:t xml:space="preserve">.  In contrast, users who are effectively randomly assigned, </w:t>
      </w:r>
      <w:r w:rsidR="00731C74">
        <w:rPr>
          <w:rFonts w:ascii="Times New Roman" w:hAnsi="Times New Roman" w:cs="Times New Roman"/>
        </w:rPr>
        <w:t>permanent users</w:t>
      </w:r>
      <w:r w:rsidR="00E32BF8">
        <w:rPr>
          <w:rFonts w:ascii="Times New Roman" w:hAnsi="Times New Roman" w:cs="Times New Roman"/>
        </w:rPr>
        <w:t>,</w:t>
      </w:r>
      <w:r>
        <w:rPr>
          <w:rFonts w:ascii="Times New Roman" w:hAnsi="Times New Roman" w:cs="Times New Roman"/>
        </w:rPr>
        <w:t xml:space="preserve"> </w:t>
      </w:r>
      <w:r w:rsidR="00731C74">
        <w:rPr>
          <w:rFonts w:ascii="Times New Roman" w:hAnsi="Times New Roman" w:cs="Times New Roman"/>
        </w:rPr>
        <w:t>are</w:t>
      </w:r>
      <w:r>
        <w:rPr>
          <w:rFonts w:ascii="Times New Roman" w:hAnsi="Times New Roman" w:cs="Times New Roman"/>
        </w:rPr>
        <w:t xml:space="preserve"> indifferent</w:t>
      </w:r>
      <w:r w:rsidR="003B019C">
        <w:rPr>
          <w:rFonts w:ascii="Times New Roman" w:hAnsi="Times New Roman" w:cs="Times New Roman"/>
        </w:rPr>
        <w:t xml:space="preserve"> between the green and non-green buildings</w:t>
      </w:r>
      <w:r>
        <w:rPr>
          <w:rFonts w:ascii="Times New Roman" w:hAnsi="Times New Roman" w:cs="Times New Roman"/>
        </w:rPr>
        <w:t xml:space="preserve"> </w:t>
      </w:r>
      <w:r w:rsidR="00E32BF8">
        <w:rPr>
          <w:rFonts w:ascii="Times New Roman" w:hAnsi="Times New Roman" w:cs="Times New Roman"/>
        </w:rPr>
        <w:t>on average.  This is an important contribution on its own.</w:t>
      </w:r>
      <w:r w:rsidR="0053205A">
        <w:rPr>
          <w:rFonts w:ascii="Times New Roman" w:hAnsi="Times New Roman" w:cs="Times New Roman"/>
        </w:rPr>
        <w:t xml:space="preserve">  </w:t>
      </w:r>
    </w:p>
    <w:p w:rsidR="00753F03" w:rsidRDefault="00E36160" w:rsidP="00095756">
      <w:pPr>
        <w:spacing w:after="120" w:line="240" w:lineRule="auto"/>
        <w:rPr>
          <w:rFonts w:ascii="Times New Roman" w:hAnsi="Times New Roman" w:cs="Times New Roman"/>
        </w:rPr>
      </w:pPr>
      <w:r>
        <w:rPr>
          <w:rFonts w:ascii="Times New Roman" w:hAnsi="Times New Roman" w:cs="Times New Roman"/>
        </w:rPr>
        <w:t xml:space="preserve">In addition to indicating a resolution to disagreement in the literature, this study suggests allowing self-selection may enhance satisfaction.  This is particularly relevant in an organization like Yale F&amp;ES that has buildings of differing attributes.  </w:t>
      </w:r>
      <w:r w:rsidR="00E560D1">
        <w:rPr>
          <w:rFonts w:ascii="Times New Roman" w:hAnsi="Times New Roman" w:cs="Times New Roman"/>
        </w:rPr>
        <w:t>A reorganization scheme allowing faculty and staff to trade spaces may enhance satisfaction.  The alternative that a green vanity architecture emphasis is to blame must be considered.  It may be the case instead that Kroon Hall only excels in public spaces by design.  It was no doubt designed to impress and has done so for visitors.  It seems to be having less of a positive impact on the faculty and staff, however.</w:t>
      </w:r>
      <w:r w:rsidR="00753F03">
        <w:rPr>
          <w:rFonts w:ascii="Times New Roman" w:hAnsi="Times New Roman" w:cs="Times New Roman"/>
        </w:rPr>
        <w:t xml:space="preserve">  </w:t>
      </w:r>
    </w:p>
    <w:p w:rsidR="00D25181" w:rsidRPr="001524B3" w:rsidRDefault="00753F03" w:rsidP="00D25181">
      <w:pPr>
        <w:spacing w:after="120" w:line="240" w:lineRule="auto"/>
        <w:rPr>
          <w:rFonts w:ascii="Times New Roman" w:hAnsi="Times New Roman" w:cs="Times New Roman"/>
        </w:rPr>
      </w:pPr>
      <w:r>
        <w:rPr>
          <w:rFonts w:ascii="Times New Roman" w:hAnsi="Times New Roman" w:cs="Times New Roman"/>
        </w:rPr>
        <w:t xml:space="preserve">Regardless of cause, a marked discrepancy in </w:t>
      </w:r>
      <w:r w:rsidR="00EC1AD6">
        <w:rPr>
          <w:rFonts w:ascii="Times New Roman" w:hAnsi="Times New Roman" w:cs="Times New Roman"/>
        </w:rPr>
        <w:t xml:space="preserve">the </w:t>
      </w:r>
      <w:r>
        <w:rPr>
          <w:rFonts w:ascii="Times New Roman" w:hAnsi="Times New Roman" w:cs="Times New Roman"/>
        </w:rPr>
        <w:t>satisfaction effect</w:t>
      </w:r>
      <w:r w:rsidR="00EC1AD6">
        <w:rPr>
          <w:rFonts w:ascii="Times New Roman" w:hAnsi="Times New Roman" w:cs="Times New Roman"/>
        </w:rPr>
        <w:t xml:space="preserve"> of green Kroon Hall exist.  The </w:t>
      </w:r>
      <w:r>
        <w:rPr>
          <w:rFonts w:ascii="Times New Roman" w:hAnsi="Times New Roman" w:cs="Times New Roman"/>
        </w:rPr>
        <w:t>Yale F&amp;ES</w:t>
      </w:r>
      <w:r w:rsidR="00EC1AD6">
        <w:rPr>
          <w:rFonts w:ascii="Times New Roman" w:hAnsi="Times New Roman" w:cs="Times New Roman"/>
        </w:rPr>
        <w:t xml:space="preserve"> subgroup assigned to offices are no better off on average by assignment to Kroon Hall.  In comparison, the student body who may self-select into Kroon Hall are markedly m</w:t>
      </w:r>
      <w:r w:rsidR="00AC2301">
        <w:rPr>
          <w:rFonts w:ascii="Times New Roman" w:hAnsi="Times New Roman" w:cs="Times New Roman"/>
        </w:rPr>
        <w:t>ore satisfied across measures.  LEED Platinum certified Kroon Hall has certainly performed by certain measures- it is efficient and impresses visitors by demonstrating that a green structure can also be elegant.  It appears to have missed the mark on improving the office setting, however, indicating an area to emphasize greater efforts on in future green building design.</w:t>
      </w:r>
    </w:p>
    <w:p w:rsidR="00412E3A" w:rsidRPr="00991596" w:rsidRDefault="00412E3A" w:rsidP="00072995">
      <w:pPr>
        <w:pStyle w:val="Heading1"/>
        <w:rPr>
          <w:rFonts w:cs="Times New Roman"/>
          <w:b w:val="0"/>
        </w:rPr>
      </w:pPr>
      <w:bookmarkStart w:id="10" w:name="_Toc479081472"/>
      <w:r w:rsidRPr="00991596">
        <w:rPr>
          <w:rFonts w:cs="Times New Roman"/>
        </w:rPr>
        <w:t>References</w:t>
      </w:r>
      <w:bookmarkEnd w:id="10"/>
    </w:p>
    <w:p w:rsidR="00EA6FCC" w:rsidRDefault="00EA6FCC" w:rsidP="00D577BE">
      <w:pPr>
        <w:spacing w:after="0" w:line="240" w:lineRule="auto"/>
        <w:rPr>
          <w:rFonts w:ascii="Times New Roman" w:hAnsi="Times New Roman" w:cs="Times New Roman"/>
        </w:rPr>
      </w:pPr>
      <w:r w:rsidRPr="000620E1">
        <w:rPr>
          <w:rFonts w:ascii="Times New Roman" w:hAnsi="Times New Roman" w:cs="Times New Roman"/>
        </w:rPr>
        <w:t>C</w:t>
      </w:r>
      <w:r>
        <w:rPr>
          <w:rFonts w:ascii="Times New Roman" w:hAnsi="Times New Roman" w:cs="Times New Roman"/>
        </w:rPr>
        <w:t xml:space="preserve">enter for the Built Environment. (2006). </w:t>
      </w:r>
      <w:r w:rsidRPr="000620E1">
        <w:rPr>
          <w:rFonts w:ascii="Times New Roman" w:hAnsi="Times New Roman" w:cs="Times New Roman"/>
        </w:rPr>
        <w:t xml:space="preserve">Occupant satisfaction with indoor environmental quality in </w:t>
      </w:r>
    </w:p>
    <w:p w:rsidR="00EA6FCC" w:rsidRDefault="00EA6FCC" w:rsidP="00EA6FCC">
      <w:pPr>
        <w:spacing w:after="120" w:line="240" w:lineRule="auto"/>
        <w:rPr>
          <w:rFonts w:ascii="Times New Roman" w:hAnsi="Times New Roman" w:cs="Times New Roman"/>
        </w:rPr>
      </w:pPr>
      <w:r>
        <w:rPr>
          <w:rFonts w:ascii="Times New Roman" w:hAnsi="Times New Roman" w:cs="Times New Roman"/>
        </w:rPr>
        <w:tab/>
      </w:r>
      <w:r w:rsidRPr="000620E1">
        <w:rPr>
          <w:rFonts w:ascii="Times New Roman" w:hAnsi="Times New Roman" w:cs="Times New Roman"/>
        </w:rPr>
        <w:t>green buildings.</w:t>
      </w:r>
      <w:r>
        <w:rPr>
          <w:rFonts w:ascii="Times New Roman" w:hAnsi="Times New Roman" w:cs="Times New Roman"/>
        </w:rPr>
        <w:t xml:space="preserve"> U.C. Berkeley: </w:t>
      </w:r>
      <w:proofErr w:type="spellStart"/>
      <w:r>
        <w:rPr>
          <w:rFonts w:ascii="Times New Roman" w:hAnsi="Times New Roman" w:cs="Times New Roman"/>
        </w:rPr>
        <w:t>Abbaszadeh</w:t>
      </w:r>
      <w:proofErr w:type="spellEnd"/>
      <w:r>
        <w:rPr>
          <w:rFonts w:ascii="Times New Roman" w:hAnsi="Times New Roman" w:cs="Times New Roman"/>
        </w:rPr>
        <w:t>, S.,</w:t>
      </w:r>
      <w:r w:rsidRPr="000620E1">
        <w:rPr>
          <w:rFonts w:ascii="Times New Roman" w:hAnsi="Times New Roman" w:cs="Times New Roman"/>
        </w:rPr>
        <w:t xml:space="preserve"> Zagreus, L</w:t>
      </w:r>
      <w:r>
        <w:rPr>
          <w:rFonts w:ascii="Times New Roman" w:hAnsi="Times New Roman" w:cs="Times New Roman"/>
        </w:rPr>
        <w:t>L., Lehrer, D.,</w:t>
      </w:r>
      <w:r w:rsidRPr="000620E1">
        <w:rPr>
          <w:rFonts w:ascii="Times New Roman" w:hAnsi="Times New Roman" w:cs="Times New Roman"/>
        </w:rPr>
        <w:t xml:space="preserve"> &amp; Huizenga, C.</w:t>
      </w:r>
    </w:p>
    <w:p w:rsidR="007D4C37" w:rsidRDefault="007D4C37" w:rsidP="00D577BE">
      <w:pPr>
        <w:spacing w:after="0" w:line="240" w:lineRule="auto"/>
        <w:rPr>
          <w:rFonts w:ascii="Times New Roman" w:hAnsi="Times New Roman" w:cs="Times New Roman"/>
          <w:i/>
        </w:rPr>
      </w:pPr>
      <w:proofErr w:type="spellStart"/>
      <w:r>
        <w:rPr>
          <w:rFonts w:ascii="Times New Roman" w:hAnsi="Times New Roman" w:cs="Times New Roman"/>
        </w:rPr>
        <w:t>Eichholtz</w:t>
      </w:r>
      <w:proofErr w:type="spellEnd"/>
      <w:r>
        <w:rPr>
          <w:rFonts w:ascii="Times New Roman" w:hAnsi="Times New Roman" w:cs="Times New Roman"/>
        </w:rPr>
        <w:t xml:space="preserve">, P., </w:t>
      </w:r>
      <w:proofErr w:type="spellStart"/>
      <w:r>
        <w:rPr>
          <w:rFonts w:ascii="Times New Roman" w:hAnsi="Times New Roman" w:cs="Times New Roman"/>
        </w:rPr>
        <w:t>Kok</w:t>
      </w:r>
      <w:proofErr w:type="spellEnd"/>
      <w:r>
        <w:rPr>
          <w:rFonts w:ascii="Times New Roman" w:hAnsi="Times New Roman" w:cs="Times New Roman"/>
        </w:rPr>
        <w:t>, N., &amp; Quigley, J. M. (2013). The e</w:t>
      </w:r>
      <w:r w:rsidRPr="007D4C37">
        <w:rPr>
          <w:rFonts w:ascii="Times New Roman" w:hAnsi="Times New Roman" w:cs="Times New Roman"/>
        </w:rPr>
        <w:t xml:space="preserve">conomics of </w:t>
      </w:r>
      <w:r>
        <w:rPr>
          <w:rFonts w:ascii="Times New Roman" w:hAnsi="Times New Roman" w:cs="Times New Roman"/>
        </w:rPr>
        <w:t>g</w:t>
      </w:r>
      <w:r w:rsidRPr="007D4C37">
        <w:rPr>
          <w:rFonts w:ascii="Times New Roman" w:hAnsi="Times New Roman" w:cs="Times New Roman"/>
        </w:rPr>
        <w:t xml:space="preserve">reen </w:t>
      </w:r>
      <w:r>
        <w:rPr>
          <w:rFonts w:ascii="Times New Roman" w:hAnsi="Times New Roman" w:cs="Times New Roman"/>
        </w:rPr>
        <w:t>b</w:t>
      </w:r>
      <w:r w:rsidRPr="007D4C37">
        <w:rPr>
          <w:rFonts w:ascii="Times New Roman" w:hAnsi="Times New Roman" w:cs="Times New Roman"/>
        </w:rPr>
        <w:t>uilding</w:t>
      </w:r>
      <w:r>
        <w:rPr>
          <w:rFonts w:ascii="Times New Roman" w:hAnsi="Times New Roman" w:cs="Times New Roman"/>
        </w:rPr>
        <w:t xml:space="preserve">. </w:t>
      </w:r>
      <w:r>
        <w:rPr>
          <w:rFonts w:ascii="Times New Roman" w:hAnsi="Times New Roman" w:cs="Times New Roman"/>
          <w:i/>
        </w:rPr>
        <w:t xml:space="preserve">Review of Economics </w:t>
      </w:r>
    </w:p>
    <w:p w:rsidR="007D4C37" w:rsidRPr="007D4C37" w:rsidRDefault="007D4C37" w:rsidP="00D577BE">
      <w:pPr>
        <w:spacing w:after="120" w:line="240" w:lineRule="auto"/>
        <w:rPr>
          <w:rFonts w:ascii="Times New Roman" w:hAnsi="Times New Roman" w:cs="Times New Roman"/>
        </w:rPr>
      </w:pPr>
      <w:r>
        <w:rPr>
          <w:rFonts w:ascii="Times New Roman" w:hAnsi="Times New Roman" w:cs="Times New Roman"/>
          <w:i/>
        </w:rPr>
        <w:lastRenderedPageBreak/>
        <w:tab/>
        <w:t>&amp; Statistics, 95</w:t>
      </w:r>
      <w:r>
        <w:rPr>
          <w:rFonts w:ascii="Times New Roman" w:hAnsi="Times New Roman" w:cs="Times New Roman"/>
        </w:rPr>
        <w:t>(1), 50-63.</w:t>
      </w:r>
    </w:p>
    <w:p w:rsidR="00300704" w:rsidRPr="00991596" w:rsidRDefault="00300704" w:rsidP="00D577BE">
      <w:pPr>
        <w:spacing w:after="0" w:line="240" w:lineRule="auto"/>
        <w:rPr>
          <w:rFonts w:ascii="Times New Roman" w:hAnsi="Times New Roman" w:cs="Times New Roman"/>
        </w:rPr>
      </w:pPr>
      <w:proofErr w:type="spellStart"/>
      <w:r w:rsidRPr="00991596">
        <w:rPr>
          <w:rFonts w:ascii="Times New Roman" w:hAnsi="Times New Roman" w:cs="Times New Roman"/>
        </w:rPr>
        <w:t>Frontczak</w:t>
      </w:r>
      <w:proofErr w:type="spellEnd"/>
      <w:r w:rsidRPr="00991596">
        <w:rPr>
          <w:rFonts w:ascii="Times New Roman" w:hAnsi="Times New Roman" w:cs="Times New Roman"/>
        </w:rPr>
        <w:t xml:space="preserve">, M., &amp; </w:t>
      </w:r>
      <w:proofErr w:type="spellStart"/>
      <w:r w:rsidRPr="00991596">
        <w:rPr>
          <w:rFonts w:ascii="Times New Roman" w:hAnsi="Times New Roman" w:cs="Times New Roman"/>
        </w:rPr>
        <w:t>Wargocki</w:t>
      </w:r>
      <w:proofErr w:type="spellEnd"/>
      <w:r w:rsidRPr="00991596">
        <w:rPr>
          <w:rFonts w:ascii="Times New Roman" w:hAnsi="Times New Roman" w:cs="Times New Roman"/>
        </w:rPr>
        <w:t>, P. (2011)</w:t>
      </w:r>
      <w:r w:rsidR="00372A0F">
        <w:rPr>
          <w:rFonts w:ascii="Times New Roman" w:hAnsi="Times New Roman" w:cs="Times New Roman"/>
        </w:rPr>
        <w:t>.</w:t>
      </w:r>
      <w:r w:rsidRPr="00991596">
        <w:rPr>
          <w:rFonts w:ascii="Times New Roman" w:hAnsi="Times New Roman" w:cs="Times New Roman"/>
        </w:rPr>
        <w:t xml:space="preserve"> Literature survey on how different factors influence human </w:t>
      </w:r>
    </w:p>
    <w:p w:rsidR="00300704" w:rsidRPr="00991596" w:rsidRDefault="00300704" w:rsidP="00D577BE">
      <w:pPr>
        <w:spacing w:after="120" w:line="240" w:lineRule="auto"/>
        <w:rPr>
          <w:rFonts w:ascii="Times New Roman" w:hAnsi="Times New Roman" w:cs="Times New Roman"/>
        </w:rPr>
      </w:pPr>
      <w:r w:rsidRPr="00991596">
        <w:rPr>
          <w:rFonts w:ascii="Times New Roman" w:hAnsi="Times New Roman" w:cs="Times New Roman"/>
        </w:rPr>
        <w:tab/>
        <w:t xml:space="preserve">comfort in indoor environments. </w:t>
      </w:r>
      <w:r w:rsidRPr="00991596">
        <w:rPr>
          <w:rFonts w:ascii="Times New Roman" w:hAnsi="Times New Roman" w:cs="Times New Roman"/>
          <w:i/>
        </w:rPr>
        <w:t>Building and Environment, 46</w:t>
      </w:r>
      <w:r w:rsidRPr="00991596">
        <w:rPr>
          <w:rFonts w:ascii="Times New Roman" w:hAnsi="Times New Roman" w:cs="Times New Roman"/>
        </w:rPr>
        <w:t>(4), 922-937.</w:t>
      </w:r>
    </w:p>
    <w:p w:rsidR="004239C2" w:rsidRPr="00991596" w:rsidRDefault="004239C2" w:rsidP="00D577BE">
      <w:pPr>
        <w:spacing w:after="0" w:line="240" w:lineRule="auto"/>
        <w:rPr>
          <w:rFonts w:ascii="Times New Roman" w:hAnsi="Times New Roman" w:cs="Times New Roman"/>
        </w:rPr>
      </w:pPr>
      <w:proofErr w:type="spellStart"/>
      <w:r w:rsidRPr="00991596">
        <w:rPr>
          <w:rFonts w:ascii="Times New Roman" w:hAnsi="Times New Roman" w:cs="Times New Roman"/>
        </w:rPr>
        <w:t>Heeringa</w:t>
      </w:r>
      <w:proofErr w:type="spellEnd"/>
      <w:r w:rsidRPr="00991596">
        <w:rPr>
          <w:rFonts w:ascii="Times New Roman" w:hAnsi="Times New Roman" w:cs="Times New Roman"/>
        </w:rPr>
        <w:t xml:space="preserve">, S. G., West, B. T., &amp; Berglund, P. A. (2010). </w:t>
      </w:r>
      <w:r w:rsidR="007D4C37">
        <w:rPr>
          <w:rFonts w:ascii="Times New Roman" w:hAnsi="Times New Roman" w:cs="Times New Roman"/>
          <w:i/>
        </w:rPr>
        <w:t>Applied S</w:t>
      </w:r>
      <w:r w:rsidRPr="00991596">
        <w:rPr>
          <w:rFonts w:ascii="Times New Roman" w:hAnsi="Times New Roman" w:cs="Times New Roman"/>
          <w:i/>
        </w:rPr>
        <w:t xml:space="preserve">urvey </w:t>
      </w:r>
      <w:r w:rsidR="007D4C37">
        <w:rPr>
          <w:rFonts w:ascii="Times New Roman" w:hAnsi="Times New Roman" w:cs="Times New Roman"/>
          <w:i/>
        </w:rPr>
        <w:t>D</w:t>
      </w:r>
      <w:r w:rsidRPr="00991596">
        <w:rPr>
          <w:rFonts w:ascii="Times New Roman" w:hAnsi="Times New Roman" w:cs="Times New Roman"/>
          <w:i/>
        </w:rPr>
        <w:t xml:space="preserve">ata </w:t>
      </w:r>
      <w:r w:rsidR="007D4C37">
        <w:rPr>
          <w:rFonts w:ascii="Times New Roman" w:hAnsi="Times New Roman" w:cs="Times New Roman"/>
          <w:i/>
        </w:rPr>
        <w:t>A</w:t>
      </w:r>
      <w:r w:rsidRPr="00991596">
        <w:rPr>
          <w:rFonts w:ascii="Times New Roman" w:hAnsi="Times New Roman" w:cs="Times New Roman"/>
          <w:i/>
        </w:rPr>
        <w:t>nalysis.</w:t>
      </w:r>
      <w:r w:rsidRPr="00991596">
        <w:rPr>
          <w:rFonts w:ascii="Times New Roman" w:hAnsi="Times New Roman" w:cs="Times New Roman"/>
        </w:rPr>
        <w:t xml:space="preserve"> Boca Raton, </w:t>
      </w:r>
    </w:p>
    <w:p w:rsidR="00412E3A" w:rsidRPr="00991596" w:rsidRDefault="004239C2" w:rsidP="00D577BE">
      <w:pPr>
        <w:spacing w:after="120" w:line="240" w:lineRule="auto"/>
        <w:ind w:firstLine="720"/>
        <w:rPr>
          <w:rFonts w:ascii="Times New Roman" w:hAnsi="Times New Roman" w:cs="Times New Roman"/>
        </w:rPr>
      </w:pPr>
      <w:r w:rsidRPr="00991596">
        <w:rPr>
          <w:rFonts w:ascii="Times New Roman" w:hAnsi="Times New Roman" w:cs="Times New Roman"/>
        </w:rPr>
        <w:t>FL: Taylor &amp; Francis Group</w:t>
      </w:r>
    </w:p>
    <w:p w:rsidR="009F5071" w:rsidRDefault="009F5071" w:rsidP="00D577BE">
      <w:pPr>
        <w:spacing w:after="0" w:line="240" w:lineRule="auto"/>
        <w:rPr>
          <w:rFonts w:ascii="Times New Roman" w:hAnsi="Times New Roman" w:cs="Times New Roman"/>
        </w:rPr>
      </w:pPr>
      <w:r>
        <w:rPr>
          <w:rFonts w:ascii="Times New Roman" w:hAnsi="Times New Roman" w:cs="Times New Roman"/>
        </w:rPr>
        <w:t xml:space="preserve">Holmgren, M., </w:t>
      </w:r>
      <w:proofErr w:type="spellStart"/>
      <w:r>
        <w:rPr>
          <w:rFonts w:ascii="Times New Roman" w:hAnsi="Times New Roman" w:cs="Times New Roman"/>
        </w:rPr>
        <w:t>Kabanshi</w:t>
      </w:r>
      <w:proofErr w:type="spellEnd"/>
      <w:r>
        <w:rPr>
          <w:rFonts w:ascii="Times New Roman" w:hAnsi="Times New Roman" w:cs="Times New Roman"/>
        </w:rPr>
        <w:t xml:space="preserve">, A., &amp; </w:t>
      </w:r>
      <w:proofErr w:type="spellStart"/>
      <w:r>
        <w:rPr>
          <w:rFonts w:ascii="Times New Roman" w:hAnsi="Times New Roman" w:cs="Times New Roman"/>
        </w:rPr>
        <w:t>Sorqvist</w:t>
      </w:r>
      <w:proofErr w:type="spellEnd"/>
      <w:r>
        <w:rPr>
          <w:rFonts w:ascii="Times New Roman" w:hAnsi="Times New Roman" w:cs="Times New Roman"/>
        </w:rPr>
        <w:t xml:space="preserve">, P. (2017). </w:t>
      </w:r>
      <w:r w:rsidRPr="00EE36A1">
        <w:rPr>
          <w:rFonts w:ascii="Times New Roman" w:hAnsi="Times New Roman" w:cs="Times New Roman"/>
        </w:rPr>
        <w:t xml:space="preserve">Occupant perception of “green” buildings: </w:t>
      </w:r>
    </w:p>
    <w:p w:rsidR="0016039E" w:rsidRDefault="009F5071" w:rsidP="00D577BE">
      <w:pPr>
        <w:spacing w:after="120" w:line="240" w:lineRule="auto"/>
        <w:rPr>
          <w:rFonts w:ascii="Times New Roman" w:hAnsi="Times New Roman" w:cs="Times New Roman"/>
        </w:rPr>
      </w:pPr>
      <w:r>
        <w:rPr>
          <w:rFonts w:ascii="Times New Roman" w:hAnsi="Times New Roman" w:cs="Times New Roman"/>
        </w:rPr>
        <w:tab/>
      </w:r>
      <w:r w:rsidRPr="00EE36A1">
        <w:rPr>
          <w:rFonts w:ascii="Times New Roman" w:hAnsi="Times New Roman" w:cs="Times New Roman"/>
        </w:rPr>
        <w:t>Distinguishing physical and psychological factors</w:t>
      </w:r>
      <w:r>
        <w:rPr>
          <w:rFonts w:ascii="Times New Roman" w:hAnsi="Times New Roman" w:cs="Times New Roman"/>
        </w:rPr>
        <w:t xml:space="preserve">. </w:t>
      </w:r>
      <w:r>
        <w:rPr>
          <w:rFonts w:ascii="Times New Roman" w:hAnsi="Times New Roman" w:cs="Times New Roman"/>
          <w:i/>
        </w:rPr>
        <w:t>Building an</w:t>
      </w:r>
      <w:r w:rsidR="007D4C37">
        <w:rPr>
          <w:rFonts w:ascii="Times New Roman" w:hAnsi="Times New Roman" w:cs="Times New Roman"/>
          <w:i/>
        </w:rPr>
        <w:t>d</w:t>
      </w:r>
      <w:r>
        <w:rPr>
          <w:rFonts w:ascii="Times New Roman" w:hAnsi="Times New Roman" w:cs="Times New Roman"/>
          <w:i/>
        </w:rPr>
        <w:t xml:space="preserve"> Environment, 114</w:t>
      </w:r>
      <w:r>
        <w:rPr>
          <w:rFonts w:ascii="Times New Roman" w:hAnsi="Times New Roman" w:cs="Times New Roman"/>
        </w:rPr>
        <w:t>. 140-147.</w:t>
      </w:r>
    </w:p>
    <w:p w:rsidR="00590BF9" w:rsidRPr="00991596" w:rsidRDefault="00590BF9" w:rsidP="00D577BE">
      <w:pPr>
        <w:spacing w:after="0" w:line="240" w:lineRule="auto"/>
        <w:rPr>
          <w:rFonts w:ascii="Times New Roman" w:hAnsi="Times New Roman" w:cs="Times New Roman"/>
        </w:rPr>
      </w:pPr>
      <w:proofErr w:type="spellStart"/>
      <w:r w:rsidRPr="00991596">
        <w:rPr>
          <w:rFonts w:ascii="Times New Roman" w:hAnsi="Times New Roman" w:cs="Times New Roman"/>
        </w:rPr>
        <w:t>Kingma</w:t>
      </w:r>
      <w:proofErr w:type="spellEnd"/>
      <w:r w:rsidRPr="00991596">
        <w:rPr>
          <w:rFonts w:ascii="Times New Roman" w:hAnsi="Times New Roman" w:cs="Times New Roman"/>
        </w:rPr>
        <w:t xml:space="preserve">, B., &amp; </w:t>
      </w:r>
      <w:r w:rsidR="0016039E">
        <w:rPr>
          <w:rFonts w:ascii="Times New Roman" w:hAnsi="Times New Roman" w:cs="Times New Roman"/>
        </w:rPr>
        <w:t xml:space="preserve">van </w:t>
      </w:r>
      <w:proofErr w:type="spellStart"/>
      <w:r w:rsidRPr="00991596">
        <w:rPr>
          <w:rFonts w:ascii="Times New Roman" w:hAnsi="Times New Roman" w:cs="Times New Roman"/>
        </w:rPr>
        <w:t>Marken</w:t>
      </w:r>
      <w:proofErr w:type="spellEnd"/>
      <w:r w:rsidRPr="00991596">
        <w:rPr>
          <w:rFonts w:ascii="Times New Roman" w:hAnsi="Times New Roman" w:cs="Times New Roman"/>
        </w:rPr>
        <w:t xml:space="preserve"> </w:t>
      </w:r>
      <w:proofErr w:type="spellStart"/>
      <w:r w:rsidRPr="00991596">
        <w:rPr>
          <w:rFonts w:ascii="Times New Roman" w:hAnsi="Times New Roman" w:cs="Times New Roman"/>
        </w:rPr>
        <w:t>Lichtenbelt</w:t>
      </w:r>
      <w:proofErr w:type="spellEnd"/>
      <w:r w:rsidRPr="00991596">
        <w:rPr>
          <w:rFonts w:ascii="Times New Roman" w:hAnsi="Times New Roman" w:cs="Times New Roman"/>
        </w:rPr>
        <w:t xml:space="preserve">, W. (2015). Energy consumption in buildings and female thermal </w:t>
      </w:r>
    </w:p>
    <w:p w:rsidR="0016039E" w:rsidRDefault="00590BF9" w:rsidP="00D577BE">
      <w:pPr>
        <w:spacing w:after="120" w:line="240" w:lineRule="auto"/>
        <w:rPr>
          <w:rFonts w:ascii="Times New Roman" w:hAnsi="Times New Roman" w:cs="Times New Roman"/>
        </w:rPr>
      </w:pPr>
      <w:r w:rsidRPr="00991596">
        <w:rPr>
          <w:rFonts w:ascii="Times New Roman" w:hAnsi="Times New Roman" w:cs="Times New Roman"/>
        </w:rPr>
        <w:tab/>
        <w:t xml:space="preserve">demand. </w:t>
      </w:r>
      <w:r w:rsidR="0016039E">
        <w:rPr>
          <w:rFonts w:ascii="Times New Roman" w:hAnsi="Times New Roman" w:cs="Times New Roman"/>
          <w:i/>
        </w:rPr>
        <w:t>Nature Climate Change, 5</w:t>
      </w:r>
      <w:r w:rsidR="0016039E">
        <w:rPr>
          <w:rFonts w:ascii="Times New Roman" w:hAnsi="Times New Roman" w:cs="Times New Roman"/>
        </w:rPr>
        <w:t>, 1054-1056.</w:t>
      </w:r>
    </w:p>
    <w:p w:rsidR="00372A0F" w:rsidRDefault="0038205E" w:rsidP="00D577BE">
      <w:pPr>
        <w:spacing w:after="0" w:line="240" w:lineRule="auto"/>
        <w:rPr>
          <w:rFonts w:ascii="Times New Roman" w:hAnsi="Times New Roman" w:cs="Times New Roman"/>
        </w:rPr>
      </w:pPr>
      <w:r>
        <w:rPr>
          <w:rFonts w:ascii="Times New Roman" w:hAnsi="Times New Roman" w:cs="Times New Roman"/>
        </w:rPr>
        <w:t xml:space="preserve">Paul, W. L., &amp; Taylor, P. A. (2008). </w:t>
      </w:r>
      <w:r w:rsidR="00372A0F" w:rsidRPr="00372A0F">
        <w:rPr>
          <w:rFonts w:ascii="Times New Roman" w:hAnsi="Times New Roman" w:cs="Times New Roman"/>
        </w:rPr>
        <w:t>A comparison of occupant comfort and satisfaction between a green</w:t>
      </w:r>
    </w:p>
    <w:p w:rsidR="00950BC1" w:rsidRDefault="00372A0F" w:rsidP="00EA6FCC">
      <w:pPr>
        <w:spacing w:after="120" w:line="240" w:lineRule="auto"/>
        <w:ind w:firstLine="720"/>
        <w:rPr>
          <w:rFonts w:ascii="Times New Roman" w:hAnsi="Times New Roman" w:cs="Times New Roman"/>
        </w:rPr>
      </w:pPr>
      <w:r w:rsidRPr="00372A0F">
        <w:rPr>
          <w:rFonts w:ascii="Times New Roman" w:hAnsi="Times New Roman" w:cs="Times New Roman"/>
        </w:rPr>
        <w:t>building and a conventional building</w:t>
      </w:r>
      <w:r>
        <w:rPr>
          <w:rFonts w:ascii="Times New Roman" w:hAnsi="Times New Roman" w:cs="Times New Roman"/>
        </w:rPr>
        <w:t xml:space="preserve">. </w:t>
      </w:r>
      <w:r>
        <w:rPr>
          <w:rFonts w:ascii="Times New Roman" w:hAnsi="Times New Roman" w:cs="Times New Roman"/>
          <w:i/>
        </w:rPr>
        <w:t>Building and Environment, 43</w:t>
      </w:r>
      <w:r>
        <w:rPr>
          <w:rFonts w:ascii="Times New Roman" w:hAnsi="Times New Roman" w:cs="Times New Roman"/>
        </w:rPr>
        <w:t>(11), 1858-1870.</w:t>
      </w:r>
    </w:p>
    <w:p w:rsidR="002B46AA" w:rsidRDefault="002B46AA">
      <w:pPr>
        <w:rPr>
          <w:rFonts w:ascii="Times New Roman" w:eastAsiaTheme="majorEastAsia" w:hAnsi="Times New Roman" w:cs="Times New Roman"/>
          <w:b/>
          <w:szCs w:val="32"/>
        </w:rPr>
      </w:pPr>
      <w:r>
        <w:rPr>
          <w:rFonts w:cs="Times New Roman"/>
        </w:rPr>
        <w:br w:type="page"/>
      </w:r>
    </w:p>
    <w:p w:rsidR="00563ED7" w:rsidRPr="00991596" w:rsidRDefault="00563ED7" w:rsidP="00072995">
      <w:pPr>
        <w:pStyle w:val="Heading1"/>
        <w:rPr>
          <w:rFonts w:cs="Times New Roman"/>
        </w:rPr>
      </w:pPr>
      <w:bookmarkStart w:id="11" w:name="_Toc479081473"/>
      <w:r w:rsidRPr="00991596">
        <w:rPr>
          <w:rFonts w:cs="Times New Roman"/>
        </w:rPr>
        <w:lastRenderedPageBreak/>
        <w:t>Appendix</w:t>
      </w:r>
      <w:bookmarkEnd w:id="11"/>
    </w:p>
    <w:p w:rsidR="005B7536" w:rsidRPr="00991596" w:rsidRDefault="005B7536" w:rsidP="005B7536">
      <w:pPr>
        <w:spacing w:after="120" w:line="240" w:lineRule="auto"/>
        <w:rPr>
          <w:rFonts w:ascii="Times New Roman" w:hAnsi="Times New Roman" w:cs="Times New Roman"/>
        </w:rPr>
      </w:pPr>
      <w:r w:rsidRPr="00991596">
        <w:rPr>
          <w:rFonts w:ascii="Times New Roman" w:hAnsi="Times New Roman" w:cs="Times New Roman"/>
        </w:rPr>
        <w:t xml:space="preserve">Table </w:t>
      </w:r>
      <w:r>
        <w:rPr>
          <w:rFonts w:ascii="Times New Roman" w:hAnsi="Times New Roman" w:cs="Times New Roman"/>
        </w:rPr>
        <w:t>(A1)</w:t>
      </w:r>
      <w:r w:rsidRPr="00991596">
        <w:rPr>
          <w:rFonts w:ascii="Times New Roman" w:hAnsi="Times New Roman" w:cs="Times New Roman"/>
        </w:rPr>
        <w:t xml:space="preserve"> is a set of regression results using responses on importance of building characteristics.  Column (1) is an OLS regression on the averaged response across the importance subcategories of each respondent.  It suggests significant contextual data is lost if we only ask for an overall importance, admitting this averaged score is different from a single, overall satisfaction response.  However, unlike in the tables that follow, no clear pattern across subcategories emerges.  One interesting question to consider, do students self-select into Kroon Hall based on </w:t>
      </w:r>
      <w:proofErr w:type="spellStart"/>
      <w:r w:rsidRPr="00991596">
        <w:rPr>
          <w:rFonts w:ascii="Times New Roman" w:hAnsi="Times New Roman" w:cs="Times New Roman"/>
        </w:rPr>
        <w:t>least</w:t>
      </w:r>
      <w:proofErr w:type="spellEnd"/>
      <w:r w:rsidRPr="00991596">
        <w:rPr>
          <w:rFonts w:ascii="Times New Roman" w:hAnsi="Times New Roman" w:cs="Times New Roman"/>
        </w:rPr>
        <w:t xml:space="preserve"> and most important features to them?  Note in column (</w:t>
      </w:r>
      <w:r w:rsidR="00391218">
        <w:rPr>
          <w:rFonts w:ascii="Times New Roman" w:hAnsi="Times New Roman" w:cs="Times New Roman"/>
        </w:rPr>
        <w:t>2</w:t>
      </w:r>
      <w:r w:rsidRPr="00991596">
        <w:rPr>
          <w:rFonts w:ascii="Times New Roman" w:hAnsi="Times New Roman" w:cs="Times New Roman"/>
        </w:rPr>
        <w:t xml:space="preserve">) the large </w:t>
      </w:r>
      <w:proofErr w:type="spellStart"/>
      <w:r w:rsidRPr="00991596">
        <w:rPr>
          <w:rFonts w:ascii="Times New Roman" w:hAnsi="Times New Roman" w:cs="Times New Roman"/>
        </w:rPr>
        <w:t>probit</w:t>
      </w:r>
      <w:proofErr w:type="spellEnd"/>
      <w:r w:rsidRPr="00991596">
        <w:rPr>
          <w:rFonts w:ascii="Times New Roman" w:hAnsi="Times New Roman" w:cs="Times New Roman"/>
        </w:rPr>
        <w:t xml:space="preserve"> coefficient on aesthetics for </w:t>
      </w:r>
      <w:proofErr w:type="spellStart"/>
      <w:r w:rsidRPr="00991596">
        <w:rPr>
          <w:rFonts w:ascii="Times New Roman" w:hAnsi="Times New Roman" w:cs="Times New Roman"/>
        </w:rPr>
        <w:t>KroonPrimary</w:t>
      </w:r>
      <w:proofErr w:type="spellEnd"/>
      <w:r w:rsidRPr="00991596">
        <w:rPr>
          <w:rFonts w:ascii="Times New Roman" w:hAnsi="Times New Roman" w:cs="Times New Roman"/>
        </w:rPr>
        <w:t xml:space="preserve"> relative to all other coefficients in the table and is significant at all levels.  Contextually, Kroon Hall is known for aesthetic appeal.  Note for those with Kroon offices, who cannot self-select, the nearly equal, negative coefficient does not refute the student self-selection hypothesis.  Although less significant, at only the 10% level, we consider whether this is also the case with thermal comfort, selecting out of Kroon Hall.  Specifically, would this be more significant if we differentiate between </w:t>
      </w:r>
      <w:proofErr w:type="spellStart"/>
      <w:r w:rsidRPr="00991596">
        <w:rPr>
          <w:rFonts w:ascii="Times New Roman" w:hAnsi="Times New Roman" w:cs="Times New Roman"/>
        </w:rPr>
        <w:t>KroonPrimary</w:t>
      </w:r>
      <w:proofErr w:type="spellEnd"/>
      <w:r w:rsidRPr="00991596">
        <w:rPr>
          <w:rFonts w:ascii="Times New Roman" w:hAnsi="Times New Roman" w:cs="Times New Roman"/>
        </w:rPr>
        <w:t xml:space="preserve"> male and female users?  Noting the 1% level of significance for Female, we ran an auxiliary regression including an interaction term </w:t>
      </w:r>
      <w:proofErr w:type="spellStart"/>
      <w:r w:rsidRPr="00991596">
        <w:rPr>
          <w:rFonts w:ascii="Times New Roman" w:hAnsi="Times New Roman" w:cs="Times New Roman"/>
        </w:rPr>
        <w:t>KroonPrimary</w:t>
      </w:r>
      <w:proofErr w:type="spellEnd"/>
      <w:r w:rsidRPr="00991596">
        <w:rPr>
          <w:rFonts w:ascii="Times New Roman" w:hAnsi="Times New Roman" w:cs="Times New Roman"/>
        </w:rPr>
        <w:t xml:space="preserve">*Female which resulted in both Female and </w:t>
      </w:r>
      <w:proofErr w:type="spellStart"/>
      <w:r w:rsidRPr="00991596">
        <w:rPr>
          <w:rFonts w:ascii="Times New Roman" w:hAnsi="Times New Roman" w:cs="Times New Roman"/>
        </w:rPr>
        <w:t>KroonPrimary</w:t>
      </w:r>
      <w:proofErr w:type="spellEnd"/>
      <w:r w:rsidRPr="00991596">
        <w:rPr>
          <w:rFonts w:ascii="Times New Roman" w:hAnsi="Times New Roman" w:cs="Times New Roman"/>
        </w:rPr>
        <w:t xml:space="preserve">*Female becoming insignificant while remaining jointly significant (F-test) at the 5% level suggesting over specification of the model.  Unfortunately this auxiliary regression neither supports nor refutes a self-selection hypothesis then.  Finally, since we also find aesthetics, air quality, and sustainability features statistically significant for female respondents and acoustics positively related with age, this may suggest a greater need to focus on their preferences in these areas when planning and operating facilities.   </w:t>
      </w:r>
    </w:p>
    <w:p w:rsidR="00803E45" w:rsidRPr="00991596" w:rsidRDefault="005B7536" w:rsidP="005B7536">
      <w:pPr>
        <w:spacing w:after="120" w:line="240" w:lineRule="auto"/>
        <w:rPr>
          <w:rFonts w:ascii="Times New Roman" w:hAnsi="Times New Roman" w:cs="Times New Roman"/>
        </w:rPr>
      </w:pPr>
      <w:r w:rsidRPr="00991596">
        <w:rPr>
          <w:rFonts w:ascii="Times New Roman" w:hAnsi="Times New Roman" w:cs="Times New Roman"/>
        </w:rPr>
        <w:t>Moving from ex post importance to satisfaction analysis, table (</w:t>
      </w:r>
      <w:r>
        <w:rPr>
          <w:rFonts w:ascii="Times New Roman" w:hAnsi="Times New Roman" w:cs="Times New Roman"/>
        </w:rPr>
        <w:t>A</w:t>
      </w:r>
      <w:r w:rsidRPr="00991596">
        <w:rPr>
          <w:rFonts w:ascii="Times New Roman" w:hAnsi="Times New Roman" w:cs="Times New Roman"/>
        </w:rPr>
        <w:t xml:space="preserve">2) presents ordered </w:t>
      </w:r>
      <w:proofErr w:type="spellStart"/>
      <w:r w:rsidRPr="00991596">
        <w:rPr>
          <w:rFonts w:ascii="Times New Roman" w:hAnsi="Times New Roman" w:cs="Times New Roman"/>
        </w:rPr>
        <w:t>probit</w:t>
      </w:r>
      <w:proofErr w:type="spellEnd"/>
      <w:r w:rsidRPr="00991596">
        <w:rPr>
          <w:rFonts w:ascii="Times New Roman" w:hAnsi="Times New Roman" w:cs="Times New Roman"/>
        </w:rPr>
        <w:t xml:space="preserve"> regressions on satisfaction responses for F&amp;ES facilities.  Consistently significant, students who primarily use Kroon Hall claim a higher level of satisfaction across all subcategories at the 1% level of significance.  This would be a significant architectural achievement for a LEED certified structure as the literature cites dissatisfaction in many of these categories for many green buildings across the nation.  However this may not be as momentous when the competition is considered- the baseline category is a set of historic and near-historic structures with reportedly testy and ad hoc heating and cooling systems.  The building satisfaction picture is not as rosy for Faculty, Staff, and resident researchers of Kroon Hall, across all columns (with five of eight significantly) the coefficients on </w:t>
      </w:r>
      <w:proofErr w:type="spellStart"/>
      <w:r w:rsidRPr="00991596">
        <w:rPr>
          <w:rFonts w:ascii="Times New Roman" w:hAnsi="Times New Roman" w:cs="Times New Roman"/>
        </w:rPr>
        <w:t>KroonOffice</w:t>
      </w:r>
      <w:proofErr w:type="spellEnd"/>
      <w:r w:rsidRPr="00991596">
        <w:rPr>
          <w:rFonts w:ascii="Times New Roman" w:hAnsi="Times New Roman" w:cs="Times New Roman"/>
        </w:rPr>
        <w:t xml:space="preserve"> carry a negative sign, partially or fully offsetting </w:t>
      </w:r>
      <w:proofErr w:type="spellStart"/>
      <w:r w:rsidRPr="00991596">
        <w:rPr>
          <w:rFonts w:ascii="Times New Roman" w:hAnsi="Times New Roman" w:cs="Times New Roman"/>
        </w:rPr>
        <w:t>KroonPrimary</w:t>
      </w:r>
      <w:proofErr w:type="spellEnd"/>
      <w:r w:rsidRPr="00991596">
        <w:rPr>
          <w:rFonts w:ascii="Times New Roman" w:hAnsi="Times New Roman" w:cs="Times New Roman"/>
        </w:rPr>
        <w:t xml:space="preserve">.  This suggests if resources are used to improve the operation of Kroon, the question of what is behind these lower levels of building satisfaction for office space </w:t>
      </w:r>
      <w:proofErr w:type="spellStart"/>
      <w:r w:rsidRPr="00991596">
        <w:rPr>
          <w:rFonts w:ascii="Times New Roman" w:hAnsi="Times New Roman" w:cs="Times New Roman"/>
        </w:rPr>
        <w:t>users</w:t>
      </w:r>
      <w:proofErr w:type="spellEnd"/>
      <w:r w:rsidRPr="00991596">
        <w:rPr>
          <w:rFonts w:ascii="Times New Roman" w:hAnsi="Times New Roman" w:cs="Times New Roman"/>
        </w:rPr>
        <w:t xml:space="preserve"> needs to be understood.  Tables (</w:t>
      </w:r>
      <w:r>
        <w:rPr>
          <w:rFonts w:ascii="Times New Roman" w:hAnsi="Times New Roman" w:cs="Times New Roman"/>
        </w:rPr>
        <w:t>A</w:t>
      </w:r>
      <w:r w:rsidRPr="00991596">
        <w:rPr>
          <w:rFonts w:ascii="Times New Roman" w:hAnsi="Times New Roman" w:cs="Times New Roman"/>
        </w:rPr>
        <w:t>3) &amp; (</w:t>
      </w:r>
      <w:r>
        <w:rPr>
          <w:rFonts w:ascii="Times New Roman" w:hAnsi="Times New Roman" w:cs="Times New Roman"/>
        </w:rPr>
        <w:t>A</w:t>
      </w:r>
      <w:r w:rsidRPr="00991596">
        <w:rPr>
          <w:rFonts w:ascii="Times New Roman" w:hAnsi="Times New Roman" w:cs="Times New Roman"/>
        </w:rPr>
        <w:t>4) on the work and time impact of building spaces tells the same story- students are more satisfied, receive a work benefit, and prefer to spend more time in Kroon Hall due to its environment while the faculty receive less or even a p</w:t>
      </w:r>
      <w:r>
        <w:rPr>
          <w:rFonts w:ascii="Times New Roman" w:hAnsi="Times New Roman" w:cs="Times New Roman"/>
        </w:rPr>
        <w:t>enalty from placement in Kroon.</w:t>
      </w:r>
    </w:p>
    <w:p w:rsidR="00563ED7" w:rsidRDefault="00803E45" w:rsidP="00563ED7">
      <w:pPr>
        <w:spacing w:after="0" w:line="240" w:lineRule="auto"/>
        <w:rPr>
          <w:rFonts w:ascii="Times New Roman" w:hAnsi="Times New Roman" w:cs="Times New Roman"/>
        </w:rPr>
      </w:pPr>
      <w:r w:rsidRPr="00803E45">
        <w:rPr>
          <w:noProof/>
        </w:rPr>
        <w:drawing>
          <wp:inline distT="0" distB="0" distL="0" distR="0">
            <wp:extent cx="5943600" cy="239538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95380"/>
                    </a:xfrm>
                    <a:prstGeom prst="rect">
                      <a:avLst/>
                    </a:prstGeom>
                    <a:noFill/>
                    <a:ln>
                      <a:noFill/>
                    </a:ln>
                  </pic:spPr>
                </pic:pic>
              </a:graphicData>
            </a:graphic>
          </wp:inline>
        </w:drawing>
      </w:r>
    </w:p>
    <w:p w:rsidR="00803E45" w:rsidRDefault="00803E45" w:rsidP="00563ED7">
      <w:pPr>
        <w:spacing w:after="0" w:line="240" w:lineRule="auto"/>
        <w:rPr>
          <w:rFonts w:ascii="Times New Roman" w:hAnsi="Times New Roman" w:cs="Times New Roman"/>
        </w:rPr>
      </w:pPr>
    </w:p>
    <w:p w:rsidR="00803E45" w:rsidRDefault="00803E45" w:rsidP="00563ED7">
      <w:pPr>
        <w:spacing w:after="0" w:line="240" w:lineRule="auto"/>
        <w:rPr>
          <w:rFonts w:ascii="Times New Roman" w:hAnsi="Times New Roman" w:cs="Times New Roman"/>
        </w:rPr>
      </w:pPr>
      <w:r w:rsidRPr="00803E45">
        <w:rPr>
          <w:noProof/>
        </w:rPr>
        <w:lastRenderedPageBreak/>
        <w:drawing>
          <wp:inline distT="0" distB="0" distL="0" distR="0">
            <wp:extent cx="5943600" cy="23637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63718"/>
                    </a:xfrm>
                    <a:prstGeom prst="rect">
                      <a:avLst/>
                    </a:prstGeom>
                    <a:noFill/>
                    <a:ln>
                      <a:noFill/>
                    </a:ln>
                  </pic:spPr>
                </pic:pic>
              </a:graphicData>
            </a:graphic>
          </wp:inline>
        </w:drawing>
      </w:r>
    </w:p>
    <w:p w:rsidR="00803E45" w:rsidRDefault="00803E45" w:rsidP="00563ED7">
      <w:pPr>
        <w:spacing w:after="0" w:line="240" w:lineRule="auto"/>
        <w:rPr>
          <w:rFonts w:ascii="Times New Roman" w:hAnsi="Times New Roman" w:cs="Times New Roman"/>
        </w:rPr>
      </w:pPr>
    </w:p>
    <w:p w:rsidR="00803E45" w:rsidRDefault="00803E45" w:rsidP="00563ED7">
      <w:pPr>
        <w:spacing w:after="0" w:line="240" w:lineRule="auto"/>
        <w:rPr>
          <w:rFonts w:ascii="Times New Roman" w:hAnsi="Times New Roman" w:cs="Times New Roman"/>
        </w:rPr>
      </w:pPr>
      <w:r w:rsidRPr="00803E45">
        <w:rPr>
          <w:noProof/>
        </w:rPr>
        <w:drawing>
          <wp:inline distT="0" distB="0" distL="0" distR="0">
            <wp:extent cx="5943600" cy="23637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63718"/>
                    </a:xfrm>
                    <a:prstGeom prst="rect">
                      <a:avLst/>
                    </a:prstGeom>
                    <a:noFill/>
                    <a:ln>
                      <a:noFill/>
                    </a:ln>
                  </pic:spPr>
                </pic:pic>
              </a:graphicData>
            </a:graphic>
          </wp:inline>
        </w:drawing>
      </w:r>
    </w:p>
    <w:p w:rsidR="00803E45" w:rsidRDefault="00803E45" w:rsidP="00563ED7">
      <w:pPr>
        <w:spacing w:after="0" w:line="240" w:lineRule="auto"/>
        <w:rPr>
          <w:rFonts w:ascii="Times New Roman" w:hAnsi="Times New Roman" w:cs="Times New Roman"/>
        </w:rPr>
      </w:pPr>
    </w:p>
    <w:p w:rsidR="00803E45" w:rsidRDefault="00803E45" w:rsidP="00563ED7">
      <w:pPr>
        <w:spacing w:after="0" w:line="240" w:lineRule="auto"/>
        <w:rPr>
          <w:rFonts w:ascii="Times New Roman" w:hAnsi="Times New Roman" w:cs="Times New Roman"/>
        </w:rPr>
      </w:pPr>
      <w:r w:rsidRPr="00803E45">
        <w:rPr>
          <w:noProof/>
        </w:rPr>
        <w:drawing>
          <wp:inline distT="0" distB="0" distL="0" distR="0">
            <wp:extent cx="5943600" cy="23862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6217"/>
                    </a:xfrm>
                    <a:prstGeom prst="rect">
                      <a:avLst/>
                    </a:prstGeom>
                    <a:noFill/>
                    <a:ln>
                      <a:noFill/>
                    </a:ln>
                  </pic:spPr>
                </pic:pic>
              </a:graphicData>
            </a:graphic>
          </wp:inline>
        </w:drawing>
      </w:r>
    </w:p>
    <w:p w:rsidR="007115B8" w:rsidRPr="00991596" w:rsidRDefault="007115B8" w:rsidP="007115B8">
      <w:pPr>
        <w:spacing w:before="240" w:after="0" w:line="240" w:lineRule="auto"/>
        <w:rPr>
          <w:rFonts w:ascii="Times New Roman" w:hAnsi="Times New Roman" w:cs="Times New Roman"/>
        </w:rPr>
      </w:pPr>
      <w:r>
        <w:rPr>
          <w:rFonts w:ascii="Times New Roman" w:hAnsi="Times New Roman" w:cs="Times New Roman"/>
        </w:rPr>
        <w:t>Several other questions were included in the survey but not used in this study.  The survey collected time and special usage data.  R</w:t>
      </w:r>
      <w:r w:rsidRPr="00991596">
        <w:rPr>
          <w:rFonts w:ascii="Times New Roman" w:hAnsi="Times New Roman" w:cs="Times New Roman"/>
        </w:rPr>
        <w:t>espondents</w:t>
      </w:r>
      <w:r>
        <w:rPr>
          <w:rFonts w:ascii="Times New Roman" w:hAnsi="Times New Roman" w:cs="Times New Roman"/>
        </w:rPr>
        <w:t xml:space="preserve"> were asked</w:t>
      </w:r>
      <w:r w:rsidRPr="00991596">
        <w:rPr>
          <w:rFonts w:ascii="Times New Roman" w:hAnsi="Times New Roman" w:cs="Times New Roman"/>
        </w:rPr>
        <w:t xml:space="preserve"> to select blocks of time when they use</w:t>
      </w:r>
      <w:r>
        <w:rPr>
          <w:rFonts w:ascii="Times New Roman" w:hAnsi="Times New Roman" w:cs="Times New Roman"/>
        </w:rPr>
        <w:t xml:space="preserve"> the</w:t>
      </w:r>
      <w:r w:rsidRPr="00991596">
        <w:rPr>
          <w:rFonts w:ascii="Times New Roman" w:hAnsi="Times New Roman" w:cs="Times New Roman"/>
        </w:rPr>
        <w:t xml:space="preserve"> building </w:t>
      </w:r>
      <w:r>
        <w:rPr>
          <w:rFonts w:ascii="Times New Roman" w:hAnsi="Times New Roman" w:cs="Times New Roman"/>
        </w:rPr>
        <w:t xml:space="preserve">on </w:t>
      </w:r>
      <w:r w:rsidRPr="00991596">
        <w:rPr>
          <w:rFonts w:ascii="Times New Roman" w:hAnsi="Times New Roman" w:cs="Times New Roman"/>
        </w:rPr>
        <w:t>each day of</w:t>
      </w:r>
      <w:r>
        <w:rPr>
          <w:rFonts w:ascii="Times New Roman" w:hAnsi="Times New Roman" w:cs="Times New Roman"/>
        </w:rPr>
        <w:t xml:space="preserve"> the week d</w:t>
      </w:r>
      <w:r w:rsidRPr="00991596">
        <w:rPr>
          <w:rFonts w:ascii="Times New Roman" w:hAnsi="Times New Roman" w:cs="Times New Roman"/>
        </w:rPr>
        <w:t>ivided into</w:t>
      </w:r>
      <w:r>
        <w:rPr>
          <w:rFonts w:ascii="Times New Roman" w:hAnsi="Times New Roman" w:cs="Times New Roman"/>
        </w:rPr>
        <w:t>:</w:t>
      </w:r>
      <w:r w:rsidRPr="00991596">
        <w:rPr>
          <w:rFonts w:ascii="Times New Roman" w:hAnsi="Times New Roman" w:cs="Times New Roman"/>
        </w:rPr>
        <w:t xml:space="preserve"> 7am-noon, noon-5pm, and 5pm-10pm</w:t>
      </w:r>
      <w:r>
        <w:rPr>
          <w:rFonts w:ascii="Times New Roman" w:hAnsi="Times New Roman" w:cs="Times New Roman"/>
        </w:rPr>
        <w:t xml:space="preserve">, </w:t>
      </w:r>
      <w:r w:rsidRPr="00991596">
        <w:rPr>
          <w:rFonts w:ascii="Times New Roman" w:hAnsi="Times New Roman" w:cs="Times New Roman"/>
        </w:rPr>
        <w:t>21 blocks</w:t>
      </w:r>
      <w:r>
        <w:rPr>
          <w:rFonts w:ascii="Times New Roman" w:hAnsi="Times New Roman" w:cs="Times New Roman"/>
        </w:rPr>
        <w:t xml:space="preserve"> in total.  They were also asked whether the</w:t>
      </w:r>
      <w:r w:rsidRPr="00991596">
        <w:rPr>
          <w:rFonts w:ascii="Times New Roman" w:hAnsi="Times New Roman" w:cs="Times New Roman"/>
        </w:rPr>
        <w:t xml:space="preserve"> building is used when classes are out of session.  </w:t>
      </w:r>
      <w:r w:rsidR="00572ED7">
        <w:rPr>
          <w:rFonts w:ascii="Times New Roman" w:hAnsi="Times New Roman" w:cs="Times New Roman"/>
        </w:rPr>
        <w:t>A</w:t>
      </w:r>
      <w:r>
        <w:rPr>
          <w:rFonts w:ascii="Times New Roman" w:hAnsi="Times New Roman" w:cs="Times New Roman"/>
        </w:rPr>
        <w:t xml:space="preserve"> spatial map of each floor of </w:t>
      </w:r>
      <w:r>
        <w:rPr>
          <w:rFonts w:ascii="Times New Roman" w:hAnsi="Times New Roman" w:cs="Times New Roman"/>
        </w:rPr>
        <w:lastRenderedPageBreak/>
        <w:t xml:space="preserve">Kroon Hall, </w:t>
      </w:r>
      <w:r w:rsidR="00572ED7">
        <w:rPr>
          <w:rFonts w:ascii="Times New Roman" w:hAnsi="Times New Roman" w:cs="Times New Roman"/>
        </w:rPr>
        <w:t>was also provided to identify where</w:t>
      </w:r>
      <w:r>
        <w:rPr>
          <w:rFonts w:ascii="Times New Roman" w:hAnsi="Times New Roman" w:cs="Times New Roman"/>
        </w:rPr>
        <w:t xml:space="preserve"> respondents prefer to spend time.</w:t>
      </w:r>
      <w:r w:rsidRPr="00991596">
        <w:rPr>
          <w:rFonts w:ascii="Times New Roman" w:hAnsi="Times New Roman" w:cs="Times New Roman"/>
        </w:rPr>
        <w:t xml:space="preserve"> </w:t>
      </w:r>
      <w:r>
        <w:rPr>
          <w:rFonts w:ascii="Times New Roman" w:hAnsi="Times New Roman" w:cs="Times New Roman"/>
        </w:rPr>
        <w:t>In total, the</w:t>
      </w:r>
      <w:r w:rsidRPr="00991596">
        <w:rPr>
          <w:rFonts w:ascii="Times New Roman" w:hAnsi="Times New Roman" w:cs="Times New Roman"/>
        </w:rPr>
        <w:t xml:space="preserve"> building</w:t>
      </w:r>
      <w:r w:rsidR="00572ED7">
        <w:rPr>
          <w:rFonts w:ascii="Times New Roman" w:hAnsi="Times New Roman" w:cs="Times New Roman"/>
        </w:rPr>
        <w:t xml:space="preserve"> is divided </w:t>
      </w:r>
      <w:r w:rsidRPr="00991596">
        <w:rPr>
          <w:rFonts w:ascii="Times New Roman" w:hAnsi="Times New Roman" w:cs="Times New Roman"/>
        </w:rPr>
        <w:t>into 47 sp</w:t>
      </w:r>
      <w:r>
        <w:rPr>
          <w:rFonts w:ascii="Times New Roman" w:hAnsi="Times New Roman" w:cs="Times New Roman"/>
        </w:rPr>
        <w:t xml:space="preserve">aces across </w:t>
      </w:r>
      <w:r w:rsidRPr="00991596">
        <w:rPr>
          <w:rFonts w:ascii="Times New Roman" w:hAnsi="Times New Roman" w:cs="Times New Roman"/>
        </w:rPr>
        <w:t xml:space="preserve">four floors.  The survey also collected </w:t>
      </w:r>
      <w:r>
        <w:rPr>
          <w:rFonts w:ascii="Times New Roman" w:hAnsi="Times New Roman" w:cs="Times New Roman"/>
        </w:rPr>
        <w:t xml:space="preserve">on </w:t>
      </w:r>
      <w:r w:rsidRPr="00991596">
        <w:rPr>
          <w:rFonts w:ascii="Times New Roman" w:hAnsi="Times New Roman" w:cs="Times New Roman"/>
        </w:rPr>
        <w:t xml:space="preserve">seven categories </w:t>
      </w:r>
      <w:r w:rsidR="00572ED7">
        <w:rPr>
          <w:rFonts w:ascii="Times New Roman" w:hAnsi="Times New Roman" w:cs="Times New Roman"/>
        </w:rPr>
        <w:t>exploring</w:t>
      </w:r>
      <w:r w:rsidRPr="00991596">
        <w:rPr>
          <w:rFonts w:ascii="Times New Roman" w:hAnsi="Times New Roman" w:cs="Times New Roman"/>
        </w:rPr>
        <w:t xml:space="preserve"> information demand about Kroon Hall, four on the medium through which respondents prefer to receive information, and three write-ins</w:t>
      </w:r>
      <w:r>
        <w:rPr>
          <w:rFonts w:ascii="Times New Roman" w:hAnsi="Times New Roman" w:cs="Times New Roman"/>
        </w:rPr>
        <w:t xml:space="preserve"> using</w:t>
      </w:r>
      <w:r w:rsidRPr="00991596">
        <w:rPr>
          <w:rFonts w:ascii="Times New Roman" w:hAnsi="Times New Roman" w:cs="Times New Roman"/>
        </w:rPr>
        <w:t xml:space="preserve"> s</w:t>
      </w:r>
      <w:r>
        <w:rPr>
          <w:rFonts w:ascii="Times New Roman" w:hAnsi="Times New Roman" w:cs="Times New Roman"/>
        </w:rPr>
        <w:t>ingle word descriptors of Kroon</w:t>
      </w:r>
      <w:r w:rsidR="00ED0C2B">
        <w:rPr>
          <w:rFonts w:ascii="Times New Roman" w:hAnsi="Times New Roman" w:cs="Times New Roman"/>
        </w:rPr>
        <w:t xml:space="preserve"> Hall.</w:t>
      </w:r>
    </w:p>
    <w:sectPr w:rsidR="007115B8" w:rsidRPr="00991596" w:rsidSect="00D41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948" w:rsidRDefault="006C6948" w:rsidP="00B9303D">
      <w:pPr>
        <w:spacing w:after="0" w:line="240" w:lineRule="auto"/>
      </w:pPr>
      <w:r>
        <w:separator/>
      </w:r>
    </w:p>
  </w:endnote>
  <w:endnote w:type="continuationSeparator" w:id="0">
    <w:p w:rsidR="006C6948" w:rsidRDefault="006C6948" w:rsidP="00B9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005996"/>
      <w:docPartObj>
        <w:docPartGallery w:val="Page Numbers (Bottom of Page)"/>
        <w:docPartUnique/>
      </w:docPartObj>
    </w:sdtPr>
    <w:sdtEndPr>
      <w:rPr>
        <w:noProof/>
      </w:rPr>
    </w:sdtEndPr>
    <w:sdtContent>
      <w:p w:rsidR="00B77489" w:rsidRDefault="00B77489">
        <w:pPr>
          <w:pStyle w:val="Footer"/>
        </w:pPr>
        <w:r>
          <w:fldChar w:fldCharType="begin"/>
        </w:r>
        <w:r>
          <w:instrText xml:space="preserve"> PAGE   \* MERGEFORMAT </w:instrText>
        </w:r>
        <w:r>
          <w:fldChar w:fldCharType="separate"/>
        </w:r>
        <w:r w:rsidR="0011165C">
          <w:rPr>
            <w:noProof/>
          </w:rPr>
          <w:t>1</w:t>
        </w:r>
        <w:r>
          <w:rPr>
            <w:noProof/>
          </w:rPr>
          <w:fldChar w:fldCharType="end"/>
        </w:r>
      </w:p>
    </w:sdtContent>
  </w:sdt>
  <w:p w:rsidR="00B77489" w:rsidRDefault="00B77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948" w:rsidRDefault="006C6948" w:rsidP="00B9303D">
      <w:pPr>
        <w:spacing w:after="0" w:line="240" w:lineRule="auto"/>
      </w:pPr>
      <w:r>
        <w:separator/>
      </w:r>
    </w:p>
  </w:footnote>
  <w:footnote w:type="continuationSeparator" w:id="0">
    <w:p w:rsidR="006C6948" w:rsidRDefault="006C6948" w:rsidP="00B93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87B77"/>
    <w:multiLevelType w:val="multilevel"/>
    <w:tmpl w:val="0C100AE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3360234"/>
    <w:multiLevelType w:val="hybridMultilevel"/>
    <w:tmpl w:val="8BFA8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C43A8E"/>
    <w:multiLevelType w:val="hybridMultilevel"/>
    <w:tmpl w:val="1DB61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A06790"/>
    <w:multiLevelType w:val="multilevel"/>
    <w:tmpl w:val="0C100AE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890251F"/>
    <w:multiLevelType w:val="multilevel"/>
    <w:tmpl w:val="76C84064"/>
    <w:lvl w:ilvl="0">
      <w:start w:val="1"/>
      <w:numFmt w:val="decimal"/>
      <w:lvlText w:val="%1."/>
      <w:lvlJc w:val="left"/>
      <w:pPr>
        <w:ind w:left="720" w:hanging="720"/>
      </w:pPr>
      <w:rPr>
        <w:rFonts w:ascii="Times New Roman" w:hAnsi="Times New Roman" w:hint="default"/>
        <w:b w:val="0"/>
        <w:i w:val="0"/>
        <w:sz w:val="22"/>
      </w:rPr>
    </w:lvl>
    <w:lvl w:ilvl="1">
      <w:start w:val="1"/>
      <w:numFmt w:val="decimal"/>
      <w:lvlText w:val="%2.1."/>
      <w:lvlJc w:val="left"/>
      <w:pPr>
        <w:ind w:left="1440" w:hanging="1440"/>
      </w:pPr>
      <w:rPr>
        <w:rFonts w:ascii="Times New Roman" w:hAnsi="Times New Roman" w:hint="default"/>
        <w:b w:val="0"/>
        <w:i w:val="0"/>
        <w:sz w:val="22"/>
      </w:rPr>
    </w:lvl>
    <w:lvl w:ilvl="2">
      <w:start w:val="1"/>
      <w:numFmt w:val="decimal"/>
      <w:lvlText w:val="%3."/>
      <w:lvlJc w:val="right"/>
      <w:pPr>
        <w:tabs>
          <w:tab w:val="num" w:pos="1987"/>
        </w:tabs>
        <w:ind w:left="2160" w:hanging="1440"/>
      </w:pPr>
      <w:rPr>
        <w:rFonts w:ascii="Times New Roman" w:hAnsi="Times New Roman"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F6C46E7"/>
    <w:multiLevelType w:val="multilevel"/>
    <w:tmpl w:val="2D64B6E8"/>
    <w:lvl w:ilvl="0">
      <w:start w:val="1"/>
      <w:numFmt w:val="decimal"/>
      <w:lvlText w:val="%1."/>
      <w:lvlJc w:val="left"/>
      <w:pPr>
        <w:ind w:left="720" w:hanging="360"/>
      </w:pPr>
      <w:rPr>
        <w:rFonts w:ascii="Times New Roman" w:hAnsi="Times New Roman" w:hint="default"/>
        <w:b w:val="0"/>
        <w:i w:val="0"/>
        <w:sz w:val="22"/>
      </w:rPr>
    </w:lvl>
    <w:lvl w:ilvl="1">
      <w:start w:val="1"/>
      <w:numFmt w:val="decimal"/>
      <w:lvlText w:val="%2."/>
      <w:lvlJc w:val="left"/>
      <w:pPr>
        <w:ind w:left="1440" w:hanging="360"/>
      </w:pPr>
      <w:rPr>
        <w:rFonts w:ascii="Times New Roman" w:hAnsi="Times New Roman" w:hint="default"/>
        <w:b w:val="0"/>
        <w:i w:val="0"/>
        <w:sz w:val="22"/>
      </w:rPr>
    </w:lvl>
    <w:lvl w:ilvl="2">
      <w:start w:val="1"/>
      <w:numFmt w:val="decimal"/>
      <w:lvlText w:val="%3."/>
      <w:lvlJc w:val="right"/>
      <w:pPr>
        <w:ind w:left="2160" w:hanging="180"/>
      </w:pPr>
      <w:rPr>
        <w:rFonts w:ascii="Times New Roman" w:hAnsi="Times New Roman" w:hint="default"/>
        <w:b w:val="0"/>
        <w:i w:val="0"/>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47"/>
    <w:rsid w:val="00000706"/>
    <w:rsid w:val="00010FDB"/>
    <w:rsid w:val="000141FB"/>
    <w:rsid w:val="00014299"/>
    <w:rsid w:val="00016116"/>
    <w:rsid w:val="00017A8E"/>
    <w:rsid w:val="00042561"/>
    <w:rsid w:val="00044C0E"/>
    <w:rsid w:val="00045211"/>
    <w:rsid w:val="00046A80"/>
    <w:rsid w:val="000620E1"/>
    <w:rsid w:val="0006308A"/>
    <w:rsid w:val="00063785"/>
    <w:rsid w:val="00067429"/>
    <w:rsid w:val="00072995"/>
    <w:rsid w:val="00073326"/>
    <w:rsid w:val="000742D4"/>
    <w:rsid w:val="00075909"/>
    <w:rsid w:val="0008583B"/>
    <w:rsid w:val="000863CC"/>
    <w:rsid w:val="00086756"/>
    <w:rsid w:val="000873CA"/>
    <w:rsid w:val="00095756"/>
    <w:rsid w:val="000A49EE"/>
    <w:rsid w:val="000B0544"/>
    <w:rsid w:val="000C521F"/>
    <w:rsid w:val="000D043B"/>
    <w:rsid w:val="000E0471"/>
    <w:rsid w:val="000E6B9F"/>
    <w:rsid w:val="000F1D45"/>
    <w:rsid w:val="001034CC"/>
    <w:rsid w:val="001106F4"/>
    <w:rsid w:val="0011165C"/>
    <w:rsid w:val="00127006"/>
    <w:rsid w:val="001276ED"/>
    <w:rsid w:val="00134DAB"/>
    <w:rsid w:val="00143D6A"/>
    <w:rsid w:val="0015127F"/>
    <w:rsid w:val="001524B3"/>
    <w:rsid w:val="0016039E"/>
    <w:rsid w:val="00160A97"/>
    <w:rsid w:val="001753F3"/>
    <w:rsid w:val="001758D4"/>
    <w:rsid w:val="00176D3A"/>
    <w:rsid w:val="00185C59"/>
    <w:rsid w:val="00186CCA"/>
    <w:rsid w:val="001934F8"/>
    <w:rsid w:val="0019709F"/>
    <w:rsid w:val="001A153C"/>
    <w:rsid w:val="001A1BE6"/>
    <w:rsid w:val="001C21AE"/>
    <w:rsid w:val="001D1CAB"/>
    <w:rsid w:val="001D2DE8"/>
    <w:rsid w:val="001D7E44"/>
    <w:rsid w:val="001E027F"/>
    <w:rsid w:val="001E2AFD"/>
    <w:rsid w:val="001F3FEF"/>
    <w:rsid w:val="001F6C73"/>
    <w:rsid w:val="00200E30"/>
    <w:rsid w:val="00203532"/>
    <w:rsid w:val="00213C03"/>
    <w:rsid w:val="00216D3C"/>
    <w:rsid w:val="00227039"/>
    <w:rsid w:val="00231BCC"/>
    <w:rsid w:val="00231CDD"/>
    <w:rsid w:val="0024067F"/>
    <w:rsid w:val="00255EAB"/>
    <w:rsid w:val="0026382C"/>
    <w:rsid w:val="00263ACF"/>
    <w:rsid w:val="00271B08"/>
    <w:rsid w:val="00275A14"/>
    <w:rsid w:val="00284736"/>
    <w:rsid w:val="0029009F"/>
    <w:rsid w:val="0029516A"/>
    <w:rsid w:val="002B1FC4"/>
    <w:rsid w:val="002B46AA"/>
    <w:rsid w:val="002C12DF"/>
    <w:rsid w:val="002C3BF7"/>
    <w:rsid w:val="002C4A8C"/>
    <w:rsid w:val="002D27AD"/>
    <w:rsid w:val="002D4F37"/>
    <w:rsid w:val="002E1649"/>
    <w:rsid w:val="002E7F45"/>
    <w:rsid w:val="002F5EC0"/>
    <w:rsid w:val="002F63D7"/>
    <w:rsid w:val="002F78C1"/>
    <w:rsid w:val="00300704"/>
    <w:rsid w:val="0030121E"/>
    <w:rsid w:val="003014CD"/>
    <w:rsid w:val="00306907"/>
    <w:rsid w:val="00311FD2"/>
    <w:rsid w:val="00321E6C"/>
    <w:rsid w:val="003268A9"/>
    <w:rsid w:val="00332D25"/>
    <w:rsid w:val="00333239"/>
    <w:rsid w:val="00333426"/>
    <w:rsid w:val="00335EA3"/>
    <w:rsid w:val="00340907"/>
    <w:rsid w:val="00345121"/>
    <w:rsid w:val="00364D79"/>
    <w:rsid w:val="003664DB"/>
    <w:rsid w:val="003719B5"/>
    <w:rsid w:val="00371E30"/>
    <w:rsid w:val="00372A0F"/>
    <w:rsid w:val="00372CD5"/>
    <w:rsid w:val="003813B4"/>
    <w:rsid w:val="0038205E"/>
    <w:rsid w:val="003831B1"/>
    <w:rsid w:val="00385FE6"/>
    <w:rsid w:val="00387911"/>
    <w:rsid w:val="003908D8"/>
    <w:rsid w:val="00391218"/>
    <w:rsid w:val="00395DAC"/>
    <w:rsid w:val="003A1068"/>
    <w:rsid w:val="003A171E"/>
    <w:rsid w:val="003A3200"/>
    <w:rsid w:val="003A68CA"/>
    <w:rsid w:val="003A6CAC"/>
    <w:rsid w:val="003B019C"/>
    <w:rsid w:val="003B3B4F"/>
    <w:rsid w:val="003C263D"/>
    <w:rsid w:val="003C45B4"/>
    <w:rsid w:val="003C4C11"/>
    <w:rsid w:val="003C657D"/>
    <w:rsid w:val="003D0698"/>
    <w:rsid w:val="003D69AF"/>
    <w:rsid w:val="003E4D06"/>
    <w:rsid w:val="003F07D9"/>
    <w:rsid w:val="003F24AB"/>
    <w:rsid w:val="003F6E1E"/>
    <w:rsid w:val="004031FD"/>
    <w:rsid w:val="00405F2F"/>
    <w:rsid w:val="00412E3A"/>
    <w:rsid w:val="00422F9C"/>
    <w:rsid w:val="004239C2"/>
    <w:rsid w:val="0042777B"/>
    <w:rsid w:val="00432CE0"/>
    <w:rsid w:val="00432ED4"/>
    <w:rsid w:val="004364EC"/>
    <w:rsid w:val="00436F21"/>
    <w:rsid w:val="004446E7"/>
    <w:rsid w:val="00444AEE"/>
    <w:rsid w:val="004464CF"/>
    <w:rsid w:val="00450B18"/>
    <w:rsid w:val="00455544"/>
    <w:rsid w:val="00457274"/>
    <w:rsid w:val="00463CA8"/>
    <w:rsid w:val="0046720A"/>
    <w:rsid w:val="00474938"/>
    <w:rsid w:val="00484991"/>
    <w:rsid w:val="0048701F"/>
    <w:rsid w:val="00492868"/>
    <w:rsid w:val="004A4545"/>
    <w:rsid w:val="004B047E"/>
    <w:rsid w:val="004C13D0"/>
    <w:rsid w:val="004C2866"/>
    <w:rsid w:val="004C5331"/>
    <w:rsid w:val="004D113F"/>
    <w:rsid w:val="004F13DE"/>
    <w:rsid w:val="004F2596"/>
    <w:rsid w:val="004F525C"/>
    <w:rsid w:val="005005C5"/>
    <w:rsid w:val="00522C96"/>
    <w:rsid w:val="00523477"/>
    <w:rsid w:val="0052624D"/>
    <w:rsid w:val="00526453"/>
    <w:rsid w:val="0053205A"/>
    <w:rsid w:val="00543021"/>
    <w:rsid w:val="00543545"/>
    <w:rsid w:val="00553F61"/>
    <w:rsid w:val="0055781A"/>
    <w:rsid w:val="00563CC8"/>
    <w:rsid w:val="00563ED7"/>
    <w:rsid w:val="00563F2A"/>
    <w:rsid w:val="00571491"/>
    <w:rsid w:val="005723CA"/>
    <w:rsid w:val="00572ED7"/>
    <w:rsid w:val="00575CB3"/>
    <w:rsid w:val="00581293"/>
    <w:rsid w:val="00583AE1"/>
    <w:rsid w:val="005901FC"/>
    <w:rsid w:val="00590BF9"/>
    <w:rsid w:val="00596B79"/>
    <w:rsid w:val="005A42B9"/>
    <w:rsid w:val="005B0983"/>
    <w:rsid w:val="005B4BAA"/>
    <w:rsid w:val="005B70A9"/>
    <w:rsid w:val="005B7536"/>
    <w:rsid w:val="005C0502"/>
    <w:rsid w:val="005C0717"/>
    <w:rsid w:val="005C2F55"/>
    <w:rsid w:val="005D0A63"/>
    <w:rsid w:val="005E592E"/>
    <w:rsid w:val="005E5F89"/>
    <w:rsid w:val="005F4D8A"/>
    <w:rsid w:val="005F655D"/>
    <w:rsid w:val="005F7129"/>
    <w:rsid w:val="00600513"/>
    <w:rsid w:val="0060314B"/>
    <w:rsid w:val="006053CF"/>
    <w:rsid w:val="00607712"/>
    <w:rsid w:val="0061726E"/>
    <w:rsid w:val="00621C66"/>
    <w:rsid w:val="0063425B"/>
    <w:rsid w:val="00652BE2"/>
    <w:rsid w:val="006549F4"/>
    <w:rsid w:val="006568A3"/>
    <w:rsid w:val="00657FAF"/>
    <w:rsid w:val="006700D8"/>
    <w:rsid w:val="006719C0"/>
    <w:rsid w:val="00675B92"/>
    <w:rsid w:val="00683089"/>
    <w:rsid w:val="00685932"/>
    <w:rsid w:val="006926A6"/>
    <w:rsid w:val="00692E21"/>
    <w:rsid w:val="006A67F7"/>
    <w:rsid w:val="006A7FFE"/>
    <w:rsid w:val="006B542D"/>
    <w:rsid w:val="006C506B"/>
    <w:rsid w:val="006C6948"/>
    <w:rsid w:val="006D3BC4"/>
    <w:rsid w:val="006D4BCB"/>
    <w:rsid w:val="006E4C78"/>
    <w:rsid w:val="006E64E1"/>
    <w:rsid w:val="007115B8"/>
    <w:rsid w:val="00715363"/>
    <w:rsid w:val="00716732"/>
    <w:rsid w:val="007319D1"/>
    <w:rsid w:val="00731C74"/>
    <w:rsid w:val="007371F9"/>
    <w:rsid w:val="00746EA9"/>
    <w:rsid w:val="00753F03"/>
    <w:rsid w:val="00760251"/>
    <w:rsid w:val="00763319"/>
    <w:rsid w:val="007772BA"/>
    <w:rsid w:val="007839EC"/>
    <w:rsid w:val="007901B6"/>
    <w:rsid w:val="007930D2"/>
    <w:rsid w:val="007976EB"/>
    <w:rsid w:val="007A43D5"/>
    <w:rsid w:val="007C72BC"/>
    <w:rsid w:val="007C7AB4"/>
    <w:rsid w:val="007D4A0B"/>
    <w:rsid w:val="007D4C37"/>
    <w:rsid w:val="007D7FAF"/>
    <w:rsid w:val="007F7BB3"/>
    <w:rsid w:val="00803E45"/>
    <w:rsid w:val="008213C0"/>
    <w:rsid w:val="00823D42"/>
    <w:rsid w:val="00824C9E"/>
    <w:rsid w:val="00850478"/>
    <w:rsid w:val="008545E3"/>
    <w:rsid w:val="00857528"/>
    <w:rsid w:val="00857BF8"/>
    <w:rsid w:val="00866975"/>
    <w:rsid w:val="00873836"/>
    <w:rsid w:val="00874B9C"/>
    <w:rsid w:val="0088034F"/>
    <w:rsid w:val="00882B24"/>
    <w:rsid w:val="00887E59"/>
    <w:rsid w:val="00893F1A"/>
    <w:rsid w:val="008959BF"/>
    <w:rsid w:val="0089782D"/>
    <w:rsid w:val="008A3082"/>
    <w:rsid w:val="008A4C47"/>
    <w:rsid w:val="008B0DAF"/>
    <w:rsid w:val="008C2655"/>
    <w:rsid w:val="008C3A94"/>
    <w:rsid w:val="008D1994"/>
    <w:rsid w:val="008D4A41"/>
    <w:rsid w:val="008E1051"/>
    <w:rsid w:val="008F0827"/>
    <w:rsid w:val="008F16A7"/>
    <w:rsid w:val="008F5B44"/>
    <w:rsid w:val="009027F8"/>
    <w:rsid w:val="00906E01"/>
    <w:rsid w:val="009153CB"/>
    <w:rsid w:val="00917319"/>
    <w:rsid w:val="009204FD"/>
    <w:rsid w:val="0093420C"/>
    <w:rsid w:val="00943732"/>
    <w:rsid w:val="00947C43"/>
    <w:rsid w:val="00950BC1"/>
    <w:rsid w:val="0095261C"/>
    <w:rsid w:val="009555BE"/>
    <w:rsid w:val="00955B0D"/>
    <w:rsid w:val="00957E11"/>
    <w:rsid w:val="00964381"/>
    <w:rsid w:val="009669A8"/>
    <w:rsid w:val="00967040"/>
    <w:rsid w:val="00972FD7"/>
    <w:rsid w:val="00973F87"/>
    <w:rsid w:val="0097402E"/>
    <w:rsid w:val="00974DCF"/>
    <w:rsid w:val="0097644E"/>
    <w:rsid w:val="00976E62"/>
    <w:rsid w:val="009845EA"/>
    <w:rsid w:val="0098616C"/>
    <w:rsid w:val="00986314"/>
    <w:rsid w:val="00986DFC"/>
    <w:rsid w:val="00991596"/>
    <w:rsid w:val="00995F66"/>
    <w:rsid w:val="009A79F4"/>
    <w:rsid w:val="009B005E"/>
    <w:rsid w:val="009B593E"/>
    <w:rsid w:val="009C17EC"/>
    <w:rsid w:val="009D14E7"/>
    <w:rsid w:val="009D6539"/>
    <w:rsid w:val="009E210E"/>
    <w:rsid w:val="009E7924"/>
    <w:rsid w:val="009F0846"/>
    <w:rsid w:val="009F2494"/>
    <w:rsid w:val="009F4A20"/>
    <w:rsid w:val="009F5071"/>
    <w:rsid w:val="00A145FA"/>
    <w:rsid w:val="00A17C31"/>
    <w:rsid w:val="00A23235"/>
    <w:rsid w:val="00A31930"/>
    <w:rsid w:val="00A31A79"/>
    <w:rsid w:val="00A433F9"/>
    <w:rsid w:val="00A43BF7"/>
    <w:rsid w:val="00A43F89"/>
    <w:rsid w:val="00A448C4"/>
    <w:rsid w:val="00A53B16"/>
    <w:rsid w:val="00A577C7"/>
    <w:rsid w:val="00A659C6"/>
    <w:rsid w:val="00A82F19"/>
    <w:rsid w:val="00A84854"/>
    <w:rsid w:val="00A86709"/>
    <w:rsid w:val="00A90E48"/>
    <w:rsid w:val="00A919FD"/>
    <w:rsid w:val="00A91EC7"/>
    <w:rsid w:val="00A93AA6"/>
    <w:rsid w:val="00A96322"/>
    <w:rsid w:val="00A972DE"/>
    <w:rsid w:val="00AA0809"/>
    <w:rsid w:val="00AA2C7D"/>
    <w:rsid w:val="00AB0CA7"/>
    <w:rsid w:val="00AB0E0B"/>
    <w:rsid w:val="00AB6175"/>
    <w:rsid w:val="00AC02CC"/>
    <w:rsid w:val="00AC0F4F"/>
    <w:rsid w:val="00AC2301"/>
    <w:rsid w:val="00AC2FAE"/>
    <w:rsid w:val="00AD1887"/>
    <w:rsid w:val="00AD372D"/>
    <w:rsid w:val="00AD4CB5"/>
    <w:rsid w:val="00AD5515"/>
    <w:rsid w:val="00AD63A8"/>
    <w:rsid w:val="00AF6082"/>
    <w:rsid w:val="00AF6FD3"/>
    <w:rsid w:val="00AF7236"/>
    <w:rsid w:val="00B1036E"/>
    <w:rsid w:val="00B1079F"/>
    <w:rsid w:val="00B1249B"/>
    <w:rsid w:val="00B1518C"/>
    <w:rsid w:val="00B21B99"/>
    <w:rsid w:val="00B24A12"/>
    <w:rsid w:val="00B2640A"/>
    <w:rsid w:val="00B339FC"/>
    <w:rsid w:val="00B33F56"/>
    <w:rsid w:val="00B3572E"/>
    <w:rsid w:val="00B37DD1"/>
    <w:rsid w:val="00B4265A"/>
    <w:rsid w:val="00B47C4C"/>
    <w:rsid w:val="00B55897"/>
    <w:rsid w:val="00B55E58"/>
    <w:rsid w:val="00B6297D"/>
    <w:rsid w:val="00B71B97"/>
    <w:rsid w:val="00B769FB"/>
    <w:rsid w:val="00B77489"/>
    <w:rsid w:val="00B77F16"/>
    <w:rsid w:val="00B9215C"/>
    <w:rsid w:val="00B9303D"/>
    <w:rsid w:val="00B972AC"/>
    <w:rsid w:val="00BA2653"/>
    <w:rsid w:val="00BA3040"/>
    <w:rsid w:val="00BA755E"/>
    <w:rsid w:val="00BB2342"/>
    <w:rsid w:val="00BB3BD0"/>
    <w:rsid w:val="00BB7801"/>
    <w:rsid w:val="00BB7F32"/>
    <w:rsid w:val="00BB7FDE"/>
    <w:rsid w:val="00BC0D31"/>
    <w:rsid w:val="00BC5351"/>
    <w:rsid w:val="00BE51B5"/>
    <w:rsid w:val="00BF6C9A"/>
    <w:rsid w:val="00C0768C"/>
    <w:rsid w:val="00C10D76"/>
    <w:rsid w:val="00C158E1"/>
    <w:rsid w:val="00C17874"/>
    <w:rsid w:val="00C22248"/>
    <w:rsid w:val="00C24EA7"/>
    <w:rsid w:val="00C321D4"/>
    <w:rsid w:val="00C34BC5"/>
    <w:rsid w:val="00C34F89"/>
    <w:rsid w:val="00C3544B"/>
    <w:rsid w:val="00C41C3F"/>
    <w:rsid w:val="00C643C2"/>
    <w:rsid w:val="00C80CA6"/>
    <w:rsid w:val="00C81F66"/>
    <w:rsid w:val="00C83753"/>
    <w:rsid w:val="00C854EA"/>
    <w:rsid w:val="00C87106"/>
    <w:rsid w:val="00C90490"/>
    <w:rsid w:val="00C95373"/>
    <w:rsid w:val="00C975F9"/>
    <w:rsid w:val="00CB3FE7"/>
    <w:rsid w:val="00CB4203"/>
    <w:rsid w:val="00CC1652"/>
    <w:rsid w:val="00CC21A0"/>
    <w:rsid w:val="00CC359D"/>
    <w:rsid w:val="00CC3FD1"/>
    <w:rsid w:val="00CD1492"/>
    <w:rsid w:val="00CD18ED"/>
    <w:rsid w:val="00CD3830"/>
    <w:rsid w:val="00CD3D60"/>
    <w:rsid w:val="00CE1DCE"/>
    <w:rsid w:val="00CE422B"/>
    <w:rsid w:val="00CF335A"/>
    <w:rsid w:val="00CF3854"/>
    <w:rsid w:val="00CF3A37"/>
    <w:rsid w:val="00CF4470"/>
    <w:rsid w:val="00D012AE"/>
    <w:rsid w:val="00D07265"/>
    <w:rsid w:val="00D1202C"/>
    <w:rsid w:val="00D20F9F"/>
    <w:rsid w:val="00D242CC"/>
    <w:rsid w:val="00D25181"/>
    <w:rsid w:val="00D32932"/>
    <w:rsid w:val="00D40D03"/>
    <w:rsid w:val="00D412CC"/>
    <w:rsid w:val="00D55484"/>
    <w:rsid w:val="00D577BE"/>
    <w:rsid w:val="00D61116"/>
    <w:rsid w:val="00D742FC"/>
    <w:rsid w:val="00D87F44"/>
    <w:rsid w:val="00D944F3"/>
    <w:rsid w:val="00D948EC"/>
    <w:rsid w:val="00D951EA"/>
    <w:rsid w:val="00DA103D"/>
    <w:rsid w:val="00DB7659"/>
    <w:rsid w:val="00DC58EF"/>
    <w:rsid w:val="00DC7CFC"/>
    <w:rsid w:val="00DD076F"/>
    <w:rsid w:val="00DD28CC"/>
    <w:rsid w:val="00DD6E23"/>
    <w:rsid w:val="00DE0887"/>
    <w:rsid w:val="00DF0548"/>
    <w:rsid w:val="00DF08EF"/>
    <w:rsid w:val="00DF63AF"/>
    <w:rsid w:val="00DF74D9"/>
    <w:rsid w:val="00E04DEE"/>
    <w:rsid w:val="00E10D48"/>
    <w:rsid w:val="00E1454D"/>
    <w:rsid w:val="00E20B1C"/>
    <w:rsid w:val="00E26E0F"/>
    <w:rsid w:val="00E32BF8"/>
    <w:rsid w:val="00E36160"/>
    <w:rsid w:val="00E53C98"/>
    <w:rsid w:val="00E560D1"/>
    <w:rsid w:val="00E62EDB"/>
    <w:rsid w:val="00E63FF0"/>
    <w:rsid w:val="00E65413"/>
    <w:rsid w:val="00E7587D"/>
    <w:rsid w:val="00E80C28"/>
    <w:rsid w:val="00E90CCE"/>
    <w:rsid w:val="00EA14EA"/>
    <w:rsid w:val="00EA2BAC"/>
    <w:rsid w:val="00EA2DAD"/>
    <w:rsid w:val="00EA6FCC"/>
    <w:rsid w:val="00EB244E"/>
    <w:rsid w:val="00EB652D"/>
    <w:rsid w:val="00EB7FD2"/>
    <w:rsid w:val="00EC1AD6"/>
    <w:rsid w:val="00EC4A63"/>
    <w:rsid w:val="00ED0C2B"/>
    <w:rsid w:val="00ED3D67"/>
    <w:rsid w:val="00ED484E"/>
    <w:rsid w:val="00ED6F13"/>
    <w:rsid w:val="00EE1E6C"/>
    <w:rsid w:val="00EE36A1"/>
    <w:rsid w:val="00F139D2"/>
    <w:rsid w:val="00F152B5"/>
    <w:rsid w:val="00F16F86"/>
    <w:rsid w:val="00F325E4"/>
    <w:rsid w:val="00F33146"/>
    <w:rsid w:val="00F343A3"/>
    <w:rsid w:val="00F473AD"/>
    <w:rsid w:val="00F56CFC"/>
    <w:rsid w:val="00F64DCE"/>
    <w:rsid w:val="00F65AFA"/>
    <w:rsid w:val="00F67427"/>
    <w:rsid w:val="00F70758"/>
    <w:rsid w:val="00F74FCB"/>
    <w:rsid w:val="00F82B25"/>
    <w:rsid w:val="00F90D6A"/>
    <w:rsid w:val="00F90FB9"/>
    <w:rsid w:val="00F910E3"/>
    <w:rsid w:val="00F947C4"/>
    <w:rsid w:val="00F96752"/>
    <w:rsid w:val="00FA4D16"/>
    <w:rsid w:val="00FA5FB7"/>
    <w:rsid w:val="00FC01D3"/>
    <w:rsid w:val="00FC7E4D"/>
    <w:rsid w:val="00FE3C2C"/>
    <w:rsid w:val="00FF0E83"/>
    <w:rsid w:val="00FF45DF"/>
    <w:rsid w:val="00FF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BE3A"/>
  <w15:chartTrackingRefBased/>
  <w15:docId w15:val="{1C820DB3-5E03-4BA6-81AA-B5ECD074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995"/>
    <w:pPr>
      <w:keepNext/>
      <w:keepLines/>
      <w:spacing w:before="240" w:after="0"/>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6EB"/>
    <w:pPr>
      <w:ind w:left="720"/>
      <w:contextualSpacing/>
    </w:pPr>
  </w:style>
  <w:style w:type="character" w:styleId="PlaceholderText">
    <w:name w:val="Placeholder Text"/>
    <w:basedOn w:val="DefaultParagraphFont"/>
    <w:uiPriority w:val="99"/>
    <w:semiHidden/>
    <w:rsid w:val="000E6B9F"/>
    <w:rPr>
      <w:color w:val="808080"/>
    </w:rPr>
  </w:style>
  <w:style w:type="table" w:styleId="TableGrid">
    <w:name w:val="Table Grid"/>
    <w:basedOn w:val="TableNormal"/>
    <w:uiPriority w:val="39"/>
    <w:rsid w:val="000E6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930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303D"/>
    <w:rPr>
      <w:sz w:val="20"/>
      <w:szCs w:val="20"/>
    </w:rPr>
  </w:style>
  <w:style w:type="character" w:styleId="FootnoteReference">
    <w:name w:val="footnote reference"/>
    <w:basedOn w:val="DefaultParagraphFont"/>
    <w:uiPriority w:val="99"/>
    <w:semiHidden/>
    <w:unhideWhenUsed/>
    <w:rsid w:val="00B9303D"/>
    <w:rPr>
      <w:vertAlign w:val="superscript"/>
    </w:rPr>
  </w:style>
  <w:style w:type="character" w:styleId="Hyperlink">
    <w:name w:val="Hyperlink"/>
    <w:basedOn w:val="DefaultParagraphFont"/>
    <w:uiPriority w:val="99"/>
    <w:unhideWhenUsed/>
    <w:rsid w:val="00F90FB9"/>
    <w:rPr>
      <w:color w:val="0563C1"/>
      <w:u w:val="single"/>
    </w:rPr>
  </w:style>
  <w:style w:type="paragraph" w:styleId="NoSpacing">
    <w:name w:val="No Spacing"/>
    <w:uiPriority w:val="1"/>
    <w:qFormat/>
    <w:rsid w:val="009B005E"/>
    <w:pPr>
      <w:spacing w:after="0" w:line="240" w:lineRule="auto"/>
    </w:pPr>
  </w:style>
  <w:style w:type="character" w:customStyle="1" w:styleId="Heading1Char">
    <w:name w:val="Heading 1 Char"/>
    <w:basedOn w:val="DefaultParagraphFont"/>
    <w:link w:val="Heading1"/>
    <w:uiPriority w:val="9"/>
    <w:rsid w:val="00072995"/>
    <w:rPr>
      <w:rFonts w:ascii="Times New Roman" w:eastAsiaTheme="majorEastAsia" w:hAnsi="Times New Roman" w:cstheme="majorBidi"/>
      <w:b/>
      <w:szCs w:val="32"/>
    </w:rPr>
  </w:style>
  <w:style w:type="paragraph" w:styleId="Footer">
    <w:name w:val="footer"/>
    <w:basedOn w:val="Normal"/>
    <w:link w:val="FooterChar"/>
    <w:uiPriority w:val="99"/>
    <w:unhideWhenUsed/>
    <w:rsid w:val="00A84854"/>
    <w:pPr>
      <w:tabs>
        <w:tab w:val="center" w:pos="4680"/>
        <w:tab w:val="right" w:pos="9360"/>
      </w:tabs>
      <w:spacing w:after="0" w:line="240" w:lineRule="auto"/>
    </w:pPr>
    <w:rPr>
      <w:rFonts w:ascii="Times New Roman" w:hAnsi="Times New Roman" w:cs="Times New Roman"/>
    </w:rPr>
  </w:style>
  <w:style w:type="character" w:customStyle="1" w:styleId="FooterChar">
    <w:name w:val="Footer Char"/>
    <w:basedOn w:val="DefaultParagraphFont"/>
    <w:link w:val="Footer"/>
    <w:uiPriority w:val="99"/>
    <w:rsid w:val="00A84854"/>
    <w:rPr>
      <w:rFonts w:ascii="Times New Roman" w:hAnsi="Times New Roman" w:cs="Times New Roman"/>
    </w:rPr>
  </w:style>
  <w:style w:type="paragraph" w:styleId="TOCHeading">
    <w:name w:val="TOC Heading"/>
    <w:basedOn w:val="Heading1"/>
    <w:next w:val="Normal"/>
    <w:uiPriority w:val="39"/>
    <w:unhideWhenUsed/>
    <w:qFormat/>
    <w:rsid w:val="00072995"/>
    <w:pPr>
      <w:outlineLvl w:val="9"/>
    </w:pPr>
  </w:style>
  <w:style w:type="paragraph" w:styleId="TOC1">
    <w:name w:val="toc 1"/>
    <w:basedOn w:val="Normal"/>
    <w:next w:val="Normal"/>
    <w:autoRedefine/>
    <w:uiPriority w:val="39"/>
    <w:unhideWhenUsed/>
    <w:rsid w:val="00072995"/>
    <w:pPr>
      <w:spacing w:after="100"/>
    </w:pPr>
  </w:style>
  <w:style w:type="paragraph" w:styleId="TOC2">
    <w:name w:val="toc 2"/>
    <w:basedOn w:val="Normal"/>
    <w:next w:val="Normal"/>
    <w:autoRedefine/>
    <w:uiPriority w:val="39"/>
    <w:unhideWhenUsed/>
    <w:rsid w:val="00072995"/>
    <w:pPr>
      <w:spacing w:after="100"/>
      <w:ind w:left="220"/>
    </w:pPr>
  </w:style>
  <w:style w:type="paragraph" w:styleId="BalloonText">
    <w:name w:val="Balloon Text"/>
    <w:basedOn w:val="Normal"/>
    <w:link w:val="BalloonTextChar"/>
    <w:uiPriority w:val="99"/>
    <w:semiHidden/>
    <w:unhideWhenUsed/>
    <w:rsid w:val="00D412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2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847">
      <w:bodyDiv w:val="1"/>
      <w:marLeft w:val="0"/>
      <w:marRight w:val="0"/>
      <w:marTop w:val="0"/>
      <w:marBottom w:val="0"/>
      <w:divBdr>
        <w:top w:val="none" w:sz="0" w:space="0" w:color="auto"/>
        <w:left w:val="none" w:sz="0" w:space="0" w:color="auto"/>
        <w:bottom w:val="none" w:sz="0" w:space="0" w:color="auto"/>
        <w:right w:val="none" w:sz="0" w:space="0" w:color="auto"/>
      </w:divBdr>
    </w:div>
    <w:div w:id="8259598">
      <w:bodyDiv w:val="1"/>
      <w:marLeft w:val="0"/>
      <w:marRight w:val="0"/>
      <w:marTop w:val="0"/>
      <w:marBottom w:val="0"/>
      <w:divBdr>
        <w:top w:val="none" w:sz="0" w:space="0" w:color="auto"/>
        <w:left w:val="none" w:sz="0" w:space="0" w:color="auto"/>
        <w:bottom w:val="none" w:sz="0" w:space="0" w:color="auto"/>
        <w:right w:val="none" w:sz="0" w:space="0" w:color="auto"/>
      </w:divBdr>
    </w:div>
    <w:div w:id="11491084">
      <w:bodyDiv w:val="1"/>
      <w:marLeft w:val="0"/>
      <w:marRight w:val="0"/>
      <w:marTop w:val="0"/>
      <w:marBottom w:val="0"/>
      <w:divBdr>
        <w:top w:val="none" w:sz="0" w:space="0" w:color="auto"/>
        <w:left w:val="none" w:sz="0" w:space="0" w:color="auto"/>
        <w:bottom w:val="none" w:sz="0" w:space="0" w:color="auto"/>
        <w:right w:val="none" w:sz="0" w:space="0" w:color="auto"/>
      </w:divBdr>
    </w:div>
    <w:div w:id="131338880">
      <w:bodyDiv w:val="1"/>
      <w:marLeft w:val="0"/>
      <w:marRight w:val="0"/>
      <w:marTop w:val="0"/>
      <w:marBottom w:val="0"/>
      <w:divBdr>
        <w:top w:val="none" w:sz="0" w:space="0" w:color="auto"/>
        <w:left w:val="none" w:sz="0" w:space="0" w:color="auto"/>
        <w:bottom w:val="none" w:sz="0" w:space="0" w:color="auto"/>
        <w:right w:val="none" w:sz="0" w:space="0" w:color="auto"/>
      </w:divBdr>
    </w:div>
    <w:div w:id="369964323">
      <w:bodyDiv w:val="1"/>
      <w:marLeft w:val="0"/>
      <w:marRight w:val="0"/>
      <w:marTop w:val="0"/>
      <w:marBottom w:val="0"/>
      <w:divBdr>
        <w:top w:val="none" w:sz="0" w:space="0" w:color="auto"/>
        <w:left w:val="none" w:sz="0" w:space="0" w:color="auto"/>
        <w:bottom w:val="none" w:sz="0" w:space="0" w:color="auto"/>
        <w:right w:val="none" w:sz="0" w:space="0" w:color="auto"/>
      </w:divBdr>
    </w:div>
    <w:div w:id="716664747">
      <w:bodyDiv w:val="1"/>
      <w:marLeft w:val="0"/>
      <w:marRight w:val="0"/>
      <w:marTop w:val="0"/>
      <w:marBottom w:val="0"/>
      <w:divBdr>
        <w:top w:val="none" w:sz="0" w:space="0" w:color="auto"/>
        <w:left w:val="none" w:sz="0" w:space="0" w:color="auto"/>
        <w:bottom w:val="none" w:sz="0" w:space="0" w:color="auto"/>
        <w:right w:val="none" w:sz="0" w:space="0" w:color="auto"/>
      </w:divBdr>
      <w:divsChild>
        <w:div w:id="1061247093">
          <w:marLeft w:val="0"/>
          <w:marRight w:val="0"/>
          <w:marTop w:val="0"/>
          <w:marBottom w:val="0"/>
          <w:divBdr>
            <w:top w:val="none" w:sz="0" w:space="0" w:color="auto"/>
            <w:left w:val="none" w:sz="0" w:space="0" w:color="auto"/>
            <w:bottom w:val="none" w:sz="0" w:space="0" w:color="auto"/>
            <w:right w:val="none" w:sz="0" w:space="0" w:color="auto"/>
          </w:divBdr>
          <w:divsChild>
            <w:div w:id="1608460699">
              <w:marLeft w:val="0"/>
              <w:marRight w:val="0"/>
              <w:marTop w:val="0"/>
              <w:marBottom w:val="0"/>
              <w:divBdr>
                <w:top w:val="none" w:sz="0" w:space="0" w:color="auto"/>
                <w:left w:val="single" w:sz="48" w:space="0" w:color="FFFFFF"/>
                <w:bottom w:val="none" w:sz="0" w:space="0" w:color="auto"/>
                <w:right w:val="single" w:sz="48" w:space="0" w:color="FFFFFF"/>
              </w:divBdr>
              <w:divsChild>
                <w:div w:id="21038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2837">
      <w:bodyDiv w:val="1"/>
      <w:marLeft w:val="0"/>
      <w:marRight w:val="0"/>
      <w:marTop w:val="0"/>
      <w:marBottom w:val="0"/>
      <w:divBdr>
        <w:top w:val="none" w:sz="0" w:space="0" w:color="auto"/>
        <w:left w:val="none" w:sz="0" w:space="0" w:color="auto"/>
        <w:bottom w:val="none" w:sz="0" w:space="0" w:color="auto"/>
        <w:right w:val="none" w:sz="0" w:space="0" w:color="auto"/>
      </w:divBdr>
    </w:div>
    <w:div w:id="934097575">
      <w:bodyDiv w:val="1"/>
      <w:marLeft w:val="0"/>
      <w:marRight w:val="0"/>
      <w:marTop w:val="0"/>
      <w:marBottom w:val="0"/>
      <w:divBdr>
        <w:top w:val="none" w:sz="0" w:space="0" w:color="auto"/>
        <w:left w:val="none" w:sz="0" w:space="0" w:color="auto"/>
        <w:bottom w:val="none" w:sz="0" w:space="0" w:color="auto"/>
        <w:right w:val="none" w:sz="0" w:space="0" w:color="auto"/>
      </w:divBdr>
    </w:div>
    <w:div w:id="936906690">
      <w:bodyDiv w:val="1"/>
      <w:marLeft w:val="0"/>
      <w:marRight w:val="0"/>
      <w:marTop w:val="0"/>
      <w:marBottom w:val="0"/>
      <w:divBdr>
        <w:top w:val="none" w:sz="0" w:space="0" w:color="auto"/>
        <w:left w:val="none" w:sz="0" w:space="0" w:color="auto"/>
        <w:bottom w:val="none" w:sz="0" w:space="0" w:color="auto"/>
        <w:right w:val="none" w:sz="0" w:space="0" w:color="auto"/>
      </w:divBdr>
    </w:div>
    <w:div w:id="959216299">
      <w:bodyDiv w:val="1"/>
      <w:marLeft w:val="0"/>
      <w:marRight w:val="0"/>
      <w:marTop w:val="0"/>
      <w:marBottom w:val="0"/>
      <w:divBdr>
        <w:top w:val="none" w:sz="0" w:space="0" w:color="auto"/>
        <w:left w:val="none" w:sz="0" w:space="0" w:color="auto"/>
        <w:bottom w:val="none" w:sz="0" w:space="0" w:color="auto"/>
        <w:right w:val="none" w:sz="0" w:space="0" w:color="auto"/>
      </w:divBdr>
    </w:div>
    <w:div w:id="967861519">
      <w:bodyDiv w:val="1"/>
      <w:marLeft w:val="0"/>
      <w:marRight w:val="0"/>
      <w:marTop w:val="0"/>
      <w:marBottom w:val="0"/>
      <w:divBdr>
        <w:top w:val="none" w:sz="0" w:space="0" w:color="auto"/>
        <w:left w:val="none" w:sz="0" w:space="0" w:color="auto"/>
        <w:bottom w:val="none" w:sz="0" w:space="0" w:color="auto"/>
        <w:right w:val="none" w:sz="0" w:space="0" w:color="auto"/>
      </w:divBdr>
    </w:div>
    <w:div w:id="1022979441">
      <w:bodyDiv w:val="1"/>
      <w:marLeft w:val="0"/>
      <w:marRight w:val="0"/>
      <w:marTop w:val="0"/>
      <w:marBottom w:val="0"/>
      <w:divBdr>
        <w:top w:val="none" w:sz="0" w:space="0" w:color="auto"/>
        <w:left w:val="none" w:sz="0" w:space="0" w:color="auto"/>
        <w:bottom w:val="none" w:sz="0" w:space="0" w:color="auto"/>
        <w:right w:val="none" w:sz="0" w:space="0" w:color="auto"/>
      </w:divBdr>
    </w:div>
    <w:div w:id="1063870717">
      <w:bodyDiv w:val="1"/>
      <w:marLeft w:val="0"/>
      <w:marRight w:val="0"/>
      <w:marTop w:val="0"/>
      <w:marBottom w:val="0"/>
      <w:divBdr>
        <w:top w:val="none" w:sz="0" w:space="0" w:color="auto"/>
        <w:left w:val="none" w:sz="0" w:space="0" w:color="auto"/>
        <w:bottom w:val="none" w:sz="0" w:space="0" w:color="auto"/>
        <w:right w:val="none" w:sz="0" w:space="0" w:color="auto"/>
      </w:divBdr>
    </w:div>
    <w:div w:id="1273896213">
      <w:bodyDiv w:val="1"/>
      <w:marLeft w:val="0"/>
      <w:marRight w:val="0"/>
      <w:marTop w:val="0"/>
      <w:marBottom w:val="0"/>
      <w:divBdr>
        <w:top w:val="none" w:sz="0" w:space="0" w:color="auto"/>
        <w:left w:val="none" w:sz="0" w:space="0" w:color="auto"/>
        <w:bottom w:val="none" w:sz="0" w:space="0" w:color="auto"/>
        <w:right w:val="none" w:sz="0" w:space="0" w:color="auto"/>
      </w:divBdr>
    </w:div>
    <w:div w:id="1284993485">
      <w:bodyDiv w:val="1"/>
      <w:marLeft w:val="0"/>
      <w:marRight w:val="0"/>
      <w:marTop w:val="0"/>
      <w:marBottom w:val="0"/>
      <w:divBdr>
        <w:top w:val="none" w:sz="0" w:space="0" w:color="auto"/>
        <w:left w:val="none" w:sz="0" w:space="0" w:color="auto"/>
        <w:bottom w:val="none" w:sz="0" w:space="0" w:color="auto"/>
        <w:right w:val="none" w:sz="0" w:space="0" w:color="auto"/>
      </w:divBdr>
    </w:div>
    <w:div w:id="1347949995">
      <w:bodyDiv w:val="1"/>
      <w:marLeft w:val="0"/>
      <w:marRight w:val="0"/>
      <w:marTop w:val="0"/>
      <w:marBottom w:val="0"/>
      <w:divBdr>
        <w:top w:val="none" w:sz="0" w:space="0" w:color="auto"/>
        <w:left w:val="none" w:sz="0" w:space="0" w:color="auto"/>
        <w:bottom w:val="none" w:sz="0" w:space="0" w:color="auto"/>
        <w:right w:val="none" w:sz="0" w:space="0" w:color="auto"/>
      </w:divBdr>
    </w:div>
    <w:div w:id="1425421732">
      <w:bodyDiv w:val="1"/>
      <w:marLeft w:val="0"/>
      <w:marRight w:val="0"/>
      <w:marTop w:val="0"/>
      <w:marBottom w:val="0"/>
      <w:divBdr>
        <w:top w:val="none" w:sz="0" w:space="0" w:color="auto"/>
        <w:left w:val="none" w:sz="0" w:space="0" w:color="auto"/>
        <w:bottom w:val="none" w:sz="0" w:space="0" w:color="auto"/>
        <w:right w:val="none" w:sz="0" w:space="0" w:color="auto"/>
      </w:divBdr>
    </w:div>
    <w:div w:id="1564101465">
      <w:bodyDiv w:val="1"/>
      <w:marLeft w:val="0"/>
      <w:marRight w:val="0"/>
      <w:marTop w:val="0"/>
      <w:marBottom w:val="0"/>
      <w:divBdr>
        <w:top w:val="none" w:sz="0" w:space="0" w:color="auto"/>
        <w:left w:val="none" w:sz="0" w:space="0" w:color="auto"/>
        <w:bottom w:val="none" w:sz="0" w:space="0" w:color="auto"/>
        <w:right w:val="none" w:sz="0" w:space="0" w:color="auto"/>
      </w:divBdr>
    </w:div>
    <w:div w:id="1566918007">
      <w:bodyDiv w:val="1"/>
      <w:marLeft w:val="0"/>
      <w:marRight w:val="0"/>
      <w:marTop w:val="0"/>
      <w:marBottom w:val="0"/>
      <w:divBdr>
        <w:top w:val="none" w:sz="0" w:space="0" w:color="auto"/>
        <w:left w:val="none" w:sz="0" w:space="0" w:color="auto"/>
        <w:bottom w:val="none" w:sz="0" w:space="0" w:color="auto"/>
        <w:right w:val="none" w:sz="0" w:space="0" w:color="auto"/>
      </w:divBdr>
    </w:div>
    <w:div w:id="1583753593">
      <w:bodyDiv w:val="1"/>
      <w:marLeft w:val="0"/>
      <w:marRight w:val="0"/>
      <w:marTop w:val="0"/>
      <w:marBottom w:val="0"/>
      <w:divBdr>
        <w:top w:val="none" w:sz="0" w:space="0" w:color="auto"/>
        <w:left w:val="none" w:sz="0" w:space="0" w:color="auto"/>
        <w:bottom w:val="none" w:sz="0" w:space="0" w:color="auto"/>
        <w:right w:val="none" w:sz="0" w:space="0" w:color="auto"/>
      </w:divBdr>
    </w:div>
    <w:div w:id="1687321801">
      <w:bodyDiv w:val="1"/>
      <w:marLeft w:val="0"/>
      <w:marRight w:val="0"/>
      <w:marTop w:val="0"/>
      <w:marBottom w:val="0"/>
      <w:divBdr>
        <w:top w:val="none" w:sz="0" w:space="0" w:color="auto"/>
        <w:left w:val="none" w:sz="0" w:space="0" w:color="auto"/>
        <w:bottom w:val="none" w:sz="0" w:space="0" w:color="auto"/>
        <w:right w:val="none" w:sz="0" w:space="0" w:color="auto"/>
      </w:divBdr>
    </w:div>
    <w:div w:id="1768116415">
      <w:bodyDiv w:val="1"/>
      <w:marLeft w:val="0"/>
      <w:marRight w:val="0"/>
      <w:marTop w:val="0"/>
      <w:marBottom w:val="0"/>
      <w:divBdr>
        <w:top w:val="none" w:sz="0" w:space="0" w:color="auto"/>
        <w:left w:val="none" w:sz="0" w:space="0" w:color="auto"/>
        <w:bottom w:val="none" w:sz="0" w:space="0" w:color="auto"/>
        <w:right w:val="none" w:sz="0" w:space="0" w:color="auto"/>
      </w:divBdr>
    </w:div>
    <w:div w:id="1886678464">
      <w:bodyDiv w:val="1"/>
      <w:marLeft w:val="0"/>
      <w:marRight w:val="0"/>
      <w:marTop w:val="0"/>
      <w:marBottom w:val="0"/>
      <w:divBdr>
        <w:top w:val="none" w:sz="0" w:space="0" w:color="auto"/>
        <w:left w:val="none" w:sz="0" w:space="0" w:color="auto"/>
        <w:bottom w:val="none" w:sz="0" w:space="0" w:color="auto"/>
        <w:right w:val="none" w:sz="0" w:space="0" w:color="auto"/>
      </w:divBdr>
    </w:div>
    <w:div w:id="2005892595">
      <w:bodyDiv w:val="1"/>
      <w:marLeft w:val="0"/>
      <w:marRight w:val="0"/>
      <w:marTop w:val="0"/>
      <w:marBottom w:val="0"/>
      <w:divBdr>
        <w:top w:val="none" w:sz="0" w:space="0" w:color="auto"/>
        <w:left w:val="none" w:sz="0" w:space="0" w:color="auto"/>
        <w:bottom w:val="none" w:sz="0" w:space="0" w:color="auto"/>
        <w:right w:val="none" w:sz="0" w:space="0" w:color="auto"/>
      </w:divBdr>
    </w:div>
    <w:div w:id="2019114068">
      <w:bodyDiv w:val="1"/>
      <w:marLeft w:val="0"/>
      <w:marRight w:val="0"/>
      <w:marTop w:val="0"/>
      <w:marBottom w:val="0"/>
      <w:divBdr>
        <w:top w:val="none" w:sz="0" w:space="0" w:color="auto"/>
        <w:left w:val="none" w:sz="0" w:space="0" w:color="auto"/>
        <w:bottom w:val="none" w:sz="0" w:space="0" w:color="auto"/>
        <w:right w:val="none" w:sz="0" w:space="0" w:color="auto"/>
      </w:divBdr>
    </w:div>
    <w:div w:id="2035575483">
      <w:bodyDiv w:val="1"/>
      <w:marLeft w:val="0"/>
      <w:marRight w:val="0"/>
      <w:marTop w:val="0"/>
      <w:marBottom w:val="0"/>
      <w:divBdr>
        <w:top w:val="none" w:sz="0" w:space="0" w:color="auto"/>
        <w:left w:val="none" w:sz="0" w:space="0" w:color="auto"/>
        <w:bottom w:val="none" w:sz="0" w:space="0" w:color="auto"/>
        <w:right w:val="none" w:sz="0" w:space="0" w:color="auto"/>
      </w:divBdr>
    </w:div>
    <w:div w:id="20948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data\Kroon%20Survey%20Data\1Formatted%20results%20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'Count t comfort sat'!$J$3</c:f>
              <c:strCache>
                <c:ptCount val="1"/>
                <c:pt idx="0">
                  <c:v>Kroon &amp; office</c:v>
                </c:pt>
              </c:strCache>
            </c:strRef>
          </c:tx>
          <c:spPr>
            <a:ln w="28575" cap="rnd">
              <a:solidFill>
                <a:schemeClr val="accent3"/>
              </a:solidFill>
              <a:round/>
            </a:ln>
            <a:effectLst/>
          </c:spPr>
          <c:marker>
            <c:symbol val="none"/>
          </c:marker>
          <c:cat>
            <c:numRef>
              <c:f>'Count t comfort sat'!$F$4:$F$12</c:f>
              <c:numCache>
                <c:formatCode>@</c:formatCode>
                <c:ptCount val="9"/>
                <c:pt idx="0">
                  <c:v>0</c:v>
                </c:pt>
                <c:pt idx="1">
                  <c:v>1</c:v>
                </c:pt>
                <c:pt idx="2">
                  <c:v>2</c:v>
                </c:pt>
                <c:pt idx="3">
                  <c:v>3</c:v>
                </c:pt>
                <c:pt idx="4">
                  <c:v>4</c:v>
                </c:pt>
                <c:pt idx="5">
                  <c:v>5</c:v>
                </c:pt>
                <c:pt idx="6">
                  <c:v>6</c:v>
                </c:pt>
                <c:pt idx="7">
                  <c:v>7</c:v>
                </c:pt>
                <c:pt idx="8">
                  <c:v>8</c:v>
                </c:pt>
              </c:numCache>
            </c:numRef>
          </c:cat>
          <c:val>
            <c:numRef>
              <c:f>'Count t comfort sat'!$J$4:$J$12</c:f>
              <c:numCache>
                <c:formatCode>@</c:formatCode>
                <c:ptCount val="9"/>
                <c:pt idx="0">
                  <c:v>7.4999999999999997E-2</c:v>
                </c:pt>
                <c:pt idx="1">
                  <c:v>0.1128</c:v>
                </c:pt>
                <c:pt idx="2">
                  <c:v>2.5000000000000001E-2</c:v>
                </c:pt>
                <c:pt idx="3">
                  <c:v>0.1638</c:v>
                </c:pt>
                <c:pt idx="4">
                  <c:v>0.2104</c:v>
                </c:pt>
                <c:pt idx="5">
                  <c:v>0.17430000000000001</c:v>
                </c:pt>
                <c:pt idx="6">
                  <c:v>8.5500000000000007E-2</c:v>
                </c:pt>
                <c:pt idx="7">
                  <c:v>8.5500000000000007E-2</c:v>
                </c:pt>
                <c:pt idx="8">
                  <c:v>6.7699999999999996E-2</c:v>
                </c:pt>
              </c:numCache>
            </c:numRef>
          </c:val>
          <c:smooth val="0"/>
          <c:extLst>
            <c:ext xmlns:c16="http://schemas.microsoft.com/office/drawing/2014/chart" uri="{C3380CC4-5D6E-409C-BE32-E72D297353CC}">
              <c16:uniqueId val="{00000000-C426-4831-A5F1-92C9F58F1459}"/>
            </c:ext>
          </c:extLst>
        </c:ser>
        <c:ser>
          <c:idx val="0"/>
          <c:order val="1"/>
          <c:tx>
            <c:strRef>
              <c:f>'Count t comfort sat'!$K$3</c:f>
              <c:strCache>
                <c:ptCount val="1"/>
                <c:pt idx="0">
                  <c:v>not Kroon &amp; office</c:v>
                </c:pt>
              </c:strCache>
            </c:strRef>
          </c:tx>
          <c:spPr>
            <a:ln w="28575" cap="rnd">
              <a:solidFill>
                <a:schemeClr val="accent1"/>
              </a:solidFill>
              <a:round/>
            </a:ln>
            <a:effectLst/>
          </c:spPr>
          <c:marker>
            <c:symbol val="none"/>
          </c:marker>
          <c:val>
            <c:numRef>
              <c:f>'Count t comfort sat'!$K$4:$K$12</c:f>
              <c:numCache>
                <c:formatCode>General</c:formatCode>
                <c:ptCount val="9"/>
                <c:pt idx="0">
                  <c:v>0.1007</c:v>
                </c:pt>
                <c:pt idx="1">
                  <c:v>5.04E-2</c:v>
                </c:pt>
                <c:pt idx="2">
                  <c:v>3.7600000000000001E-2</c:v>
                </c:pt>
                <c:pt idx="3">
                  <c:v>0.14879999999999999</c:v>
                </c:pt>
                <c:pt idx="4">
                  <c:v>0.33200000000000002</c:v>
                </c:pt>
                <c:pt idx="5">
                  <c:v>0.12670000000000001</c:v>
                </c:pt>
                <c:pt idx="6">
                  <c:v>0.1232</c:v>
                </c:pt>
                <c:pt idx="7">
                  <c:v>8.0500000000000002E-2</c:v>
                </c:pt>
                <c:pt idx="8">
                  <c:v>0</c:v>
                </c:pt>
              </c:numCache>
            </c:numRef>
          </c:val>
          <c:smooth val="0"/>
          <c:extLst>
            <c:ext xmlns:c16="http://schemas.microsoft.com/office/drawing/2014/chart" uri="{C3380CC4-5D6E-409C-BE32-E72D297353CC}">
              <c16:uniqueId val="{00000001-C426-4831-A5F1-92C9F58F1459}"/>
            </c:ext>
          </c:extLst>
        </c:ser>
        <c:ser>
          <c:idx val="3"/>
          <c:order val="2"/>
          <c:tx>
            <c:strRef>
              <c:f>'Count t comfort sat'!$L$3</c:f>
              <c:strCache>
                <c:ptCount val="1"/>
                <c:pt idx="0">
                  <c:v>Kroon &amp; not office</c:v>
                </c:pt>
              </c:strCache>
            </c:strRef>
          </c:tx>
          <c:spPr>
            <a:ln w="28575" cap="rnd">
              <a:solidFill>
                <a:schemeClr val="accent4"/>
              </a:solidFill>
              <a:round/>
            </a:ln>
            <a:effectLst/>
          </c:spPr>
          <c:marker>
            <c:symbol val="none"/>
          </c:marker>
          <c:cat>
            <c:numRef>
              <c:f>'Count t comfort sat'!$F$4:$F$12</c:f>
              <c:numCache>
                <c:formatCode>@</c:formatCode>
                <c:ptCount val="9"/>
                <c:pt idx="0">
                  <c:v>0</c:v>
                </c:pt>
                <c:pt idx="1">
                  <c:v>1</c:v>
                </c:pt>
                <c:pt idx="2">
                  <c:v>2</c:v>
                </c:pt>
                <c:pt idx="3">
                  <c:v>3</c:v>
                </c:pt>
                <c:pt idx="4">
                  <c:v>4</c:v>
                </c:pt>
                <c:pt idx="5">
                  <c:v>5</c:v>
                </c:pt>
                <c:pt idx="6">
                  <c:v>6</c:v>
                </c:pt>
                <c:pt idx="7">
                  <c:v>7</c:v>
                </c:pt>
                <c:pt idx="8">
                  <c:v>8</c:v>
                </c:pt>
              </c:numCache>
            </c:numRef>
          </c:cat>
          <c:val>
            <c:numRef>
              <c:f>'Count t comfort sat'!$L$4:$L$12</c:f>
              <c:numCache>
                <c:formatCode>@</c:formatCode>
                <c:ptCount val="9"/>
                <c:pt idx="0">
                  <c:v>0.188</c:v>
                </c:pt>
                <c:pt idx="1">
                  <c:v>0.2069</c:v>
                </c:pt>
                <c:pt idx="2">
                  <c:v>0.23419999999999999</c:v>
                </c:pt>
                <c:pt idx="3">
                  <c:v>0.26290000000000002</c:v>
                </c:pt>
                <c:pt idx="4">
                  <c:v>8.2900000000000001E-2</c:v>
                </c:pt>
                <c:pt idx="5">
                  <c:v>2.5100000000000001E-2</c:v>
                </c:pt>
                <c:pt idx="6">
                  <c:v>0</c:v>
                </c:pt>
                <c:pt idx="7">
                  <c:v>0</c:v>
                </c:pt>
                <c:pt idx="8">
                  <c:v>0</c:v>
                </c:pt>
              </c:numCache>
            </c:numRef>
          </c:val>
          <c:smooth val="0"/>
          <c:extLst>
            <c:ext xmlns:c16="http://schemas.microsoft.com/office/drawing/2014/chart" uri="{C3380CC4-5D6E-409C-BE32-E72D297353CC}">
              <c16:uniqueId val="{00000002-C426-4831-A5F1-92C9F58F1459}"/>
            </c:ext>
          </c:extLst>
        </c:ser>
        <c:ser>
          <c:idx val="1"/>
          <c:order val="3"/>
          <c:tx>
            <c:strRef>
              <c:f>'Count t comfort sat'!$M$3</c:f>
              <c:strCache>
                <c:ptCount val="1"/>
                <c:pt idx="0">
                  <c:v>not Kroon or office</c:v>
                </c:pt>
              </c:strCache>
            </c:strRef>
          </c:tx>
          <c:spPr>
            <a:ln w="28575" cap="rnd">
              <a:solidFill>
                <a:schemeClr val="accent2"/>
              </a:solidFill>
              <a:round/>
            </a:ln>
            <a:effectLst/>
          </c:spPr>
          <c:marker>
            <c:symbol val="none"/>
          </c:marker>
          <c:val>
            <c:numRef>
              <c:f>'Count t comfort sat'!$M$4:$M$12</c:f>
              <c:numCache>
                <c:formatCode>0.0000</c:formatCode>
                <c:ptCount val="9"/>
                <c:pt idx="0">
                  <c:v>0.28820000000000001</c:v>
                </c:pt>
                <c:pt idx="1">
                  <c:v>6.3200000000000006E-2</c:v>
                </c:pt>
                <c:pt idx="2">
                  <c:v>0.1978</c:v>
                </c:pt>
                <c:pt idx="3">
                  <c:v>0.19889999999999999</c:v>
                </c:pt>
                <c:pt idx="4">
                  <c:v>0.2006</c:v>
                </c:pt>
                <c:pt idx="5">
                  <c:v>5.1200000000000002E-2</c:v>
                </c:pt>
                <c:pt idx="6">
                  <c:v>0</c:v>
                </c:pt>
                <c:pt idx="7">
                  <c:v>0</c:v>
                </c:pt>
                <c:pt idx="8">
                  <c:v>0</c:v>
                </c:pt>
              </c:numCache>
            </c:numRef>
          </c:val>
          <c:smooth val="0"/>
          <c:extLst>
            <c:ext xmlns:c16="http://schemas.microsoft.com/office/drawing/2014/chart" uri="{C3380CC4-5D6E-409C-BE32-E72D297353CC}">
              <c16:uniqueId val="{00000003-C426-4831-A5F1-92C9F58F1459}"/>
            </c:ext>
          </c:extLst>
        </c:ser>
        <c:dLbls>
          <c:showLegendKey val="0"/>
          <c:showVal val="0"/>
          <c:showCatName val="0"/>
          <c:showSerName val="0"/>
          <c:showPercent val="0"/>
          <c:showBubbleSize val="0"/>
        </c:dLbls>
        <c:smooth val="0"/>
        <c:axId val="555373088"/>
        <c:axId val="555371776"/>
      </c:lineChart>
      <c:catAx>
        <c:axId val="55537308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Number of adaptive behaviors reported</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55371776"/>
        <c:crosses val="autoZero"/>
        <c:auto val="1"/>
        <c:lblAlgn val="ctr"/>
        <c:lblOffset val="100"/>
        <c:noMultiLvlLbl val="0"/>
      </c:catAx>
      <c:valAx>
        <c:axId val="555371776"/>
        <c:scaling>
          <c:orientation val="minMax"/>
          <c:max val="0.3500000000000000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a:t>Share of respondents</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5537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B5804-A80B-4216-9950-E1002E0B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2420</TotalTime>
  <Pages>19</Pages>
  <Words>7301</Words>
  <Characters>41622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Turk</dc:creator>
  <cp:keywords/>
  <dc:description/>
  <cp:lastModifiedBy>Zachary Turk</cp:lastModifiedBy>
  <cp:revision>388</cp:revision>
  <cp:lastPrinted>2017-03-20T16:32:00Z</cp:lastPrinted>
  <dcterms:created xsi:type="dcterms:W3CDTF">2015-10-08T21:58:00Z</dcterms:created>
  <dcterms:modified xsi:type="dcterms:W3CDTF">2017-04-04T19:33:00Z</dcterms:modified>
</cp:coreProperties>
</file>