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3035D" w14:textId="77777777" w:rsidR="00F76875" w:rsidRDefault="00F76875" w:rsidP="00994101">
      <w:pPr>
        <w:spacing w:after="120" w:line="480" w:lineRule="auto"/>
        <w:jc w:val="center"/>
      </w:pPr>
    </w:p>
    <w:p w14:paraId="30A4C13B" w14:textId="77777777" w:rsidR="00964613" w:rsidRDefault="00964613" w:rsidP="00994101">
      <w:pPr>
        <w:spacing w:after="120" w:line="240" w:lineRule="auto"/>
        <w:jc w:val="center"/>
      </w:pPr>
      <w:r>
        <w:t>TWO</w:t>
      </w:r>
      <w:r w:rsidR="006608A9">
        <w:t xml:space="preserve"> E</w:t>
      </w:r>
      <w:bookmarkStart w:id="0" w:name="_GoBack"/>
      <w:bookmarkEnd w:id="0"/>
      <w:r w:rsidR="006608A9">
        <w:t xml:space="preserve">SSAYS </w:t>
      </w:r>
      <w:r>
        <w:t>U</w:t>
      </w:r>
      <w:r w:rsidR="00E75CC9">
        <w:t>S</w:t>
      </w:r>
      <w:r w:rsidR="000137F4">
        <w:t>ING</w:t>
      </w:r>
      <w:r w:rsidR="006261A0">
        <w:t xml:space="preserve"> SURVEY INSTRUMENTS</w:t>
      </w:r>
      <w:r>
        <w:t xml:space="preserve"> TO</w:t>
      </w:r>
      <w:r w:rsidR="006608A9">
        <w:t xml:space="preserve"> </w:t>
      </w:r>
      <w:r>
        <w:t xml:space="preserve">DERIVE </w:t>
      </w:r>
    </w:p>
    <w:p w14:paraId="3B95C1FC" w14:textId="77777777" w:rsidR="00F76875" w:rsidRPr="00F76875" w:rsidRDefault="00964613" w:rsidP="00964613">
      <w:pPr>
        <w:spacing w:after="120" w:line="240" w:lineRule="auto"/>
        <w:jc w:val="center"/>
      </w:pPr>
      <w:r>
        <w:t xml:space="preserve">PREFERENCES </w:t>
      </w:r>
      <w:r w:rsidR="006608A9">
        <w:t xml:space="preserve">IN THE ENVIRONMENTAL SPHERE </w:t>
      </w:r>
    </w:p>
    <w:p w14:paraId="7B3FBA4F" w14:textId="77777777" w:rsidR="00F76875" w:rsidRDefault="00F76875" w:rsidP="00F76875">
      <w:pPr>
        <w:spacing w:line="480" w:lineRule="auto"/>
        <w:jc w:val="center"/>
      </w:pPr>
    </w:p>
    <w:p w14:paraId="56DB59C4" w14:textId="77777777" w:rsidR="00994101" w:rsidRDefault="00994101" w:rsidP="00994101">
      <w:pPr>
        <w:spacing w:after="120" w:line="240" w:lineRule="auto"/>
        <w:jc w:val="center"/>
      </w:pPr>
      <w:r>
        <w:t>A Thesis</w:t>
      </w:r>
    </w:p>
    <w:p w14:paraId="380F91CA" w14:textId="77777777" w:rsidR="00994101" w:rsidRDefault="00994101" w:rsidP="00994101">
      <w:pPr>
        <w:spacing w:after="120" w:line="240" w:lineRule="auto"/>
        <w:jc w:val="center"/>
      </w:pPr>
      <w:r>
        <w:t>Presented to the Faculty of the School of Forestry &amp; Environmental Studies</w:t>
      </w:r>
    </w:p>
    <w:p w14:paraId="4858C734" w14:textId="77777777" w:rsidR="00994101" w:rsidRDefault="00994101" w:rsidP="00994101">
      <w:pPr>
        <w:spacing w:after="120" w:line="240" w:lineRule="auto"/>
        <w:jc w:val="center"/>
      </w:pPr>
      <w:r>
        <w:t>of</w:t>
      </w:r>
    </w:p>
    <w:p w14:paraId="10DEE10C" w14:textId="77777777" w:rsidR="00994101" w:rsidRDefault="00994101" w:rsidP="00994101">
      <w:pPr>
        <w:spacing w:after="120" w:line="240" w:lineRule="auto"/>
        <w:jc w:val="center"/>
      </w:pPr>
      <w:r>
        <w:t>Yale University</w:t>
      </w:r>
    </w:p>
    <w:p w14:paraId="516C43F4" w14:textId="77777777" w:rsidR="00994101" w:rsidRDefault="00994101" w:rsidP="00994101">
      <w:pPr>
        <w:jc w:val="center"/>
      </w:pPr>
      <w:r>
        <w:t xml:space="preserve">in Partial Fulfillment of the Requirements for the Degree of </w:t>
      </w:r>
    </w:p>
    <w:p w14:paraId="4177C321" w14:textId="77777777" w:rsidR="00994101" w:rsidRDefault="00994101" w:rsidP="00994101">
      <w:pPr>
        <w:jc w:val="center"/>
      </w:pPr>
      <w:r>
        <w:t>Master of Environmental Science (M.E.Sc.)</w:t>
      </w:r>
    </w:p>
    <w:p w14:paraId="2A859A83" w14:textId="77777777" w:rsidR="00994101" w:rsidRDefault="00994101" w:rsidP="00994101">
      <w:pPr>
        <w:spacing w:after="120" w:line="240" w:lineRule="auto"/>
        <w:jc w:val="center"/>
      </w:pPr>
    </w:p>
    <w:p w14:paraId="62855F0A" w14:textId="77777777" w:rsidR="00994101" w:rsidRDefault="00994101" w:rsidP="00F43691">
      <w:pPr>
        <w:spacing w:after="120" w:line="240" w:lineRule="auto"/>
      </w:pPr>
    </w:p>
    <w:p w14:paraId="319BFF77" w14:textId="77777777" w:rsidR="00F76875" w:rsidRDefault="00F76875" w:rsidP="00994101">
      <w:pPr>
        <w:spacing w:after="120" w:line="240" w:lineRule="auto"/>
        <w:jc w:val="center"/>
      </w:pPr>
      <w:r>
        <w:t>by</w:t>
      </w:r>
    </w:p>
    <w:p w14:paraId="48A4433C" w14:textId="77777777" w:rsidR="007A2B0C" w:rsidRDefault="00994101" w:rsidP="00994101">
      <w:pPr>
        <w:spacing w:after="120" w:line="240" w:lineRule="auto"/>
        <w:jc w:val="center"/>
      </w:pPr>
      <w:r>
        <w:t>Zachary Michael</w:t>
      </w:r>
      <w:r w:rsidR="007A2B0C">
        <w:t xml:space="preserve"> Turk</w:t>
      </w:r>
    </w:p>
    <w:p w14:paraId="60B427D1" w14:textId="77777777" w:rsidR="007A2B0C" w:rsidRDefault="007A2B0C" w:rsidP="00994101">
      <w:pPr>
        <w:spacing w:after="120" w:line="240" w:lineRule="auto"/>
        <w:jc w:val="center"/>
      </w:pPr>
      <w:r>
        <w:t>Email: zachary.turk@yale.edu</w:t>
      </w:r>
    </w:p>
    <w:p w14:paraId="7A6860A7" w14:textId="77777777" w:rsidR="00F76875" w:rsidRDefault="00F76875" w:rsidP="00994101"/>
    <w:p w14:paraId="1150DDCF" w14:textId="77777777" w:rsidR="00F76875" w:rsidRDefault="00F76875" w:rsidP="001F69D2">
      <w:pPr>
        <w:spacing w:line="480" w:lineRule="auto"/>
        <w:jc w:val="center"/>
      </w:pPr>
    </w:p>
    <w:p w14:paraId="6659FA7B" w14:textId="77777777" w:rsidR="00DD25E5" w:rsidRDefault="00DD25E5" w:rsidP="001F69D2">
      <w:pPr>
        <w:spacing w:line="480" w:lineRule="auto"/>
        <w:jc w:val="center"/>
      </w:pPr>
      <w:r>
        <w:t>Thesis Committee:</w:t>
      </w:r>
    </w:p>
    <w:p w14:paraId="24EB27F0" w14:textId="77777777" w:rsidR="007A2B0C" w:rsidRDefault="007A2B0C" w:rsidP="007A2B0C">
      <w:pPr>
        <w:jc w:val="center"/>
        <w:sectPr w:rsidR="007A2B0C" w:rsidSect="00A26CE8">
          <w:footerReference w:type="default" r:id="rId8"/>
          <w:pgSz w:w="12240" w:h="15840"/>
          <w:pgMar w:top="1440" w:right="1440" w:bottom="1440" w:left="1440" w:header="720" w:footer="720" w:gutter="0"/>
          <w:pgNumType w:start="0"/>
          <w:cols w:space="720"/>
          <w:titlePg/>
          <w:docGrid w:linePitch="360"/>
        </w:sectPr>
      </w:pPr>
    </w:p>
    <w:p w14:paraId="6C67E133" w14:textId="77777777" w:rsidR="007A2B0C" w:rsidRDefault="007A2B0C" w:rsidP="007A2B0C">
      <w:pPr>
        <w:jc w:val="center"/>
      </w:pPr>
      <w:r>
        <w:t>Advisor:</w:t>
      </w:r>
    </w:p>
    <w:p w14:paraId="68375883" w14:textId="77777777" w:rsidR="007A2B0C" w:rsidRDefault="007A2B0C" w:rsidP="007A2B0C">
      <w:pPr>
        <w:jc w:val="center"/>
      </w:pPr>
      <w:r>
        <w:t>Matthew J. Kotchen</w:t>
      </w:r>
    </w:p>
    <w:p w14:paraId="2E4B8484" w14:textId="77777777" w:rsidR="007A2B0C" w:rsidRDefault="007A2B0C" w:rsidP="007A2B0C">
      <w:pPr>
        <w:jc w:val="center"/>
      </w:pPr>
      <w:r>
        <w:t>Yale University, New Haven, CT 06511, USA</w:t>
      </w:r>
    </w:p>
    <w:p w14:paraId="5F12B350" w14:textId="053281A1" w:rsidR="007A2B0C" w:rsidRDefault="007A2B0C" w:rsidP="007A2B0C">
      <w:pPr>
        <w:jc w:val="center"/>
      </w:pPr>
      <w:r>
        <w:t>Email:</w:t>
      </w:r>
      <w:r w:rsidR="00653B99">
        <w:t xml:space="preserve"> matthew.kotchen@yale.edu</w:t>
      </w:r>
    </w:p>
    <w:p w14:paraId="7DA3BF7F" w14:textId="77777777" w:rsidR="00653B99" w:rsidRDefault="00653B99" w:rsidP="007A2B0C">
      <w:pPr>
        <w:jc w:val="center"/>
      </w:pPr>
    </w:p>
    <w:p w14:paraId="6B75DAFA" w14:textId="49CC3FCE" w:rsidR="007A2B0C" w:rsidRDefault="00653B99" w:rsidP="007A2B0C">
      <w:pPr>
        <w:jc w:val="center"/>
      </w:pPr>
      <w:r>
        <w:t>Committee member</w:t>
      </w:r>
      <w:r w:rsidR="007A2B0C">
        <w:t>:</w:t>
      </w:r>
    </w:p>
    <w:p w14:paraId="235E9DA3" w14:textId="77777777" w:rsidR="007A2B0C" w:rsidRDefault="007A2B0C" w:rsidP="007A2B0C">
      <w:pPr>
        <w:jc w:val="center"/>
      </w:pPr>
      <w:r>
        <w:t>Anthony A. Leiserowitz</w:t>
      </w:r>
    </w:p>
    <w:p w14:paraId="7FD23095" w14:textId="77777777" w:rsidR="007A2B0C" w:rsidRDefault="007A2B0C" w:rsidP="007A2B0C">
      <w:pPr>
        <w:jc w:val="center"/>
      </w:pPr>
      <w:r>
        <w:t>Yale University, New Haven, CT 06511, USA</w:t>
      </w:r>
    </w:p>
    <w:p w14:paraId="3D9EB113" w14:textId="77777777" w:rsidR="007A2B0C" w:rsidRDefault="007A2B0C" w:rsidP="007A2B0C">
      <w:pPr>
        <w:jc w:val="center"/>
      </w:pPr>
      <w:r>
        <w:t>Email: anthony.leiserowitz@yale.edu</w:t>
      </w:r>
    </w:p>
    <w:p w14:paraId="0BFC03F1" w14:textId="77777777" w:rsidR="007A2B0C" w:rsidRDefault="007A2B0C" w:rsidP="007A2B0C">
      <w:pPr>
        <w:jc w:val="center"/>
      </w:pPr>
    </w:p>
    <w:p w14:paraId="5E2FE674" w14:textId="77777777" w:rsidR="007A2B0C" w:rsidRDefault="007A2B0C" w:rsidP="007A2B0C">
      <w:pPr>
        <w:jc w:val="center"/>
        <w:sectPr w:rsidR="007A2B0C" w:rsidSect="0052424D">
          <w:type w:val="continuous"/>
          <w:pgSz w:w="12240" w:h="15840"/>
          <w:pgMar w:top="1440" w:right="1440" w:bottom="1440" w:left="1440" w:header="720" w:footer="720" w:gutter="0"/>
          <w:pgNumType w:start="0"/>
          <w:cols w:num="2" w:space="720"/>
          <w:titlePg/>
          <w:docGrid w:linePitch="360"/>
        </w:sectPr>
      </w:pPr>
    </w:p>
    <w:p w14:paraId="6EA8C8EE" w14:textId="77777777" w:rsidR="00994101" w:rsidRDefault="00994101"/>
    <w:p w14:paraId="5C3135AA" w14:textId="77777777" w:rsidR="00994101" w:rsidRDefault="00994101"/>
    <w:p w14:paraId="66E4A77A" w14:textId="77777777" w:rsidR="00994101" w:rsidRDefault="00994101" w:rsidP="00994101">
      <w:pPr>
        <w:jc w:val="center"/>
      </w:pPr>
      <w:r>
        <w:t>May 2017</w:t>
      </w:r>
      <w:r w:rsidR="001C41D8">
        <w:br w:type="page"/>
      </w:r>
    </w:p>
    <w:p w14:paraId="6CF9E2A9" w14:textId="77777777" w:rsidR="00994101" w:rsidRDefault="00994101"/>
    <w:p w14:paraId="49796A73" w14:textId="77777777" w:rsidR="00994101" w:rsidRDefault="00994101"/>
    <w:p w14:paraId="51F59DC2" w14:textId="77777777" w:rsidR="00994101" w:rsidRDefault="00994101"/>
    <w:p w14:paraId="56B20F77" w14:textId="77777777" w:rsidR="00994101" w:rsidRDefault="00994101"/>
    <w:p w14:paraId="080828F7" w14:textId="77777777" w:rsidR="00994101" w:rsidRDefault="00994101"/>
    <w:p w14:paraId="3C185250" w14:textId="77777777" w:rsidR="00994101" w:rsidRDefault="00994101"/>
    <w:p w14:paraId="0C1AA4F3" w14:textId="77777777" w:rsidR="00994101" w:rsidRDefault="00994101"/>
    <w:p w14:paraId="7536C89A" w14:textId="77777777" w:rsidR="00994101" w:rsidRDefault="00994101" w:rsidP="00994101">
      <w:pPr>
        <w:jc w:val="center"/>
      </w:pPr>
      <w:r>
        <w:t>© 2017 by Zachary Michael Turk</w:t>
      </w:r>
    </w:p>
    <w:p w14:paraId="51BAC357" w14:textId="77777777" w:rsidR="00994101" w:rsidRDefault="00994101" w:rsidP="00994101">
      <w:pPr>
        <w:jc w:val="center"/>
      </w:pPr>
      <w:r>
        <w:t>All rights reserved.</w:t>
      </w:r>
      <w:r>
        <w:br w:type="page"/>
      </w:r>
    </w:p>
    <w:p w14:paraId="571EEA15" w14:textId="23B19816" w:rsidR="00062C92" w:rsidRPr="00062C92" w:rsidRDefault="00DD25E5" w:rsidP="0052424D">
      <w:pPr>
        <w:jc w:val="center"/>
      </w:pPr>
      <w:r>
        <w:lastRenderedPageBreak/>
        <w:t>Foreword</w:t>
      </w:r>
    </w:p>
    <w:p w14:paraId="580715B3" w14:textId="0796B2F7" w:rsidR="00062C92" w:rsidRPr="0056744D" w:rsidRDefault="00292F42" w:rsidP="0052424D">
      <w:pPr>
        <w:spacing w:line="360" w:lineRule="auto"/>
      </w:pPr>
      <w:r>
        <w:t xml:space="preserve">This thesis </w:t>
      </w:r>
      <w:r w:rsidR="00E75CC9">
        <w:t>presents the results</w:t>
      </w:r>
      <w:r>
        <w:t xml:space="preserve"> of t</w:t>
      </w:r>
      <w:r w:rsidR="00E75CC9">
        <w:t xml:space="preserve">wo studies </w:t>
      </w:r>
      <w:r w:rsidR="001219E7">
        <w:t>using</w:t>
      </w:r>
      <w:r>
        <w:t xml:space="preserve"> survey instruments to explore preferences in the environmental field.  The first, </w:t>
      </w:r>
      <w:r w:rsidRPr="00292F42">
        <w:rPr>
          <w:bCs/>
          <w:i/>
          <w:noProof/>
        </w:rPr>
        <w:t>Public Willingness to Pay for a U.S. Carbon Tax and Preferences for Spending the Revenue</w:t>
      </w:r>
      <w:r>
        <w:rPr>
          <w:bCs/>
          <w:noProof/>
        </w:rPr>
        <w:t>, uses a n</w:t>
      </w:r>
      <w:r w:rsidR="00760553">
        <w:rPr>
          <w:bCs/>
          <w:noProof/>
        </w:rPr>
        <w:t>ationally r</w:t>
      </w:r>
      <w:r w:rsidR="00653B99">
        <w:rPr>
          <w:bCs/>
          <w:noProof/>
        </w:rPr>
        <w:t>epresentative survey and stated-</w:t>
      </w:r>
      <w:r w:rsidR="00760553">
        <w:rPr>
          <w:bCs/>
          <w:noProof/>
        </w:rPr>
        <w:t>preference approach to derive mean willingness to pay estimate</w:t>
      </w:r>
      <w:r w:rsidR="00E75CC9">
        <w:rPr>
          <w:bCs/>
          <w:noProof/>
        </w:rPr>
        <w:t>s</w:t>
      </w:r>
      <w:r w:rsidR="00760553">
        <w:rPr>
          <w:bCs/>
          <w:noProof/>
        </w:rPr>
        <w:t xml:space="preserve"> to reduce global warming through a carbon tax.  The survey also asked respondents how they would like the resulting revenue from such a tax</w:t>
      </w:r>
      <w:r w:rsidR="00E75CC9">
        <w:rPr>
          <w:bCs/>
          <w:noProof/>
        </w:rPr>
        <w:t xml:space="preserve"> to be distributed</w:t>
      </w:r>
      <w:r w:rsidR="00653B99">
        <w:rPr>
          <w:bCs/>
          <w:noProof/>
        </w:rPr>
        <w:t>, thereby</w:t>
      </w:r>
      <w:r w:rsidR="00760553">
        <w:rPr>
          <w:bCs/>
          <w:noProof/>
        </w:rPr>
        <w:t xml:space="preserve"> indicating </w:t>
      </w:r>
      <w:r w:rsidR="00961493">
        <w:rPr>
          <w:bCs/>
          <w:noProof/>
        </w:rPr>
        <w:t xml:space="preserve">citizen </w:t>
      </w:r>
      <w:r w:rsidR="00760553">
        <w:rPr>
          <w:bCs/>
          <w:noProof/>
        </w:rPr>
        <w:t>priorities.  The chapter</w:t>
      </w:r>
      <w:r w:rsidR="00E75CC9">
        <w:rPr>
          <w:bCs/>
          <w:noProof/>
        </w:rPr>
        <w:t xml:space="preserve"> then</w:t>
      </w:r>
      <w:r w:rsidR="00760553">
        <w:rPr>
          <w:bCs/>
          <w:noProof/>
        </w:rPr>
        <w:t xml:space="preserve"> uses willingness to pay and distributional</w:t>
      </w:r>
      <w:r w:rsidR="00E75CC9">
        <w:rPr>
          <w:bCs/>
          <w:noProof/>
        </w:rPr>
        <w:t xml:space="preserve"> preference</w:t>
      </w:r>
      <w:r w:rsidR="00760553">
        <w:rPr>
          <w:bCs/>
          <w:noProof/>
        </w:rPr>
        <w:t xml:space="preserve"> estimates</w:t>
      </w:r>
      <w:r w:rsidR="00E75CC9">
        <w:rPr>
          <w:bCs/>
          <w:noProof/>
        </w:rPr>
        <w:t>,</w:t>
      </w:r>
      <w:r w:rsidR="00760553">
        <w:rPr>
          <w:bCs/>
          <w:noProof/>
        </w:rPr>
        <w:t xml:space="preserve"> in combination with national </w:t>
      </w:r>
      <w:r w:rsidR="00E75CC9">
        <w:rPr>
          <w:bCs/>
          <w:noProof/>
        </w:rPr>
        <w:t xml:space="preserve">statistical </w:t>
      </w:r>
      <w:r w:rsidR="00760553">
        <w:rPr>
          <w:bCs/>
          <w:noProof/>
        </w:rPr>
        <w:t>data</w:t>
      </w:r>
      <w:r w:rsidR="00E75CC9">
        <w:rPr>
          <w:bCs/>
          <w:noProof/>
        </w:rPr>
        <w:t>,</w:t>
      </w:r>
      <w:r w:rsidR="00760553">
        <w:rPr>
          <w:bCs/>
          <w:noProof/>
        </w:rPr>
        <w:t xml:space="preserve"> to arrive at a measure of public support</w:t>
      </w:r>
      <w:r w:rsidR="0056744D">
        <w:rPr>
          <w:bCs/>
          <w:noProof/>
        </w:rPr>
        <w:t xml:space="preserve"> to compensate workers in the coal industry </w:t>
      </w:r>
      <w:r w:rsidR="00E75CC9">
        <w:rPr>
          <w:bCs/>
          <w:noProof/>
        </w:rPr>
        <w:t>if they are to</w:t>
      </w:r>
      <w:r w:rsidR="0056744D">
        <w:rPr>
          <w:bCs/>
          <w:noProof/>
        </w:rPr>
        <w:t xml:space="preserve"> be displaced by </w:t>
      </w:r>
      <w:r w:rsidR="00E75CC9">
        <w:rPr>
          <w:bCs/>
          <w:noProof/>
        </w:rPr>
        <w:t>such a policy</w:t>
      </w:r>
      <w:r w:rsidR="0056744D">
        <w:rPr>
          <w:bCs/>
          <w:noProof/>
        </w:rPr>
        <w:t xml:space="preserve">.  The second paper, </w:t>
      </w:r>
      <w:r w:rsidR="001219E7" w:rsidRPr="001219E7">
        <w:rPr>
          <w:bCs/>
          <w:i/>
          <w:noProof/>
        </w:rPr>
        <w:t>Green Building Satisfaction and Adaptive Behaviors: A Comparison of Permanent Occupants to Visitors</w:t>
      </w:r>
      <w:r w:rsidR="0056744D">
        <w:rPr>
          <w:bCs/>
          <w:noProof/>
        </w:rPr>
        <w:t>, u</w:t>
      </w:r>
      <w:r w:rsidR="00E75CC9">
        <w:rPr>
          <w:bCs/>
          <w:noProof/>
        </w:rPr>
        <w:t>s</w:t>
      </w:r>
      <w:r w:rsidR="0056744D">
        <w:rPr>
          <w:bCs/>
          <w:noProof/>
        </w:rPr>
        <w:t>es a satisfaction and impact-focused survey offered to the entire</w:t>
      </w:r>
      <w:r w:rsidR="0082224C">
        <w:rPr>
          <w:bCs/>
          <w:noProof/>
        </w:rPr>
        <w:t>t</w:t>
      </w:r>
      <w:r w:rsidR="0056744D">
        <w:rPr>
          <w:bCs/>
          <w:noProof/>
        </w:rPr>
        <w:t>y of the Yale School of Forestry and Environmental Studies.  It attempts to identify under what conditions a green building</w:t>
      </w:r>
      <w:r w:rsidR="00E75CC9">
        <w:rPr>
          <w:bCs/>
          <w:noProof/>
        </w:rPr>
        <w:t xml:space="preserve"> such as </w:t>
      </w:r>
      <w:r w:rsidR="00653B99">
        <w:rPr>
          <w:bCs/>
          <w:noProof/>
        </w:rPr>
        <w:t xml:space="preserve">the </w:t>
      </w:r>
      <w:r w:rsidR="00E75CC9">
        <w:rPr>
          <w:bCs/>
          <w:noProof/>
        </w:rPr>
        <w:t>LEED Platinum certified Kroon</w:t>
      </w:r>
      <w:r w:rsidR="0056744D">
        <w:rPr>
          <w:bCs/>
          <w:noProof/>
        </w:rPr>
        <w:t xml:space="preserve"> Hall improves the welfare of inhabitants relative to conventional structures.  </w:t>
      </w:r>
      <w:r w:rsidR="00F9786C">
        <w:rPr>
          <w:bCs/>
          <w:noProof/>
        </w:rPr>
        <w:t xml:space="preserve">The study compares the treatment </w:t>
      </w:r>
      <w:r w:rsidR="00E75CC9">
        <w:rPr>
          <w:bCs/>
          <w:noProof/>
        </w:rPr>
        <w:t xml:space="preserve">effect </w:t>
      </w:r>
      <w:r w:rsidR="00F9786C">
        <w:rPr>
          <w:bCs/>
          <w:noProof/>
        </w:rPr>
        <w:t xml:space="preserve">of Kroon Hall on students, who may self-select into the building, and on faculty and staff, who are </w:t>
      </w:r>
      <w:r w:rsidR="008E0E32">
        <w:rPr>
          <w:bCs/>
          <w:noProof/>
        </w:rPr>
        <w:t xml:space="preserve">usually </w:t>
      </w:r>
      <w:r w:rsidR="00F9786C">
        <w:rPr>
          <w:bCs/>
          <w:noProof/>
        </w:rPr>
        <w:t xml:space="preserve">assigned </w:t>
      </w:r>
      <w:r w:rsidR="001219E7">
        <w:rPr>
          <w:bCs/>
          <w:noProof/>
        </w:rPr>
        <w:t>without regard to</w:t>
      </w:r>
      <w:r w:rsidR="00E75CC9">
        <w:rPr>
          <w:bCs/>
          <w:noProof/>
        </w:rPr>
        <w:t xml:space="preserve"> building</w:t>
      </w:r>
      <w:r w:rsidR="00F9786C">
        <w:rPr>
          <w:bCs/>
          <w:noProof/>
        </w:rPr>
        <w:t xml:space="preserve"> preferences.  In doing so, the study</w:t>
      </w:r>
      <w:r w:rsidR="008E0E32">
        <w:rPr>
          <w:bCs/>
          <w:noProof/>
        </w:rPr>
        <w:t xml:space="preserve"> uses a difference-in-differences approach to</w:t>
      </w:r>
      <w:r w:rsidR="00961493">
        <w:rPr>
          <w:bCs/>
          <w:noProof/>
        </w:rPr>
        <w:t xml:space="preserve"> address</w:t>
      </w:r>
      <w:r w:rsidR="00F9786C">
        <w:rPr>
          <w:bCs/>
          <w:noProof/>
        </w:rPr>
        <w:t xml:space="preserve"> a discrepancy in the built environment literature</w:t>
      </w:r>
      <w:r w:rsidR="00C37289">
        <w:rPr>
          <w:bCs/>
          <w:noProof/>
        </w:rPr>
        <w:t xml:space="preserve"> </w:t>
      </w:r>
      <w:r w:rsidR="00E75CC9">
        <w:rPr>
          <w:bCs/>
          <w:noProof/>
        </w:rPr>
        <w:t>-</w:t>
      </w:r>
      <w:r w:rsidR="008E0E32">
        <w:rPr>
          <w:bCs/>
          <w:noProof/>
        </w:rPr>
        <w:t xml:space="preserve"> why</w:t>
      </w:r>
      <w:r w:rsidR="00E75CC9">
        <w:rPr>
          <w:bCs/>
          <w:noProof/>
        </w:rPr>
        <w:t xml:space="preserve"> some studies find a statistically significant green building effect while others do not.  </w:t>
      </w:r>
      <w:r w:rsidR="00961493">
        <w:rPr>
          <w:bCs/>
          <w:noProof/>
        </w:rPr>
        <w:t xml:space="preserve">The self-selecting, public spaces </w:t>
      </w:r>
      <w:r w:rsidR="001219E7">
        <w:rPr>
          <w:bCs/>
          <w:noProof/>
        </w:rPr>
        <w:t xml:space="preserve">student </w:t>
      </w:r>
      <w:r w:rsidR="00961493">
        <w:rPr>
          <w:bCs/>
          <w:noProof/>
        </w:rPr>
        <w:t>group reports a benefit with using Kroon Hall while the assigned, office using faculty and staff do not</w:t>
      </w:r>
      <w:r w:rsidR="00F9786C">
        <w:rPr>
          <w:bCs/>
          <w:noProof/>
        </w:rPr>
        <w:t>.</w:t>
      </w:r>
      <w:r w:rsidR="00DE3A9A">
        <w:rPr>
          <w:bCs/>
          <w:noProof/>
        </w:rPr>
        <w:t xml:space="preserve">  These projects obviously contribute to different </w:t>
      </w:r>
      <w:r w:rsidR="00E75CC9">
        <w:rPr>
          <w:bCs/>
          <w:noProof/>
        </w:rPr>
        <w:t>area</w:t>
      </w:r>
      <w:r w:rsidR="00DE3A9A">
        <w:rPr>
          <w:bCs/>
          <w:noProof/>
        </w:rPr>
        <w:t xml:space="preserve">s </w:t>
      </w:r>
      <w:r w:rsidR="000137F4">
        <w:rPr>
          <w:bCs/>
          <w:noProof/>
        </w:rPr>
        <w:t xml:space="preserve">of the environmental literature but share the use of survey instruments to </w:t>
      </w:r>
      <w:r w:rsidR="00653B99">
        <w:rPr>
          <w:bCs/>
          <w:noProof/>
        </w:rPr>
        <w:t>answer timely and policy relevant questions</w:t>
      </w:r>
      <w:r w:rsidR="000137F4">
        <w:rPr>
          <w:bCs/>
          <w:noProof/>
        </w:rPr>
        <w:t>.</w:t>
      </w:r>
    </w:p>
    <w:p w14:paraId="22D8475A" w14:textId="77777777" w:rsidR="00062C92" w:rsidRDefault="00062C92" w:rsidP="00062C92">
      <w:pPr>
        <w:spacing w:line="360" w:lineRule="auto"/>
      </w:pPr>
    </w:p>
    <w:p w14:paraId="5E35FA92" w14:textId="77777777" w:rsidR="00062C92" w:rsidRDefault="00062C92" w:rsidP="00062C92">
      <w:pPr>
        <w:spacing w:line="240" w:lineRule="auto"/>
      </w:pPr>
    </w:p>
    <w:sdt>
      <w:sdtPr>
        <w:rPr>
          <w:rFonts w:ascii="Times New Roman" w:eastAsiaTheme="minorHAnsi" w:hAnsi="Times New Roman" w:cs="Times New Roman"/>
          <w:color w:val="auto"/>
          <w:sz w:val="22"/>
          <w:szCs w:val="22"/>
        </w:rPr>
        <w:id w:val="178312495"/>
        <w:docPartObj>
          <w:docPartGallery w:val="Table of Contents"/>
          <w:docPartUnique/>
        </w:docPartObj>
      </w:sdtPr>
      <w:sdtEndPr>
        <w:rPr>
          <w:bCs/>
          <w:noProof/>
        </w:rPr>
      </w:sdtEndPr>
      <w:sdtContent>
        <w:p w14:paraId="57DA99B1" w14:textId="77777777" w:rsidR="00062C92" w:rsidRPr="00062C92" w:rsidRDefault="00062C92">
          <w:pPr>
            <w:pStyle w:val="TOCHeading"/>
            <w:rPr>
              <w:rFonts w:ascii="Times New Roman" w:hAnsi="Times New Roman" w:cs="Times New Roman"/>
              <w:b/>
              <w:color w:val="auto"/>
              <w:sz w:val="24"/>
              <w:szCs w:val="22"/>
            </w:rPr>
          </w:pPr>
          <w:r>
            <w:rPr>
              <w:rFonts w:ascii="Times New Roman" w:hAnsi="Times New Roman" w:cs="Times New Roman"/>
              <w:b/>
              <w:color w:val="auto"/>
              <w:sz w:val="24"/>
              <w:szCs w:val="22"/>
            </w:rPr>
            <w:t>Content</w:t>
          </w:r>
        </w:p>
        <w:p w14:paraId="7846EF4B" w14:textId="6540C304" w:rsidR="00363AD8" w:rsidRPr="00F32DAE" w:rsidRDefault="00363AD8" w:rsidP="00F76B72">
          <w:pPr>
            <w:rPr>
              <w:noProof/>
            </w:rPr>
          </w:pPr>
          <w:r>
            <w:t>Chapter 1:</w:t>
          </w:r>
          <w:r w:rsidR="00A32629">
            <w:t xml:space="preserve"> </w:t>
          </w:r>
          <w:r w:rsidR="00A32629" w:rsidRPr="00A32629">
            <w:t>Public Willingness to Pay for a U.S. Carbon Tax and Preferences for Spending the Revenue</w:t>
          </w:r>
          <w:r w:rsidR="00CF5187">
            <w:fldChar w:fldCharType="begin"/>
          </w:r>
          <w:r w:rsidR="00CF5187">
            <w:instrText xml:space="preserve"> TOC \o "1-3" \h \z \u </w:instrText>
          </w:r>
          <w:r w:rsidR="00CF5187">
            <w:fldChar w:fldCharType="end"/>
          </w:r>
          <w:r>
            <w:rPr>
              <w:bCs/>
              <w:noProof/>
            </w:rPr>
            <w:t>..</w:t>
          </w:r>
          <w:r w:rsidR="00F76B72">
            <w:rPr>
              <w:bCs/>
              <w:noProof/>
            </w:rPr>
            <w:t xml:space="preserve"> …………………………………</w:t>
          </w:r>
          <w:r w:rsidR="00F43691">
            <w:rPr>
              <w:bCs/>
              <w:noProof/>
            </w:rPr>
            <w:t>……………………………………………………………………….3-26</w:t>
          </w:r>
        </w:p>
        <w:p w14:paraId="545701D6" w14:textId="662DBA69" w:rsidR="00A26CE8" w:rsidRPr="00F76B72" w:rsidRDefault="00363AD8" w:rsidP="00F76B72">
          <w:pPr>
            <w:rPr>
              <w:bCs/>
              <w:noProof/>
            </w:rPr>
          </w:pPr>
          <w:r>
            <w:rPr>
              <w:bCs/>
              <w:noProof/>
            </w:rPr>
            <w:t>Chapter 2:</w:t>
          </w:r>
          <w:r w:rsidR="00F76B72">
            <w:rPr>
              <w:bCs/>
              <w:noProof/>
            </w:rPr>
            <w:t xml:space="preserve"> </w:t>
          </w:r>
          <w:r w:rsidR="00FA43D9">
            <w:rPr>
              <w:bCs/>
              <w:noProof/>
            </w:rPr>
            <w:t>Green Building Satisfaction and Adaptive Behavior</w:t>
          </w:r>
          <w:r w:rsidR="00F43691">
            <w:rPr>
              <w:bCs/>
              <w:noProof/>
            </w:rPr>
            <w:t>s</w:t>
          </w:r>
          <w:r w:rsidR="00FA43D9">
            <w:rPr>
              <w:bCs/>
              <w:noProof/>
            </w:rPr>
            <w:t>: A Comparison of Permanent Occupants to Visitors…….</w:t>
          </w:r>
          <w:r w:rsidR="00F76B72">
            <w:rPr>
              <w:bCs/>
              <w:noProof/>
            </w:rPr>
            <w:t>…………</w:t>
          </w:r>
          <w:r w:rsidR="00F43691">
            <w:rPr>
              <w:bCs/>
              <w:noProof/>
            </w:rPr>
            <w:t>…………………………………………………………………………….27</w:t>
          </w:r>
          <w:r w:rsidR="0052049A">
            <w:rPr>
              <w:bCs/>
              <w:noProof/>
            </w:rPr>
            <w:t>-</w:t>
          </w:r>
          <w:r w:rsidR="008D0378">
            <w:rPr>
              <w:bCs/>
              <w:noProof/>
            </w:rPr>
            <w:t>48</w:t>
          </w:r>
        </w:p>
      </w:sdtContent>
    </w:sdt>
    <w:p w14:paraId="28EE56AB" w14:textId="32F1980E" w:rsidR="00F76B72" w:rsidRDefault="00F76B72" w:rsidP="00FA43D9">
      <w:pPr>
        <w:rPr>
          <w:rFonts w:eastAsiaTheme="majorEastAsia" w:cstheme="majorBidi"/>
          <w:b/>
          <w:sz w:val="32"/>
          <w:szCs w:val="32"/>
        </w:rPr>
      </w:pPr>
      <w:r>
        <w:rPr>
          <w:sz w:val="32"/>
        </w:rPr>
        <w:br w:type="page"/>
      </w:r>
    </w:p>
    <w:p w14:paraId="5A7FB57C" w14:textId="77777777" w:rsidR="00F76B72" w:rsidRDefault="00F76B72" w:rsidP="00F76B72">
      <w:pPr>
        <w:spacing w:line="240" w:lineRule="auto"/>
        <w:jc w:val="center"/>
      </w:pPr>
      <w:r w:rsidRPr="00F76875">
        <w:lastRenderedPageBreak/>
        <w:t>T</w:t>
      </w:r>
      <w:r w:rsidR="00A32629">
        <w:t>hesis</w:t>
      </w:r>
      <w:r>
        <w:t xml:space="preserve"> (Chapter 1/2)</w:t>
      </w:r>
    </w:p>
    <w:p w14:paraId="70624E4E" w14:textId="77777777" w:rsidR="00F76B72" w:rsidRDefault="00F76B72" w:rsidP="00F76B72">
      <w:pPr>
        <w:spacing w:line="480" w:lineRule="auto"/>
        <w:jc w:val="center"/>
      </w:pPr>
    </w:p>
    <w:p w14:paraId="0662F4A2" w14:textId="77777777" w:rsidR="00F76B72" w:rsidRDefault="00F76B72" w:rsidP="00F76B72">
      <w:pPr>
        <w:spacing w:line="480" w:lineRule="auto"/>
        <w:jc w:val="center"/>
      </w:pPr>
    </w:p>
    <w:p w14:paraId="1D4FACB7" w14:textId="77777777" w:rsidR="00F76B72" w:rsidRDefault="00F76B72" w:rsidP="00F76B72">
      <w:pPr>
        <w:spacing w:line="480" w:lineRule="auto"/>
        <w:jc w:val="center"/>
      </w:pPr>
      <w:r>
        <w:t xml:space="preserve">PUBLIC WILLINGNESS TO PAY FOR A U.S. CARBON TAX </w:t>
      </w:r>
    </w:p>
    <w:p w14:paraId="14A1B55C" w14:textId="77777777" w:rsidR="00F76B72" w:rsidRPr="00F76875" w:rsidRDefault="00F76B72" w:rsidP="00F76B72">
      <w:pPr>
        <w:spacing w:line="480" w:lineRule="auto"/>
        <w:jc w:val="center"/>
      </w:pPr>
      <w:r>
        <w:t>AND PREFERENCES FOR SPENDING THE REVENUE</w:t>
      </w:r>
    </w:p>
    <w:p w14:paraId="1AB74BD6" w14:textId="77777777" w:rsidR="00F76B72" w:rsidRDefault="00F76B72" w:rsidP="00F76B72">
      <w:pPr>
        <w:spacing w:line="480" w:lineRule="auto"/>
        <w:jc w:val="center"/>
      </w:pPr>
    </w:p>
    <w:p w14:paraId="04E51A2D" w14:textId="77777777" w:rsidR="00F76B72" w:rsidRDefault="00F76B72" w:rsidP="00F76B72">
      <w:pPr>
        <w:spacing w:line="480" w:lineRule="auto"/>
        <w:jc w:val="center"/>
      </w:pPr>
    </w:p>
    <w:p w14:paraId="6429E41F" w14:textId="77777777" w:rsidR="00F76B72" w:rsidRDefault="00F76B72" w:rsidP="00F76B72">
      <w:pPr>
        <w:spacing w:line="480" w:lineRule="auto"/>
        <w:jc w:val="center"/>
      </w:pPr>
    </w:p>
    <w:p w14:paraId="362166CF" w14:textId="77777777" w:rsidR="00F76B72" w:rsidRDefault="00F76B72" w:rsidP="00F76B72">
      <w:pPr>
        <w:spacing w:line="480" w:lineRule="auto"/>
        <w:jc w:val="center"/>
      </w:pPr>
    </w:p>
    <w:p w14:paraId="3A71DC1B" w14:textId="77777777" w:rsidR="00F76B72" w:rsidRDefault="00F76B72" w:rsidP="00F76B72">
      <w:pPr>
        <w:spacing w:line="480" w:lineRule="auto"/>
        <w:jc w:val="center"/>
      </w:pPr>
    </w:p>
    <w:p w14:paraId="3D15C788" w14:textId="77777777" w:rsidR="00F76B72" w:rsidRDefault="00F76B72" w:rsidP="00F76B72">
      <w:pPr>
        <w:spacing w:line="480" w:lineRule="auto"/>
        <w:jc w:val="center"/>
      </w:pPr>
    </w:p>
    <w:p w14:paraId="07949070" w14:textId="77777777" w:rsidR="00F76B72" w:rsidRDefault="00F76B72" w:rsidP="00F76B72">
      <w:pPr>
        <w:spacing w:line="480" w:lineRule="auto"/>
        <w:jc w:val="center"/>
      </w:pPr>
    </w:p>
    <w:p w14:paraId="6975DEF8" w14:textId="77777777" w:rsidR="00F76B72" w:rsidRDefault="00F76B72" w:rsidP="00F76B72">
      <w:pPr>
        <w:spacing w:line="480" w:lineRule="auto"/>
        <w:jc w:val="center"/>
      </w:pPr>
    </w:p>
    <w:p w14:paraId="69F7B877" w14:textId="77777777" w:rsidR="00F76B72" w:rsidRDefault="00F76B72" w:rsidP="00F76B72">
      <w:pPr>
        <w:spacing w:line="480" w:lineRule="auto"/>
        <w:jc w:val="center"/>
      </w:pPr>
    </w:p>
    <w:p w14:paraId="5F6CAE68" w14:textId="77777777" w:rsidR="00F76B72" w:rsidRDefault="00F76B72" w:rsidP="00F76B72">
      <w:pPr>
        <w:spacing w:line="480" w:lineRule="auto"/>
        <w:jc w:val="center"/>
      </w:pPr>
    </w:p>
    <w:p w14:paraId="676BAB50" w14:textId="77777777" w:rsidR="00F76B72" w:rsidRDefault="00F76B72" w:rsidP="00F76B72">
      <w:pPr>
        <w:sectPr w:rsidR="00F76B72" w:rsidSect="00F76B72">
          <w:footerReference w:type="default" r:id="rId9"/>
          <w:type w:val="continuous"/>
          <w:pgSz w:w="12240" w:h="15840"/>
          <w:pgMar w:top="1440" w:right="1440" w:bottom="1440" w:left="1440" w:header="720" w:footer="720" w:gutter="0"/>
          <w:pgNumType w:start="0"/>
          <w:cols w:space="720"/>
          <w:docGrid w:linePitch="360"/>
        </w:sectPr>
      </w:pPr>
    </w:p>
    <w:p w14:paraId="28980C9B" w14:textId="77777777" w:rsidR="00F76B72" w:rsidRPr="00062C92" w:rsidRDefault="00F76B72" w:rsidP="0052424D">
      <w:pPr>
        <w:spacing w:line="360" w:lineRule="auto"/>
        <w:jc w:val="center"/>
      </w:pPr>
      <w:r>
        <w:br w:type="page"/>
      </w:r>
      <w:r>
        <w:lastRenderedPageBreak/>
        <w:t>Abstract</w:t>
      </w:r>
    </w:p>
    <w:p w14:paraId="65607F1D" w14:textId="17FD9AD3" w:rsidR="00F76B72" w:rsidRDefault="00F76B72" w:rsidP="00F76B72">
      <w:pPr>
        <w:spacing w:line="360" w:lineRule="auto"/>
      </w:pPr>
      <w:r w:rsidRPr="00A26CE8">
        <w:t xml:space="preserve">With recent bipartisan interest in carbon taxes to reduce global warming, </w:t>
      </w:r>
      <w:r w:rsidR="007F5EDA">
        <w:t xml:space="preserve">we </w:t>
      </w:r>
      <w:r w:rsidRPr="00A26CE8">
        <w:t>query the preferences of American households using a nationally representative sample.</w:t>
      </w:r>
      <w:r w:rsidR="0056795C">
        <w:t xml:space="preserve"> </w:t>
      </w:r>
      <w:r w:rsidRPr="00A26CE8">
        <w:t xml:space="preserve"> </w:t>
      </w:r>
      <w:r w:rsidR="0056795C">
        <w:t>W</w:t>
      </w:r>
      <w:r w:rsidRPr="00A26CE8">
        <w:t xml:space="preserve">illingness to pay (WTP) in the U.S. to reduce global warming through a tax on fossil fuels that increases household energy bills </w:t>
      </w:r>
      <w:r w:rsidR="0056795C">
        <w:t>is estimated at</w:t>
      </w:r>
      <w:r w:rsidRPr="00A26CE8">
        <w:t xml:space="preserve"> $</w:t>
      </w:r>
      <w:r>
        <w:t>177</w:t>
      </w:r>
      <w:r w:rsidR="0056795C">
        <w:t>,</w:t>
      </w:r>
      <w:r>
        <w:t xml:space="preserve"> or</w:t>
      </w:r>
      <w:r w:rsidR="0056795C">
        <w:t xml:space="preserve"> a</w:t>
      </w:r>
      <w:r>
        <w:t xml:space="preserve"> 15-percent</w:t>
      </w:r>
      <w:r w:rsidR="0056795C">
        <w:t xml:space="preserve"> energy bill increase</w:t>
      </w:r>
      <w:r>
        <w:t xml:space="preserve"> on average</w:t>
      </w:r>
      <w:r w:rsidRPr="00A26CE8">
        <w:t>.  Particularly timely, households</w:t>
      </w:r>
      <w:r w:rsidR="0056795C">
        <w:t xml:space="preserve"> are asked</w:t>
      </w:r>
      <w:r w:rsidRPr="00A26CE8">
        <w:t xml:space="preserve"> to identify how they prefer </w:t>
      </w:r>
      <w:r w:rsidR="0056795C">
        <w:t>any</w:t>
      </w:r>
      <w:r w:rsidRPr="00A26CE8">
        <w:t xml:space="preserve"> resulting revenues be spent</w:t>
      </w:r>
      <w:r w:rsidR="00C37289">
        <w:t xml:space="preserve">. The results indicate </w:t>
      </w:r>
      <w:r w:rsidRPr="00A26CE8">
        <w:t xml:space="preserve">substantial </w:t>
      </w:r>
      <w:r w:rsidR="00C37289">
        <w:t xml:space="preserve">public </w:t>
      </w:r>
      <w:r w:rsidRPr="00A26CE8">
        <w:t>support to aid displaced coal workers, fund clean energy development, and improve the nation’s infrastructure.  Based on the public’</w:t>
      </w:r>
      <w:r w:rsidR="0056795C">
        <w:t>s preferred allocation,</w:t>
      </w:r>
      <w:r w:rsidR="007F5EDA">
        <w:t xml:space="preserve"> we estimate</w:t>
      </w:r>
      <w:r w:rsidR="0056795C">
        <w:t xml:space="preserve"> </w:t>
      </w:r>
      <w:r w:rsidRPr="00A26CE8">
        <w:t xml:space="preserve">aggregate support of $3.47 billion for clean energy development, $3.0 billion for infrastructure, and $2.1 billion to aid displaced coal workers </w:t>
      </w:r>
      <w:r w:rsidRPr="00A26CE8">
        <w:rPr>
          <w:i/>
        </w:rPr>
        <w:t>per year</w:t>
      </w:r>
      <w:r w:rsidRPr="00A26CE8">
        <w:t>.  The latter is more than sufficient to replace the wages of every extraction worker, even if the entire coal industry were to be phased out.</w:t>
      </w:r>
    </w:p>
    <w:p w14:paraId="41F96E8D" w14:textId="77777777" w:rsidR="00F76B72" w:rsidRDefault="00F76B72" w:rsidP="00F76B72">
      <w:pPr>
        <w:spacing w:line="240" w:lineRule="auto"/>
      </w:pPr>
    </w:p>
    <w:sdt>
      <w:sdtPr>
        <w:rPr>
          <w:rFonts w:ascii="Times New Roman" w:eastAsiaTheme="minorHAnsi" w:hAnsi="Times New Roman" w:cs="Times New Roman"/>
          <w:color w:val="auto"/>
          <w:sz w:val="22"/>
          <w:szCs w:val="22"/>
        </w:rPr>
        <w:id w:val="-806541625"/>
        <w:docPartObj>
          <w:docPartGallery w:val="Table of Contents"/>
          <w:docPartUnique/>
        </w:docPartObj>
      </w:sdtPr>
      <w:sdtEndPr>
        <w:rPr>
          <w:b/>
          <w:bCs/>
          <w:noProof/>
        </w:rPr>
      </w:sdtEndPr>
      <w:sdtContent>
        <w:p w14:paraId="1912EA19" w14:textId="77777777" w:rsidR="00F76B72" w:rsidRPr="00062C92" w:rsidRDefault="00F76B72" w:rsidP="00F76B72">
          <w:pPr>
            <w:pStyle w:val="TOCHeading"/>
            <w:rPr>
              <w:rFonts w:ascii="Times New Roman" w:hAnsi="Times New Roman" w:cs="Times New Roman"/>
              <w:b/>
              <w:color w:val="auto"/>
              <w:sz w:val="24"/>
              <w:szCs w:val="22"/>
            </w:rPr>
          </w:pPr>
          <w:r>
            <w:rPr>
              <w:rFonts w:ascii="Times New Roman" w:hAnsi="Times New Roman" w:cs="Times New Roman"/>
              <w:b/>
              <w:color w:val="auto"/>
              <w:sz w:val="24"/>
              <w:szCs w:val="22"/>
            </w:rPr>
            <w:t>Chapter content</w:t>
          </w:r>
        </w:p>
        <w:p w14:paraId="16C5C404" w14:textId="58EC84E2" w:rsidR="006B32C4" w:rsidRDefault="00F76B72">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2127028" w:history="1">
            <w:r w:rsidR="006B32C4" w:rsidRPr="008159C2">
              <w:rPr>
                <w:rStyle w:val="Hyperlink"/>
                <w:noProof/>
              </w:rPr>
              <w:t>Introduction</w:t>
            </w:r>
            <w:r w:rsidR="006B32C4">
              <w:rPr>
                <w:noProof/>
                <w:webHidden/>
              </w:rPr>
              <w:tab/>
              <w:t>5</w:t>
            </w:r>
          </w:hyperlink>
        </w:p>
        <w:p w14:paraId="3BFD8BA5" w14:textId="21236EDF" w:rsidR="006B32C4" w:rsidRDefault="001219E7">
          <w:pPr>
            <w:pStyle w:val="TOC1"/>
            <w:tabs>
              <w:tab w:val="right" w:leader="dot" w:pos="9350"/>
            </w:tabs>
            <w:rPr>
              <w:rFonts w:asciiTheme="minorHAnsi" w:eastAsiaTheme="minorEastAsia" w:hAnsiTheme="minorHAnsi" w:cstheme="minorBidi"/>
              <w:noProof/>
            </w:rPr>
          </w:pPr>
          <w:hyperlink w:anchor="_Toc482127029" w:history="1">
            <w:r w:rsidR="006B32C4" w:rsidRPr="008159C2">
              <w:rPr>
                <w:rStyle w:val="Hyperlink"/>
                <w:noProof/>
              </w:rPr>
              <w:t>Methodology</w:t>
            </w:r>
            <w:r w:rsidR="006B32C4">
              <w:rPr>
                <w:noProof/>
                <w:webHidden/>
              </w:rPr>
              <w:tab/>
              <w:t>6</w:t>
            </w:r>
          </w:hyperlink>
        </w:p>
        <w:p w14:paraId="08E309A5" w14:textId="38A7DA8C" w:rsidR="006B32C4" w:rsidRDefault="001219E7">
          <w:pPr>
            <w:pStyle w:val="TOC1"/>
            <w:tabs>
              <w:tab w:val="right" w:leader="dot" w:pos="9350"/>
            </w:tabs>
            <w:rPr>
              <w:rFonts w:asciiTheme="minorHAnsi" w:eastAsiaTheme="minorEastAsia" w:hAnsiTheme="minorHAnsi" w:cstheme="minorBidi"/>
              <w:noProof/>
            </w:rPr>
          </w:pPr>
          <w:hyperlink w:anchor="_Toc482127030" w:history="1">
            <w:r w:rsidR="006B32C4" w:rsidRPr="008159C2">
              <w:rPr>
                <w:rStyle w:val="Hyperlink"/>
                <w:noProof/>
              </w:rPr>
              <w:t>Results</w:t>
            </w:r>
            <w:r w:rsidR="006B32C4">
              <w:rPr>
                <w:noProof/>
                <w:webHidden/>
              </w:rPr>
              <w:tab/>
              <w:t>9</w:t>
            </w:r>
          </w:hyperlink>
        </w:p>
        <w:p w14:paraId="08F5A41C" w14:textId="22CB85E9" w:rsidR="006B32C4" w:rsidRDefault="001219E7">
          <w:pPr>
            <w:pStyle w:val="TOC1"/>
            <w:tabs>
              <w:tab w:val="right" w:leader="dot" w:pos="9350"/>
            </w:tabs>
            <w:rPr>
              <w:rFonts w:asciiTheme="minorHAnsi" w:eastAsiaTheme="minorEastAsia" w:hAnsiTheme="minorHAnsi" w:cstheme="minorBidi"/>
              <w:noProof/>
            </w:rPr>
          </w:pPr>
          <w:hyperlink w:anchor="_Toc482127031" w:history="1">
            <w:r w:rsidR="006B32C4" w:rsidRPr="008159C2">
              <w:rPr>
                <w:rStyle w:val="Hyperlink"/>
                <w:noProof/>
              </w:rPr>
              <w:t>Disaggregating WTP measures</w:t>
            </w:r>
            <w:r w:rsidR="006B32C4">
              <w:rPr>
                <w:noProof/>
                <w:webHidden/>
              </w:rPr>
              <w:tab/>
            </w:r>
            <w:r w:rsidR="006B32C4">
              <w:rPr>
                <w:noProof/>
                <w:webHidden/>
              </w:rPr>
              <w:fldChar w:fldCharType="begin"/>
            </w:r>
            <w:r w:rsidR="006B32C4">
              <w:rPr>
                <w:noProof/>
                <w:webHidden/>
              </w:rPr>
              <w:instrText xml:space="preserve"> PAGEREF _Toc482127031 \h </w:instrText>
            </w:r>
            <w:r w:rsidR="006B32C4">
              <w:rPr>
                <w:noProof/>
                <w:webHidden/>
              </w:rPr>
            </w:r>
            <w:r w:rsidR="006B32C4">
              <w:rPr>
                <w:noProof/>
                <w:webHidden/>
              </w:rPr>
              <w:fldChar w:fldCharType="separate"/>
            </w:r>
            <w:r w:rsidR="00B750E8">
              <w:rPr>
                <w:noProof/>
                <w:webHidden/>
              </w:rPr>
              <w:t>16</w:t>
            </w:r>
            <w:r w:rsidR="006B32C4">
              <w:rPr>
                <w:noProof/>
                <w:webHidden/>
              </w:rPr>
              <w:fldChar w:fldCharType="end"/>
            </w:r>
          </w:hyperlink>
        </w:p>
        <w:p w14:paraId="52A57D3E" w14:textId="658D539A" w:rsidR="006B32C4" w:rsidRDefault="001219E7">
          <w:pPr>
            <w:pStyle w:val="TOC1"/>
            <w:tabs>
              <w:tab w:val="right" w:leader="dot" w:pos="9350"/>
            </w:tabs>
            <w:rPr>
              <w:rFonts w:asciiTheme="minorHAnsi" w:eastAsiaTheme="minorEastAsia" w:hAnsiTheme="minorHAnsi" w:cstheme="minorBidi"/>
              <w:noProof/>
            </w:rPr>
          </w:pPr>
          <w:hyperlink w:anchor="_Toc482127032" w:history="1">
            <w:r w:rsidR="006B32C4" w:rsidRPr="008159C2">
              <w:rPr>
                <w:rStyle w:val="Hyperlink"/>
                <w:noProof/>
              </w:rPr>
              <w:t>Conclusion</w:t>
            </w:r>
            <w:r w:rsidR="006B32C4">
              <w:rPr>
                <w:noProof/>
                <w:webHidden/>
              </w:rPr>
              <w:tab/>
            </w:r>
            <w:r w:rsidR="006B32C4">
              <w:rPr>
                <w:noProof/>
                <w:webHidden/>
              </w:rPr>
              <w:fldChar w:fldCharType="begin"/>
            </w:r>
            <w:r w:rsidR="006B32C4">
              <w:rPr>
                <w:noProof/>
                <w:webHidden/>
              </w:rPr>
              <w:instrText xml:space="preserve"> PAGEREF _Toc482127032 \h </w:instrText>
            </w:r>
            <w:r w:rsidR="006B32C4">
              <w:rPr>
                <w:noProof/>
                <w:webHidden/>
              </w:rPr>
            </w:r>
            <w:r w:rsidR="006B32C4">
              <w:rPr>
                <w:noProof/>
                <w:webHidden/>
              </w:rPr>
              <w:fldChar w:fldCharType="separate"/>
            </w:r>
            <w:r w:rsidR="00B750E8">
              <w:rPr>
                <w:noProof/>
                <w:webHidden/>
              </w:rPr>
              <w:t>18</w:t>
            </w:r>
            <w:r w:rsidR="006B32C4">
              <w:rPr>
                <w:noProof/>
                <w:webHidden/>
              </w:rPr>
              <w:fldChar w:fldCharType="end"/>
            </w:r>
          </w:hyperlink>
        </w:p>
        <w:p w14:paraId="31C2A0C5" w14:textId="4E15D87F" w:rsidR="006B32C4" w:rsidRDefault="001219E7">
          <w:pPr>
            <w:pStyle w:val="TOC1"/>
            <w:tabs>
              <w:tab w:val="right" w:leader="dot" w:pos="9350"/>
            </w:tabs>
            <w:rPr>
              <w:rFonts w:asciiTheme="minorHAnsi" w:eastAsiaTheme="minorEastAsia" w:hAnsiTheme="minorHAnsi" w:cstheme="minorBidi"/>
              <w:noProof/>
            </w:rPr>
          </w:pPr>
          <w:hyperlink w:anchor="_Toc482127033" w:history="1">
            <w:r w:rsidR="006B32C4" w:rsidRPr="008159C2">
              <w:rPr>
                <w:rStyle w:val="Hyperlink"/>
                <w:noProof/>
              </w:rPr>
              <w:t>References</w:t>
            </w:r>
            <w:r w:rsidR="006B32C4">
              <w:rPr>
                <w:noProof/>
                <w:webHidden/>
              </w:rPr>
              <w:tab/>
            </w:r>
            <w:r w:rsidR="006B32C4">
              <w:rPr>
                <w:noProof/>
                <w:webHidden/>
              </w:rPr>
              <w:fldChar w:fldCharType="begin"/>
            </w:r>
            <w:r w:rsidR="006B32C4">
              <w:rPr>
                <w:noProof/>
                <w:webHidden/>
              </w:rPr>
              <w:instrText xml:space="preserve"> PAGEREF _Toc482127033 \h </w:instrText>
            </w:r>
            <w:r w:rsidR="006B32C4">
              <w:rPr>
                <w:noProof/>
                <w:webHidden/>
              </w:rPr>
            </w:r>
            <w:r w:rsidR="006B32C4">
              <w:rPr>
                <w:noProof/>
                <w:webHidden/>
              </w:rPr>
              <w:fldChar w:fldCharType="separate"/>
            </w:r>
            <w:r w:rsidR="00B750E8">
              <w:rPr>
                <w:noProof/>
                <w:webHidden/>
              </w:rPr>
              <w:t>19</w:t>
            </w:r>
            <w:r w:rsidR="006B32C4">
              <w:rPr>
                <w:noProof/>
                <w:webHidden/>
              </w:rPr>
              <w:fldChar w:fldCharType="end"/>
            </w:r>
          </w:hyperlink>
        </w:p>
        <w:p w14:paraId="129E78F7" w14:textId="096835DA" w:rsidR="006B32C4" w:rsidRDefault="001219E7">
          <w:pPr>
            <w:pStyle w:val="TOC1"/>
            <w:tabs>
              <w:tab w:val="right" w:leader="dot" w:pos="9350"/>
            </w:tabs>
            <w:rPr>
              <w:rFonts w:asciiTheme="minorHAnsi" w:eastAsiaTheme="minorEastAsia" w:hAnsiTheme="minorHAnsi" w:cstheme="minorBidi"/>
              <w:noProof/>
            </w:rPr>
          </w:pPr>
          <w:hyperlink w:anchor="_Toc482127034" w:history="1">
            <w:r w:rsidR="006B32C4" w:rsidRPr="008159C2">
              <w:rPr>
                <w:rStyle w:val="Hyperlink"/>
                <w:noProof/>
              </w:rPr>
              <w:t>Appendix A: Coefficient estimates from multinomial regressions</w:t>
            </w:r>
            <w:r w:rsidR="006B32C4">
              <w:rPr>
                <w:noProof/>
                <w:webHidden/>
              </w:rPr>
              <w:tab/>
            </w:r>
            <w:r w:rsidR="00F43691">
              <w:rPr>
                <w:noProof/>
                <w:webHidden/>
              </w:rPr>
              <w:t>20</w:t>
            </w:r>
          </w:hyperlink>
        </w:p>
        <w:p w14:paraId="64935593" w14:textId="16A04F1D" w:rsidR="006B32C4" w:rsidRDefault="001219E7">
          <w:pPr>
            <w:pStyle w:val="TOC1"/>
            <w:tabs>
              <w:tab w:val="right" w:leader="dot" w:pos="9350"/>
            </w:tabs>
            <w:rPr>
              <w:rFonts w:asciiTheme="minorHAnsi" w:eastAsiaTheme="minorEastAsia" w:hAnsiTheme="minorHAnsi" w:cstheme="minorBidi"/>
              <w:noProof/>
            </w:rPr>
          </w:pPr>
          <w:hyperlink w:anchor="_Toc482127035" w:history="1">
            <w:r w:rsidR="006B32C4" w:rsidRPr="008159C2">
              <w:rPr>
                <w:rStyle w:val="Hyperlink"/>
                <w:noProof/>
              </w:rPr>
              <w:t>Appendix B: Multinomial logit regression on policy preferences</w:t>
            </w:r>
            <w:r w:rsidR="006B32C4">
              <w:rPr>
                <w:noProof/>
                <w:webHidden/>
              </w:rPr>
              <w:tab/>
            </w:r>
            <w:r w:rsidR="00F43691">
              <w:rPr>
                <w:noProof/>
                <w:webHidden/>
              </w:rPr>
              <w:t>22</w:t>
            </w:r>
          </w:hyperlink>
        </w:p>
        <w:p w14:paraId="0346CAF0" w14:textId="4C12F7BB" w:rsidR="006B32C4" w:rsidRDefault="001219E7">
          <w:pPr>
            <w:pStyle w:val="TOC1"/>
            <w:tabs>
              <w:tab w:val="right" w:leader="dot" w:pos="9350"/>
            </w:tabs>
            <w:rPr>
              <w:rFonts w:asciiTheme="minorHAnsi" w:eastAsiaTheme="minorEastAsia" w:hAnsiTheme="minorHAnsi" w:cstheme="minorBidi"/>
              <w:noProof/>
            </w:rPr>
          </w:pPr>
          <w:hyperlink w:anchor="_Toc482127036" w:history="1">
            <w:r w:rsidR="006B32C4" w:rsidRPr="008159C2">
              <w:rPr>
                <w:rStyle w:val="Hyperlink"/>
                <w:noProof/>
              </w:rPr>
              <w:t>Appendix C: Respondent preferences expanded table</w:t>
            </w:r>
            <w:r w:rsidR="006B32C4">
              <w:rPr>
                <w:noProof/>
                <w:webHidden/>
              </w:rPr>
              <w:tab/>
            </w:r>
            <w:r w:rsidR="006B32C4">
              <w:rPr>
                <w:noProof/>
                <w:webHidden/>
              </w:rPr>
              <w:fldChar w:fldCharType="begin"/>
            </w:r>
            <w:r w:rsidR="006B32C4">
              <w:rPr>
                <w:noProof/>
                <w:webHidden/>
              </w:rPr>
              <w:instrText xml:space="preserve"> PAGEREF _Toc482127036 \h </w:instrText>
            </w:r>
            <w:r w:rsidR="006B32C4">
              <w:rPr>
                <w:noProof/>
                <w:webHidden/>
              </w:rPr>
            </w:r>
            <w:r w:rsidR="006B32C4">
              <w:rPr>
                <w:noProof/>
                <w:webHidden/>
              </w:rPr>
              <w:fldChar w:fldCharType="separate"/>
            </w:r>
            <w:r w:rsidR="00B750E8">
              <w:rPr>
                <w:noProof/>
                <w:webHidden/>
              </w:rPr>
              <w:t>24</w:t>
            </w:r>
            <w:r w:rsidR="006B32C4">
              <w:rPr>
                <w:noProof/>
                <w:webHidden/>
              </w:rPr>
              <w:fldChar w:fldCharType="end"/>
            </w:r>
          </w:hyperlink>
        </w:p>
        <w:p w14:paraId="7AB3DC32" w14:textId="0C2EC8B2" w:rsidR="00F76B72" w:rsidRPr="00F32DAE" w:rsidRDefault="001219E7" w:rsidP="00F32DAE">
          <w:pPr>
            <w:pStyle w:val="TOC1"/>
            <w:tabs>
              <w:tab w:val="right" w:leader="dot" w:pos="9350"/>
            </w:tabs>
            <w:rPr>
              <w:rFonts w:asciiTheme="minorHAnsi" w:eastAsiaTheme="minorEastAsia" w:hAnsiTheme="minorHAnsi" w:cstheme="minorBidi"/>
              <w:noProof/>
            </w:rPr>
          </w:pPr>
          <w:hyperlink w:anchor="_Toc482127037" w:history="1">
            <w:r w:rsidR="006B32C4" w:rsidRPr="008159C2">
              <w:rPr>
                <w:rStyle w:val="Hyperlink"/>
                <w:noProof/>
              </w:rPr>
              <w:t>Appendix D: State-level average household energy bill data</w:t>
            </w:r>
            <w:r w:rsidR="006B32C4">
              <w:rPr>
                <w:noProof/>
                <w:webHidden/>
              </w:rPr>
              <w:tab/>
            </w:r>
            <w:r w:rsidR="006B32C4">
              <w:rPr>
                <w:noProof/>
                <w:webHidden/>
              </w:rPr>
              <w:fldChar w:fldCharType="begin"/>
            </w:r>
            <w:r w:rsidR="006B32C4">
              <w:rPr>
                <w:noProof/>
                <w:webHidden/>
              </w:rPr>
              <w:instrText xml:space="preserve"> PAGEREF _Toc482127037 \h </w:instrText>
            </w:r>
            <w:r w:rsidR="006B32C4">
              <w:rPr>
                <w:noProof/>
                <w:webHidden/>
              </w:rPr>
            </w:r>
            <w:r w:rsidR="006B32C4">
              <w:rPr>
                <w:noProof/>
                <w:webHidden/>
              </w:rPr>
              <w:fldChar w:fldCharType="separate"/>
            </w:r>
            <w:r w:rsidR="00B750E8">
              <w:rPr>
                <w:noProof/>
                <w:webHidden/>
              </w:rPr>
              <w:t>25</w:t>
            </w:r>
            <w:r w:rsidR="006B32C4">
              <w:rPr>
                <w:noProof/>
                <w:webHidden/>
              </w:rPr>
              <w:fldChar w:fldCharType="end"/>
            </w:r>
          </w:hyperlink>
          <w:r w:rsidR="00F76B72">
            <w:rPr>
              <w:b/>
              <w:bCs/>
              <w:noProof/>
            </w:rPr>
            <w:fldChar w:fldCharType="end"/>
          </w:r>
        </w:p>
      </w:sdtContent>
    </w:sdt>
    <w:p w14:paraId="61135E87" w14:textId="77777777" w:rsidR="00F76B72" w:rsidRDefault="00F76B72" w:rsidP="00F76B72">
      <w:pPr>
        <w:jc w:val="center"/>
      </w:pPr>
    </w:p>
    <w:p w14:paraId="3F1E3E54" w14:textId="77777777" w:rsidR="00F76B72" w:rsidRDefault="00F76B72" w:rsidP="00F76B72">
      <w:pPr>
        <w:jc w:val="center"/>
      </w:pPr>
    </w:p>
    <w:p w14:paraId="0649FBD4" w14:textId="77777777" w:rsidR="0056795C" w:rsidRDefault="0056795C" w:rsidP="00F76B72">
      <w:pPr>
        <w:jc w:val="center"/>
      </w:pPr>
    </w:p>
    <w:p w14:paraId="5F4EA94A" w14:textId="77777777" w:rsidR="00F76B72" w:rsidRDefault="00F76B72" w:rsidP="00F76B72">
      <w:pPr>
        <w:jc w:val="center"/>
      </w:pPr>
      <w:r>
        <w:t xml:space="preserve">Author contributions and acknowledgments: </w:t>
      </w:r>
    </w:p>
    <w:p w14:paraId="67C15B57" w14:textId="770CC215" w:rsidR="00F76B72" w:rsidRPr="005522D6" w:rsidRDefault="007F5EDA" w:rsidP="00F76B72">
      <w:r>
        <w:t>I conduct</w:t>
      </w:r>
      <w:r w:rsidR="00F76B72">
        <w:t xml:space="preserve"> the statistical analysis and composition of this study.  The survey questions were developed by Matthew Kotchen and Anthony Leiserowitz </w:t>
      </w:r>
      <w:r w:rsidR="00BE471B">
        <w:t>and included in a large</w:t>
      </w:r>
      <w:r w:rsidR="00F76B72">
        <w:t xml:space="preserve"> survey instrument implemented by Anthony Leiserowitz.  I am grateful for their substantial contributions and feedback.  I would also like to thank Joseph Aldy and Stefano Carattini for providing feedback on the</w:t>
      </w:r>
      <w:r w:rsidR="00BE471B">
        <w:t xml:space="preserve"> academic journal</w:t>
      </w:r>
      <w:r w:rsidR="00F76B72">
        <w:t xml:space="preserve"> version </w:t>
      </w:r>
      <w:r w:rsidR="00BE471B">
        <w:t>of this paper</w:t>
      </w:r>
      <w:r w:rsidR="00F76B72">
        <w:t>.  I also gratefully acknowledge the financial support of the 11th Hour Project, the Energy Foundation, the Grantham Foundation</w:t>
      </w:r>
      <w:r w:rsidR="00C37289">
        <w:t xml:space="preserve"> for the Protection of the Environment</w:t>
      </w:r>
      <w:r w:rsidR="00F76B72">
        <w:t>, and the MacArthur Foundation in fielding the survey.</w:t>
      </w:r>
    </w:p>
    <w:p w14:paraId="699275ED" w14:textId="7D01E68D" w:rsidR="00F76B72" w:rsidRPr="00062C92" w:rsidRDefault="00F76B72" w:rsidP="0052424D">
      <w:pPr>
        <w:spacing w:line="360" w:lineRule="auto"/>
        <w:jc w:val="center"/>
        <w:rPr>
          <w:b/>
        </w:rPr>
      </w:pPr>
      <w:r w:rsidRPr="00062C92">
        <w:rPr>
          <w:b/>
        </w:rPr>
        <w:lastRenderedPageBreak/>
        <w:t>Public Willingness to Pay for a U.S. Carbon Tax and Preferences for Spending the Revenue</w:t>
      </w:r>
    </w:p>
    <w:p w14:paraId="32C2EF6C" w14:textId="77777777" w:rsidR="00F76B72" w:rsidRDefault="00F76B72" w:rsidP="0052424D">
      <w:pPr>
        <w:pStyle w:val="Heading1"/>
        <w:spacing w:line="360" w:lineRule="auto"/>
      </w:pPr>
      <w:bookmarkStart w:id="1" w:name="_Toc479624354"/>
      <w:bookmarkStart w:id="2" w:name="_Toc482127028"/>
      <w:bookmarkStart w:id="3" w:name="_Toc482187978"/>
      <w:r>
        <w:t>Introduction</w:t>
      </w:r>
      <w:bookmarkEnd w:id="1"/>
      <w:bookmarkEnd w:id="2"/>
      <w:bookmarkEnd w:id="3"/>
    </w:p>
    <w:p w14:paraId="7B67D268" w14:textId="1707C5AB" w:rsidR="00F76B72" w:rsidRDefault="00F76B72" w:rsidP="0052424D">
      <w:pPr>
        <w:spacing w:line="360" w:lineRule="auto"/>
      </w:pPr>
      <w:r>
        <w:t>While a proposal for a national carbon tax is neither new nor particularly novel, it reemerged into the spotlight recently by way of a proposal by conservative</w:t>
      </w:r>
      <w:r w:rsidR="007F5EDA">
        <w:t xml:space="preserve"> political</w:t>
      </w:r>
      <w:r w:rsidR="005F1C10">
        <w:t xml:space="preserve"> academic</w:t>
      </w:r>
      <w:r>
        <w:t xml:space="preserve"> leaders.  In February 2017, the Climate Leadership Council released </w:t>
      </w:r>
      <w:r>
        <w:rPr>
          <w:i/>
        </w:rPr>
        <w:t>The Conservative Case for Carbon Dividends</w:t>
      </w:r>
      <w:r>
        <w:t xml:space="preserve">, in which </w:t>
      </w:r>
      <w:r w:rsidR="005F1C10">
        <w:t>a</w:t>
      </w:r>
      <w:r>
        <w:t xml:space="preserve"> case for a carbon tax starting at $40 per ton is presented.  Given the </w:t>
      </w:r>
      <w:r w:rsidR="00961493">
        <w:t>high standing</w:t>
      </w:r>
      <w:r>
        <w:t xml:space="preserve"> of the conservative contributors</w:t>
      </w:r>
      <w:r w:rsidR="001219E7">
        <w:t xml:space="preserve"> (e.g. James Baker</w:t>
      </w:r>
      <w:r w:rsidR="00961493">
        <w:t xml:space="preserve">, George Schultz, </w:t>
      </w:r>
      <w:r w:rsidR="001219E7">
        <w:t xml:space="preserve">and </w:t>
      </w:r>
      <w:r w:rsidR="00961493">
        <w:t>H</w:t>
      </w:r>
      <w:r w:rsidR="001219E7">
        <w:t>enry</w:t>
      </w:r>
      <w:r w:rsidR="00961493">
        <w:t xml:space="preserve"> Paulson</w:t>
      </w:r>
      <w:r w:rsidR="001219E7">
        <w:t xml:space="preserve"> Jr.</w:t>
      </w:r>
      <w:r w:rsidR="00961493">
        <w:t>)</w:t>
      </w:r>
      <w:r>
        <w:t xml:space="preserve">, the report </w:t>
      </w:r>
      <w:r w:rsidR="00C37289">
        <w:t xml:space="preserve">earned </w:t>
      </w:r>
      <w:r w:rsidR="005F1C10">
        <w:t>substantial media attention</w:t>
      </w:r>
      <w:r>
        <w:t xml:space="preserve"> </w:t>
      </w:r>
      <w:r w:rsidR="00C37289">
        <w:t>from</w:t>
      </w:r>
      <w:r>
        <w:t xml:space="preserve"> The New York Times and </w:t>
      </w:r>
      <w:r w:rsidR="00C37289">
        <w:t>many other news organizations</w:t>
      </w:r>
      <w:r>
        <w:t xml:space="preserve">.  The plan </w:t>
      </w:r>
      <w:r w:rsidR="001219E7">
        <w:t>calls for a carbon dividend</w:t>
      </w:r>
      <w:r>
        <w:t xml:space="preserve"> to all Americans and project</w:t>
      </w:r>
      <w:r w:rsidR="007F5EDA">
        <w:t>s</w:t>
      </w:r>
      <w:r>
        <w:t xml:space="preserve"> a rather large $2,000 </w:t>
      </w:r>
      <w:r w:rsidR="001219E7">
        <w:t>payout in the first year alone</w:t>
      </w:r>
      <w:r>
        <w:t xml:space="preserve">.  This suggests a substantial cost </w:t>
      </w:r>
      <w:r w:rsidR="005F1C10">
        <w:t>for</w:t>
      </w:r>
      <w:r>
        <w:t xml:space="preserve"> the policy on carbon intensive energy users.  Unfortunately, translating a $40 per ton carbon tax in</w:t>
      </w:r>
      <w:r w:rsidR="005F1C10">
        <w:t>to</w:t>
      </w:r>
      <w:r>
        <w:t xml:space="preserve"> more tangible terms accurately ex ante, say in terms of household energy bill increases, is rather difficult and relies on strong incidence assumptions.  </w:t>
      </w:r>
      <w:r w:rsidR="005F1C10">
        <w:t>R</w:t>
      </w:r>
      <w:r>
        <w:t xml:space="preserve">ather than debate whether a carbon tax should be used and at what scale, </w:t>
      </w:r>
      <w:r w:rsidR="001219E7">
        <w:t>we</w:t>
      </w:r>
      <w:r>
        <w:t xml:space="preserve"> survey</w:t>
      </w:r>
      <w:r w:rsidR="005F1C10">
        <w:t xml:space="preserve"> </w:t>
      </w:r>
      <w:r>
        <w:t xml:space="preserve">the preferences of the American public for </w:t>
      </w:r>
      <w:r w:rsidR="005F1C10">
        <w:t xml:space="preserve">the </w:t>
      </w:r>
      <w:r>
        <w:t xml:space="preserve">scale and expenditure preferences.  </w:t>
      </w:r>
      <w:r w:rsidR="007F5EDA">
        <w:t>We find a</w:t>
      </w:r>
      <w:r>
        <w:t xml:space="preserve"> mean national willingness to pay (WTP) through increased energy bills of $1</w:t>
      </w:r>
      <w:r w:rsidR="005F1C10">
        <w:t xml:space="preserve">77 </w:t>
      </w:r>
      <w:r w:rsidR="007F5EDA">
        <w:t>and</w:t>
      </w:r>
      <w:r>
        <w:t xml:space="preserve"> distributional preferences that differ substantially from a </w:t>
      </w:r>
      <w:r w:rsidR="007F5EDA">
        <w:t>lump sum</w:t>
      </w:r>
      <w:r>
        <w:t xml:space="preserve"> dividend.  Respondents instead prefer substantial expenditures on public goods which </w:t>
      </w:r>
      <w:r w:rsidR="005F1C10">
        <w:t>are</w:t>
      </w:r>
      <w:r>
        <w:t xml:space="preserve"> otherwise underprovided.  </w:t>
      </w:r>
      <w:r w:rsidR="007F5EDA">
        <w:t xml:space="preserve">I argue in favor of </w:t>
      </w:r>
      <w:r>
        <w:t>a bottom-up perspective</w:t>
      </w:r>
      <w:r w:rsidR="005F1C10">
        <w:t xml:space="preserve"> </w:t>
      </w:r>
      <w:r w:rsidR="007F5EDA">
        <w:t>respecting</w:t>
      </w:r>
      <w:r>
        <w:t xml:space="preserve"> the American public’s preferences</w:t>
      </w:r>
      <w:r w:rsidR="001219E7">
        <w:t>, rather than</w:t>
      </w:r>
      <w:r w:rsidR="007F5EDA">
        <w:t xml:space="preserve"> top-down setting of the carbon tax rate and distribution plan.</w:t>
      </w:r>
    </w:p>
    <w:p w14:paraId="58FFC742" w14:textId="4F1425E8" w:rsidR="00F76B72" w:rsidRDefault="00F76B72" w:rsidP="0052424D">
      <w:pPr>
        <w:spacing w:line="360" w:lineRule="auto"/>
      </w:pPr>
      <w:r>
        <w:t xml:space="preserve">Beyond a commentary on the recent conservative proposal, this paper contributes to a growing literature on WTP to reduce global warming.  For example, Greenstone (2016) attempted a similar WTP measure </w:t>
      </w:r>
      <w:r w:rsidR="00961493">
        <w:t>using a monthly increase in energy bill</w:t>
      </w:r>
      <w:r w:rsidR="001219E7">
        <w:t>s</w:t>
      </w:r>
      <w:r>
        <w:t>.</w:t>
      </w:r>
      <w:r w:rsidR="007F5EDA">
        <w:t xml:space="preserve">  </w:t>
      </w:r>
      <w:r w:rsidR="001219E7">
        <w:t>M</w:t>
      </w:r>
      <w:r w:rsidR="007F5EDA">
        <w:t>y</w:t>
      </w:r>
      <w:r w:rsidR="00F06BCE">
        <w:t xml:space="preserve"> thesis advisors</w:t>
      </w:r>
      <w:r>
        <w:t xml:space="preserve"> also contributed related work in recent years (Aldy, Kotchen, &amp; Leiserowitz, 2012; Kotchen, Boyle, &amp; Leiserowitz, 2013).  </w:t>
      </w:r>
      <w:r w:rsidR="000207FF">
        <w:t>This study estimates</w:t>
      </w:r>
      <w:r>
        <w:t xml:space="preserve"> household WTP to reduce global warming by way of a tax on fossil fuels that increases household energy costs</w:t>
      </w:r>
      <w:r w:rsidR="001219E7">
        <w:t xml:space="preserve"> and</w:t>
      </w:r>
      <w:r>
        <w:t xml:space="preserve"> the public’s distributional preferences for revenue</w:t>
      </w:r>
      <w:r w:rsidR="001219E7">
        <w:t>.</w:t>
      </w:r>
      <w:r w:rsidR="00F06BCE">
        <w:t xml:space="preserve">  This paper then</w:t>
      </w:r>
      <w:r>
        <w:t xml:space="preserve"> conclude</w:t>
      </w:r>
      <w:r w:rsidR="00F06BCE">
        <w:t>s</w:t>
      </w:r>
      <w:r>
        <w:t xml:space="preserve"> by discussing the level of assistance implied for workers displaced by changes in energy demand resulting from </w:t>
      </w:r>
      <w:r w:rsidR="00F06BCE">
        <w:t>such a</w:t>
      </w:r>
      <w:r>
        <w:t xml:space="preserve"> tax </w:t>
      </w:r>
      <w:r w:rsidR="00F06BCE">
        <w:t>and availability of funds toward important climate change responses</w:t>
      </w:r>
      <w:r>
        <w:t xml:space="preserve">.  This clearly has implications in gathering support for a global warming response, particularly from members of </w:t>
      </w:r>
      <w:r w:rsidR="000340EB">
        <w:t xml:space="preserve">the </w:t>
      </w:r>
      <w:r w:rsidR="007F5EDA">
        <w:t xml:space="preserve">voting </w:t>
      </w:r>
      <w:r w:rsidR="000340EB">
        <w:t>public</w:t>
      </w:r>
      <w:r>
        <w:t>.</w:t>
      </w:r>
    </w:p>
    <w:p w14:paraId="678C02F8" w14:textId="6C3D2200" w:rsidR="00F76B72" w:rsidRDefault="00B11F72" w:rsidP="0052424D">
      <w:pPr>
        <w:spacing w:line="360" w:lineRule="auto"/>
      </w:pPr>
      <w:r>
        <w:t>We use a</w:t>
      </w:r>
      <w:r w:rsidR="00F76B72">
        <w:t xml:space="preserve"> nationally representative survey of 1,226 U.S. citizens </w:t>
      </w:r>
      <w:r w:rsidR="000207FF">
        <w:t xml:space="preserve">conducted </w:t>
      </w:r>
      <w:r w:rsidR="00F76B72">
        <w:t xml:space="preserve">in late 2016.  The survey queries respondents on global warming beliefs, information sources, actual and hypothetical responses to global warming, and a standard set of demographics.  Importantly, it also posits that congress may consider a tax on fossil fuels to help reduce global warming, then presents several expenditure categories the respondent may vote in support of or against allotting money to.  Immediately following, respondents are asked to allot revenue in percentage terms between their selected categories.  The data provides </w:t>
      </w:r>
      <w:r w:rsidR="00F76B72">
        <w:lastRenderedPageBreak/>
        <w:t xml:space="preserve">perspective on public preference for the expenditure of such taxes.  </w:t>
      </w:r>
      <w:r w:rsidR="001219E7">
        <w:t>I</w:t>
      </w:r>
      <w:r w:rsidR="00F76B72">
        <w:t xml:space="preserve">t indicates whether respondents believe a carbon tax should be strictly compartmentalized to the global warming fiscal sphere or spent on a variety of public </w:t>
      </w:r>
      <w:r w:rsidR="0020254D">
        <w:t xml:space="preserve">goods and </w:t>
      </w:r>
      <w:r w:rsidR="000207FF">
        <w:t>other issues</w:t>
      </w:r>
      <w:r w:rsidR="00F76B72">
        <w:t xml:space="preserve"> indicating less concern</w:t>
      </w:r>
      <w:r w:rsidR="00004311">
        <w:t xml:space="preserve"> over global warming versus less</w:t>
      </w:r>
      <w:r w:rsidR="00F76B72">
        <w:t xml:space="preserve"> distant concerns.</w:t>
      </w:r>
      <w:r w:rsidR="00CE7035">
        <w:t xml:space="preserve">  Once such preferences have been established, a randomized bid is presented and respondents </w:t>
      </w:r>
      <w:r w:rsidR="00004311">
        <w:t xml:space="preserve">are </w:t>
      </w:r>
      <w:r w:rsidR="00CE7035">
        <w:t>given a dichotomous choice as to whether it is an acceptable charge following standard state</w:t>
      </w:r>
      <w:r w:rsidR="000207FF">
        <w:t>d</w:t>
      </w:r>
      <w:r w:rsidR="00CE7035">
        <w:t xml:space="preserve"> preference contingent valuation methodologies.  The subsequent mean WTP derived from this then allows an aggregate level of support for each expenditure category to be developed.</w:t>
      </w:r>
    </w:p>
    <w:p w14:paraId="015AD5B0" w14:textId="77777777" w:rsidR="00CE7035" w:rsidRDefault="00CE7035" w:rsidP="0052424D">
      <w:pPr>
        <w:pStyle w:val="Heading1"/>
        <w:spacing w:line="360" w:lineRule="auto"/>
      </w:pPr>
      <w:bookmarkStart w:id="4" w:name="_Toc479624355"/>
      <w:bookmarkStart w:id="5" w:name="_Toc482127029"/>
      <w:bookmarkStart w:id="6" w:name="_Toc482187979"/>
      <w:r>
        <w:t>Methodology</w:t>
      </w:r>
      <w:bookmarkEnd w:id="4"/>
      <w:bookmarkEnd w:id="5"/>
      <w:bookmarkEnd w:id="6"/>
    </w:p>
    <w:p w14:paraId="14C48281" w14:textId="528CDE98" w:rsidR="00CE7035" w:rsidRDefault="001219E7" w:rsidP="0052424D">
      <w:pPr>
        <w:spacing w:line="360" w:lineRule="auto"/>
      </w:pPr>
      <w:r>
        <w:t>The survey</w:t>
      </w:r>
      <w:r w:rsidR="00513695">
        <w:t xml:space="preserve"> was</w:t>
      </w:r>
      <w:r w:rsidR="00CE7035">
        <w:t xml:space="preserve"> </w:t>
      </w:r>
      <w:r w:rsidR="000207FF">
        <w:t xml:space="preserve">conducted </w:t>
      </w:r>
      <w:r w:rsidR="00CE7035">
        <w:t>between 18 November and 05 December 2016</w:t>
      </w:r>
      <w:r>
        <w:t xml:space="preserve"> as</w:t>
      </w:r>
      <w:r w:rsidR="00CE7035">
        <w:t xml:space="preserve"> a </w:t>
      </w:r>
      <w:r w:rsidR="000207FF">
        <w:t xml:space="preserve">collaborative </w:t>
      </w:r>
      <w:r w:rsidR="00CE7035">
        <w:t xml:space="preserve">effort between the Yale </w:t>
      </w:r>
      <w:r w:rsidR="000207FF">
        <w:t xml:space="preserve">Program </w:t>
      </w:r>
      <w:r w:rsidR="00CE7035">
        <w:t>on Climate Change Communication (YPCCC) and the George Mason University Center for Climate Change Communication.  It was then collected by research firm GfK.  In addition to recruiting panel members to represent the U.S. population, sampling weights are assigned for representativeness against the U.S. Census Bureau’s M</w:t>
      </w:r>
      <w:r w:rsidR="00CE7035" w:rsidRPr="008B355C">
        <w:t xml:space="preserve">arch 2016 </w:t>
      </w:r>
      <w:r w:rsidR="00CE7035" w:rsidRPr="00F85B42">
        <w:t>Current Population Survey</w:t>
      </w:r>
      <w:r w:rsidR="00CE7035">
        <w:t>.  Table 1 reports respondent summary statistics which include standard demographics, political affiliation, and glo</w:t>
      </w:r>
      <w:r w:rsidR="00453FAE">
        <w:t>bal warming belief indicators.</w:t>
      </w:r>
      <w:r w:rsidR="00B826EC">
        <w:t xml:space="preserve">  Of particular interest, a survey weighted 70-percent of respondents believe global wa</w:t>
      </w:r>
      <w:r>
        <w:t>rming is occurring, and of them</w:t>
      </w:r>
      <w:r w:rsidR="00B826EC">
        <w:t xml:space="preserve"> 64-percent are very sure.  </w:t>
      </w:r>
      <w:r>
        <w:t>Only</w:t>
      </w:r>
      <w:r w:rsidR="00B826EC">
        <w:t xml:space="preserve"> 13-percent do not believe it is occurring, and of that group</w:t>
      </w:r>
      <w:r>
        <w:t xml:space="preserve"> half</w:t>
      </w:r>
      <w:r w:rsidR="00B826EC">
        <w:t xml:space="preserve"> are very su</w:t>
      </w:r>
      <w:r w:rsidR="00223772">
        <w:t>re.  These figures hint at the wide-ranging support for climate policy among the American public.</w:t>
      </w:r>
    </w:p>
    <w:p w14:paraId="51CF3FDE" w14:textId="6E2F39F6" w:rsidR="00CE7035" w:rsidRPr="00892D32" w:rsidRDefault="00CE7035" w:rsidP="0052424D">
      <w:pPr>
        <w:spacing w:line="360" w:lineRule="auto"/>
      </w:pPr>
      <w:r>
        <w:t xml:space="preserve">The survey asks several questions about respondent beliefs on global warming prior to the survey questions used in this study but it does not intentionally present a basis, scientific or political, to influence views. </w:t>
      </w:r>
      <w:r w:rsidR="00DD3BB9">
        <w:t xml:space="preserve">It is </w:t>
      </w:r>
      <w:r w:rsidR="009742AB">
        <w:t>conceivable</w:t>
      </w:r>
      <w:r w:rsidR="00DD3BB9">
        <w:t xml:space="preserve"> that </w:t>
      </w:r>
      <w:r>
        <w:t>preceding questions may</w:t>
      </w:r>
      <w:r w:rsidR="009742AB">
        <w:t xml:space="preserve"> have</w:t>
      </w:r>
      <w:r>
        <w:t xml:space="preserve"> </w:t>
      </w:r>
      <w:r w:rsidR="009742AB">
        <w:t xml:space="preserve">influenced </w:t>
      </w:r>
      <w:r>
        <w:t xml:space="preserve">respondent </w:t>
      </w:r>
      <w:r w:rsidR="009742AB">
        <w:t>answers to the variables assessed in this analysis</w:t>
      </w:r>
      <w:r w:rsidR="00130D44">
        <w:t>, but this is likely minor if at all</w:t>
      </w:r>
      <w:r>
        <w:t>. For reference, data on th</w:t>
      </w:r>
      <w:r w:rsidR="001219E7">
        <w:t xml:space="preserve">e breadth of the survey is </w:t>
      </w:r>
      <w:r>
        <w:t xml:space="preserve">available (Leiserowitz et al. 2016).  The potential for anchor bias from the bid amounts chosen must also be acknowledged.  This implies the respondents </w:t>
      </w:r>
      <w:r w:rsidR="00130D44">
        <w:t>construct</w:t>
      </w:r>
      <w:r>
        <w:t xml:space="preserve"> their beliefs on the severity of the issue based on the bid presented.  This is an important point when comparing to Greenstone (2016) where smaller bid amounts are presented on a m</w:t>
      </w:r>
      <w:r w:rsidR="001219E7">
        <w:t>onthly rather than annual scale</w:t>
      </w:r>
      <w:r>
        <w:t xml:space="preserve"> and finds lower support for a similar prompt.  Given the scale of energy price increases that may occur with the sort of carbon tax proposed by Baker </w:t>
      </w:r>
      <w:r w:rsidRPr="00892D32">
        <w:t>et al.</w:t>
      </w:r>
      <w:r>
        <w:t xml:space="preserve"> (2017), however, </w:t>
      </w:r>
      <w:r w:rsidR="001219E7">
        <w:t>I believe</w:t>
      </w:r>
      <w:r>
        <w:t xml:space="preserve"> the bid amounts </w:t>
      </w:r>
      <w:r w:rsidR="00130D44">
        <w:t xml:space="preserve">used in this study </w:t>
      </w:r>
      <w:r>
        <w:t>are appropriate or even lower than what could occur with such a policy.  That would imply anchor bias leading to an underestimate of mean WTP</w:t>
      </w:r>
      <w:r w:rsidR="001219E7">
        <w:t xml:space="preserve"> if at all</w:t>
      </w:r>
      <w:r>
        <w:t>.</w:t>
      </w:r>
    </w:p>
    <w:tbl>
      <w:tblPr>
        <w:tblStyle w:val="Style1"/>
        <w:tblW w:w="5000" w:type="pct"/>
        <w:tblLook w:val="04A0" w:firstRow="1" w:lastRow="0" w:firstColumn="1" w:lastColumn="0" w:noHBand="0" w:noVBand="1"/>
      </w:tblPr>
      <w:tblGrid>
        <w:gridCol w:w="3120"/>
        <w:gridCol w:w="3121"/>
        <w:gridCol w:w="3119"/>
      </w:tblGrid>
      <w:tr w:rsidR="00CE7035" w:rsidRPr="004C53C5" w14:paraId="121873FB" w14:textId="77777777" w:rsidTr="00935E3E">
        <w:trPr>
          <w:cnfStyle w:val="100000000000" w:firstRow="1" w:lastRow="0" w:firstColumn="0" w:lastColumn="0" w:oddVBand="0" w:evenVBand="0" w:oddHBand="0" w:evenHBand="0" w:firstRowFirstColumn="0" w:firstRowLastColumn="0" w:lastRowFirstColumn="0" w:lastRowLastColumn="0"/>
          <w:trHeight w:val="300"/>
        </w:trPr>
        <w:tc>
          <w:tcPr>
            <w:tcW w:w="5000" w:type="pct"/>
            <w:gridSpan w:val="3"/>
            <w:tcBorders>
              <w:bottom w:val="single" w:sz="4" w:space="0" w:color="auto"/>
            </w:tcBorders>
            <w:noWrap/>
            <w:hideMark/>
          </w:tcPr>
          <w:p w14:paraId="16D2050D" w14:textId="77777777" w:rsidR="00CE7035" w:rsidRPr="004C53C5" w:rsidRDefault="00CE7035" w:rsidP="00935E3E">
            <w:pPr>
              <w:keepNext/>
              <w:rPr>
                <w:rFonts w:eastAsia="Times New Roman"/>
                <w:b/>
                <w:bCs/>
              </w:rPr>
            </w:pPr>
            <w:r w:rsidRPr="004C53C5">
              <w:rPr>
                <w:rFonts w:eastAsia="Times New Roman"/>
                <w:b/>
                <w:bCs/>
              </w:rPr>
              <w:lastRenderedPageBreak/>
              <w:t>T</w:t>
            </w:r>
            <w:r>
              <w:rPr>
                <w:rFonts w:eastAsia="Times New Roman"/>
                <w:b/>
                <w:bCs/>
              </w:rPr>
              <w:t>able 1</w:t>
            </w:r>
            <w:r w:rsidRPr="004C53C5">
              <w:rPr>
                <w:rFonts w:eastAsia="Times New Roman"/>
                <w:b/>
                <w:bCs/>
              </w:rPr>
              <w:t xml:space="preserve"> | Summary statistics of respondent demographics.</w:t>
            </w:r>
          </w:p>
        </w:tc>
      </w:tr>
      <w:tr w:rsidR="00CE7035" w:rsidRPr="004C53C5" w14:paraId="691EF778" w14:textId="77777777" w:rsidTr="00935E3E">
        <w:trPr>
          <w:trHeight w:val="300"/>
        </w:trPr>
        <w:tc>
          <w:tcPr>
            <w:tcW w:w="1667" w:type="pct"/>
            <w:tcBorders>
              <w:top w:val="single" w:sz="4" w:space="0" w:color="auto"/>
              <w:bottom w:val="single" w:sz="4" w:space="0" w:color="auto"/>
            </w:tcBorders>
            <w:noWrap/>
            <w:hideMark/>
          </w:tcPr>
          <w:p w14:paraId="4F2616C2" w14:textId="77777777" w:rsidR="00CE7035" w:rsidRPr="004C53C5" w:rsidRDefault="00CE7035" w:rsidP="00935E3E">
            <w:pPr>
              <w:keepNext/>
              <w:jc w:val="center"/>
              <w:rPr>
                <w:rFonts w:eastAsia="Times New Roman"/>
              </w:rPr>
            </w:pPr>
            <w:r w:rsidRPr="004C53C5">
              <w:rPr>
                <w:rFonts w:eastAsia="Times New Roman"/>
              </w:rPr>
              <w:t> </w:t>
            </w:r>
          </w:p>
        </w:tc>
        <w:tc>
          <w:tcPr>
            <w:tcW w:w="1667" w:type="pct"/>
            <w:tcBorders>
              <w:top w:val="single" w:sz="4" w:space="0" w:color="auto"/>
              <w:bottom w:val="single" w:sz="4" w:space="0" w:color="auto"/>
            </w:tcBorders>
            <w:noWrap/>
            <w:hideMark/>
          </w:tcPr>
          <w:p w14:paraId="0344019F" w14:textId="77777777" w:rsidR="00CE7035" w:rsidRPr="001F26C0" w:rsidRDefault="00CE7035" w:rsidP="00935E3E">
            <w:pPr>
              <w:keepNext/>
              <w:jc w:val="center"/>
              <w:rPr>
                <w:rFonts w:eastAsia="Times New Roman"/>
                <w:bCs/>
              </w:rPr>
            </w:pPr>
            <w:r w:rsidRPr="001F26C0">
              <w:rPr>
                <w:rFonts w:eastAsia="Times New Roman"/>
                <w:bCs/>
              </w:rPr>
              <w:t>Mean</w:t>
            </w:r>
          </w:p>
        </w:tc>
        <w:tc>
          <w:tcPr>
            <w:tcW w:w="1667" w:type="pct"/>
            <w:tcBorders>
              <w:top w:val="single" w:sz="4" w:space="0" w:color="auto"/>
              <w:bottom w:val="single" w:sz="4" w:space="0" w:color="auto"/>
            </w:tcBorders>
            <w:noWrap/>
            <w:hideMark/>
          </w:tcPr>
          <w:p w14:paraId="62FEEEE0" w14:textId="77777777" w:rsidR="00CE7035" w:rsidRPr="001F26C0" w:rsidRDefault="00CE7035" w:rsidP="00935E3E">
            <w:pPr>
              <w:keepNext/>
              <w:jc w:val="center"/>
              <w:rPr>
                <w:rFonts w:eastAsia="Times New Roman"/>
                <w:bCs/>
              </w:rPr>
            </w:pPr>
            <w:r w:rsidRPr="001F26C0">
              <w:rPr>
                <w:rFonts w:eastAsia="Times New Roman"/>
                <w:bCs/>
              </w:rPr>
              <w:t>Standard Deviation</w:t>
            </w:r>
          </w:p>
        </w:tc>
      </w:tr>
      <w:tr w:rsidR="00CE7035" w:rsidRPr="004C53C5" w14:paraId="6EA55870" w14:textId="77777777" w:rsidTr="00935E3E">
        <w:trPr>
          <w:trHeight w:val="300"/>
        </w:trPr>
        <w:tc>
          <w:tcPr>
            <w:tcW w:w="1667" w:type="pct"/>
            <w:tcBorders>
              <w:top w:val="single" w:sz="4" w:space="0" w:color="auto"/>
            </w:tcBorders>
            <w:noWrap/>
            <w:hideMark/>
          </w:tcPr>
          <w:p w14:paraId="64089D3E" w14:textId="77777777" w:rsidR="00CE7035" w:rsidRPr="004C53C5" w:rsidRDefault="00CE7035" w:rsidP="00935E3E">
            <w:pPr>
              <w:keepNext/>
              <w:rPr>
                <w:rFonts w:eastAsia="Times New Roman"/>
              </w:rPr>
            </w:pPr>
            <w:r w:rsidRPr="004C53C5">
              <w:rPr>
                <w:rFonts w:eastAsia="Times New Roman"/>
              </w:rPr>
              <w:t>Education (years)</w:t>
            </w:r>
          </w:p>
        </w:tc>
        <w:tc>
          <w:tcPr>
            <w:tcW w:w="1667" w:type="pct"/>
            <w:tcBorders>
              <w:top w:val="single" w:sz="4" w:space="0" w:color="auto"/>
            </w:tcBorders>
            <w:noWrap/>
            <w:hideMark/>
          </w:tcPr>
          <w:p w14:paraId="39854DE2" w14:textId="77777777" w:rsidR="00CE7035" w:rsidRPr="004C53C5" w:rsidRDefault="00CE7035" w:rsidP="00935E3E">
            <w:pPr>
              <w:keepNext/>
              <w:ind w:left="1185"/>
              <w:rPr>
                <w:rFonts w:eastAsia="Times New Roman"/>
              </w:rPr>
            </w:pPr>
            <w:r w:rsidRPr="004C53C5">
              <w:rPr>
                <w:rFonts w:eastAsia="Times New Roman"/>
              </w:rPr>
              <w:t>13.56</w:t>
            </w:r>
          </w:p>
        </w:tc>
        <w:tc>
          <w:tcPr>
            <w:tcW w:w="1667" w:type="pct"/>
            <w:tcBorders>
              <w:top w:val="single" w:sz="4" w:space="0" w:color="auto"/>
            </w:tcBorders>
            <w:noWrap/>
            <w:hideMark/>
          </w:tcPr>
          <w:p w14:paraId="4A09A254" w14:textId="77777777" w:rsidR="00CE7035" w:rsidRPr="004C53C5" w:rsidRDefault="00CE7035" w:rsidP="00935E3E">
            <w:pPr>
              <w:keepNext/>
              <w:ind w:left="1125"/>
              <w:rPr>
                <w:rFonts w:eastAsia="Times New Roman"/>
              </w:rPr>
            </w:pPr>
            <w:r w:rsidRPr="004C53C5">
              <w:rPr>
                <w:rFonts w:eastAsia="Times New Roman"/>
              </w:rPr>
              <w:t>(2.93)</w:t>
            </w:r>
          </w:p>
        </w:tc>
      </w:tr>
      <w:tr w:rsidR="00CE7035" w:rsidRPr="004C53C5" w14:paraId="31BB9D4B" w14:textId="77777777" w:rsidTr="00935E3E">
        <w:trPr>
          <w:trHeight w:val="300"/>
        </w:trPr>
        <w:tc>
          <w:tcPr>
            <w:tcW w:w="1667" w:type="pct"/>
            <w:noWrap/>
            <w:hideMark/>
          </w:tcPr>
          <w:p w14:paraId="583EBE6B" w14:textId="77777777" w:rsidR="00CE7035" w:rsidRPr="004C53C5" w:rsidRDefault="00CE7035" w:rsidP="00935E3E">
            <w:pPr>
              <w:keepNext/>
              <w:rPr>
                <w:rFonts w:eastAsia="Times New Roman"/>
              </w:rPr>
            </w:pPr>
            <w:r w:rsidRPr="004C53C5">
              <w:rPr>
                <w:rFonts w:eastAsia="Times New Roman"/>
              </w:rPr>
              <w:t>Male (1=yes)</w:t>
            </w:r>
          </w:p>
        </w:tc>
        <w:tc>
          <w:tcPr>
            <w:tcW w:w="1667" w:type="pct"/>
            <w:noWrap/>
            <w:hideMark/>
          </w:tcPr>
          <w:p w14:paraId="7A1BE0EA" w14:textId="77777777" w:rsidR="00CE7035" w:rsidRPr="004C53C5" w:rsidRDefault="00CE7035" w:rsidP="00935E3E">
            <w:pPr>
              <w:keepNext/>
              <w:ind w:left="1185"/>
              <w:rPr>
                <w:rFonts w:eastAsia="Times New Roman"/>
              </w:rPr>
            </w:pPr>
            <w:r w:rsidRPr="004C53C5">
              <w:rPr>
                <w:rFonts w:eastAsia="Times New Roman"/>
              </w:rPr>
              <w:t>0.48</w:t>
            </w:r>
          </w:p>
        </w:tc>
        <w:tc>
          <w:tcPr>
            <w:tcW w:w="1667" w:type="pct"/>
            <w:noWrap/>
            <w:hideMark/>
          </w:tcPr>
          <w:p w14:paraId="1A906D3E" w14:textId="77777777" w:rsidR="00CE7035" w:rsidRPr="004C53C5" w:rsidRDefault="00CE7035" w:rsidP="00935E3E">
            <w:pPr>
              <w:keepNext/>
              <w:ind w:left="1125"/>
              <w:rPr>
                <w:rFonts w:eastAsia="Times New Roman"/>
              </w:rPr>
            </w:pPr>
            <w:r w:rsidRPr="004C53C5">
              <w:rPr>
                <w:rFonts w:eastAsia="Times New Roman"/>
              </w:rPr>
              <w:t>(0.50)</w:t>
            </w:r>
          </w:p>
        </w:tc>
      </w:tr>
      <w:tr w:rsidR="00CE7035" w:rsidRPr="004C53C5" w14:paraId="410240B2" w14:textId="77777777" w:rsidTr="00935E3E">
        <w:trPr>
          <w:trHeight w:val="300"/>
        </w:trPr>
        <w:tc>
          <w:tcPr>
            <w:tcW w:w="1667" w:type="pct"/>
            <w:noWrap/>
            <w:hideMark/>
          </w:tcPr>
          <w:p w14:paraId="058E21D0" w14:textId="77777777" w:rsidR="00CE7035" w:rsidRPr="004C53C5" w:rsidRDefault="00CE7035" w:rsidP="00935E3E">
            <w:pPr>
              <w:keepNext/>
              <w:rPr>
                <w:rFonts w:eastAsia="Times New Roman"/>
              </w:rPr>
            </w:pPr>
            <w:r w:rsidRPr="004C53C5">
              <w:rPr>
                <w:rFonts w:eastAsia="Times New Roman"/>
              </w:rPr>
              <w:t>Household size (# people)</w:t>
            </w:r>
          </w:p>
        </w:tc>
        <w:tc>
          <w:tcPr>
            <w:tcW w:w="1667" w:type="pct"/>
            <w:noWrap/>
            <w:hideMark/>
          </w:tcPr>
          <w:p w14:paraId="38B3DAB1" w14:textId="77777777" w:rsidR="00CE7035" w:rsidRPr="004C53C5" w:rsidRDefault="00CE7035" w:rsidP="00935E3E">
            <w:pPr>
              <w:keepNext/>
              <w:ind w:left="1185"/>
              <w:rPr>
                <w:rFonts w:eastAsia="Times New Roman"/>
              </w:rPr>
            </w:pPr>
            <w:r w:rsidRPr="004C53C5">
              <w:rPr>
                <w:rFonts w:eastAsia="Times New Roman"/>
              </w:rPr>
              <w:t>2.85</w:t>
            </w:r>
          </w:p>
        </w:tc>
        <w:tc>
          <w:tcPr>
            <w:tcW w:w="1667" w:type="pct"/>
            <w:noWrap/>
            <w:hideMark/>
          </w:tcPr>
          <w:p w14:paraId="66D97FA1" w14:textId="77777777" w:rsidR="00CE7035" w:rsidRPr="004C53C5" w:rsidRDefault="00CE7035" w:rsidP="00935E3E">
            <w:pPr>
              <w:keepNext/>
              <w:ind w:left="1125"/>
              <w:rPr>
                <w:rFonts w:eastAsia="Times New Roman"/>
              </w:rPr>
            </w:pPr>
            <w:r w:rsidRPr="004C53C5">
              <w:rPr>
                <w:rFonts w:eastAsia="Times New Roman"/>
              </w:rPr>
              <w:t>(1.59)</w:t>
            </w:r>
          </w:p>
        </w:tc>
      </w:tr>
      <w:tr w:rsidR="00CE7035" w:rsidRPr="004C53C5" w14:paraId="79E82270" w14:textId="77777777" w:rsidTr="00935E3E">
        <w:trPr>
          <w:trHeight w:val="300"/>
        </w:trPr>
        <w:tc>
          <w:tcPr>
            <w:tcW w:w="1667" w:type="pct"/>
            <w:noWrap/>
            <w:hideMark/>
          </w:tcPr>
          <w:p w14:paraId="0E78B426" w14:textId="77777777" w:rsidR="00CE7035" w:rsidRPr="004C53C5" w:rsidRDefault="00CE7035" w:rsidP="00935E3E">
            <w:pPr>
              <w:keepNext/>
              <w:rPr>
                <w:rFonts w:eastAsia="Times New Roman"/>
              </w:rPr>
            </w:pPr>
            <w:r w:rsidRPr="004C53C5">
              <w:rPr>
                <w:rFonts w:eastAsia="Times New Roman"/>
              </w:rPr>
              <w:t>Income ($10,000's)</w:t>
            </w:r>
          </w:p>
        </w:tc>
        <w:tc>
          <w:tcPr>
            <w:tcW w:w="1667" w:type="pct"/>
            <w:noWrap/>
            <w:hideMark/>
          </w:tcPr>
          <w:p w14:paraId="47A3D438" w14:textId="77777777" w:rsidR="00CE7035" w:rsidRPr="004C53C5" w:rsidRDefault="00CE7035" w:rsidP="00935E3E">
            <w:pPr>
              <w:keepNext/>
              <w:ind w:left="1185"/>
              <w:rPr>
                <w:rFonts w:eastAsia="Times New Roman"/>
              </w:rPr>
            </w:pPr>
            <w:r w:rsidRPr="004C53C5">
              <w:rPr>
                <w:rFonts w:eastAsia="Times New Roman"/>
              </w:rPr>
              <w:t>7.60</w:t>
            </w:r>
          </w:p>
        </w:tc>
        <w:tc>
          <w:tcPr>
            <w:tcW w:w="1667" w:type="pct"/>
            <w:noWrap/>
            <w:hideMark/>
          </w:tcPr>
          <w:p w14:paraId="73114DF2" w14:textId="77777777" w:rsidR="00CE7035" w:rsidRPr="004C53C5" w:rsidRDefault="00CE7035" w:rsidP="00935E3E">
            <w:pPr>
              <w:keepNext/>
              <w:ind w:left="1125"/>
              <w:rPr>
                <w:rFonts w:eastAsia="Times New Roman"/>
              </w:rPr>
            </w:pPr>
            <w:r w:rsidRPr="004C53C5">
              <w:rPr>
                <w:rFonts w:eastAsia="Times New Roman"/>
              </w:rPr>
              <w:t>(5.89)</w:t>
            </w:r>
          </w:p>
        </w:tc>
      </w:tr>
      <w:tr w:rsidR="00CE7035" w:rsidRPr="004C53C5" w14:paraId="542C80EC" w14:textId="77777777" w:rsidTr="00935E3E">
        <w:trPr>
          <w:trHeight w:val="300"/>
        </w:trPr>
        <w:tc>
          <w:tcPr>
            <w:tcW w:w="1667" w:type="pct"/>
            <w:noWrap/>
            <w:hideMark/>
          </w:tcPr>
          <w:p w14:paraId="597E27AF" w14:textId="77777777" w:rsidR="00CE7035" w:rsidRPr="004C53C5" w:rsidRDefault="00CE7035" w:rsidP="00935E3E">
            <w:pPr>
              <w:keepNext/>
              <w:rPr>
                <w:rFonts w:eastAsia="Times New Roman"/>
              </w:rPr>
            </w:pPr>
            <w:r w:rsidRPr="004C53C5">
              <w:rPr>
                <w:rFonts w:eastAsia="Times New Roman"/>
              </w:rPr>
              <w:t>Age (years)</w:t>
            </w:r>
          </w:p>
        </w:tc>
        <w:tc>
          <w:tcPr>
            <w:tcW w:w="1667" w:type="pct"/>
            <w:noWrap/>
            <w:hideMark/>
          </w:tcPr>
          <w:p w14:paraId="57C54E4C" w14:textId="77777777" w:rsidR="00CE7035" w:rsidRPr="004C53C5" w:rsidRDefault="00CE7035" w:rsidP="00935E3E">
            <w:pPr>
              <w:keepNext/>
              <w:ind w:left="1185"/>
              <w:rPr>
                <w:rFonts w:eastAsia="Times New Roman"/>
              </w:rPr>
            </w:pPr>
            <w:r w:rsidRPr="004C53C5">
              <w:rPr>
                <w:rFonts w:eastAsia="Times New Roman"/>
              </w:rPr>
              <w:t>47.28</w:t>
            </w:r>
          </w:p>
        </w:tc>
        <w:tc>
          <w:tcPr>
            <w:tcW w:w="1667" w:type="pct"/>
            <w:noWrap/>
            <w:hideMark/>
          </w:tcPr>
          <w:p w14:paraId="47599EC3" w14:textId="77777777" w:rsidR="00CE7035" w:rsidRPr="004C53C5" w:rsidRDefault="00CE7035" w:rsidP="00935E3E">
            <w:pPr>
              <w:keepNext/>
              <w:ind w:left="1125"/>
              <w:rPr>
                <w:rFonts w:eastAsia="Times New Roman"/>
              </w:rPr>
            </w:pPr>
            <w:r w:rsidRPr="004C53C5">
              <w:rPr>
                <w:rFonts w:eastAsia="Times New Roman"/>
              </w:rPr>
              <w:t>(17.40)</w:t>
            </w:r>
          </w:p>
        </w:tc>
      </w:tr>
      <w:tr w:rsidR="00CE7035" w:rsidRPr="004C53C5" w14:paraId="530D6157" w14:textId="77777777" w:rsidTr="00935E3E">
        <w:trPr>
          <w:trHeight w:val="300"/>
        </w:trPr>
        <w:tc>
          <w:tcPr>
            <w:tcW w:w="1667" w:type="pct"/>
            <w:noWrap/>
            <w:hideMark/>
          </w:tcPr>
          <w:p w14:paraId="4A5AAEA8" w14:textId="77777777" w:rsidR="00CE7035" w:rsidRPr="004C53C5" w:rsidRDefault="00CE7035" w:rsidP="00935E3E">
            <w:pPr>
              <w:keepNext/>
              <w:rPr>
                <w:rFonts w:eastAsia="Times New Roman"/>
              </w:rPr>
            </w:pPr>
            <w:r w:rsidRPr="004C53C5">
              <w:rPr>
                <w:rFonts w:eastAsia="Times New Roman"/>
              </w:rPr>
              <w:t>White (1=yes)</w:t>
            </w:r>
          </w:p>
        </w:tc>
        <w:tc>
          <w:tcPr>
            <w:tcW w:w="1667" w:type="pct"/>
            <w:noWrap/>
            <w:hideMark/>
          </w:tcPr>
          <w:p w14:paraId="13EB4378" w14:textId="77777777" w:rsidR="00CE7035" w:rsidRPr="004C53C5" w:rsidRDefault="00CE7035" w:rsidP="00935E3E">
            <w:pPr>
              <w:keepNext/>
              <w:ind w:left="1185"/>
              <w:rPr>
                <w:rFonts w:eastAsia="Times New Roman"/>
              </w:rPr>
            </w:pPr>
            <w:r w:rsidRPr="004C53C5">
              <w:rPr>
                <w:rFonts w:eastAsia="Times New Roman"/>
              </w:rPr>
              <w:t>0.64</w:t>
            </w:r>
          </w:p>
        </w:tc>
        <w:tc>
          <w:tcPr>
            <w:tcW w:w="1667" w:type="pct"/>
            <w:noWrap/>
            <w:hideMark/>
          </w:tcPr>
          <w:p w14:paraId="4387FD4E" w14:textId="77777777" w:rsidR="00CE7035" w:rsidRPr="004C53C5" w:rsidRDefault="00CE7035" w:rsidP="00935E3E">
            <w:pPr>
              <w:keepNext/>
              <w:ind w:left="1125"/>
              <w:rPr>
                <w:rFonts w:eastAsia="Times New Roman"/>
              </w:rPr>
            </w:pPr>
            <w:r w:rsidRPr="004C53C5">
              <w:rPr>
                <w:rFonts w:eastAsia="Times New Roman"/>
              </w:rPr>
              <w:t>(0.48)</w:t>
            </w:r>
          </w:p>
        </w:tc>
      </w:tr>
      <w:tr w:rsidR="00CE7035" w:rsidRPr="004C53C5" w14:paraId="623E379D" w14:textId="77777777" w:rsidTr="00935E3E">
        <w:trPr>
          <w:trHeight w:val="300"/>
        </w:trPr>
        <w:tc>
          <w:tcPr>
            <w:tcW w:w="1667" w:type="pct"/>
            <w:noWrap/>
            <w:hideMark/>
          </w:tcPr>
          <w:p w14:paraId="435C35CD" w14:textId="77777777" w:rsidR="00CE7035" w:rsidRPr="004C53C5" w:rsidRDefault="00CE7035" w:rsidP="00935E3E">
            <w:pPr>
              <w:keepNext/>
              <w:rPr>
                <w:rFonts w:eastAsia="Times New Roman"/>
              </w:rPr>
            </w:pPr>
            <w:r w:rsidRPr="004C53C5">
              <w:rPr>
                <w:rFonts w:eastAsia="Times New Roman"/>
              </w:rPr>
              <w:t>Republican (1=yes)</w:t>
            </w:r>
          </w:p>
        </w:tc>
        <w:tc>
          <w:tcPr>
            <w:tcW w:w="1667" w:type="pct"/>
            <w:noWrap/>
            <w:hideMark/>
          </w:tcPr>
          <w:p w14:paraId="4388C23A" w14:textId="77777777" w:rsidR="00CE7035" w:rsidRPr="004C53C5" w:rsidRDefault="00CE7035" w:rsidP="00935E3E">
            <w:pPr>
              <w:keepNext/>
              <w:ind w:left="1185"/>
              <w:rPr>
                <w:rFonts w:eastAsia="Times New Roman"/>
              </w:rPr>
            </w:pPr>
            <w:r w:rsidRPr="004C53C5">
              <w:rPr>
                <w:rFonts w:eastAsia="Times New Roman"/>
              </w:rPr>
              <w:t>0.3</w:t>
            </w:r>
            <w:r>
              <w:rPr>
                <w:rFonts w:eastAsia="Times New Roman"/>
              </w:rPr>
              <w:t>7</w:t>
            </w:r>
          </w:p>
        </w:tc>
        <w:tc>
          <w:tcPr>
            <w:tcW w:w="1667" w:type="pct"/>
            <w:noWrap/>
            <w:hideMark/>
          </w:tcPr>
          <w:p w14:paraId="70901338" w14:textId="77777777" w:rsidR="00CE7035" w:rsidRPr="004C53C5" w:rsidRDefault="00CE7035" w:rsidP="00935E3E">
            <w:pPr>
              <w:keepNext/>
              <w:ind w:left="1125"/>
              <w:rPr>
                <w:rFonts w:eastAsia="Times New Roman"/>
              </w:rPr>
            </w:pPr>
            <w:r w:rsidRPr="004C53C5">
              <w:rPr>
                <w:rFonts w:eastAsia="Times New Roman"/>
              </w:rPr>
              <w:t>(0.48)</w:t>
            </w:r>
          </w:p>
        </w:tc>
      </w:tr>
      <w:tr w:rsidR="00CE7035" w:rsidRPr="004C53C5" w14:paraId="5D41D81E" w14:textId="77777777" w:rsidTr="00935E3E">
        <w:trPr>
          <w:trHeight w:val="300"/>
        </w:trPr>
        <w:tc>
          <w:tcPr>
            <w:tcW w:w="1667" w:type="pct"/>
            <w:noWrap/>
            <w:hideMark/>
          </w:tcPr>
          <w:p w14:paraId="07E86E03" w14:textId="77777777" w:rsidR="00CE7035" w:rsidRPr="004C53C5" w:rsidRDefault="00CE7035" w:rsidP="00935E3E">
            <w:pPr>
              <w:keepNext/>
              <w:rPr>
                <w:rFonts w:eastAsia="Times New Roman"/>
              </w:rPr>
            </w:pPr>
            <w:r w:rsidRPr="004C53C5">
              <w:rPr>
                <w:rFonts w:eastAsia="Times New Roman"/>
              </w:rPr>
              <w:t>Democrat (1=yes)</w:t>
            </w:r>
          </w:p>
        </w:tc>
        <w:tc>
          <w:tcPr>
            <w:tcW w:w="1667" w:type="pct"/>
            <w:noWrap/>
            <w:hideMark/>
          </w:tcPr>
          <w:p w14:paraId="7AD112BF" w14:textId="77777777" w:rsidR="00CE7035" w:rsidRPr="004C53C5" w:rsidRDefault="00CE7035" w:rsidP="00935E3E">
            <w:pPr>
              <w:keepNext/>
              <w:ind w:left="1185"/>
              <w:rPr>
                <w:rFonts w:eastAsia="Times New Roman"/>
              </w:rPr>
            </w:pPr>
            <w:r w:rsidRPr="004C53C5">
              <w:rPr>
                <w:rFonts w:eastAsia="Times New Roman"/>
              </w:rPr>
              <w:t>0.44</w:t>
            </w:r>
          </w:p>
        </w:tc>
        <w:tc>
          <w:tcPr>
            <w:tcW w:w="1667" w:type="pct"/>
            <w:noWrap/>
            <w:hideMark/>
          </w:tcPr>
          <w:p w14:paraId="41C9294A" w14:textId="77777777" w:rsidR="00CE7035" w:rsidRPr="004C53C5" w:rsidRDefault="00CE7035" w:rsidP="00935E3E">
            <w:pPr>
              <w:keepNext/>
              <w:ind w:left="1125"/>
              <w:rPr>
                <w:rFonts w:eastAsia="Times New Roman"/>
              </w:rPr>
            </w:pPr>
            <w:r w:rsidRPr="004C53C5">
              <w:rPr>
                <w:rFonts w:eastAsia="Times New Roman"/>
              </w:rPr>
              <w:t>(0.50)</w:t>
            </w:r>
          </w:p>
        </w:tc>
      </w:tr>
      <w:tr w:rsidR="00CE7035" w:rsidRPr="004C53C5" w14:paraId="7FCC258A" w14:textId="77777777" w:rsidTr="00935E3E">
        <w:trPr>
          <w:trHeight w:val="300"/>
        </w:trPr>
        <w:tc>
          <w:tcPr>
            <w:tcW w:w="1667" w:type="pct"/>
            <w:noWrap/>
            <w:hideMark/>
          </w:tcPr>
          <w:p w14:paraId="420CE7BE" w14:textId="77777777" w:rsidR="00CE7035" w:rsidRPr="004C53C5" w:rsidRDefault="00CE7035" w:rsidP="00935E3E">
            <w:pPr>
              <w:keepNext/>
              <w:rPr>
                <w:rFonts w:eastAsia="Times New Roman"/>
              </w:rPr>
            </w:pPr>
            <w:r w:rsidRPr="004C53C5">
              <w:rPr>
                <w:rFonts w:eastAsia="Times New Roman"/>
              </w:rPr>
              <w:t>Independent (1=yes)</w:t>
            </w:r>
          </w:p>
        </w:tc>
        <w:tc>
          <w:tcPr>
            <w:tcW w:w="1667" w:type="pct"/>
            <w:noWrap/>
            <w:hideMark/>
          </w:tcPr>
          <w:p w14:paraId="04232CA2" w14:textId="77777777" w:rsidR="00CE7035" w:rsidRPr="004C53C5" w:rsidRDefault="00CE7035" w:rsidP="00935E3E">
            <w:pPr>
              <w:keepNext/>
              <w:ind w:left="1185"/>
              <w:rPr>
                <w:rFonts w:eastAsia="Times New Roman"/>
              </w:rPr>
            </w:pPr>
            <w:r w:rsidRPr="004C53C5">
              <w:rPr>
                <w:rFonts w:eastAsia="Times New Roman"/>
              </w:rPr>
              <w:t>0.08</w:t>
            </w:r>
          </w:p>
        </w:tc>
        <w:tc>
          <w:tcPr>
            <w:tcW w:w="1667" w:type="pct"/>
            <w:noWrap/>
            <w:hideMark/>
          </w:tcPr>
          <w:p w14:paraId="5473F6B3" w14:textId="77777777" w:rsidR="00CE7035" w:rsidRPr="004C53C5" w:rsidRDefault="00CE7035" w:rsidP="00935E3E">
            <w:pPr>
              <w:keepNext/>
              <w:ind w:left="1125"/>
              <w:rPr>
                <w:rFonts w:eastAsia="Times New Roman"/>
              </w:rPr>
            </w:pPr>
            <w:r w:rsidRPr="004C53C5">
              <w:rPr>
                <w:rFonts w:eastAsia="Times New Roman"/>
              </w:rPr>
              <w:t>(0.28)</w:t>
            </w:r>
          </w:p>
        </w:tc>
      </w:tr>
      <w:tr w:rsidR="00CE7035" w:rsidRPr="004C53C5" w14:paraId="3D40D316" w14:textId="77777777" w:rsidTr="00935E3E">
        <w:trPr>
          <w:trHeight w:val="300"/>
        </w:trPr>
        <w:tc>
          <w:tcPr>
            <w:tcW w:w="1667" w:type="pct"/>
            <w:noWrap/>
            <w:hideMark/>
          </w:tcPr>
          <w:p w14:paraId="55C90A47" w14:textId="77777777" w:rsidR="00CE7035" w:rsidRPr="004C53C5" w:rsidRDefault="00CE7035" w:rsidP="00935E3E">
            <w:pPr>
              <w:keepNext/>
              <w:rPr>
                <w:rFonts w:eastAsia="Times New Roman"/>
              </w:rPr>
            </w:pPr>
            <w:r w:rsidRPr="004C53C5">
              <w:rPr>
                <w:rFonts w:eastAsia="Times New Roman"/>
              </w:rPr>
              <w:t>No party (1=yes)</w:t>
            </w:r>
          </w:p>
        </w:tc>
        <w:tc>
          <w:tcPr>
            <w:tcW w:w="1667" w:type="pct"/>
            <w:noWrap/>
            <w:hideMark/>
          </w:tcPr>
          <w:p w14:paraId="1C9C3C68" w14:textId="77777777" w:rsidR="00CE7035" w:rsidRPr="004C53C5" w:rsidRDefault="00CE7035" w:rsidP="00935E3E">
            <w:pPr>
              <w:keepNext/>
              <w:ind w:left="1185"/>
              <w:rPr>
                <w:rFonts w:eastAsia="Times New Roman"/>
              </w:rPr>
            </w:pPr>
            <w:r w:rsidRPr="004C53C5">
              <w:rPr>
                <w:rFonts w:eastAsia="Times New Roman"/>
              </w:rPr>
              <w:t>0.11</w:t>
            </w:r>
          </w:p>
        </w:tc>
        <w:tc>
          <w:tcPr>
            <w:tcW w:w="1667" w:type="pct"/>
            <w:noWrap/>
            <w:hideMark/>
          </w:tcPr>
          <w:p w14:paraId="30C629DD" w14:textId="77777777" w:rsidR="00CE7035" w:rsidRPr="004C53C5" w:rsidRDefault="00CE7035" w:rsidP="00935E3E">
            <w:pPr>
              <w:keepNext/>
              <w:ind w:left="1125"/>
              <w:rPr>
                <w:rFonts w:eastAsia="Times New Roman"/>
              </w:rPr>
            </w:pPr>
            <w:r w:rsidRPr="004C53C5">
              <w:rPr>
                <w:rFonts w:eastAsia="Times New Roman"/>
              </w:rPr>
              <w:t>(0.32)</w:t>
            </w:r>
          </w:p>
        </w:tc>
      </w:tr>
      <w:tr w:rsidR="00CE7035" w:rsidRPr="004C53C5" w14:paraId="7712DA3F" w14:textId="77777777" w:rsidTr="00935E3E">
        <w:trPr>
          <w:trHeight w:val="300"/>
        </w:trPr>
        <w:tc>
          <w:tcPr>
            <w:tcW w:w="1667" w:type="pct"/>
            <w:noWrap/>
            <w:hideMark/>
          </w:tcPr>
          <w:p w14:paraId="7AEEB7A0" w14:textId="77777777" w:rsidR="00CE7035" w:rsidRPr="004C53C5" w:rsidRDefault="00CE7035" w:rsidP="00935E3E">
            <w:pPr>
              <w:keepNext/>
              <w:rPr>
                <w:rFonts w:eastAsia="Times New Roman"/>
              </w:rPr>
            </w:pPr>
            <w:r w:rsidRPr="004C53C5">
              <w:rPr>
                <w:rFonts w:eastAsia="Times New Roman"/>
              </w:rPr>
              <w:t>Global warming 'don't know'</w:t>
            </w:r>
          </w:p>
        </w:tc>
        <w:tc>
          <w:tcPr>
            <w:tcW w:w="1667" w:type="pct"/>
            <w:noWrap/>
            <w:hideMark/>
          </w:tcPr>
          <w:p w14:paraId="33075DA7" w14:textId="77777777" w:rsidR="00CE7035" w:rsidRPr="004C53C5" w:rsidRDefault="00CE7035" w:rsidP="00935E3E">
            <w:pPr>
              <w:keepNext/>
              <w:ind w:left="1185"/>
              <w:rPr>
                <w:rFonts w:eastAsia="Times New Roman"/>
              </w:rPr>
            </w:pPr>
            <w:r w:rsidRPr="004C53C5">
              <w:rPr>
                <w:rFonts w:eastAsia="Times New Roman"/>
              </w:rPr>
              <w:t>0.17</w:t>
            </w:r>
          </w:p>
        </w:tc>
        <w:tc>
          <w:tcPr>
            <w:tcW w:w="1667" w:type="pct"/>
            <w:noWrap/>
            <w:hideMark/>
          </w:tcPr>
          <w:p w14:paraId="3CA09221" w14:textId="77777777" w:rsidR="00CE7035" w:rsidRPr="004C53C5" w:rsidRDefault="00CE7035" w:rsidP="00935E3E">
            <w:pPr>
              <w:keepNext/>
              <w:ind w:left="1125"/>
              <w:rPr>
                <w:rFonts w:eastAsia="Times New Roman"/>
              </w:rPr>
            </w:pPr>
            <w:r w:rsidRPr="004C53C5">
              <w:rPr>
                <w:rFonts w:eastAsia="Times New Roman"/>
              </w:rPr>
              <w:t>(0.38)</w:t>
            </w:r>
          </w:p>
        </w:tc>
      </w:tr>
      <w:tr w:rsidR="00CE7035" w:rsidRPr="004C53C5" w14:paraId="6495396F" w14:textId="77777777" w:rsidTr="00935E3E">
        <w:trPr>
          <w:trHeight w:val="300"/>
        </w:trPr>
        <w:tc>
          <w:tcPr>
            <w:tcW w:w="1667" w:type="pct"/>
            <w:noWrap/>
            <w:hideMark/>
          </w:tcPr>
          <w:p w14:paraId="294B900F" w14:textId="77777777" w:rsidR="00CE7035" w:rsidRPr="004C53C5" w:rsidRDefault="00CE7035" w:rsidP="00935E3E">
            <w:pPr>
              <w:keepNext/>
              <w:rPr>
                <w:rFonts w:eastAsia="Times New Roman"/>
              </w:rPr>
            </w:pPr>
            <w:r w:rsidRPr="004C53C5">
              <w:rPr>
                <w:rFonts w:eastAsia="Times New Roman"/>
              </w:rPr>
              <w:t>Global warming 'no'</w:t>
            </w:r>
          </w:p>
        </w:tc>
        <w:tc>
          <w:tcPr>
            <w:tcW w:w="1667" w:type="pct"/>
            <w:noWrap/>
            <w:hideMark/>
          </w:tcPr>
          <w:p w14:paraId="52E25BF3" w14:textId="77777777" w:rsidR="00CE7035" w:rsidRPr="004C53C5" w:rsidRDefault="00CE7035" w:rsidP="00935E3E">
            <w:pPr>
              <w:keepNext/>
              <w:ind w:left="1185"/>
              <w:rPr>
                <w:rFonts w:eastAsia="Times New Roman"/>
              </w:rPr>
            </w:pPr>
            <w:r w:rsidRPr="004C53C5">
              <w:rPr>
                <w:rFonts w:eastAsia="Times New Roman"/>
              </w:rPr>
              <w:t>0.13</w:t>
            </w:r>
          </w:p>
        </w:tc>
        <w:tc>
          <w:tcPr>
            <w:tcW w:w="1667" w:type="pct"/>
            <w:noWrap/>
            <w:hideMark/>
          </w:tcPr>
          <w:p w14:paraId="50EE6493" w14:textId="77777777" w:rsidR="00CE7035" w:rsidRPr="004C53C5" w:rsidRDefault="00CE7035" w:rsidP="00935E3E">
            <w:pPr>
              <w:keepNext/>
              <w:ind w:left="1125"/>
              <w:rPr>
                <w:rFonts w:eastAsia="Times New Roman"/>
              </w:rPr>
            </w:pPr>
            <w:r w:rsidRPr="004C53C5">
              <w:rPr>
                <w:rFonts w:eastAsia="Times New Roman"/>
              </w:rPr>
              <w:t>(0.33)</w:t>
            </w:r>
          </w:p>
        </w:tc>
      </w:tr>
      <w:tr w:rsidR="00CE7035" w:rsidRPr="004C53C5" w14:paraId="507FD4FA" w14:textId="77777777" w:rsidTr="00935E3E">
        <w:trPr>
          <w:trHeight w:val="300"/>
        </w:trPr>
        <w:tc>
          <w:tcPr>
            <w:tcW w:w="1667" w:type="pct"/>
            <w:noWrap/>
            <w:hideMark/>
          </w:tcPr>
          <w:p w14:paraId="4BC955F4" w14:textId="77777777" w:rsidR="00CE7035" w:rsidRPr="004C53C5" w:rsidRDefault="00CE7035" w:rsidP="00935E3E">
            <w:pPr>
              <w:keepNext/>
              <w:rPr>
                <w:rFonts w:eastAsia="Times New Roman"/>
              </w:rPr>
            </w:pPr>
            <w:r w:rsidRPr="004C53C5">
              <w:rPr>
                <w:rFonts w:eastAsia="Times New Roman"/>
              </w:rPr>
              <w:t>Global warming 'yes'</w:t>
            </w:r>
          </w:p>
        </w:tc>
        <w:tc>
          <w:tcPr>
            <w:tcW w:w="1667" w:type="pct"/>
            <w:noWrap/>
            <w:hideMark/>
          </w:tcPr>
          <w:p w14:paraId="05F34A6F" w14:textId="77777777" w:rsidR="00CE7035" w:rsidRPr="004C53C5" w:rsidRDefault="00CE7035" w:rsidP="00935E3E">
            <w:pPr>
              <w:keepNext/>
              <w:ind w:left="1185"/>
              <w:rPr>
                <w:rFonts w:eastAsia="Times New Roman"/>
              </w:rPr>
            </w:pPr>
            <w:r w:rsidRPr="004C53C5">
              <w:rPr>
                <w:rFonts w:eastAsia="Times New Roman"/>
              </w:rPr>
              <w:t>0.70</w:t>
            </w:r>
          </w:p>
        </w:tc>
        <w:tc>
          <w:tcPr>
            <w:tcW w:w="1667" w:type="pct"/>
            <w:noWrap/>
            <w:hideMark/>
          </w:tcPr>
          <w:p w14:paraId="617B412A" w14:textId="77777777" w:rsidR="00CE7035" w:rsidRPr="004C53C5" w:rsidRDefault="00CE7035" w:rsidP="00935E3E">
            <w:pPr>
              <w:keepNext/>
              <w:ind w:left="1125"/>
              <w:rPr>
                <w:rFonts w:eastAsia="Times New Roman"/>
              </w:rPr>
            </w:pPr>
            <w:r w:rsidRPr="004C53C5">
              <w:rPr>
                <w:rFonts w:eastAsia="Times New Roman"/>
              </w:rPr>
              <w:t>(0.46)</w:t>
            </w:r>
          </w:p>
        </w:tc>
      </w:tr>
      <w:tr w:rsidR="00CE7035" w:rsidRPr="004C53C5" w14:paraId="6DADD518" w14:textId="77777777" w:rsidTr="00935E3E">
        <w:trPr>
          <w:trHeight w:val="300"/>
        </w:trPr>
        <w:tc>
          <w:tcPr>
            <w:tcW w:w="1667" w:type="pct"/>
            <w:noWrap/>
            <w:hideMark/>
          </w:tcPr>
          <w:p w14:paraId="531A6A2A" w14:textId="77777777" w:rsidR="00CE7035" w:rsidRPr="004C53C5" w:rsidRDefault="00CE7035" w:rsidP="00935E3E">
            <w:pPr>
              <w:keepNext/>
              <w:rPr>
                <w:rFonts w:eastAsia="Times New Roman"/>
              </w:rPr>
            </w:pPr>
            <w:r w:rsidRPr="004C53C5">
              <w:rPr>
                <w:rFonts w:eastAsia="Times New Roman"/>
              </w:rPr>
              <w:t>Global warming 'no, very sure'</w:t>
            </w:r>
          </w:p>
        </w:tc>
        <w:tc>
          <w:tcPr>
            <w:tcW w:w="1667" w:type="pct"/>
            <w:noWrap/>
            <w:hideMark/>
          </w:tcPr>
          <w:p w14:paraId="3767A3F3" w14:textId="77777777" w:rsidR="00CE7035" w:rsidRPr="004C53C5" w:rsidRDefault="00CE7035" w:rsidP="00935E3E">
            <w:pPr>
              <w:keepNext/>
              <w:ind w:left="1185"/>
              <w:rPr>
                <w:rFonts w:eastAsia="Times New Roman"/>
              </w:rPr>
            </w:pPr>
            <w:r w:rsidRPr="004C53C5">
              <w:rPr>
                <w:rFonts w:eastAsia="Times New Roman"/>
              </w:rPr>
              <w:t>0.53</w:t>
            </w:r>
          </w:p>
        </w:tc>
        <w:tc>
          <w:tcPr>
            <w:tcW w:w="1667" w:type="pct"/>
            <w:noWrap/>
            <w:hideMark/>
          </w:tcPr>
          <w:p w14:paraId="1E098130" w14:textId="77777777" w:rsidR="00CE7035" w:rsidRPr="004C53C5" w:rsidRDefault="00CE7035" w:rsidP="00935E3E">
            <w:pPr>
              <w:keepNext/>
              <w:ind w:left="1125"/>
              <w:rPr>
                <w:rFonts w:eastAsia="Times New Roman"/>
              </w:rPr>
            </w:pPr>
            <w:r w:rsidRPr="004C53C5">
              <w:rPr>
                <w:rFonts w:eastAsia="Times New Roman"/>
              </w:rPr>
              <w:t>(0.50)</w:t>
            </w:r>
          </w:p>
        </w:tc>
      </w:tr>
      <w:tr w:rsidR="00CE7035" w:rsidRPr="004C53C5" w14:paraId="33D8F6FB" w14:textId="77777777" w:rsidTr="00935E3E">
        <w:trPr>
          <w:trHeight w:val="300"/>
        </w:trPr>
        <w:tc>
          <w:tcPr>
            <w:tcW w:w="1667" w:type="pct"/>
            <w:tcBorders>
              <w:bottom w:val="single" w:sz="4" w:space="0" w:color="auto"/>
            </w:tcBorders>
            <w:noWrap/>
            <w:hideMark/>
          </w:tcPr>
          <w:p w14:paraId="40D4DE93" w14:textId="77777777" w:rsidR="00CE7035" w:rsidRPr="004C53C5" w:rsidRDefault="00CE7035" w:rsidP="00935E3E">
            <w:pPr>
              <w:keepNext/>
              <w:rPr>
                <w:rFonts w:eastAsia="Times New Roman"/>
              </w:rPr>
            </w:pPr>
            <w:r w:rsidRPr="004C53C5">
              <w:rPr>
                <w:rFonts w:eastAsia="Times New Roman"/>
              </w:rPr>
              <w:t>Global warming 'yes, very sure'</w:t>
            </w:r>
          </w:p>
        </w:tc>
        <w:tc>
          <w:tcPr>
            <w:tcW w:w="1667" w:type="pct"/>
            <w:tcBorders>
              <w:bottom w:val="single" w:sz="4" w:space="0" w:color="auto"/>
            </w:tcBorders>
            <w:noWrap/>
            <w:hideMark/>
          </w:tcPr>
          <w:p w14:paraId="416B73C3" w14:textId="77777777" w:rsidR="00CE7035" w:rsidRPr="004C53C5" w:rsidRDefault="00CE7035" w:rsidP="00935E3E">
            <w:pPr>
              <w:keepNext/>
              <w:ind w:left="1185"/>
              <w:rPr>
                <w:rFonts w:eastAsia="Times New Roman"/>
              </w:rPr>
            </w:pPr>
            <w:r w:rsidRPr="004C53C5">
              <w:rPr>
                <w:rFonts w:eastAsia="Times New Roman"/>
              </w:rPr>
              <w:t>0.64</w:t>
            </w:r>
          </w:p>
        </w:tc>
        <w:tc>
          <w:tcPr>
            <w:tcW w:w="1667" w:type="pct"/>
            <w:tcBorders>
              <w:bottom w:val="single" w:sz="4" w:space="0" w:color="auto"/>
            </w:tcBorders>
            <w:noWrap/>
            <w:hideMark/>
          </w:tcPr>
          <w:p w14:paraId="5244C8D2" w14:textId="77777777" w:rsidR="00CE7035" w:rsidRPr="004C53C5" w:rsidRDefault="00CE7035" w:rsidP="00935E3E">
            <w:pPr>
              <w:keepNext/>
              <w:ind w:left="1125"/>
              <w:rPr>
                <w:rFonts w:eastAsia="Times New Roman"/>
              </w:rPr>
            </w:pPr>
            <w:r w:rsidRPr="004C53C5">
              <w:rPr>
                <w:rFonts w:eastAsia="Times New Roman"/>
              </w:rPr>
              <w:t>(0.48)</w:t>
            </w:r>
          </w:p>
        </w:tc>
      </w:tr>
      <w:tr w:rsidR="00CE7035" w:rsidRPr="004C53C5" w14:paraId="67ECEE60" w14:textId="77777777" w:rsidTr="00935E3E">
        <w:trPr>
          <w:trHeight w:val="908"/>
        </w:trPr>
        <w:tc>
          <w:tcPr>
            <w:tcW w:w="5000" w:type="pct"/>
            <w:gridSpan w:val="3"/>
            <w:tcBorders>
              <w:top w:val="single" w:sz="4" w:space="0" w:color="auto"/>
            </w:tcBorders>
            <w:hideMark/>
          </w:tcPr>
          <w:p w14:paraId="2587DB18" w14:textId="6DD243B1" w:rsidR="00CE7035" w:rsidRPr="004C53C5" w:rsidRDefault="00CE7035" w:rsidP="00935E3E">
            <w:pPr>
              <w:keepNext/>
              <w:rPr>
                <w:rFonts w:eastAsia="Times New Roman"/>
                <w:sz w:val="18"/>
                <w:szCs w:val="18"/>
              </w:rPr>
            </w:pPr>
            <w:r w:rsidRPr="004C53C5">
              <w:rPr>
                <w:rFonts w:eastAsia="Times New Roman"/>
                <w:sz w:val="18"/>
                <w:szCs w:val="18"/>
              </w:rPr>
              <w:t>Reported as</w:t>
            </w:r>
            <w:r>
              <w:rPr>
                <w:rFonts w:eastAsia="Times New Roman"/>
                <w:sz w:val="18"/>
                <w:szCs w:val="18"/>
              </w:rPr>
              <w:t xml:space="preserve"> survey</w:t>
            </w:r>
            <w:r w:rsidRPr="004C53C5">
              <w:rPr>
                <w:rFonts w:eastAsia="Times New Roman"/>
                <w:sz w:val="18"/>
                <w:szCs w:val="18"/>
              </w:rPr>
              <w:t xml:space="preserve"> weighted statistics for sample representativeness using standard methodologies.</w:t>
            </w:r>
            <w:r w:rsidR="00E76B43">
              <w:rPr>
                <w:rFonts w:eastAsia="Times New Roman"/>
                <w:sz w:val="18"/>
                <w:szCs w:val="18"/>
              </w:rPr>
              <w:t xml:space="preserve">  Political affiliation responses include those indicating political leaning rather than formal affiliation.</w:t>
            </w:r>
            <w:r w:rsidRPr="004C53C5">
              <w:rPr>
                <w:rFonts w:eastAsia="Times New Roman"/>
                <w:sz w:val="18"/>
                <w:szCs w:val="18"/>
              </w:rPr>
              <w:t xml:space="preserve">  The reported statistics for global warming 'no, very sure' and global warming 'yes, very sure' are conditional on the respondent answering no or yes to believing in global warming (n=169 and 863), respectively.  The number of all other observations are 1226 except for political affiliation where one respondent declined to respond.</w:t>
            </w:r>
          </w:p>
        </w:tc>
      </w:tr>
    </w:tbl>
    <w:p w14:paraId="0781BDBB" w14:textId="24C2B815" w:rsidR="00CE7035" w:rsidRDefault="00CE7035" w:rsidP="0052424D">
      <w:pPr>
        <w:spacing w:before="120" w:line="360" w:lineRule="auto"/>
      </w:pPr>
      <w:r>
        <w:t>Among the range</w:t>
      </w:r>
      <w:r w:rsidR="00223772">
        <w:t xml:space="preserve"> of questions on global warming, we ask </w:t>
      </w:r>
      <w:r>
        <w:t>whether respondents support or oppose a tax on fossil fuels that will impact them through higher energy bills and how they would like to see the revenue spent.  Three questions are central to the study.  In order, respondents are first prompted on distributional preferences across categories:</w:t>
      </w:r>
    </w:p>
    <w:p w14:paraId="17587525" w14:textId="77777777" w:rsidR="00CE7035" w:rsidRDefault="00CE7035" w:rsidP="0052424D">
      <w:pPr>
        <w:spacing w:after="0"/>
        <w:ind w:left="360"/>
        <w:rPr>
          <w:i/>
        </w:rPr>
      </w:pPr>
      <w:r w:rsidRPr="00443852">
        <w:rPr>
          <w:i/>
        </w:rPr>
        <w:t xml:space="preserve">Congress may consider a tax on fossil fuels (coal, oil, and natural gas) to help reduce global warming. If implemented, how would you </w:t>
      </w:r>
      <w:r>
        <w:rPr>
          <w:i/>
        </w:rPr>
        <w:t>like to see the tax money used?</w:t>
      </w:r>
    </w:p>
    <w:p w14:paraId="3792C77C" w14:textId="77777777" w:rsidR="00CE7035" w:rsidRDefault="00CE7035" w:rsidP="00CE7035">
      <w:pPr>
        <w:ind w:left="360"/>
        <w:rPr>
          <w:i/>
        </w:rPr>
      </w:pPr>
      <w:r w:rsidRPr="00443852">
        <w:rPr>
          <w:i/>
        </w:rPr>
        <w:t>“I would like to see the money used to…” (Please respond either “yes” or “no” for each option).</w:t>
      </w:r>
    </w:p>
    <w:p w14:paraId="14FBBEFC" w14:textId="77777777" w:rsidR="00CE7035" w:rsidRDefault="00CE7035" w:rsidP="0052424D">
      <w:pPr>
        <w:spacing w:line="360" w:lineRule="auto"/>
      </w:pPr>
      <w:r>
        <w:t>Respondents are then given the eleven choices presented in Table 2 where the eleventh is a text entry “Other” option and order presented is randomized save for “Other” which always appears last.  Immediately following, respondents are prompted to note their distributional preferences for revenues:</w:t>
      </w:r>
    </w:p>
    <w:p w14:paraId="18DA8258" w14:textId="77777777" w:rsidR="00CE7035" w:rsidRPr="00A13CFA" w:rsidRDefault="00CE7035" w:rsidP="0052424D">
      <w:pPr>
        <w:spacing w:after="0"/>
        <w:ind w:left="360"/>
        <w:rPr>
          <w:i/>
        </w:rPr>
      </w:pPr>
      <w:r w:rsidRPr="00A13CFA">
        <w:rPr>
          <w:i/>
        </w:rPr>
        <w:t xml:space="preserve">Displayed below are the ways you said you would like to see fossil fuel tax money spent. What percentage of the total fossil fuel tax revenues would you like to see used for each option?  </w:t>
      </w:r>
    </w:p>
    <w:p w14:paraId="11C737AC" w14:textId="77777777" w:rsidR="00CE7035" w:rsidRDefault="00CE7035" w:rsidP="00CE7035">
      <w:pPr>
        <w:ind w:left="360"/>
        <w:rPr>
          <w:i/>
        </w:rPr>
      </w:pPr>
      <w:r w:rsidRPr="00A13CFA">
        <w:rPr>
          <w:i/>
        </w:rPr>
        <w:t>Enter a number between 0% and 100% for each option. Please make sure your total equals 100%.</w:t>
      </w:r>
    </w:p>
    <w:p w14:paraId="22AF82D3" w14:textId="37E0FD84" w:rsidR="00CE7035" w:rsidRDefault="00CE7035" w:rsidP="0052424D">
      <w:pPr>
        <w:spacing w:line="360" w:lineRule="auto"/>
      </w:pPr>
      <w:r>
        <w:t xml:space="preserve">where only the expenditure options the respondent had previously chosen remain.  The respondents are provided a running total and requirement that their distribution sums to 100-percent to aid computation.  Some of the categories presented would reduce the public’s tax burden by offsetting </w:t>
      </w:r>
      <w:r w:rsidR="001219E7">
        <w:t>unrelated</w:t>
      </w:r>
      <w:r>
        <w:t xml:space="preserve"> taxes</w:t>
      </w:r>
      <w:r w:rsidR="009F5671">
        <w:t xml:space="preserve">, </w:t>
      </w:r>
      <w:r>
        <w:t>while others are related to mitigating the effects of both climate change and the fossil fuel tax</w:t>
      </w:r>
      <w:r w:rsidR="009F5671">
        <w:t xml:space="preserve"> directly</w:t>
      </w:r>
      <w:r>
        <w:t>.</w:t>
      </w:r>
    </w:p>
    <w:p w14:paraId="423A9B1D" w14:textId="72650783" w:rsidR="00CE7035" w:rsidRDefault="00CE7035" w:rsidP="0052424D">
      <w:pPr>
        <w:spacing w:before="120" w:line="360" w:lineRule="auto"/>
      </w:pPr>
      <w:r>
        <w:lastRenderedPageBreak/>
        <w:t>The final core question of our analysis supports development of the WTP estimate.  Respondents are asked about willingness to pay to reduce global warming via a tax on fossil fuels following a standard stated preference, dichotomous choice methodology as recommended for contingent valuation (Arrow et al</w:t>
      </w:r>
      <w:r w:rsidR="00AA613A">
        <w:t>., 1993</w:t>
      </w:r>
      <w:r>
        <w:t>):</w:t>
      </w:r>
    </w:p>
    <w:p w14:paraId="5D5D85CB" w14:textId="77777777" w:rsidR="00CE7035" w:rsidRDefault="00CE7035" w:rsidP="00CE7035">
      <w:pPr>
        <w:ind w:left="360"/>
        <w:rPr>
          <w:i/>
        </w:rPr>
      </w:pPr>
      <w:r w:rsidRPr="0068733F">
        <w:rPr>
          <w:i/>
        </w:rPr>
        <w:t xml:space="preserve">If a tax on fossil fuels (coal, oil, and natural gas) to help reduce global warming, were to cost your household </w:t>
      </w:r>
      <w:r w:rsidRPr="00E2424E">
        <w:rPr>
          <w:b/>
          <w:i/>
        </w:rPr>
        <w:t>[insert randomized bid amount]</w:t>
      </w:r>
      <w:r w:rsidRPr="0068733F">
        <w:rPr>
          <w:i/>
        </w:rPr>
        <w:t xml:space="preserve"> more </w:t>
      </w:r>
      <w:r w:rsidRPr="0068733F">
        <w:rPr>
          <w:b/>
          <w:i/>
        </w:rPr>
        <w:t>each year</w:t>
      </w:r>
      <w:r w:rsidRPr="0068733F">
        <w:rPr>
          <w:i/>
        </w:rPr>
        <w:t xml:space="preserve"> in higher energy bills, would you support or oppose it?</w:t>
      </w:r>
    </w:p>
    <w:p w14:paraId="67E2A9EA" w14:textId="77777777" w:rsidR="00CE7035" w:rsidRDefault="00CE7035" w:rsidP="0052424D">
      <w:pPr>
        <w:spacing w:line="360" w:lineRule="auto"/>
      </w:pPr>
      <w:r>
        <w:t>The randomized bid amounts offered are $5, $25, $45, $65, $85, $105, $135, and $155 where the middle four are presented at twice the frequency.  This distribution was chosen due to ex ante expectations of a mean willingness to pay measure near the middle of the bid spectrum.</w:t>
      </w:r>
    </w:p>
    <w:p w14:paraId="7D9D68CB" w14:textId="6BB6CE68" w:rsidR="00CE7035" w:rsidRDefault="009F5671" w:rsidP="0052424D">
      <w:pPr>
        <w:spacing w:line="360" w:lineRule="auto"/>
      </w:pPr>
      <w:r>
        <w:t>The</w:t>
      </w:r>
      <w:r w:rsidR="00CE7035">
        <w:t xml:space="preserve"> estimat</w:t>
      </w:r>
      <w:r>
        <w:t>ion of</w:t>
      </w:r>
      <w:r w:rsidR="00CE7035">
        <w:t xml:space="preserve"> willingness to pay</w:t>
      </w:r>
      <w:r>
        <w:t xml:space="preserve"> is performed with a</w:t>
      </w:r>
      <w:r w:rsidR="00CE7035">
        <w:t xml:space="preserve"> set of logit specifications</w:t>
      </w:r>
      <w:r>
        <w:t>.</w:t>
      </w:r>
      <w:r w:rsidR="00CE7035">
        <w:t xml:space="preserve">  In each, the dependent variable is a binary representation of whether the respondent supports (support=1) or opposes the tax policy at the randomly assigned bid amount which is an independent variable in the specification.  The models include standard demographics (education, gender, income, etc.) and political affiliation.  </w:t>
      </w:r>
      <w:r>
        <w:t>TO the model are added</w:t>
      </w:r>
      <w:r w:rsidR="00CE7035">
        <w:t xml:space="preserve"> indicators of whether the respondent believes global warming is happening as collected with the prompt: </w:t>
      </w:r>
    </w:p>
    <w:p w14:paraId="1ACA3E71" w14:textId="77777777" w:rsidR="00CE7035" w:rsidRDefault="00CE7035" w:rsidP="0052424D">
      <w:pPr>
        <w:spacing w:after="0"/>
        <w:ind w:left="360"/>
        <w:rPr>
          <w:i/>
        </w:rPr>
      </w:pPr>
      <w:r w:rsidRPr="00E2424E">
        <w:rPr>
          <w:i/>
        </w:rPr>
        <w:t xml:space="preserve">Recently, you may have noticed that global warming has been getting some attention in the news. Global warming refers to the idea that the world’s average temperature has been increasing over the past 150 years, may be increasing more in the future, and that the world’s </w:t>
      </w:r>
      <w:r>
        <w:rPr>
          <w:i/>
        </w:rPr>
        <w:t>climate may change as a result.</w:t>
      </w:r>
    </w:p>
    <w:p w14:paraId="5BCA30EB" w14:textId="77777777" w:rsidR="00CE7035" w:rsidRPr="00E2424E" w:rsidRDefault="00CE7035" w:rsidP="00CE7035">
      <w:pPr>
        <w:ind w:left="360"/>
        <w:rPr>
          <w:i/>
        </w:rPr>
      </w:pPr>
      <w:r w:rsidRPr="00E2424E">
        <w:rPr>
          <w:i/>
        </w:rPr>
        <w:t>What do you think: Do you think that global warming is happening?</w:t>
      </w:r>
    </w:p>
    <w:p w14:paraId="76C3863A" w14:textId="6079B541" w:rsidR="00CE7035" w:rsidRDefault="00CE7035" w:rsidP="0052424D">
      <w:pPr>
        <w:spacing w:line="360" w:lineRule="auto"/>
      </w:pPr>
      <w:r>
        <w:t>A response</w:t>
      </w:r>
      <w:r w:rsidRPr="00E2424E">
        <w:t xml:space="preserve"> </w:t>
      </w:r>
      <w:r>
        <w:t>of “</w:t>
      </w:r>
      <w:r w:rsidRPr="00E2424E">
        <w:t>don’t know</w:t>
      </w:r>
      <w:r>
        <w:t>” is used as the base case (16-percent of respondents) and “</w:t>
      </w:r>
      <w:r w:rsidRPr="00E2424E">
        <w:t>yes</w:t>
      </w:r>
      <w:r>
        <w:t xml:space="preserve">” and “no” are included as indicator variables.  In </w:t>
      </w:r>
      <w:r w:rsidR="009F5671">
        <w:t>another specification</w:t>
      </w:r>
      <w:r>
        <w:t xml:space="preserve"> dummy variables indicating how sure respondents are that global warming is or is not happening are also added.  Respondents that did not answer “don’t know” to the previous prompt are queried how strongly they believe their position and those who indicate either “</w:t>
      </w:r>
      <w:r w:rsidRPr="00195353">
        <w:t>very sure</w:t>
      </w:r>
      <w:r>
        <w:t>”</w:t>
      </w:r>
      <w:r w:rsidRPr="00195353">
        <w:t xml:space="preserve"> or </w:t>
      </w:r>
      <w:r>
        <w:t>“</w:t>
      </w:r>
      <w:r w:rsidRPr="00195353">
        <w:t>extremely sure</w:t>
      </w:r>
      <w:r>
        <w:t>” are denoted.</w:t>
      </w:r>
    </w:p>
    <w:p w14:paraId="46015DA0" w14:textId="708E46E8" w:rsidR="00CE7035" w:rsidRDefault="00CE7035" w:rsidP="0052424D">
      <w:pPr>
        <w:spacing w:before="120" w:line="360" w:lineRule="auto"/>
      </w:pPr>
      <w:r>
        <w:t>From the logit model estimates</w:t>
      </w:r>
      <w:r w:rsidR="009F5671">
        <w:t>,</w:t>
      </w:r>
      <w:r>
        <w:t xml:space="preserve"> WTP is derived by </w:t>
      </w:r>
      <w:r w:rsidR="009F5671">
        <w:t>a few</w:t>
      </w:r>
      <w:r>
        <w:t xml:space="preserve"> methodologies.  The primary result follows Hanemann’s specification (Hanemann, 1984, 1989) for admitting the possibility of negative WTP, or opposition, to the proposed policy.  This methodology finds the mean WTP </w:t>
      </w:r>
      <w:r w:rsidR="009F5671">
        <w:t>as the</w:t>
      </w:r>
      <w:r>
        <w:t xml:space="preserve"> bid amount that results in respondents being indifferent between supporting the policy or not on average.  To derive this, the coefficient estimates are multiplied by their mean values excluding the bid coefficient</w:t>
      </w:r>
      <w:r w:rsidR="009F5671">
        <w:t>,</w:t>
      </w:r>
      <w:r>
        <w:t xml:space="preserve"> then added to the constant.  Divided by the bid coefficient, this then presents mean (equal to median according to the underlying theory) WTP without excluding those with negative values.  A confidence interval is also </w:t>
      </w:r>
      <w:r>
        <w:lastRenderedPageBreak/>
        <w:t>estimated using the Krinsky and Robb (1986) simulation method.  This method makes no assumption of confidence interval symmetry around the point estimate.</w:t>
      </w:r>
    </w:p>
    <w:p w14:paraId="3D719506" w14:textId="02B8BA3F" w:rsidR="00CE7035" w:rsidRDefault="00CE7035" w:rsidP="0052424D">
      <w:pPr>
        <w:spacing w:before="120" w:line="360" w:lineRule="auto"/>
      </w:pPr>
      <w:r>
        <w:t>As a non-parametric alternative, the Turnbull non-parametric estimator is used (Carson, 1994a) which estimates possible mean WTP without resorting to the logit specification.</w:t>
      </w:r>
      <w:r w:rsidR="00A457BE">
        <w:t xml:space="preserve">  This is a particularly important check when the logit model based WTP is estimated to be outside the range of bids offered.</w:t>
      </w:r>
      <w:r>
        <w:t xml:space="preserve">  At a minimum, this estimator establishes a robust lower bound inclusive of any mass of respondents with zero WTP.  As an additional check, Kristrom’s spike model is also used (Kristrom, 1997).  To </w:t>
      </w:r>
      <w:r w:rsidR="009F5671">
        <w:t>use</w:t>
      </w:r>
      <w:r>
        <w:t>, it must first be determined whether the respondent is willing to pay at all to help reduce global warming</w:t>
      </w:r>
      <w:r w:rsidR="009F5671">
        <w:t>,</w:t>
      </w:r>
      <w:r>
        <w:t xml:space="preserve"> then conditionally offer a bid amount to the respondent.  For the screening question, a survey prompt is presented to respondents prior to the other questions in this study:</w:t>
      </w:r>
    </w:p>
    <w:p w14:paraId="496ECF1C" w14:textId="77777777" w:rsidR="00CE7035" w:rsidRPr="00A563CC" w:rsidRDefault="00CE7035" w:rsidP="0052424D">
      <w:pPr>
        <w:spacing w:before="120" w:after="0"/>
        <w:ind w:left="360"/>
        <w:rPr>
          <w:i/>
        </w:rPr>
      </w:pPr>
      <w:r w:rsidRPr="00A563CC">
        <w:rPr>
          <w:i/>
        </w:rPr>
        <w:t xml:space="preserve">How much do you support or oppose the following policy? </w:t>
      </w:r>
    </w:p>
    <w:p w14:paraId="3B0C4D66" w14:textId="77777777" w:rsidR="00CE7035" w:rsidRPr="00A563CC" w:rsidRDefault="00CE7035" w:rsidP="00CE7035">
      <w:pPr>
        <w:ind w:left="360"/>
        <w:rPr>
          <w:i/>
        </w:rPr>
      </w:pPr>
      <w:r w:rsidRPr="00A563CC">
        <w:rPr>
          <w:i/>
        </w:rPr>
        <w:t>Set strict carbon dioxide emission limits on existing coal-fired power plants to reduce global warming and improve public health. Power plants would have to reduce their emissions and/or invest in renewable energy and energy efficiency. The cost of electricity to consumers and companies would likely increase.</w:t>
      </w:r>
    </w:p>
    <w:p w14:paraId="62020EEE" w14:textId="4221B572" w:rsidR="00F76B72" w:rsidRDefault="00CE7035" w:rsidP="0052424D">
      <w:pPr>
        <w:spacing w:line="360" w:lineRule="auto"/>
      </w:pPr>
      <w:r>
        <w:t>Respondents are given the option to either somewhat or strongly support or oppose the policy and it is taken that any support of the policy indicates at least some willingness to pay.  It is noted this is not a 100-percent equivalent prompt.  It presents a scenario of government oversight but without suggesting a tax will be imposed.  Some respondents may be particularly opposed to such a framework, while others may instead strongly oppose the primary tax scenario prompt.  For perspective, in another question it is queried whether respondents prefer taxes or regulation (or are indifferent, uninformed, or opposed to both) and find respondents strictly prefer taxes or regulation in similar shares: 11-percent and 16-percent, respectively.  It is also noted that in total respondents prefer either tax, regulation, or both in 75-percent of cases which is similar to the share supporting the near-costless bid of $5</w:t>
      </w:r>
      <w:r w:rsidR="009F5671">
        <w:t xml:space="preserve"> in the results to follow</w:t>
      </w:r>
      <w:r>
        <w:t xml:space="preserve"> (77.5-percent support).  However, due to the potential mismatch of screening and estimation questions, the Kristrom’s spike model is estimated as a check on WTP rather than as the primary result.</w:t>
      </w:r>
    </w:p>
    <w:p w14:paraId="0403A83E" w14:textId="77777777" w:rsidR="00F76B72" w:rsidRDefault="00684A91" w:rsidP="0052424D">
      <w:pPr>
        <w:pStyle w:val="Heading1"/>
        <w:spacing w:line="360" w:lineRule="auto"/>
      </w:pPr>
      <w:bookmarkStart w:id="7" w:name="_Toc479624356"/>
      <w:bookmarkStart w:id="8" w:name="_Toc482127030"/>
      <w:bookmarkStart w:id="9" w:name="_Toc482187980"/>
      <w:r>
        <w:t>R</w:t>
      </w:r>
      <w:r w:rsidR="00F76B72">
        <w:t>esults</w:t>
      </w:r>
      <w:bookmarkEnd w:id="7"/>
      <w:bookmarkEnd w:id="8"/>
      <w:bookmarkEnd w:id="9"/>
    </w:p>
    <w:p w14:paraId="1B59F598" w14:textId="64C852F3" w:rsidR="00F76B72" w:rsidRPr="00B56B8D" w:rsidRDefault="009F5671" w:rsidP="0052424D">
      <w:pPr>
        <w:spacing w:line="360" w:lineRule="auto"/>
      </w:pPr>
      <w:r>
        <w:t>This</w:t>
      </w:r>
      <w:r w:rsidR="002777D2">
        <w:t xml:space="preserve"> section </w:t>
      </w:r>
      <w:r>
        <w:t>leads with</w:t>
      </w:r>
      <w:r w:rsidR="002777D2">
        <w:t xml:space="preserve"> expenditure preference results, then marginal effect coefficients from a set of regressions used in deriving willingness to pay, and finally the primary and alternative WTP estimates.  </w:t>
      </w:r>
      <w:r w:rsidR="00684A91">
        <w:t>In</w:t>
      </w:r>
      <w:r>
        <w:t xml:space="preserve"> context</w:t>
      </w:r>
      <w:r w:rsidR="00F76B72">
        <w:t xml:space="preserve"> the general levels of support </w:t>
      </w:r>
      <w:r w:rsidR="00684A91">
        <w:t>this study</w:t>
      </w:r>
      <w:r w:rsidR="00F76B72">
        <w:t xml:space="preserve"> find</w:t>
      </w:r>
      <w:r w:rsidR="00684A91">
        <w:t>s</w:t>
      </w:r>
      <w:r w:rsidR="00F76B72">
        <w:t xml:space="preserve"> are not surprising.  In a separate question in the study </w:t>
      </w:r>
      <w:r w:rsidR="00B166E8">
        <w:t>survey respondents are asked for their</w:t>
      </w:r>
      <w:r w:rsidR="00F76B72">
        <w:t xml:space="preserve"> preferences for policy instruments.  </w:t>
      </w:r>
      <w:r w:rsidR="00B166E8">
        <w:t>They are asked whether they</w:t>
      </w:r>
      <w:r w:rsidR="00F76B72">
        <w:t xml:space="preserve"> prefer taxes, regulation, freeing the regulator to do both, doing neither, or stating they don’t know.  In total, 76-percent of respondents report a preference for regulation and/or taxation on fossil fuels to reduce </w:t>
      </w:r>
      <w:r w:rsidR="00F76B72">
        <w:lastRenderedPageBreak/>
        <w:t xml:space="preserve">global warming, and of these 59.3-percent select either using a tax or both.  </w:t>
      </w:r>
      <w:r w:rsidR="00B166E8">
        <w:t>E</w:t>
      </w:r>
      <w:r w:rsidR="00F76B72">
        <w:t xml:space="preserve">xcluding those that respond “don’t know”, 68.7-percent select a tax or both.  This level of support for taxation is in line with the recent, and </w:t>
      </w:r>
      <w:r w:rsidR="00B166E8">
        <w:t>rather</w:t>
      </w:r>
      <w:r w:rsidR="00F76B72">
        <w:t xml:space="preserve"> unexpected, proposal by conservative leaders for a tax on CO</w:t>
      </w:r>
      <w:r w:rsidR="00F76B72">
        <w:rPr>
          <w:vertAlign w:val="subscript"/>
        </w:rPr>
        <w:t>2</w:t>
      </w:r>
      <w:r w:rsidR="00F76B72">
        <w:t xml:space="preserve"> emissions.</w:t>
      </w:r>
    </w:p>
    <w:p w14:paraId="652F7BFE" w14:textId="0B267AFE" w:rsidR="00F76B72" w:rsidRDefault="00F76B72" w:rsidP="0052424D">
      <w:pPr>
        <w:spacing w:line="360" w:lineRule="auto"/>
      </w:pPr>
      <w:r>
        <w:t>The results o</w:t>
      </w:r>
      <w:r w:rsidR="001000EA">
        <w:t>n</w:t>
      </w:r>
      <w:r>
        <w:t xml:space="preserve"> tax allocation </w:t>
      </w:r>
      <w:r w:rsidR="001000EA">
        <w:t>preferences</w:t>
      </w:r>
      <w:r>
        <w:t xml:space="preserve"> are presented in Table </w:t>
      </w:r>
      <w:r w:rsidR="001000EA">
        <w:t>2</w:t>
      </w:r>
      <w:r>
        <w:t xml:space="preserve">. </w:t>
      </w:r>
      <w:r w:rsidR="001000EA">
        <w:t>It</w:t>
      </w:r>
      <w:r>
        <w:t xml:space="preserve"> report</w:t>
      </w:r>
      <w:r w:rsidR="001000EA">
        <w:t>s</w:t>
      </w:r>
      <w:r>
        <w:t xml:space="preserve"> both the binary response of whether respondents support</w:t>
      </w:r>
      <w:r w:rsidR="001000EA">
        <w:t xml:space="preserve"> an</w:t>
      </w:r>
      <w:r>
        <w:t xml:space="preserve"> expenditure </w:t>
      </w:r>
      <w:r w:rsidR="001000EA">
        <w:t>from</w:t>
      </w:r>
      <w:r>
        <w:t xml:space="preserve"> the tax on the category</w:t>
      </w:r>
      <w:r w:rsidR="001000EA">
        <w:t>,</w:t>
      </w:r>
      <w:r>
        <w:t xml:space="preserve"> and an average percent allotment measure.  The mean allotment to each category including respondents who allot zero funds by not supporting the expenditure category and so represents the preferences of all respondents.  By asking respondents to allocate between several expenditure schemes, </w:t>
      </w:r>
      <w:r w:rsidR="001000EA">
        <w:t>this</w:t>
      </w:r>
      <w:r>
        <w:t xml:space="preserve"> report</w:t>
      </w:r>
      <w:r w:rsidR="001000EA">
        <w:t>s</w:t>
      </w:r>
      <w:r>
        <w:t xml:space="preserve"> on </w:t>
      </w:r>
      <w:r w:rsidR="001000EA">
        <w:t>the</w:t>
      </w:r>
      <w:r>
        <w:t xml:space="preserve"> sort of tax revenue uses Americans find appropriate for a carbon tax.  These can loosely be divided into global warming specific- those assisting communities and individuals displaced by th</w:t>
      </w:r>
      <w:r w:rsidR="001000EA">
        <w:t>e tax or global warming, and</w:t>
      </w:r>
      <w:r>
        <w:t xml:space="preserve"> non-</w:t>
      </w:r>
      <w:r w:rsidR="001000EA">
        <w:t xml:space="preserve">global warming </w:t>
      </w:r>
      <w:r>
        <w:t xml:space="preserve">specific.  This allows a </w:t>
      </w:r>
      <w:r w:rsidR="001000EA">
        <w:t>limited</w:t>
      </w:r>
      <w:r>
        <w:t xml:space="preserve"> exploration of respondent mental accounting</w:t>
      </w:r>
      <w:r w:rsidR="00A457BE">
        <w:t xml:space="preserve"> </w:t>
      </w:r>
      <w:r>
        <w:t>- do they see a tax on fossil fuels as only appropriately spent on energy concerns</w:t>
      </w:r>
      <w:r w:rsidR="001000EA">
        <w:t>,</w:t>
      </w:r>
      <w:r>
        <w:t xml:space="preserve"> or as fluid within the full set of budget concerns?  </w:t>
      </w:r>
      <w:r w:rsidR="001000EA">
        <w:t>E</w:t>
      </w:r>
      <w:r>
        <w:t xml:space="preserve">xpenditure possibilities </w:t>
      </w:r>
      <w:r w:rsidR="001000EA">
        <w:t>include public goods provision such as</w:t>
      </w:r>
      <w:r>
        <w:t xml:space="preserve"> infrastructure and na</w:t>
      </w:r>
      <w:r w:rsidR="001000EA">
        <w:t>tional debt, as well as private such as</w:t>
      </w:r>
      <w:r>
        <w:t xml:space="preserve"> reduction in other taxes or</w:t>
      </w:r>
      <w:r w:rsidR="001000EA">
        <w:t xml:space="preserve"> use</w:t>
      </w:r>
      <w:r>
        <w:t xml:space="preserve"> as an income source.  Some results are not surprising</w:t>
      </w:r>
      <w:r w:rsidR="009F5671">
        <w:t xml:space="preserve"> </w:t>
      </w:r>
      <w:r>
        <w:t>- those that support a tax on fossil fuels also support clean energy</w:t>
      </w:r>
      <w:r w:rsidR="001000EA">
        <w:t xml:space="preserve"> (17.3-percent allotment). </w:t>
      </w:r>
      <w:r>
        <w:t xml:space="preserve"> </w:t>
      </w:r>
      <w:r w:rsidR="001000EA">
        <w:t>T</w:t>
      </w:r>
      <w:r>
        <w:t>he general public</w:t>
      </w:r>
      <w:r w:rsidR="001000EA">
        <w:t xml:space="preserve"> also</w:t>
      </w:r>
      <w:r>
        <w:t xml:space="preserve"> has little interest in reducing corporate tax burdens</w:t>
      </w:r>
      <w:r w:rsidR="001000EA">
        <w:t xml:space="preserve"> (3.2-percent)</w:t>
      </w:r>
      <w:r>
        <w:t>.  More interesting and telling of the public’s concerns, however, ma</w:t>
      </w:r>
      <w:r w:rsidR="001000EA">
        <w:t>y be other spending preferences.</w:t>
      </w:r>
      <w:r>
        <w:t xml:space="preserve"> </w:t>
      </w:r>
      <w:r w:rsidR="001000EA">
        <w:t xml:space="preserve"> T</w:t>
      </w:r>
      <w:r>
        <w:t>he public overwhelmingly supports infrastructure spending and national debt reduction from this unrelated</w:t>
      </w:r>
      <w:r w:rsidR="001000EA">
        <w:t xml:space="preserve"> source of</w:t>
      </w:r>
      <w:r>
        <w:t xml:space="preserve"> potential tax revenue.  </w:t>
      </w:r>
    </w:p>
    <w:p w14:paraId="69B4ACD1" w14:textId="69B32AAC" w:rsidR="00F76B72" w:rsidRDefault="00F76B72" w:rsidP="0052424D">
      <w:pPr>
        <w:spacing w:line="360" w:lineRule="auto"/>
      </w:pPr>
      <w:r>
        <w:t>Of particular interest is the categor</w:t>
      </w:r>
      <w:r w:rsidRPr="009519C2">
        <w:t>y “</w:t>
      </w:r>
      <w:r w:rsidRPr="009519C2">
        <w:rPr>
          <w:rFonts w:eastAsia="Times New Roman"/>
        </w:rPr>
        <w:t>Assist workers in the coal industry that may lose their jobs as a result of the tax”</w:t>
      </w:r>
      <w:r>
        <w:rPr>
          <w:rFonts w:eastAsia="Times New Roman"/>
        </w:rPr>
        <w:t xml:space="preserve">. </w:t>
      </w:r>
      <w:r>
        <w:t xml:space="preserve"> In combination with a mean willingness to pay measure, it suggests the financial scale of public support for assisting fossil fuel extractors in transitioning out of the field.  While respondents place a lower priority on helping this group</w:t>
      </w:r>
      <w:r w:rsidR="009F5671">
        <w:t>,</w:t>
      </w:r>
      <w:r w:rsidR="001000EA">
        <w:t xml:space="preserve"> at 10.4-percent allotment,</w:t>
      </w:r>
      <w:r>
        <w:t xml:space="preserve"> than developing clean energy</w:t>
      </w:r>
      <w:r w:rsidR="001000EA">
        <w:t xml:space="preserve"> (17.3-percent)</w:t>
      </w:r>
      <w:r>
        <w:t xml:space="preserve">, repairing the nation’s infrastructure </w:t>
      </w:r>
      <w:r w:rsidR="001000EA">
        <w:t>(</w:t>
      </w:r>
      <w:r>
        <w:t>14</w:t>
      </w:r>
      <w:r w:rsidR="001000EA">
        <w:t>.5</w:t>
      </w:r>
      <w:r>
        <w:t>-percent</w:t>
      </w:r>
      <w:r w:rsidR="001000EA">
        <w:t>)</w:t>
      </w:r>
      <w:r>
        <w:t xml:space="preserve">, and paying down the national debt </w:t>
      </w:r>
      <w:r w:rsidR="001000EA">
        <w:t>(</w:t>
      </w:r>
      <w:r>
        <w:t>12</w:t>
      </w:r>
      <w:r w:rsidR="001000EA">
        <w:t>.7</w:t>
      </w:r>
      <w:r>
        <w:t>-percent</w:t>
      </w:r>
      <w:r w:rsidR="001000EA">
        <w:t>)</w:t>
      </w:r>
      <w:r>
        <w:t xml:space="preserve">, it receives substantial attention.  </w:t>
      </w:r>
      <w:r w:rsidR="009F5671">
        <w:t>At</w:t>
      </w:r>
      <w:r w:rsidR="001000EA">
        <w:t xml:space="preserve"> 10.4</w:t>
      </w:r>
      <w:r>
        <w:t>-percent</w:t>
      </w:r>
      <w:r w:rsidR="009F5671">
        <w:t>,</w:t>
      </w:r>
      <w:r>
        <w:t xml:space="preserve"> the public appears to support substantial compensation to displaced </w:t>
      </w:r>
      <w:r w:rsidR="009F5671">
        <w:t xml:space="preserve">coal </w:t>
      </w:r>
      <w:r>
        <w:t xml:space="preserve">workers.  </w:t>
      </w:r>
    </w:p>
    <w:p w14:paraId="5356BD32" w14:textId="44197F0B" w:rsidR="00F76B72" w:rsidRDefault="00C132F1" w:rsidP="0052424D">
      <w:pPr>
        <w:spacing w:line="360" w:lineRule="auto"/>
      </w:pPr>
      <w:r>
        <w:t>It is also important to</w:t>
      </w:r>
      <w:r w:rsidR="00F76B72">
        <w:t xml:space="preserve"> note that</w:t>
      </w:r>
      <w:r>
        <w:t xml:space="preserve"> while</w:t>
      </w:r>
      <w:r w:rsidR="00F76B72">
        <w:t xml:space="preserve"> at first sight it may appear respondents place low priority on helping communities that are vulnerable to global warming</w:t>
      </w:r>
      <w:r>
        <w:t>,</w:t>
      </w:r>
      <w:r w:rsidR="00F76B72">
        <w:t xml:space="preserve"> this may be a result of how the questions are formulated.  Respondents could choose from both “Assist low-income communities that are most vulnerable to the impacts of global warming”</w:t>
      </w:r>
      <w:r>
        <w:t>,</w:t>
      </w:r>
      <w:r w:rsidR="00F76B72">
        <w:t xml:space="preserve"> and “Fund programs to help American communities prepare for and adapt to global warming.”  These likely comp</w:t>
      </w:r>
      <w:r>
        <w:t>ete for the same social concern</w:t>
      </w:r>
      <w:r w:rsidR="00F76B72">
        <w:t xml:space="preserve"> and sum to a </w:t>
      </w:r>
      <w:r>
        <w:t>15.0</w:t>
      </w:r>
      <w:r w:rsidR="00F76B72">
        <w:t>-percent allotment</w:t>
      </w:r>
      <w:r>
        <w:t xml:space="preserve"> placing it second to clean energy development</w:t>
      </w:r>
      <w:r w:rsidR="00F76B72">
        <w:t>.</w:t>
      </w:r>
    </w:p>
    <w:tbl>
      <w:tblPr>
        <w:tblW w:w="5000" w:type="pct"/>
        <w:tblLayout w:type="fixed"/>
        <w:tblLook w:val="04A0" w:firstRow="1" w:lastRow="0" w:firstColumn="1" w:lastColumn="0" w:noHBand="0" w:noVBand="1"/>
      </w:tblPr>
      <w:tblGrid>
        <w:gridCol w:w="5850"/>
        <w:gridCol w:w="990"/>
        <w:gridCol w:w="1260"/>
        <w:gridCol w:w="1260"/>
      </w:tblGrid>
      <w:tr w:rsidR="00F76B72" w:rsidRPr="004B6794" w14:paraId="70A0467E" w14:textId="77777777" w:rsidTr="00F76B72">
        <w:trPr>
          <w:trHeight w:val="600"/>
        </w:trPr>
        <w:tc>
          <w:tcPr>
            <w:tcW w:w="5000" w:type="pct"/>
            <w:gridSpan w:val="4"/>
            <w:tcBorders>
              <w:top w:val="nil"/>
              <w:left w:val="nil"/>
              <w:bottom w:val="single" w:sz="4" w:space="0" w:color="auto"/>
              <w:right w:val="nil"/>
            </w:tcBorders>
            <w:shd w:val="clear" w:color="000000" w:fill="E7E6E6"/>
            <w:hideMark/>
          </w:tcPr>
          <w:p w14:paraId="41A4F6E3" w14:textId="77777777" w:rsidR="00F76B72" w:rsidRPr="004B6794" w:rsidRDefault="00AF36B1" w:rsidP="00F76B72">
            <w:pPr>
              <w:keepNext/>
              <w:spacing w:after="0" w:line="240" w:lineRule="auto"/>
              <w:rPr>
                <w:rFonts w:eastAsia="Times New Roman"/>
                <w:b/>
                <w:bCs/>
              </w:rPr>
            </w:pPr>
            <w:r>
              <w:rPr>
                <w:rFonts w:eastAsia="Times New Roman"/>
                <w:b/>
                <w:bCs/>
              </w:rPr>
              <w:lastRenderedPageBreak/>
              <w:t>Table 2</w:t>
            </w:r>
            <w:r w:rsidR="00F76B72" w:rsidRPr="004B6794">
              <w:rPr>
                <w:rFonts w:eastAsia="Times New Roman"/>
                <w:b/>
                <w:bCs/>
              </w:rPr>
              <w:t xml:space="preserve"> | Respondent preferences for the expenditure of revenues from a fossil fuel tax to help reduce global warming.</w:t>
            </w:r>
          </w:p>
        </w:tc>
      </w:tr>
      <w:tr w:rsidR="00F76B72" w:rsidRPr="004B6794" w14:paraId="15ED3CE6" w14:textId="77777777" w:rsidTr="00F76B72">
        <w:trPr>
          <w:trHeight w:val="300"/>
        </w:trPr>
        <w:tc>
          <w:tcPr>
            <w:tcW w:w="3125" w:type="pct"/>
            <w:tcBorders>
              <w:top w:val="single" w:sz="4" w:space="0" w:color="auto"/>
              <w:left w:val="nil"/>
              <w:bottom w:val="single" w:sz="4" w:space="0" w:color="auto"/>
              <w:right w:val="nil"/>
            </w:tcBorders>
            <w:shd w:val="clear" w:color="000000" w:fill="F2F2F2"/>
            <w:noWrap/>
            <w:hideMark/>
          </w:tcPr>
          <w:p w14:paraId="4FBD3C6B" w14:textId="77777777" w:rsidR="00F76B72" w:rsidRPr="004B6794" w:rsidRDefault="00F76B72" w:rsidP="00F76B72">
            <w:pPr>
              <w:keepNext/>
              <w:spacing w:after="0" w:line="240" w:lineRule="auto"/>
              <w:rPr>
                <w:rFonts w:eastAsia="Times New Roman"/>
                <w:b/>
                <w:bCs/>
              </w:rPr>
            </w:pPr>
            <w:r w:rsidRPr="004B6794">
              <w:rPr>
                <w:rFonts w:eastAsia="Times New Roman"/>
                <w:b/>
                <w:bCs/>
              </w:rPr>
              <w:t> </w:t>
            </w:r>
          </w:p>
        </w:tc>
        <w:tc>
          <w:tcPr>
            <w:tcW w:w="529" w:type="pct"/>
            <w:tcBorders>
              <w:top w:val="single" w:sz="4" w:space="0" w:color="auto"/>
              <w:left w:val="nil"/>
              <w:bottom w:val="single" w:sz="4" w:space="0" w:color="auto"/>
              <w:right w:val="nil"/>
            </w:tcBorders>
            <w:shd w:val="clear" w:color="000000" w:fill="F2F2F2"/>
            <w:noWrap/>
            <w:hideMark/>
          </w:tcPr>
          <w:p w14:paraId="29C3BD66" w14:textId="77777777" w:rsidR="00F76B72" w:rsidRPr="00AF36B1" w:rsidRDefault="00F76B72" w:rsidP="00F76B72">
            <w:pPr>
              <w:keepNext/>
              <w:spacing w:after="0" w:line="240" w:lineRule="auto"/>
              <w:jc w:val="center"/>
              <w:rPr>
                <w:rFonts w:eastAsia="Times New Roman"/>
                <w:bCs/>
              </w:rPr>
            </w:pPr>
            <w:r w:rsidRPr="00AF36B1">
              <w:rPr>
                <w:rFonts w:eastAsia="Times New Roman"/>
                <w:bCs/>
              </w:rPr>
              <w:t>Support (%)</w:t>
            </w:r>
          </w:p>
        </w:tc>
        <w:tc>
          <w:tcPr>
            <w:tcW w:w="673" w:type="pct"/>
            <w:tcBorders>
              <w:top w:val="single" w:sz="4" w:space="0" w:color="auto"/>
              <w:left w:val="nil"/>
              <w:bottom w:val="single" w:sz="4" w:space="0" w:color="auto"/>
              <w:right w:val="nil"/>
            </w:tcBorders>
            <w:shd w:val="clear" w:color="000000" w:fill="F2F2F2"/>
            <w:noWrap/>
            <w:hideMark/>
          </w:tcPr>
          <w:p w14:paraId="5545B471" w14:textId="77777777" w:rsidR="00F76B72" w:rsidRPr="00AF36B1" w:rsidRDefault="00F76B72" w:rsidP="00F76B72">
            <w:pPr>
              <w:keepNext/>
              <w:spacing w:after="0" w:line="240" w:lineRule="auto"/>
              <w:jc w:val="center"/>
              <w:rPr>
                <w:rFonts w:eastAsia="Times New Roman"/>
                <w:bCs/>
              </w:rPr>
            </w:pPr>
            <w:r w:rsidRPr="00AF36B1">
              <w:rPr>
                <w:rFonts w:eastAsia="Times New Roman"/>
                <w:bCs/>
              </w:rPr>
              <w:t>Allotment (%)</w:t>
            </w:r>
          </w:p>
        </w:tc>
        <w:tc>
          <w:tcPr>
            <w:tcW w:w="673" w:type="pct"/>
            <w:tcBorders>
              <w:top w:val="single" w:sz="4" w:space="0" w:color="auto"/>
              <w:left w:val="nil"/>
              <w:bottom w:val="single" w:sz="4" w:space="0" w:color="auto"/>
              <w:right w:val="nil"/>
            </w:tcBorders>
            <w:shd w:val="clear" w:color="000000" w:fill="F2F2F2"/>
            <w:noWrap/>
            <w:hideMark/>
          </w:tcPr>
          <w:p w14:paraId="6E282A57" w14:textId="77777777" w:rsidR="00F76B72" w:rsidRPr="00AF36B1" w:rsidRDefault="00F76B72" w:rsidP="00F76B72">
            <w:pPr>
              <w:keepNext/>
              <w:spacing w:after="0" w:line="240" w:lineRule="auto"/>
              <w:jc w:val="center"/>
              <w:rPr>
                <w:rFonts w:eastAsia="Times New Roman"/>
                <w:bCs/>
              </w:rPr>
            </w:pPr>
            <w:r w:rsidRPr="00AF36B1">
              <w:rPr>
                <w:rFonts w:eastAsia="Times New Roman"/>
                <w:bCs/>
              </w:rPr>
              <w:t>Support  ($ billions)</w:t>
            </w:r>
          </w:p>
        </w:tc>
      </w:tr>
      <w:tr w:rsidR="00F76B72" w:rsidRPr="004B6794" w14:paraId="3BEB2543" w14:textId="77777777" w:rsidTr="00F76B72">
        <w:trPr>
          <w:trHeight w:val="288"/>
        </w:trPr>
        <w:tc>
          <w:tcPr>
            <w:tcW w:w="3125" w:type="pct"/>
            <w:tcBorders>
              <w:top w:val="nil"/>
              <w:left w:val="nil"/>
              <w:bottom w:val="nil"/>
              <w:right w:val="nil"/>
            </w:tcBorders>
            <w:shd w:val="clear" w:color="000000" w:fill="F2F2F2"/>
            <w:hideMark/>
          </w:tcPr>
          <w:p w14:paraId="49460F9B" w14:textId="77777777" w:rsidR="00F76B72" w:rsidRPr="004B6794" w:rsidRDefault="00F76B72" w:rsidP="00F76B72">
            <w:pPr>
              <w:keepNext/>
              <w:spacing w:after="0" w:line="240" w:lineRule="auto"/>
              <w:rPr>
                <w:rFonts w:eastAsia="Times New Roman"/>
              </w:rPr>
            </w:pPr>
            <w:r w:rsidRPr="004B6794">
              <w:rPr>
                <w:rFonts w:eastAsia="Times New Roman"/>
              </w:rPr>
              <w:t>Support the development of clean energy (solar, wind)</w:t>
            </w:r>
          </w:p>
        </w:tc>
        <w:tc>
          <w:tcPr>
            <w:tcW w:w="529" w:type="pct"/>
            <w:tcBorders>
              <w:top w:val="nil"/>
              <w:left w:val="nil"/>
              <w:bottom w:val="nil"/>
              <w:right w:val="nil"/>
            </w:tcBorders>
            <w:shd w:val="clear" w:color="000000" w:fill="F2F2F2"/>
            <w:noWrap/>
            <w:hideMark/>
          </w:tcPr>
          <w:p w14:paraId="1FD19529" w14:textId="77777777" w:rsidR="00F76B72" w:rsidRPr="004B6794" w:rsidRDefault="00F76B72" w:rsidP="00F76B72">
            <w:pPr>
              <w:keepNext/>
              <w:spacing w:after="0" w:line="240" w:lineRule="auto"/>
              <w:jc w:val="center"/>
              <w:rPr>
                <w:rFonts w:eastAsia="Times New Roman"/>
              </w:rPr>
            </w:pPr>
            <w:r w:rsidRPr="004B6794">
              <w:rPr>
                <w:rFonts w:eastAsia="Times New Roman"/>
              </w:rPr>
              <w:t>79.8</w:t>
            </w:r>
          </w:p>
        </w:tc>
        <w:tc>
          <w:tcPr>
            <w:tcW w:w="673" w:type="pct"/>
            <w:tcBorders>
              <w:top w:val="nil"/>
              <w:left w:val="nil"/>
              <w:bottom w:val="nil"/>
              <w:right w:val="nil"/>
            </w:tcBorders>
            <w:shd w:val="clear" w:color="000000" w:fill="F2F2F2"/>
            <w:noWrap/>
            <w:hideMark/>
          </w:tcPr>
          <w:p w14:paraId="4654164B" w14:textId="77777777" w:rsidR="00F76B72" w:rsidRPr="004B6794" w:rsidRDefault="00F76B72" w:rsidP="00F76B72">
            <w:pPr>
              <w:keepNext/>
              <w:spacing w:after="0" w:line="240" w:lineRule="auto"/>
              <w:jc w:val="center"/>
              <w:rPr>
                <w:rFonts w:eastAsia="Times New Roman"/>
              </w:rPr>
            </w:pPr>
            <w:r w:rsidRPr="004B6794">
              <w:rPr>
                <w:rFonts w:eastAsia="Times New Roman"/>
              </w:rPr>
              <w:t>17.3</w:t>
            </w:r>
          </w:p>
        </w:tc>
        <w:tc>
          <w:tcPr>
            <w:tcW w:w="673" w:type="pct"/>
            <w:tcBorders>
              <w:top w:val="nil"/>
              <w:left w:val="nil"/>
              <w:bottom w:val="nil"/>
              <w:right w:val="nil"/>
            </w:tcBorders>
            <w:shd w:val="clear" w:color="000000" w:fill="F2F2F2"/>
            <w:noWrap/>
            <w:hideMark/>
          </w:tcPr>
          <w:p w14:paraId="22E81144" w14:textId="77777777" w:rsidR="00F76B72" w:rsidRPr="004B6794" w:rsidRDefault="00F76B72" w:rsidP="00F76B72">
            <w:pPr>
              <w:keepNext/>
              <w:spacing w:after="0" w:line="240" w:lineRule="auto"/>
              <w:jc w:val="center"/>
              <w:rPr>
                <w:rFonts w:eastAsia="Times New Roman"/>
              </w:rPr>
            </w:pPr>
            <w:r w:rsidRPr="004B6794">
              <w:rPr>
                <w:rFonts w:eastAsia="Times New Roman"/>
              </w:rPr>
              <w:t>3.84</w:t>
            </w:r>
          </w:p>
        </w:tc>
      </w:tr>
      <w:tr w:rsidR="00F76B72" w:rsidRPr="004B6794" w14:paraId="1CEAAF98" w14:textId="77777777" w:rsidTr="00F76B72">
        <w:trPr>
          <w:trHeight w:val="288"/>
        </w:trPr>
        <w:tc>
          <w:tcPr>
            <w:tcW w:w="3125" w:type="pct"/>
            <w:tcBorders>
              <w:top w:val="nil"/>
              <w:left w:val="nil"/>
              <w:bottom w:val="nil"/>
              <w:right w:val="nil"/>
            </w:tcBorders>
            <w:shd w:val="clear" w:color="000000" w:fill="F2F2F2"/>
            <w:hideMark/>
          </w:tcPr>
          <w:p w14:paraId="470140B9" w14:textId="77777777" w:rsidR="00F76B72" w:rsidRPr="004B6794" w:rsidRDefault="00F76B72" w:rsidP="00F76B72">
            <w:pPr>
              <w:keepNext/>
              <w:spacing w:after="0" w:line="240" w:lineRule="auto"/>
              <w:rPr>
                <w:rFonts w:eastAsia="Times New Roman"/>
              </w:rPr>
            </w:pPr>
            <w:r w:rsidRPr="004B6794">
              <w:rPr>
                <w:rFonts w:eastAsia="Times New Roman"/>
              </w:rPr>
              <w:t>Fund improvements to America’s infrastructure (roads, bridges, etc.)</w:t>
            </w:r>
          </w:p>
        </w:tc>
        <w:tc>
          <w:tcPr>
            <w:tcW w:w="529" w:type="pct"/>
            <w:tcBorders>
              <w:top w:val="nil"/>
              <w:left w:val="nil"/>
              <w:bottom w:val="nil"/>
              <w:right w:val="nil"/>
            </w:tcBorders>
            <w:shd w:val="clear" w:color="000000" w:fill="F2F2F2"/>
            <w:noWrap/>
            <w:hideMark/>
          </w:tcPr>
          <w:p w14:paraId="161CDAB1" w14:textId="77777777" w:rsidR="00F76B72" w:rsidRPr="004B6794" w:rsidRDefault="00F76B72" w:rsidP="00F76B72">
            <w:pPr>
              <w:keepNext/>
              <w:spacing w:after="0" w:line="240" w:lineRule="auto"/>
              <w:jc w:val="center"/>
              <w:rPr>
                <w:rFonts w:eastAsia="Times New Roman"/>
              </w:rPr>
            </w:pPr>
            <w:r w:rsidRPr="004B6794">
              <w:rPr>
                <w:rFonts w:eastAsia="Times New Roman"/>
              </w:rPr>
              <w:t>77.4</w:t>
            </w:r>
          </w:p>
        </w:tc>
        <w:tc>
          <w:tcPr>
            <w:tcW w:w="673" w:type="pct"/>
            <w:tcBorders>
              <w:top w:val="nil"/>
              <w:left w:val="nil"/>
              <w:bottom w:val="nil"/>
              <w:right w:val="nil"/>
            </w:tcBorders>
            <w:shd w:val="clear" w:color="000000" w:fill="F2F2F2"/>
            <w:noWrap/>
            <w:hideMark/>
          </w:tcPr>
          <w:p w14:paraId="6BFE77D6" w14:textId="77777777" w:rsidR="00F76B72" w:rsidRPr="004B6794" w:rsidRDefault="00F76B72" w:rsidP="00F76B72">
            <w:pPr>
              <w:keepNext/>
              <w:spacing w:after="0" w:line="240" w:lineRule="auto"/>
              <w:jc w:val="center"/>
              <w:rPr>
                <w:rFonts w:eastAsia="Times New Roman"/>
              </w:rPr>
            </w:pPr>
            <w:r w:rsidRPr="004B6794">
              <w:rPr>
                <w:rFonts w:eastAsia="Times New Roman"/>
              </w:rPr>
              <w:t>14.5</w:t>
            </w:r>
          </w:p>
        </w:tc>
        <w:tc>
          <w:tcPr>
            <w:tcW w:w="673" w:type="pct"/>
            <w:tcBorders>
              <w:top w:val="nil"/>
              <w:left w:val="nil"/>
              <w:bottom w:val="nil"/>
              <w:right w:val="nil"/>
            </w:tcBorders>
            <w:shd w:val="clear" w:color="000000" w:fill="F2F2F2"/>
            <w:noWrap/>
            <w:hideMark/>
          </w:tcPr>
          <w:p w14:paraId="1C484E25" w14:textId="77777777" w:rsidR="00F76B72" w:rsidRPr="004B6794" w:rsidRDefault="00F76B72" w:rsidP="00F76B72">
            <w:pPr>
              <w:keepNext/>
              <w:spacing w:after="0" w:line="240" w:lineRule="auto"/>
              <w:jc w:val="center"/>
              <w:rPr>
                <w:rFonts w:eastAsia="Times New Roman"/>
              </w:rPr>
            </w:pPr>
            <w:r w:rsidRPr="004B6794">
              <w:rPr>
                <w:rFonts w:eastAsia="Times New Roman"/>
              </w:rPr>
              <w:t>3.22</w:t>
            </w:r>
          </w:p>
        </w:tc>
      </w:tr>
      <w:tr w:rsidR="00F76B72" w:rsidRPr="004B6794" w14:paraId="6719DB26" w14:textId="77777777" w:rsidTr="00F76B72">
        <w:trPr>
          <w:trHeight w:val="288"/>
        </w:trPr>
        <w:tc>
          <w:tcPr>
            <w:tcW w:w="3125" w:type="pct"/>
            <w:tcBorders>
              <w:top w:val="nil"/>
              <w:left w:val="nil"/>
              <w:bottom w:val="nil"/>
              <w:right w:val="nil"/>
            </w:tcBorders>
            <w:shd w:val="clear" w:color="000000" w:fill="F2F2F2"/>
            <w:hideMark/>
          </w:tcPr>
          <w:p w14:paraId="725F1F00" w14:textId="77777777" w:rsidR="00F76B72" w:rsidRPr="004B6794" w:rsidRDefault="00F76B72" w:rsidP="00F76B72">
            <w:pPr>
              <w:keepNext/>
              <w:spacing w:after="0" w:line="240" w:lineRule="auto"/>
              <w:rPr>
                <w:rFonts w:eastAsia="Times New Roman"/>
              </w:rPr>
            </w:pPr>
            <w:r w:rsidRPr="004B6794">
              <w:rPr>
                <w:rFonts w:eastAsia="Times New Roman"/>
              </w:rPr>
              <w:t>Pay down the national debt</w:t>
            </w:r>
          </w:p>
        </w:tc>
        <w:tc>
          <w:tcPr>
            <w:tcW w:w="529" w:type="pct"/>
            <w:tcBorders>
              <w:top w:val="nil"/>
              <w:left w:val="nil"/>
              <w:bottom w:val="nil"/>
              <w:right w:val="nil"/>
            </w:tcBorders>
            <w:shd w:val="clear" w:color="000000" w:fill="F2F2F2"/>
            <w:noWrap/>
            <w:hideMark/>
          </w:tcPr>
          <w:p w14:paraId="46353976" w14:textId="77777777" w:rsidR="00F76B72" w:rsidRPr="004B6794" w:rsidRDefault="00F76B72" w:rsidP="00F76B72">
            <w:pPr>
              <w:keepNext/>
              <w:spacing w:after="0" w:line="240" w:lineRule="auto"/>
              <w:jc w:val="center"/>
              <w:rPr>
                <w:rFonts w:eastAsia="Times New Roman"/>
              </w:rPr>
            </w:pPr>
            <w:r w:rsidRPr="004B6794">
              <w:rPr>
                <w:rFonts w:eastAsia="Times New Roman"/>
              </w:rPr>
              <w:t>65.5</w:t>
            </w:r>
          </w:p>
        </w:tc>
        <w:tc>
          <w:tcPr>
            <w:tcW w:w="673" w:type="pct"/>
            <w:tcBorders>
              <w:top w:val="nil"/>
              <w:left w:val="nil"/>
              <w:bottom w:val="nil"/>
              <w:right w:val="nil"/>
            </w:tcBorders>
            <w:shd w:val="clear" w:color="000000" w:fill="F2F2F2"/>
            <w:noWrap/>
            <w:hideMark/>
          </w:tcPr>
          <w:p w14:paraId="02EA4474" w14:textId="77777777" w:rsidR="00F76B72" w:rsidRPr="004B6794" w:rsidRDefault="00F76B72" w:rsidP="00F76B72">
            <w:pPr>
              <w:keepNext/>
              <w:spacing w:after="0" w:line="240" w:lineRule="auto"/>
              <w:jc w:val="center"/>
              <w:rPr>
                <w:rFonts w:eastAsia="Times New Roman"/>
              </w:rPr>
            </w:pPr>
            <w:r w:rsidRPr="004B6794">
              <w:rPr>
                <w:rFonts w:eastAsia="Times New Roman"/>
              </w:rPr>
              <w:t>12.7</w:t>
            </w:r>
          </w:p>
        </w:tc>
        <w:tc>
          <w:tcPr>
            <w:tcW w:w="673" w:type="pct"/>
            <w:tcBorders>
              <w:top w:val="nil"/>
              <w:left w:val="nil"/>
              <w:bottom w:val="nil"/>
              <w:right w:val="nil"/>
            </w:tcBorders>
            <w:shd w:val="clear" w:color="000000" w:fill="F2F2F2"/>
            <w:noWrap/>
            <w:hideMark/>
          </w:tcPr>
          <w:p w14:paraId="7050CEC9" w14:textId="77777777" w:rsidR="00F76B72" w:rsidRPr="004B6794" w:rsidRDefault="00F76B72" w:rsidP="00F76B72">
            <w:pPr>
              <w:keepNext/>
              <w:spacing w:after="0" w:line="240" w:lineRule="auto"/>
              <w:jc w:val="center"/>
              <w:rPr>
                <w:rFonts w:eastAsia="Times New Roman"/>
              </w:rPr>
            </w:pPr>
            <w:r w:rsidRPr="004B6794">
              <w:rPr>
                <w:rFonts w:eastAsia="Times New Roman"/>
              </w:rPr>
              <w:t>2.83</w:t>
            </w:r>
          </w:p>
        </w:tc>
      </w:tr>
      <w:tr w:rsidR="00F76B72" w:rsidRPr="004B6794" w14:paraId="0E17299E" w14:textId="77777777" w:rsidTr="00F76B72">
        <w:trPr>
          <w:trHeight w:val="288"/>
        </w:trPr>
        <w:tc>
          <w:tcPr>
            <w:tcW w:w="3125" w:type="pct"/>
            <w:tcBorders>
              <w:top w:val="nil"/>
              <w:left w:val="nil"/>
              <w:bottom w:val="nil"/>
              <w:right w:val="nil"/>
            </w:tcBorders>
            <w:shd w:val="clear" w:color="000000" w:fill="F2F2F2"/>
            <w:hideMark/>
          </w:tcPr>
          <w:p w14:paraId="65F92163" w14:textId="77777777" w:rsidR="00F76B72" w:rsidRPr="004B6794" w:rsidRDefault="00F76B72" w:rsidP="00F76B72">
            <w:pPr>
              <w:keepNext/>
              <w:spacing w:after="0" w:line="240" w:lineRule="auto"/>
              <w:rPr>
                <w:rFonts w:eastAsia="Times New Roman"/>
              </w:rPr>
            </w:pPr>
            <w:r w:rsidRPr="004B6794">
              <w:rPr>
                <w:rFonts w:eastAsia="Times New Roman"/>
              </w:rPr>
              <w:t>Assist workers in the coal industry that may lose their jobs as a result of the tax</w:t>
            </w:r>
          </w:p>
        </w:tc>
        <w:tc>
          <w:tcPr>
            <w:tcW w:w="529" w:type="pct"/>
            <w:tcBorders>
              <w:top w:val="nil"/>
              <w:left w:val="nil"/>
              <w:bottom w:val="nil"/>
              <w:right w:val="nil"/>
            </w:tcBorders>
            <w:shd w:val="clear" w:color="000000" w:fill="F2F2F2"/>
            <w:noWrap/>
            <w:hideMark/>
          </w:tcPr>
          <w:p w14:paraId="2182B1FA" w14:textId="77777777" w:rsidR="00F76B72" w:rsidRPr="004B6794" w:rsidRDefault="00F76B72" w:rsidP="00F76B72">
            <w:pPr>
              <w:keepNext/>
              <w:spacing w:after="0" w:line="240" w:lineRule="auto"/>
              <w:jc w:val="center"/>
              <w:rPr>
                <w:rFonts w:eastAsia="Times New Roman"/>
              </w:rPr>
            </w:pPr>
            <w:r w:rsidRPr="004B6794">
              <w:rPr>
                <w:rFonts w:eastAsia="Times New Roman"/>
              </w:rPr>
              <w:t>71.9</w:t>
            </w:r>
          </w:p>
        </w:tc>
        <w:tc>
          <w:tcPr>
            <w:tcW w:w="673" w:type="pct"/>
            <w:tcBorders>
              <w:top w:val="nil"/>
              <w:left w:val="nil"/>
              <w:bottom w:val="nil"/>
              <w:right w:val="nil"/>
            </w:tcBorders>
            <w:shd w:val="clear" w:color="000000" w:fill="F2F2F2"/>
            <w:noWrap/>
            <w:hideMark/>
          </w:tcPr>
          <w:p w14:paraId="2DF28396" w14:textId="77777777" w:rsidR="00F76B72" w:rsidRPr="004B6794" w:rsidRDefault="00F76B72" w:rsidP="00F76B72">
            <w:pPr>
              <w:keepNext/>
              <w:spacing w:after="0" w:line="240" w:lineRule="auto"/>
              <w:jc w:val="center"/>
              <w:rPr>
                <w:rFonts w:eastAsia="Times New Roman"/>
              </w:rPr>
            </w:pPr>
            <w:r w:rsidRPr="004B6794">
              <w:rPr>
                <w:rFonts w:eastAsia="Times New Roman"/>
              </w:rPr>
              <w:t>10.4</w:t>
            </w:r>
          </w:p>
        </w:tc>
        <w:tc>
          <w:tcPr>
            <w:tcW w:w="673" w:type="pct"/>
            <w:tcBorders>
              <w:top w:val="nil"/>
              <w:left w:val="nil"/>
              <w:bottom w:val="nil"/>
              <w:right w:val="nil"/>
            </w:tcBorders>
            <w:shd w:val="clear" w:color="000000" w:fill="F2F2F2"/>
            <w:noWrap/>
            <w:hideMark/>
          </w:tcPr>
          <w:p w14:paraId="4BAEDB12" w14:textId="77777777" w:rsidR="00F76B72" w:rsidRPr="004B6794" w:rsidRDefault="00F76B72" w:rsidP="00F76B72">
            <w:pPr>
              <w:keepNext/>
              <w:spacing w:after="0" w:line="240" w:lineRule="auto"/>
              <w:jc w:val="center"/>
              <w:rPr>
                <w:rFonts w:eastAsia="Times New Roman"/>
              </w:rPr>
            </w:pPr>
            <w:r w:rsidRPr="004B6794">
              <w:rPr>
                <w:rFonts w:eastAsia="Times New Roman"/>
              </w:rPr>
              <w:t>2.32</w:t>
            </w:r>
          </w:p>
        </w:tc>
      </w:tr>
      <w:tr w:rsidR="00F76B72" w:rsidRPr="004B6794" w14:paraId="59AF3207" w14:textId="77777777" w:rsidTr="00F76B72">
        <w:trPr>
          <w:trHeight w:val="288"/>
        </w:trPr>
        <w:tc>
          <w:tcPr>
            <w:tcW w:w="3125" w:type="pct"/>
            <w:tcBorders>
              <w:top w:val="nil"/>
              <w:left w:val="nil"/>
              <w:bottom w:val="nil"/>
              <w:right w:val="nil"/>
            </w:tcBorders>
            <w:shd w:val="clear" w:color="000000" w:fill="F2F2F2"/>
            <w:hideMark/>
          </w:tcPr>
          <w:p w14:paraId="29A45157" w14:textId="77777777" w:rsidR="00F76B72" w:rsidRPr="004B6794" w:rsidRDefault="00F76B72" w:rsidP="00F76B72">
            <w:pPr>
              <w:keepNext/>
              <w:spacing w:after="0" w:line="240" w:lineRule="auto"/>
              <w:rPr>
                <w:rFonts w:eastAsia="Times New Roman"/>
              </w:rPr>
            </w:pPr>
            <w:r w:rsidRPr="004B6794">
              <w:rPr>
                <w:rFonts w:eastAsia="Times New Roman"/>
              </w:rPr>
              <w:t>Reduce Federal income taxes</w:t>
            </w:r>
          </w:p>
        </w:tc>
        <w:tc>
          <w:tcPr>
            <w:tcW w:w="529" w:type="pct"/>
            <w:tcBorders>
              <w:top w:val="nil"/>
              <w:left w:val="nil"/>
              <w:bottom w:val="nil"/>
              <w:right w:val="nil"/>
            </w:tcBorders>
            <w:shd w:val="clear" w:color="000000" w:fill="F2F2F2"/>
            <w:noWrap/>
            <w:hideMark/>
          </w:tcPr>
          <w:p w14:paraId="1FD14043" w14:textId="77777777" w:rsidR="00F76B72" w:rsidRPr="004B6794" w:rsidRDefault="00F76B72" w:rsidP="00F76B72">
            <w:pPr>
              <w:keepNext/>
              <w:spacing w:after="0" w:line="240" w:lineRule="auto"/>
              <w:jc w:val="center"/>
              <w:rPr>
                <w:rFonts w:eastAsia="Times New Roman"/>
              </w:rPr>
            </w:pPr>
            <w:r w:rsidRPr="004B6794">
              <w:rPr>
                <w:rFonts w:eastAsia="Times New Roman"/>
              </w:rPr>
              <w:t>59.3</w:t>
            </w:r>
          </w:p>
        </w:tc>
        <w:tc>
          <w:tcPr>
            <w:tcW w:w="673" w:type="pct"/>
            <w:tcBorders>
              <w:top w:val="nil"/>
              <w:left w:val="nil"/>
              <w:bottom w:val="nil"/>
              <w:right w:val="nil"/>
            </w:tcBorders>
            <w:shd w:val="clear" w:color="000000" w:fill="F2F2F2"/>
            <w:noWrap/>
            <w:hideMark/>
          </w:tcPr>
          <w:p w14:paraId="399B1305" w14:textId="77777777" w:rsidR="00F76B72" w:rsidRPr="004B6794" w:rsidRDefault="00F76B72" w:rsidP="00F76B72">
            <w:pPr>
              <w:keepNext/>
              <w:spacing w:after="0" w:line="240" w:lineRule="auto"/>
              <w:jc w:val="center"/>
              <w:rPr>
                <w:rFonts w:eastAsia="Times New Roman"/>
              </w:rPr>
            </w:pPr>
            <w:r w:rsidRPr="004B6794">
              <w:rPr>
                <w:rFonts w:eastAsia="Times New Roman"/>
              </w:rPr>
              <w:t>9.9</w:t>
            </w:r>
          </w:p>
        </w:tc>
        <w:tc>
          <w:tcPr>
            <w:tcW w:w="673" w:type="pct"/>
            <w:tcBorders>
              <w:top w:val="nil"/>
              <w:left w:val="nil"/>
              <w:bottom w:val="nil"/>
              <w:right w:val="nil"/>
            </w:tcBorders>
            <w:shd w:val="clear" w:color="000000" w:fill="F2F2F2"/>
            <w:noWrap/>
            <w:hideMark/>
          </w:tcPr>
          <w:p w14:paraId="0D358800" w14:textId="77777777" w:rsidR="00F76B72" w:rsidRPr="004B6794" w:rsidRDefault="00F76B72" w:rsidP="00F76B72">
            <w:pPr>
              <w:keepNext/>
              <w:spacing w:after="0" w:line="240" w:lineRule="auto"/>
              <w:jc w:val="center"/>
              <w:rPr>
                <w:rFonts w:eastAsia="Times New Roman"/>
              </w:rPr>
            </w:pPr>
            <w:r w:rsidRPr="004B6794">
              <w:rPr>
                <w:rFonts w:eastAsia="Times New Roman"/>
              </w:rPr>
              <w:t>2.19</w:t>
            </w:r>
          </w:p>
        </w:tc>
      </w:tr>
      <w:tr w:rsidR="00F76B72" w:rsidRPr="004B6794" w14:paraId="43CEA7CA" w14:textId="77777777" w:rsidTr="00F76B72">
        <w:trPr>
          <w:trHeight w:val="288"/>
        </w:trPr>
        <w:tc>
          <w:tcPr>
            <w:tcW w:w="3125" w:type="pct"/>
            <w:tcBorders>
              <w:top w:val="nil"/>
              <w:left w:val="nil"/>
              <w:bottom w:val="nil"/>
              <w:right w:val="nil"/>
            </w:tcBorders>
            <w:shd w:val="clear" w:color="000000" w:fill="F2F2F2"/>
            <w:hideMark/>
          </w:tcPr>
          <w:p w14:paraId="311F2211" w14:textId="77777777" w:rsidR="00F76B72" w:rsidRPr="004B6794" w:rsidRDefault="00F76B72" w:rsidP="00F76B72">
            <w:pPr>
              <w:keepNext/>
              <w:spacing w:after="0" w:line="240" w:lineRule="auto"/>
              <w:rPr>
                <w:rFonts w:eastAsia="Times New Roman"/>
              </w:rPr>
            </w:pPr>
            <w:r w:rsidRPr="004B6794">
              <w:rPr>
                <w:rFonts w:eastAsia="Times New Roman"/>
              </w:rPr>
              <w:t>Return the money to all American households in equal amounts</w:t>
            </w:r>
          </w:p>
        </w:tc>
        <w:tc>
          <w:tcPr>
            <w:tcW w:w="529" w:type="pct"/>
            <w:tcBorders>
              <w:top w:val="nil"/>
              <w:left w:val="nil"/>
              <w:bottom w:val="nil"/>
              <w:right w:val="nil"/>
            </w:tcBorders>
            <w:shd w:val="clear" w:color="000000" w:fill="F2F2F2"/>
            <w:noWrap/>
            <w:hideMark/>
          </w:tcPr>
          <w:p w14:paraId="126AB2C1" w14:textId="77777777" w:rsidR="00F76B72" w:rsidRPr="004B6794" w:rsidRDefault="00F76B72" w:rsidP="00F76B72">
            <w:pPr>
              <w:keepNext/>
              <w:spacing w:after="0" w:line="240" w:lineRule="auto"/>
              <w:jc w:val="center"/>
              <w:rPr>
                <w:rFonts w:eastAsia="Times New Roman"/>
              </w:rPr>
            </w:pPr>
            <w:r w:rsidRPr="004B6794">
              <w:rPr>
                <w:rFonts w:eastAsia="Times New Roman"/>
              </w:rPr>
              <w:t>45.9</w:t>
            </w:r>
          </w:p>
        </w:tc>
        <w:tc>
          <w:tcPr>
            <w:tcW w:w="673" w:type="pct"/>
            <w:tcBorders>
              <w:top w:val="nil"/>
              <w:left w:val="nil"/>
              <w:bottom w:val="nil"/>
              <w:right w:val="nil"/>
            </w:tcBorders>
            <w:shd w:val="clear" w:color="000000" w:fill="F2F2F2"/>
            <w:noWrap/>
            <w:hideMark/>
          </w:tcPr>
          <w:p w14:paraId="22586205" w14:textId="77777777" w:rsidR="00F76B72" w:rsidRPr="004B6794" w:rsidRDefault="00F76B72" w:rsidP="00F76B72">
            <w:pPr>
              <w:keepNext/>
              <w:spacing w:after="0" w:line="240" w:lineRule="auto"/>
              <w:jc w:val="center"/>
              <w:rPr>
                <w:rFonts w:eastAsia="Times New Roman"/>
              </w:rPr>
            </w:pPr>
            <w:r w:rsidRPr="004B6794">
              <w:rPr>
                <w:rFonts w:eastAsia="Times New Roman"/>
              </w:rPr>
              <w:t>8.1</w:t>
            </w:r>
          </w:p>
        </w:tc>
        <w:tc>
          <w:tcPr>
            <w:tcW w:w="673" w:type="pct"/>
            <w:tcBorders>
              <w:top w:val="nil"/>
              <w:left w:val="nil"/>
              <w:bottom w:val="nil"/>
              <w:right w:val="nil"/>
            </w:tcBorders>
            <w:shd w:val="clear" w:color="000000" w:fill="F2F2F2"/>
            <w:noWrap/>
            <w:hideMark/>
          </w:tcPr>
          <w:p w14:paraId="33B50D5E" w14:textId="77777777" w:rsidR="00F76B72" w:rsidRPr="004B6794" w:rsidRDefault="00F76B72" w:rsidP="00F76B72">
            <w:pPr>
              <w:keepNext/>
              <w:spacing w:after="0" w:line="240" w:lineRule="auto"/>
              <w:jc w:val="center"/>
              <w:rPr>
                <w:rFonts w:eastAsia="Times New Roman"/>
              </w:rPr>
            </w:pPr>
            <w:r w:rsidRPr="004B6794">
              <w:rPr>
                <w:rFonts w:eastAsia="Times New Roman"/>
              </w:rPr>
              <w:t>1.81</w:t>
            </w:r>
          </w:p>
        </w:tc>
      </w:tr>
      <w:tr w:rsidR="00F76B72" w:rsidRPr="004B6794" w14:paraId="7A5A04B9" w14:textId="77777777" w:rsidTr="00F76B72">
        <w:trPr>
          <w:trHeight w:val="288"/>
        </w:trPr>
        <w:tc>
          <w:tcPr>
            <w:tcW w:w="3125" w:type="pct"/>
            <w:tcBorders>
              <w:top w:val="nil"/>
              <w:left w:val="nil"/>
              <w:bottom w:val="nil"/>
              <w:right w:val="nil"/>
            </w:tcBorders>
            <w:shd w:val="clear" w:color="000000" w:fill="F2F2F2"/>
            <w:hideMark/>
          </w:tcPr>
          <w:p w14:paraId="6A07C5A6" w14:textId="77777777" w:rsidR="00F76B72" w:rsidRPr="004B6794" w:rsidRDefault="00F76B72" w:rsidP="00F76B72">
            <w:pPr>
              <w:keepNext/>
              <w:spacing w:after="0" w:line="240" w:lineRule="auto"/>
              <w:rPr>
                <w:rFonts w:eastAsia="Times New Roman"/>
              </w:rPr>
            </w:pPr>
            <w:r w:rsidRPr="004B6794">
              <w:rPr>
                <w:rFonts w:eastAsia="Times New Roman"/>
              </w:rPr>
              <w:t>Assist low-income communities that are most vulnerable to the impacts of global warming</w:t>
            </w:r>
          </w:p>
        </w:tc>
        <w:tc>
          <w:tcPr>
            <w:tcW w:w="529" w:type="pct"/>
            <w:tcBorders>
              <w:top w:val="nil"/>
              <w:left w:val="nil"/>
              <w:bottom w:val="nil"/>
              <w:right w:val="nil"/>
            </w:tcBorders>
            <w:shd w:val="clear" w:color="000000" w:fill="F2F2F2"/>
            <w:noWrap/>
            <w:hideMark/>
          </w:tcPr>
          <w:p w14:paraId="47366645" w14:textId="77777777" w:rsidR="00F76B72" w:rsidRPr="004B6794" w:rsidRDefault="00F76B72" w:rsidP="00F76B72">
            <w:pPr>
              <w:keepNext/>
              <w:spacing w:after="0" w:line="240" w:lineRule="auto"/>
              <w:jc w:val="center"/>
              <w:rPr>
                <w:rFonts w:eastAsia="Times New Roman"/>
              </w:rPr>
            </w:pPr>
            <w:r w:rsidRPr="004B6794">
              <w:rPr>
                <w:rFonts w:eastAsia="Times New Roman"/>
              </w:rPr>
              <w:t>57.3</w:t>
            </w:r>
          </w:p>
        </w:tc>
        <w:tc>
          <w:tcPr>
            <w:tcW w:w="673" w:type="pct"/>
            <w:tcBorders>
              <w:top w:val="nil"/>
              <w:left w:val="nil"/>
              <w:bottom w:val="nil"/>
              <w:right w:val="nil"/>
            </w:tcBorders>
            <w:shd w:val="clear" w:color="000000" w:fill="F2F2F2"/>
            <w:noWrap/>
            <w:hideMark/>
          </w:tcPr>
          <w:p w14:paraId="0CFE2D4D" w14:textId="77777777" w:rsidR="00F76B72" w:rsidRPr="004B6794" w:rsidRDefault="00F76B72" w:rsidP="00F76B72">
            <w:pPr>
              <w:keepNext/>
              <w:spacing w:after="0" w:line="240" w:lineRule="auto"/>
              <w:jc w:val="center"/>
              <w:rPr>
                <w:rFonts w:eastAsia="Times New Roman"/>
              </w:rPr>
            </w:pPr>
            <w:r w:rsidRPr="004B6794">
              <w:rPr>
                <w:rFonts w:eastAsia="Times New Roman"/>
              </w:rPr>
              <w:t>7.8</w:t>
            </w:r>
          </w:p>
        </w:tc>
        <w:tc>
          <w:tcPr>
            <w:tcW w:w="673" w:type="pct"/>
            <w:tcBorders>
              <w:top w:val="nil"/>
              <w:left w:val="nil"/>
              <w:bottom w:val="nil"/>
              <w:right w:val="nil"/>
            </w:tcBorders>
            <w:shd w:val="clear" w:color="000000" w:fill="F2F2F2"/>
            <w:noWrap/>
            <w:hideMark/>
          </w:tcPr>
          <w:p w14:paraId="0E1C9A59" w14:textId="77777777" w:rsidR="00F76B72" w:rsidRPr="004B6794" w:rsidRDefault="00F76B72" w:rsidP="00F76B72">
            <w:pPr>
              <w:keepNext/>
              <w:spacing w:after="0" w:line="240" w:lineRule="auto"/>
              <w:jc w:val="center"/>
              <w:rPr>
                <w:rFonts w:eastAsia="Times New Roman"/>
              </w:rPr>
            </w:pPr>
            <w:r w:rsidRPr="004B6794">
              <w:rPr>
                <w:rFonts w:eastAsia="Times New Roman"/>
              </w:rPr>
              <w:t>1.73</w:t>
            </w:r>
          </w:p>
        </w:tc>
      </w:tr>
      <w:tr w:rsidR="00F76B72" w:rsidRPr="004B6794" w14:paraId="181D98B7" w14:textId="77777777" w:rsidTr="00F76B72">
        <w:trPr>
          <w:trHeight w:val="288"/>
        </w:trPr>
        <w:tc>
          <w:tcPr>
            <w:tcW w:w="3125" w:type="pct"/>
            <w:tcBorders>
              <w:top w:val="nil"/>
              <w:left w:val="nil"/>
              <w:bottom w:val="nil"/>
              <w:right w:val="nil"/>
            </w:tcBorders>
            <w:shd w:val="clear" w:color="000000" w:fill="F2F2F2"/>
            <w:hideMark/>
          </w:tcPr>
          <w:p w14:paraId="6A74167B" w14:textId="77777777" w:rsidR="00F76B72" w:rsidRPr="004B6794" w:rsidRDefault="00F76B72" w:rsidP="00F76B72">
            <w:pPr>
              <w:keepNext/>
              <w:spacing w:after="0" w:line="240" w:lineRule="auto"/>
              <w:rPr>
                <w:rFonts w:eastAsia="Times New Roman"/>
              </w:rPr>
            </w:pPr>
            <w:r w:rsidRPr="004B6794">
              <w:rPr>
                <w:rFonts w:eastAsia="Times New Roman"/>
              </w:rPr>
              <w:t>Fund programs to help American communities prepare for and adapt to global warming</w:t>
            </w:r>
          </w:p>
        </w:tc>
        <w:tc>
          <w:tcPr>
            <w:tcW w:w="529" w:type="pct"/>
            <w:tcBorders>
              <w:top w:val="nil"/>
              <w:left w:val="nil"/>
              <w:bottom w:val="nil"/>
              <w:right w:val="nil"/>
            </w:tcBorders>
            <w:shd w:val="clear" w:color="000000" w:fill="F2F2F2"/>
            <w:noWrap/>
            <w:hideMark/>
          </w:tcPr>
          <w:p w14:paraId="028F4E78" w14:textId="77777777" w:rsidR="00F76B72" w:rsidRPr="004B6794" w:rsidRDefault="00F76B72" w:rsidP="00F76B72">
            <w:pPr>
              <w:keepNext/>
              <w:spacing w:after="0" w:line="240" w:lineRule="auto"/>
              <w:jc w:val="center"/>
              <w:rPr>
                <w:rFonts w:eastAsia="Times New Roman"/>
              </w:rPr>
            </w:pPr>
            <w:r w:rsidRPr="004B6794">
              <w:rPr>
                <w:rFonts w:eastAsia="Times New Roman"/>
              </w:rPr>
              <w:t>54.6</w:t>
            </w:r>
          </w:p>
        </w:tc>
        <w:tc>
          <w:tcPr>
            <w:tcW w:w="673" w:type="pct"/>
            <w:tcBorders>
              <w:top w:val="nil"/>
              <w:left w:val="nil"/>
              <w:bottom w:val="nil"/>
              <w:right w:val="nil"/>
            </w:tcBorders>
            <w:shd w:val="clear" w:color="000000" w:fill="F2F2F2"/>
            <w:noWrap/>
            <w:hideMark/>
          </w:tcPr>
          <w:p w14:paraId="4EC206A4" w14:textId="77777777" w:rsidR="00F76B72" w:rsidRPr="004B6794" w:rsidRDefault="00F76B72" w:rsidP="00F76B72">
            <w:pPr>
              <w:keepNext/>
              <w:spacing w:after="0" w:line="240" w:lineRule="auto"/>
              <w:jc w:val="center"/>
              <w:rPr>
                <w:rFonts w:eastAsia="Times New Roman"/>
              </w:rPr>
            </w:pPr>
            <w:r w:rsidRPr="004B6794">
              <w:rPr>
                <w:rFonts w:eastAsia="Times New Roman"/>
              </w:rPr>
              <w:t>7.2</w:t>
            </w:r>
          </w:p>
        </w:tc>
        <w:tc>
          <w:tcPr>
            <w:tcW w:w="673" w:type="pct"/>
            <w:tcBorders>
              <w:top w:val="nil"/>
              <w:left w:val="nil"/>
              <w:bottom w:val="nil"/>
              <w:right w:val="nil"/>
            </w:tcBorders>
            <w:shd w:val="clear" w:color="000000" w:fill="F2F2F2"/>
            <w:noWrap/>
            <w:hideMark/>
          </w:tcPr>
          <w:p w14:paraId="0485B280" w14:textId="77777777" w:rsidR="00F76B72" w:rsidRPr="004B6794" w:rsidRDefault="00F76B72" w:rsidP="00F76B72">
            <w:pPr>
              <w:keepNext/>
              <w:spacing w:after="0" w:line="240" w:lineRule="auto"/>
              <w:jc w:val="center"/>
              <w:rPr>
                <w:rFonts w:eastAsia="Times New Roman"/>
              </w:rPr>
            </w:pPr>
            <w:r w:rsidRPr="004B6794">
              <w:rPr>
                <w:rFonts w:eastAsia="Times New Roman"/>
              </w:rPr>
              <w:t>1.61</w:t>
            </w:r>
          </w:p>
        </w:tc>
      </w:tr>
      <w:tr w:rsidR="00F76B72" w:rsidRPr="004B6794" w14:paraId="1556918C" w14:textId="77777777" w:rsidTr="00F76B72">
        <w:trPr>
          <w:trHeight w:val="288"/>
        </w:trPr>
        <w:tc>
          <w:tcPr>
            <w:tcW w:w="3125" w:type="pct"/>
            <w:tcBorders>
              <w:top w:val="nil"/>
              <w:left w:val="nil"/>
              <w:bottom w:val="nil"/>
              <w:right w:val="nil"/>
            </w:tcBorders>
            <w:shd w:val="clear" w:color="000000" w:fill="F2F2F2"/>
            <w:hideMark/>
          </w:tcPr>
          <w:p w14:paraId="42787182" w14:textId="77777777" w:rsidR="00F76B72" w:rsidRPr="004B6794" w:rsidRDefault="00F76B72" w:rsidP="00F76B72">
            <w:pPr>
              <w:keepNext/>
              <w:spacing w:after="0" w:line="240" w:lineRule="auto"/>
              <w:rPr>
                <w:rFonts w:eastAsia="Times New Roman"/>
              </w:rPr>
            </w:pPr>
            <w:r w:rsidRPr="004B6794">
              <w:rPr>
                <w:rFonts w:eastAsia="Times New Roman"/>
              </w:rPr>
              <w:t>Reduce Federal payroll taxes (Social Security and Medicare taxes that are deducted from paychecks)</w:t>
            </w:r>
          </w:p>
        </w:tc>
        <w:tc>
          <w:tcPr>
            <w:tcW w:w="529" w:type="pct"/>
            <w:tcBorders>
              <w:top w:val="nil"/>
              <w:left w:val="nil"/>
              <w:bottom w:val="nil"/>
              <w:right w:val="nil"/>
            </w:tcBorders>
            <w:shd w:val="clear" w:color="000000" w:fill="F2F2F2"/>
            <w:noWrap/>
            <w:hideMark/>
          </w:tcPr>
          <w:p w14:paraId="21A75794" w14:textId="77777777" w:rsidR="00F76B72" w:rsidRPr="004B6794" w:rsidRDefault="00F76B72" w:rsidP="00F76B72">
            <w:pPr>
              <w:keepNext/>
              <w:spacing w:after="0" w:line="240" w:lineRule="auto"/>
              <w:jc w:val="center"/>
              <w:rPr>
                <w:rFonts w:eastAsia="Times New Roman"/>
              </w:rPr>
            </w:pPr>
            <w:r w:rsidRPr="004B6794">
              <w:rPr>
                <w:rFonts w:eastAsia="Times New Roman"/>
              </w:rPr>
              <w:t>44.2</w:t>
            </w:r>
          </w:p>
        </w:tc>
        <w:tc>
          <w:tcPr>
            <w:tcW w:w="673" w:type="pct"/>
            <w:tcBorders>
              <w:top w:val="nil"/>
              <w:left w:val="nil"/>
              <w:bottom w:val="nil"/>
              <w:right w:val="nil"/>
            </w:tcBorders>
            <w:shd w:val="clear" w:color="000000" w:fill="F2F2F2"/>
            <w:noWrap/>
            <w:hideMark/>
          </w:tcPr>
          <w:p w14:paraId="2BD789F4" w14:textId="77777777" w:rsidR="00F76B72" w:rsidRPr="004B6794" w:rsidRDefault="00F76B72" w:rsidP="00F76B72">
            <w:pPr>
              <w:keepNext/>
              <w:spacing w:after="0" w:line="240" w:lineRule="auto"/>
              <w:jc w:val="center"/>
              <w:rPr>
                <w:rFonts w:eastAsia="Times New Roman"/>
              </w:rPr>
            </w:pPr>
            <w:r w:rsidRPr="004B6794">
              <w:rPr>
                <w:rFonts w:eastAsia="Times New Roman"/>
              </w:rPr>
              <w:t>7.2</w:t>
            </w:r>
          </w:p>
        </w:tc>
        <w:tc>
          <w:tcPr>
            <w:tcW w:w="673" w:type="pct"/>
            <w:tcBorders>
              <w:top w:val="nil"/>
              <w:left w:val="nil"/>
              <w:bottom w:val="nil"/>
              <w:right w:val="nil"/>
            </w:tcBorders>
            <w:shd w:val="clear" w:color="000000" w:fill="F2F2F2"/>
            <w:noWrap/>
            <w:hideMark/>
          </w:tcPr>
          <w:p w14:paraId="06D43088" w14:textId="77777777" w:rsidR="00F76B72" w:rsidRPr="004B6794" w:rsidRDefault="00F76B72" w:rsidP="00F76B72">
            <w:pPr>
              <w:keepNext/>
              <w:spacing w:after="0" w:line="240" w:lineRule="auto"/>
              <w:jc w:val="center"/>
              <w:rPr>
                <w:rFonts w:eastAsia="Times New Roman"/>
              </w:rPr>
            </w:pPr>
            <w:r w:rsidRPr="004B6794">
              <w:rPr>
                <w:rFonts w:eastAsia="Times New Roman"/>
              </w:rPr>
              <w:t>1.60</w:t>
            </w:r>
          </w:p>
        </w:tc>
      </w:tr>
      <w:tr w:rsidR="00F76B72" w:rsidRPr="004B6794" w14:paraId="27291D6C" w14:textId="77777777" w:rsidTr="00F76B72">
        <w:trPr>
          <w:trHeight w:val="288"/>
        </w:trPr>
        <w:tc>
          <w:tcPr>
            <w:tcW w:w="3125" w:type="pct"/>
            <w:tcBorders>
              <w:top w:val="nil"/>
              <w:left w:val="nil"/>
              <w:bottom w:val="nil"/>
              <w:right w:val="nil"/>
            </w:tcBorders>
            <w:shd w:val="clear" w:color="000000" w:fill="F2F2F2"/>
            <w:hideMark/>
          </w:tcPr>
          <w:p w14:paraId="351A6DEB" w14:textId="77777777" w:rsidR="00F76B72" w:rsidRPr="004B6794" w:rsidRDefault="00F76B72" w:rsidP="00F76B72">
            <w:pPr>
              <w:keepNext/>
              <w:spacing w:after="0" w:line="240" w:lineRule="auto"/>
              <w:rPr>
                <w:rFonts w:eastAsia="Times New Roman"/>
              </w:rPr>
            </w:pPr>
            <w:r w:rsidRPr="004B6794">
              <w:rPr>
                <w:rFonts w:eastAsia="Times New Roman"/>
              </w:rPr>
              <w:t>Reduce corporate taxes</w:t>
            </w:r>
          </w:p>
        </w:tc>
        <w:tc>
          <w:tcPr>
            <w:tcW w:w="529" w:type="pct"/>
            <w:tcBorders>
              <w:top w:val="nil"/>
              <w:left w:val="nil"/>
              <w:bottom w:val="nil"/>
              <w:right w:val="nil"/>
            </w:tcBorders>
            <w:shd w:val="clear" w:color="000000" w:fill="F2F2F2"/>
            <w:noWrap/>
            <w:hideMark/>
          </w:tcPr>
          <w:p w14:paraId="51F7A3D7" w14:textId="77777777" w:rsidR="00F76B72" w:rsidRPr="004B6794" w:rsidRDefault="00F76B72" w:rsidP="00F76B72">
            <w:pPr>
              <w:keepNext/>
              <w:spacing w:after="0" w:line="240" w:lineRule="auto"/>
              <w:jc w:val="center"/>
              <w:rPr>
                <w:rFonts w:eastAsia="Times New Roman"/>
              </w:rPr>
            </w:pPr>
            <w:r w:rsidRPr="004B6794">
              <w:rPr>
                <w:rFonts w:eastAsia="Times New Roman"/>
              </w:rPr>
              <w:t>24.4</w:t>
            </w:r>
          </w:p>
        </w:tc>
        <w:tc>
          <w:tcPr>
            <w:tcW w:w="673" w:type="pct"/>
            <w:tcBorders>
              <w:top w:val="nil"/>
              <w:left w:val="nil"/>
              <w:bottom w:val="nil"/>
              <w:right w:val="nil"/>
            </w:tcBorders>
            <w:shd w:val="clear" w:color="000000" w:fill="F2F2F2"/>
            <w:noWrap/>
            <w:hideMark/>
          </w:tcPr>
          <w:p w14:paraId="24555649" w14:textId="77777777" w:rsidR="00F76B72" w:rsidRPr="004B6794" w:rsidRDefault="00F76B72" w:rsidP="00F76B72">
            <w:pPr>
              <w:keepNext/>
              <w:spacing w:after="0" w:line="240" w:lineRule="auto"/>
              <w:jc w:val="center"/>
              <w:rPr>
                <w:rFonts w:eastAsia="Times New Roman"/>
              </w:rPr>
            </w:pPr>
            <w:r w:rsidRPr="004B6794">
              <w:rPr>
                <w:rFonts w:eastAsia="Times New Roman"/>
              </w:rPr>
              <w:t>3.2</w:t>
            </w:r>
          </w:p>
        </w:tc>
        <w:tc>
          <w:tcPr>
            <w:tcW w:w="673" w:type="pct"/>
            <w:tcBorders>
              <w:top w:val="nil"/>
              <w:left w:val="nil"/>
              <w:bottom w:val="nil"/>
              <w:right w:val="nil"/>
            </w:tcBorders>
            <w:shd w:val="clear" w:color="000000" w:fill="F2F2F2"/>
            <w:noWrap/>
            <w:hideMark/>
          </w:tcPr>
          <w:p w14:paraId="78DBE690" w14:textId="77777777" w:rsidR="00F76B72" w:rsidRPr="004B6794" w:rsidRDefault="00F76B72" w:rsidP="00F76B72">
            <w:pPr>
              <w:keepNext/>
              <w:spacing w:after="0" w:line="240" w:lineRule="auto"/>
              <w:jc w:val="center"/>
              <w:rPr>
                <w:rFonts w:eastAsia="Times New Roman"/>
              </w:rPr>
            </w:pPr>
            <w:r w:rsidRPr="004B6794">
              <w:rPr>
                <w:rFonts w:eastAsia="Times New Roman"/>
              </w:rPr>
              <w:t>0.72</w:t>
            </w:r>
          </w:p>
        </w:tc>
      </w:tr>
      <w:tr w:rsidR="00F76B72" w:rsidRPr="004B6794" w14:paraId="75889EAA" w14:textId="77777777" w:rsidTr="00F76B72">
        <w:trPr>
          <w:trHeight w:val="288"/>
        </w:trPr>
        <w:tc>
          <w:tcPr>
            <w:tcW w:w="3125" w:type="pct"/>
            <w:tcBorders>
              <w:top w:val="nil"/>
              <w:left w:val="nil"/>
              <w:bottom w:val="single" w:sz="4" w:space="0" w:color="auto"/>
              <w:right w:val="nil"/>
            </w:tcBorders>
            <w:shd w:val="clear" w:color="000000" w:fill="F2F2F2"/>
            <w:hideMark/>
          </w:tcPr>
          <w:p w14:paraId="6F5A7C7E" w14:textId="77777777" w:rsidR="00F76B72" w:rsidRPr="004B6794" w:rsidRDefault="00F76B72" w:rsidP="00F76B72">
            <w:pPr>
              <w:keepNext/>
              <w:spacing w:after="0" w:line="240" w:lineRule="auto"/>
              <w:rPr>
                <w:rFonts w:eastAsia="Times New Roman"/>
              </w:rPr>
            </w:pPr>
            <w:r w:rsidRPr="004B6794">
              <w:rPr>
                <w:rFonts w:eastAsia="Times New Roman"/>
              </w:rPr>
              <w:t xml:space="preserve">Other (please specify) </w:t>
            </w:r>
          </w:p>
        </w:tc>
        <w:tc>
          <w:tcPr>
            <w:tcW w:w="529" w:type="pct"/>
            <w:tcBorders>
              <w:top w:val="nil"/>
              <w:left w:val="nil"/>
              <w:bottom w:val="single" w:sz="4" w:space="0" w:color="auto"/>
              <w:right w:val="nil"/>
            </w:tcBorders>
            <w:shd w:val="clear" w:color="000000" w:fill="F2F2F2"/>
            <w:noWrap/>
            <w:hideMark/>
          </w:tcPr>
          <w:p w14:paraId="7D66D9D1" w14:textId="77777777" w:rsidR="00F76B72" w:rsidRPr="004B6794" w:rsidRDefault="00F76B72" w:rsidP="00F76B72">
            <w:pPr>
              <w:keepNext/>
              <w:spacing w:after="0" w:line="240" w:lineRule="auto"/>
              <w:jc w:val="center"/>
              <w:rPr>
                <w:rFonts w:eastAsia="Times New Roman"/>
              </w:rPr>
            </w:pPr>
            <w:r w:rsidRPr="004B6794">
              <w:rPr>
                <w:rFonts w:eastAsia="Times New Roman"/>
              </w:rPr>
              <w:t>7.8</w:t>
            </w:r>
          </w:p>
        </w:tc>
        <w:tc>
          <w:tcPr>
            <w:tcW w:w="673" w:type="pct"/>
            <w:tcBorders>
              <w:top w:val="nil"/>
              <w:left w:val="nil"/>
              <w:bottom w:val="single" w:sz="4" w:space="0" w:color="auto"/>
              <w:right w:val="nil"/>
            </w:tcBorders>
            <w:shd w:val="clear" w:color="000000" w:fill="F2F2F2"/>
            <w:noWrap/>
            <w:hideMark/>
          </w:tcPr>
          <w:p w14:paraId="6DBF246E" w14:textId="77777777" w:rsidR="00F76B72" w:rsidRPr="004B6794" w:rsidRDefault="00F76B72" w:rsidP="00F76B72">
            <w:pPr>
              <w:keepNext/>
              <w:spacing w:after="0" w:line="240" w:lineRule="auto"/>
              <w:jc w:val="center"/>
              <w:rPr>
                <w:rFonts w:eastAsia="Times New Roman"/>
              </w:rPr>
            </w:pPr>
            <w:r w:rsidRPr="004B6794">
              <w:rPr>
                <w:rFonts w:eastAsia="Times New Roman"/>
              </w:rPr>
              <w:t>1.7</w:t>
            </w:r>
          </w:p>
        </w:tc>
        <w:tc>
          <w:tcPr>
            <w:tcW w:w="673" w:type="pct"/>
            <w:tcBorders>
              <w:top w:val="nil"/>
              <w:left w:val="nil"/>
              <w:bottom w:val="single" w:sz="4" w:space="0" w:color="auto"/>
              <w:right w:val="nil"/>
            </w:tcBorders>
            <w:shd w:val="clear" w:color="000000" w:fill="F2F2F2"/>
            <w:noWrap/>
            <w:hideMark/>
          </w:tcPr>
          <w:p w14:paraId="58E57364" w14:textId="77777777" w:rsidR="00F76B72" w:rsidRPr="004B6794" w:rsidRDefault="00F76B72" w:rsidP="00F76B72">
            <w:pPr>
              <w:keepNext/>
              <w:spacing w:after="0" w:line="240" w:lineRule="auto"/>
              <w:jc w:val="center"/>
              <w:rPr>
                <w:rFonts w:eastAsia="Times New Roman"/>
              </w:rPr>
            </w:pPr>
            <w:r w:rsidRPr="004B6794">
              <w:rPr>
                <w:rFonts w:eastAsia="Times New Roman"/>
              </w:rPr>
              <w:t>0.39</w:t>
            </w:r>
          </w:p>
        </w:tc>
      </w:tr>
      <w:tr w:rsidR="00F76B72" w:rsidRPr="004B6794" w14:paraId="31B5F89A" w14:textId="77777777" w:rsidTr="00F76B72">
        <w:trPr>
          <w:trHeight w:val="750"/>
        </w:trPr>
        <w:tc>
          <w:tcPr>
            <w:tcW w:w="5000" w:type="pct"/>
            <w:gridSpan w:val="4"/>
            <w:tcBorders>
              <w:top w:val="single" w:sz="4" w:space="0" w:color="auto"/>
              <w:left w:val="nil"/>
              <w:bottom w:val="nil"/>
              <w:right w:val="nil"/>
            </w:tcBorders>
            <w:shd w:val="clear" w:color="000000" w:fill="F2F2F2"/>
            <w:hideMark/>
          </w:tcPr>
          <w:p w14:paraId="153BC9B6" w14:textId="77777777" w:rsidR="00F76B72" w:rsidRPr="004B6794" w:rsidRDefault="00F76B72" w:rsidP="00F76B72">
            <w:pPr>
              <w:keepNext/>
              <w:spacing w:after="0" w:line="240" w:lineRule="auto"/>
              <w:rPr>
                <w:rFonts w:eastAsia="Times New Roman"/>
                <w:sz w:val="18"/>
                <w:szCs w:val="18"/>
              </w:rPr>
            </w:pPr>
            <w:r w:rsidRPr="001C271C">
              <w:rPr>
                <w:rFonts w:eastAsia="Times New Roman"/>
                <w:sz w:val="18"/>
                <w:szCs w:val="18"/>
              </w:rPr>
              <w:t>Reported as survey weighted statistics.  Support (%) indicates share of respondents that support using the revenue generated in the stated manner.  Allotment (%) reports the mean allotment including</w:t>
            </w:r>
            <w:r>
              <w:rPr>
                <w:rFonts w:eastAsia="Times New Roman"/>
                <w:sz w:val="18"/>
                <w:szCs w:val="18"/>
              </w:rPr>
              <w:t xml:space="preserve"> both those that support the revenue’s use on the expenditure category and those</w:t>
            </w:r>
            <w:r w:rsidRPr="001C271C">
              <w:rPr>
                <w:rFonts w:eastAsia="Times New Roman"/>
                <w:sz w:val="18"/>
                <w:szCs w:val="18"/>
              </w:rPr>
              <w:t xml:space="preserve"> that do not support</w:t>
            </w:r>
            <w:r>
              <w:rPr>
                <w:rFonts w:eastAsia="Times New Roman"/>
                <w:sz w:val="18"/>
                <w:szCs w:val="18"/>
              </w:rPr>
              <w:t xml:space="preserve"> it and would allot nothing</w:t>
            </w:r>
            <w:r w:rsidRPr="001C271C">
              <w:rPr>
                <w:rFonts w:eastAsia="Times New Roman"/>
                <w:sz w:val="18"/>
                <w:szCs w:val="18"/>
              </w:rPr>
              <w:t>.</w:t>
            </w:r>
            <w:r>
              <w:rPr>
                <w:rFonts w:eastAsia="Times New Roman"/>
                <w:sz w:val="18"/>
                <w:szCs w:val="18"/>
              </w:rPr>
              <w:t xml:space="preserve">  Support ($ billions) is the implied aggregate support for the category based on our mean WTP of $177 and U.S. Census Bureau estimate of 125,819,000 U.S. households.</w:t>
            </w:r>
          </w:p>
        </w:tc>
      </w:tr>
    </w:tbl>
    <w:p w14:paraId="2D0EE93D" w14:textId="3906EF5C" w:rsidR="00F76B72" w:rsidRDefault="00F76B72" w:rsidP="0052424D">
      <w:pPr>
        <w:spacing w:before="240" w:line="360" w:lineRule="auto"/>
      </w:pPr>
      <w:r>
        <w:t xml:space="preserve"> To ascertain willingness to pay to reduce global warming, </w:t>
      </w:r>
      <w:r w:rsidR="00AF36B1">
        <w:t>respondents are</w:t>
      </w:r>
      <w:r>
        <w:t xml:space="preserve"> then offer</w:t>
      </w:r>
      <w:r w:rsidR="00AF36B1">
        <w:t>ed</w:t>
      </w:r>
      <w:r>
        <w:t xml:space="preserve"> randomly selected annual bid amounts </w:t>
      </w:r>
      <w:r w:rsidR="00AF36B1">
        <w:t xml:space="preserve">following </w:t>
      </w:r>
      <w:r>
        <w:t xml:space="preserve">recommended contingent valuation methodologies.  The randomly offered bid ranges </w:t>
      </w:r>
      <w:r w:rsidR="00AF36B1">
        <w:t>from</w:t>
      </w:r>
      <w:r>
        <w:t xml:space="preserve"> $5 </w:t>
      </w:r>
      <w:r w:rsidR="00AF36B1">
        <w:t>to $155-</w:t>
      </w:r>
      <w:r>
        <w:t xml:space="preserve"> </w:t>
      </w:r>
      <w:r w:rsidR="00AF36B1">
        <w:t>t</w:t>
      </w:r>
      <w:r>
        <w:t xml:space="preserve">his is from 0.4-percent to 11.3-percent of the average residential energy bill in the United States.  As point of reference, the national average monthly energy bill is $114.03 at the time of survey and </w:t>
      </w:r>
      <w:r w:rsidR="00AF36B1">
        <w:t>there is</w:t>
      </w:r>
      <w:r>
        <w:t xml:space="preserve"> wide variability, from $79.23 in New Mexico to $153.13 i</w:t>
      </w:r>
      <w:r w:rsidR="009F5671">
        <w:t>n Connecticut</w:t>
      </w:r>
      <w:r>
        <w:t>.  The support at each bid, in both dollar terms as presented to the panel, and as percent increases</w:t>
      </w:r>
      <w:r w:rsidR="00AF36B1">
        <w:t xml:space="preserve"> in mean state energy bills, are presented in Table 3</w:t>
      </w:r>
      <w:r>
        <w:t xml:space="preserve"> along with the percent of respondents that were queried and </w:t>
      </w:r>
      <w:r w:rsidR="00AF36B1">
        <w:t>opted to support</w:t>
      </w:r>
      <w:r>
        <w:t>.</w:t>
      </w:r>
    </w:p>
    <w:p w14:paraId="301692F7" w14:textId="10CB42F3" w:rsidR="00F76B72" w:rsidRDefault="00507B2B" w:rsidP="0052424D">
      <w:pPr>
        <w:spacing w:line="360" w:lineRule="auto"/>
      </w:pPr>
      <w:r>
        <w:t xml:space="preserve">It is found that </w:t>
      </w:r>
      <w:r w:rsidR="00F76B72">
        <w:t>the percent of respondents supporting the proposal exceeds 50-percent at each bid amount offered.  This presents certain complications in deriving a point estimate for WTP as the mean exceeds the range of bids presented and thus relies on the functional form used in estimation to project it.  However, it also suggests a lower bound on WTP of at least $155 annu</w:t>
      </w:r>
      <w:r w:rsidR="00AF36B1">
        <w:t>ally, the highest bid presented.</w:t>
      </w:r>
      <w:r w:rsidR="00F76B72">
        <w:t xml:space="preserve"> </w:t>
      </w:r>
      <w:r w:rsidR="00AF36B1">
        <w:t xml:space="preserve"> This scale</w:t>
      </w:r>
      <w:r w:rsidR="00F76B72">
        <w:t xml:space="preserve"> is not unprecedented</w:t>
      </w:r>
      <w:r w:rsidR="0016516B">
        <w:t xml:space="preserve"> as</w:t>
      </w:r>
      <w:r w:rsidR="00AF36B1">
        <w:t xml:space="preserve"> Aldy, Kotchen, and Leiserowitz</w:t>
      </w:r>
      <w:r w:rsidR="00F76B72">
        <w:t xml:space="preserve"> </w:t>
      </w:r>
      <w:r w:rsidR="00AF36B1">
        <w:t>(</w:t>
      </w:r>
      <w:r w:rsidR="00F76B72">
        <w:t>2012)</w:t>
      </w:r>
      <w:r w:rsidR="00AF36B1">
        <w:t xml:space="preserve"> find a similar WTP</w:t>
      </w:r>
      <w:r w:rsidR="00F76B72">
        <w:t xml:space="preserve">. </w:t>
      </w:r>
    </w:p>
    <w:tbl>
      <w:tblPr>
        <w:tblW w:w="5000" w:type="pct"/>
        <w:tblLook w:val="04A0" w:firstRow="1" w:lastRow="0" w:firstColumn="1" w:lastColumn="0" w:noHBand="0" w:noVBand="1"/>
      </w:tblPr>
      <w:tblGrid>
        <w:gridCol w:w="1611"/>
        <w:gridCol w:w="2826"/>
        <w:gridCol w:w="2502"/>
        <w:gridCol w:w="2421"/>
      </w:tblGrid>
      <w:tr w:rsidR="00F76B72" w:rsidRPr="007431D2" w14:paraId="3C150346" w14:textId="77777777" w:rsidTr="00F76B72">
        <w:trPr>
          <w:trHeight w:val="300"/>
        </w:trPr>
        <w:tc>
          <w:tcPr>
            <w:tcW w:w="5000" w:type="pct"/>
            <w:gridSpan w:val="4"/>
            <w:tcBorders>
              <w:top w:val="nil"/>
              <w:left w:val="nil"/>
              <w:bottom w:val="nil"/>
              <w:right w:val="nil"/>
            </w:tcBorders>
            <w:shd w:val="clear" w:color="000000" w:fill="E7E6E6"/>
            <w:noWrap/>
            <w:vAlign w:val="bottom"/>
            <w:hideMark/>
          </w:tcPr>
          <w:p w14:paraId="6D10E458" w14:textId="77777777" w:rsidR="00F76B72" w:rsidRPr="007431D2" w:rsidRDefault="00D82B27" w:rsidP="00F76B72">
            <w:pPr>
              <w:keepNext/>
              <w:spacing w:after="0" w:line="240" w:lineRule="auto"/>
              <w:rPr>
                <w:rFonts w:eastAsia="Times New Roman"/>
                <w:b/>
                <w:bCs/>
              </w:rPr>
            </w:pPr>
            <w:r>
              <w:rPr>
                <w:rFonts w:eastAsia="Times New Roman"/>
                <w:b/>
                <w:bCs/>
              </w:rPr>
              <w:lastRenderedPageBreak/>
              <w:t>Table 3</w:t>
            </w:r>
            <w:r w:rsidR="00F76B72" w:rsidRPr="007431D2">
              <w:rPr>
                <w:rFonts w:eastAsia="Times New Roman"/>
                <w:b/>
                <w:bCs/>
              </w:rPr>
              <w:t xml:space="preserve"> | Distribution of support responses by bid amount.</w:t>
            </w:r>
          </w:p>
        </w:tc>
      </w:tr>
      <w:tr w:rsidR="00F76B72" w:rsidRPr="007431D2" w14:paraId="0F9ED63C" w14:textId="77777777" w:rsidTr="00F76B72">
        <w:trPr>
          <w:trHeight w:val="300"/>
        </w:trPr>
        <w:tc>
          <w:tcPr>
            <w:tcW w:w="1035" w:type="pct"/>
            <w:tcBorders>
              <w:top w:val="single" w:sz="4" w:space="0" w:color="auto"/>
              <w:left w:val="nil"/>
              <w:bottom w:val="single" w:sz="4" w:space="0" w:color="auto"/>
              <w:right w:val="nil"/>
            </w:tcBorders>
            <w:shd w:val="clear" w:color="000000" w:fill="F2F2F2"/>
            <w:noWrap/>
            <w:vAlign w:val="bottom"/>
            <w:hideMark/>
          </w:tcPr>
          <w:p w14:paraId="0D2B5F49" w14:textId="77777777" w:rsidR="00F76B72" w:rsidRDefault="00F76B72" w:rsidP="00F76B72">
            <w:pPr>
              <w:keepNext/>
              <w:spacing w:after="0"/>
              <w:rPr>
                <w:b/>
                <w:bCs/>
              </w:rPr>
            </w:pPr>
            <w:r>
              <w:rPr>
                <w:b/>
                <w:bCs/>
              </w:rPr>
              <w:t>Bid amount</w:t>
            </w:r>
          </w:p>
        </w:tc>
        <w:tc>
          <w:tcPr>
            <w:tcW w:w="986" w:type="pct"/>
            <w:tcBorders>
              <w:top w:val="single" w:sz="4" w:space="0" w:color="auto"/>
              <w:left w:val="nil"/>
              <w:bottom w:val="single" w:sz="4" w:space="0" w:color="auto"/>
              <w:right w:val="nil"/>
            </w:tcBorders>
            <w:shd w:val="clear" w:color="000000" w:fill="F2F2F2"/>
            <w:noWrap/>
            <w:vAlign w:val="bottom"/>
            <w:hideMark/>
          </w:tcPr>
          <w:p w14:paraId="53F3389A" w14:textId="77777777" w:rsidR="00F76B72" w:rsidRDefault="00F76B72" w:rsidP="00F76B72">
            <w:pPr>
              <w:keepNext/>
              <w:spacing w:after="0"/>
              <w:rPr>
                <w:b/>
                <w:bCs/>
              </w:rPr>
            </w:pPr>
            <w:r>
              <w:rPr>
                <w:b/>
                <w:bCs/>
              </w:rPr>
              <w:t>Household bill increase (%)</w:t>
            </w:r>
          </w:p>
        </w:tc>
        <w:tc>
          <w:tcPr>
            <w:tcW w:w="1470" w:type="pct"/>
            <w:tcBorders>
              <w:top w:val="single" w:sz="4" w:space="0" w:color="auto"/>
              <w:left w:val="nil"/>
              <w:bottom w:val="single" w:sz="4" w:space="0" w:color="auto"/>
              <w:right w:val="nil"/>
            </w:tcBorders>
            <w:shd w:val="clear" w:color="000000" w:fill="F2F2F2"/>
            <w:noWrap/>
            <w:vAlign w:val="bottom"/>
            <w:hideMark/>
          </w:tcPr>
          <w:p w14:paraId="34CF57EB" w14:textId="77777777" w:rsidR="00F76B72" w:rsidRDefault="00F76B72" w:rsidP="00F76B72">
            <w:pPr>
              <w:keepNext/>
              <w:spacing w:after="0"/>
              <w:rPr>
                <w:b/>
                <w:bCs/>
              </w:rPr>
            </w:pPr>
            <w:r>
              <w:rPr>
                <w:b/>
                <w:bCs/>
              </w:rPr>
              <w:t>Respondents queried (#)</w:t>
            </w:r>
          </w:p>
        </w:tc>
        <w:tc>
          <w:tcPr>
            <w:tcW w:w="1510" w:type="pct"/>
            <w:tcBorders>
              <w:top w:val="single" w:sz="4" w:space="0" w:color="auto"/>
              <w:left w:val="nil"/>
              <w:bottom w:val="single" w:sz="4" w:space="0" w:color="auto"/>
              <w:right w:val="nil"/>
            </w:tcBorders>
            <w:shd w:val="clear" w:color="000000" w:fill="F2F2F2"/>
            <w:noWrap/>
            <w:vAlign w:val="bottom"/>
            <w:hideMark/>
          </w:tcPr>
          <w:p w14:paraId="116CA266" w14:textId="77777777" w:rsidR="00F76B72" w:rsidRDefault="00F76B72" w:rsidP="00F76B72">
            <w:pPr>
              <w:keepNext/>
              <w:spacing w:after="0"/>
              <w:rPr>
                <w:b/>
                <w:bCs/>
              </w:rPr>
            </w:pPr>
            <w:r>
              <w:rPr>
                <w:b/>
                <w:bCs/>
              </w:rPr>
              <w:t>Support (%)</w:t>
            </w:r>
          </w:p>
        </w:tc>
      </w:tr>
      <w:tr w:rsidR="00F76B72" w:rsidRPr="007431D2" w14:paraId="2FCB6549" w14:textId="77777777" w:rsidTr="00F76B72">
        <w:trPr>
          <w:trHeight w:val="300"/>
        </w:trPr>
        <w:tc>
          <w:tcPr>
            <w:tcW w:w="1035" w:type="pct"/>
            <w:tcBorders>
              <w:top w:val="nil"/>
              <w:left w:val="nil"/>
              <w:bottom w:val="nil"/>
              <w:right w:val="nil"/>
            </w:tcBorders>
            <w:shd w:val="clear" w:color="000000" w:fill="F2F2F2"/>
            <w:noWrap/>
            <w:vAlign w:val="bottom"/>
            <w:hideMark/>
          </w:tcPr>
          <w:p w14:paraId="5B8D7198" w14:textId="77777777" w:rsidR="00F76B72" w:rsidRDefault="00F76B72" w:rsidP="00F76B72">
            <w:pPr>
              <w:keepNext/>
              <w:spacing w:after="0"/>
            </w:pPr>
            <w:r>
              <w:t>$5</w:t>
            </w:r>
          </w:p>
        </w:tc>
        <w:tc>
          <w:tcPr>
            <w:tcW w:w="986" w:type="pct"/>
            <w:tcBorders>
              <w:top w:val="nil"/>
              <w:left w:val="nil"/>
              <w:bottom w:val="nil"/>
              <w:right w:val="nil"/>
            </w:tcBorders>
            <w:shd w:val="clear" w:color="000000" w:fill="F2F2F2"/>
            <w:noWrap/>
            <w:vAlign w:val="bottom"/>
            <w:hideMark/>
          </w:tcPr>
          <w:p w14:paraId="5C4BBE17" w14:textId="77777777" w:rsidR="00F76B72" w:rsidRDefault="00F76B72" w:rsidP="00F76B72">
            <w:pPr>
              <w:keepNext/>
              <w:spacing w:after="0"/>
              <w:ind w:left="885"/>
            </w:pPr>
            <w:r>
              <w:t>0.4</w:t>
            </w:r>
          </w:p>
        </w:tc>
        <w:tc>
          <w:tcPr>
            <w:tcW w:w="1470" w:type="pct"/>
            <w:tcBorders>
              <w:top w:val="nil"/>
              <w:left w:val="nil"/>
              <w:bottom w:val="nil"/>
              <w:right w:val="nil"/>
            </w:tcBorders>
            <w:shd w:val="clear" w:color="000000" w:fill="F2F2F2"/>
            <w:noWrap/>
            <w:vAlign w:val="bottom"/>
            <w:hideMark/>
          </w:tcPr>
          <w:p w14:paraId="60C86B72" w14:textId="77777777" w:rsidR="00F76B72" w:rsidRDefault="00F76B72" w:rsidP="00F76B72">
            <w:pPr>
              <w:keepNext/>
              <w:spacing w:after="0"/>
              <w:ind w:left="765"/>
            </w:pPr>
            <w:r>
              <w:t>99</w:t>
            </w:r>
          </w:p>
        </w:tc>
        <w:tc>
          <w:tcPr>
            <w:tcW w:w="1510" w:type="pct"/>
            <w:tcBorders>
              <w:top w:val="nil"/>
              <w:left w:val="nil"/>
              <w:bottom w:val="nil"/>
              <w:right w:val="nil"/>
            </w:tcBorders>
            <w:shd w:val="clear" w:color="000000" w:fill="F2F2F2"/>
            <w:noWrap/>
            <w:vAlign w:val="bottom"/>
            <w:hideMark/>
          </w:tcPr>
          <w:p w14:paraId="03CECE42" w14:textId="77777777" w:rsidR="00F76B72" w:rsidRDefault="00F76B72" w:rsidP="00F76B72">
            <w:pPr>
              <w:keepNext/>
              <w:spacing w:after="0"/>
              <w:ind w:left="240"/>
            </w:pPr>
            <w:r>
              <w:t>77.5</w:t>
            </w:r>
          </w:p>
        </w:tc>
      </w:tr>
      <w:tr w:rsidR="00F76B72" w:rsidRPr="007431D2" w14:paraId="065EFCBF" w14:textId="77777777" w:rsidTr="00F76B72">
        <w:trPr>
          <w:trHeight w:val="300"/>
        </w:trPr>
        <w:tc>
          <w:tcPr>
            <w:tcW w:w="1035" w:type="pct"/>
            <w:tcBorders>
              <w:top w:val="nil"/>
              <w:left w:val="nil"/>
              <w:bottom w:val="nil"/>
              <w:right w:val="nil"/>
            </w:tcBorders>
            <w:shd w:val="clear" w:color="000000" w:fill="F2F2F2"/>
            <w:noWrap/>
            <w:vAlign w:val="bottom"/>
            <w:hideMark/>
          </w:tcPr>
          <w:p w14:paraId="28F97AE9" w14:textId="77777777" w:rsidR="00F76B72" w:rsidRDefault="00F76B72" w:rsidP="00F76B72">
            <w:pPr>
              <w:keepNext/>
              <w:spacing w:after="0"/>
            </w:pPr>
            <w:r>
              <w:t>$25</w:t>
            </w:r>
          </w:p>
        </w:tc>
        <w:tc>
          <w:tcPr>
            <w:tcW w:w="986" w:type="pct"/>
            <w:tcBorders>
              <w:top w:val="nil"/>
              <w:left w:val="nil"/>
              <w:bottom w:val="nil"/>
              <w:right w:val="nil"/>
            </w:tcBorders>
            <w:shd w:val="clear" w:color="000000" w:fill="F2F2F2"/>
            <w:noWrap/>
            <w:vAlign w:val="bottom"/>
            <w:hideMark/>
          </w:tcPr>
          <w:p w14:paraId="05ED0AE0" w14:textId="77777777" w:rsidR="00F76B72" w:rsidRDefault="00F76B72" w:rsidP="00F76B72">
            <w:pPr>
              <w:keepNext/>
              <w:spacing w:after="0"/>
              <w:ind w:left="885"/>
            </w:pPr>
            <w:r>
              <w:t>1.8</w:t>
            </w:r>
          </w:p>
        </w:tc>
        <w:tc>
          <w:tcPr>
            <w:tcW w:w="1470" w:type="pct"/>
            <w:tcBorders>
              <w:top w:val="nil"/>
              <w:left w:val="nil"/>
              <w:bottom w:val="nil"/>
              <w:right w:val="nil"/>
            </w:tcBorders>
            <w:shd w:val="clear" w:color="000000" w:fill="F2F2F2"/>
            <w:noWrap/>
            <w:vAlign w:val="bottom"/>
            <w:hideMark/>
          </w:tcPr>
          <w:p w14:paraId="71C6D8C3" w14:textId="77777777" w:rsidR="00F76B72" w:rsidRDefault="00F76B72" w:rsidP="00F76B72">
            <w:pPr>
              <w:keepNext/>
              <w:spacing w:after="0"/>
              <w:ind w:left="765"/>
            </w:pPr>
            <w:r>
              <w:t>104</w:t>
            </w:r>
          </w:p>
        </w:tc>
        <w:tc>
          <w:tcPr>
            <w:tcW w:w="1510" w:type="pct"/>
            <w:tcBorders>
              <w:top w:val="nil"/>
              <w:left w:val="nil"/>
              <w:bottom w:val="nil"/>
              <w:right w:val="nil"/>
            </w:tcBorders>
            <w:shd w:val="clear" w:color="000000" w:fill="F2F2F2"/>
            <w:noWrap/>
            <w:vAlign w:val="bottom"/>
            <w:hideMark/>
          </w:tcPr>
          <w:p w14:paraId="7476A32D" w14:textId="77777777" w:rsidR="00F76B72" w:rsidRDefault="00F76B72" w:rsidP="00F76B72">
            <w:pPr>
              <w:keepNext/>
              <w:spacing w:after="0"/>
              <w:ind w:left="240"/>
            </w:pPr>
            <w:r>
              <w:t>63.6</w:t>
            </w:r>
          </w:p>
        </w:tc>
      </w:tr>
      <w:tr w:rsidR="00F76B72" w:rsidRPr="007431D2" w14:paraId="5F68C2ED" w14:textId="77777777" w:rsidTr="00F76B72">
        <w:trPr>
          <w:trHeight w:val="300"/>
        </w:trPr>
        <w:tc>
          <w:tcPr>
            <w:tcW w:w="1035" w:type="pct"/>
            <w:tcBorders>
              <w:top w:val="nil"/>
              <w:left w:val="nil"/>
              <w:bottom w:val="nil"/>
              <w:right w:val="nil"/>
            </w:tcBorders>
            <w:shd w:val="clear" w:color="000000" w:fill="F2F2F2"/>
            <w:noWrap/>
            <w:vAlign w:val="bottom"/>
            <w:hideMark/>
          </w:tcPr>
          <w:p w14:paraId="0512E78F" w14:textId="77777777" w:rsidR="00F76B72" w:rsidRDefault="00F76B72" w:rsidP="00F76B72">
            <w:pPr>
              <w:keepNext/>
              <w:spacing w:after="0"/>
            </w:pPr>
            <w:r>
              <w:t>$45</w:t>
            </w:r>
          </w:p>
        </w:tc>
        <w:tc>
          <w:tcPr>
            <w:tcW w:w="986" w:type="pct"/>
            <w:tcBorders>
              <w:top w:val="nil"/>
              <w:left w:val="nil"/>
              <w:bottom w:val="nil"/>
              <w:right w:val="nil"/>
            </w:tcBorders>
            <w:shd w:val="clear" w:color="000000" w:fill="F2F2F2"/>
            <w:noWrap/>
            <w:vAlign w:val="bottom"/>
            <w:hideMark/>
          </w:tcPr>
          <w:p w14:paraId="414A06F5" w14:textId="77777777" w:rsidR="00F76B72" w:rsidRDefault="00F76B72" w:rsidP="00F76B72">
            <w:pPr>
              <w:keepNext/>
              <w:spacing w:after="0"/>
              <w:ind w:left="885"/>
            </w:pPr>
            <w:r>
              <w:t>3.3</w:t>
            </w:r>
          </w:p>
        </w:tc>
        <w:tc>
          <w:tcPr>
            <w:tcW w:w="1470" w:type="pct"/>
            <w:tcBorders>
              <w:top w:val="nil"/>
              <w:left w:val="nil"/>
              <w:bottom w:val="nil"/>
              <w:right w:val="nil"/>
            </w:tcBorders>
            <w:shd w:val="clear" w:color="000000" w:fill="F2F2F2"/>
            <w:noWrap/>
            <w:vAlign w:val="bottom"/>
            <w:hideMark/>
          </w:tcPr>
          <w:p w14:paraId="4FF9ACB6" w14:textId="77777777" w:rsidR="00F76B72" w:rsidRDefault="00F76B72" w:rsidP="00F76B72">
            <w:pPr>
              <w:keepNext/>
              <w:spacing w:after="0"/>
              <w:ind w:left="765"/>
            </w:pPr>
            <w:r>
              <w:t>180</w:t>
            </w:r>
          </w:p>
        </w:tc>
        <w:tc>
          <w:tcPr>
            <w:tcW w:w="1510" w:type="pct"/>
            <w:tcBorders>
              <w:top w:val="nil"/>
              <w:left w:val="nil"/>
              <w:bottom w:val="nil"/>
              <w:right w:val="nil"/>
            </w:tcBorders>
            <w:shd w:val="clear" w:color="000000" w:fill="F2F2F2"/>
            <w:noWrap/>
            <w:vAlign w:val="bottom"/>
            <w:hideMark/>
          </w:tcPr>
          <w:p w14:paraId="38639570" w14:textId="77777777" w:rsidR="00F76B72" w:rsidRDefault="00F76B72" w:rsidP="00F76B72">
            <w:pPr>
              <w:keepNext/>
              <w:spacing w:after="0"/>
              <w:ind w:left="240"/>
            </w:pPr>
            <w:r>
              <w:t>53.3</w:t>
            </w:r>
          </w:p>
        </w:tc>
      </w:tr>
      <w:tr w:rsidR="00F76B72" w:rsidRPr="007431D2" w14:paraId="0A8005D0" w14:textId="77777777" w:rsidTr="00F76B72">
        <w:trPr>
          <w:trHeight w:val="300"/>
        </w:trPr>
        <w:tc>
          <w:tcPr>
            <w:tcW w:w="1035" w:type="pct"/>
            <w:tcBorders>
              <w:top w:val="nil"/>
              <w:left w:val="nil"/>
              <w:bottom w:val="nil"/>
              <w:right w:val="nil"/>
            </w:tcBorders>
            <w:shd w:val="clear" w:color="000000" w:fill="F2F2F2"/>
            <w:noWrap/>
            <w:vAlign w:val="bottom"/>
            <w:hideMark/>
          </w:tcPr>
          <w:p w14:paraId="510AE4C0" w14:textId="77777777" w:rsidR="00F76B72" w:rsidRDefault="00F76B72" w:rsidP="00F76B72">
            <w:pPr>
              <w:keepNext/>
              <w:spacing w:after="0"/>
            </w:pPr>
            <w:r>
              <w:t>$65</w:t>
            </w:r>
          </w:p>
        </w:tc>
        <w:tc>
          <w:tcPr>
            <w:tcW w:w="986" w:type="pct"/>
            <w:tcBorders>
              <w:top w:val="nil"/>
              <w:left w:val="nil"/>
              <w:bottom w:val="nil"/>
              <w:right w:val="nil"/>
            </w:tcBorders>
            <w:shd w:val="clear" w:color="000000" w:fill="F2F2F2"/>
            <w:noWrap/>
            <w:vAlign w:val="bottom"/>
            <w:hideMark/>
          </w:tcPr>
          <w:p w14:paraId="29F66DBF" w14:textId="77777777" w:rsidR="00F76B72" w:rsidRDefault="00F76B72" w:rsidP="00F76B72">
            <w:pPr>
              <w:keepNext/>
              <w:spacing w:after="0"/>
              <w:ind w:left="885"/>
            </w:pPr>
            <w:r>
              <w:t>4.8</w:t>
            </w:r>
          </w:p>
        </w:tc>
        <w:tc>
          <w:tcPr>
            <w:tcW w:w="1470" w:type="pct"/>
            <w:tcBorders>
              <w:top w:val="nil"/>
              <w:left w:val="nil"/>
              <w:bottom w:val="nil"/>
              <w:right w:val="nil"/>
            </w:tcBorders>
            <w:shd w:val="clear" w:color="000000" w:fill="F2F2F2"/>
            <w:noWrap/>
            <w:vAlign w:val="bottom"/>
            <w:hideMark/>
          </w:tcPr>
          <w:p w14:paraId="6DDD039D" w14:textId="77777777" w:rsidR="00F76B72" w:rsidRDefault="00F76B72" w:rsidP="00F76B72">
            <w:pPr>
              <w:keepNext/>
              <w:spacing w:after="0"/>
              <w:ind w:left="765"/>
            </w:pPr>
            <w:r>
              <w:t>222</w:t>
            </w:r>
          </w:p>
        </w:tc>
        <w:tc>
          <w:tcPr>
            <w:tcW w:w="1510" w:type="pct"/>
            <w:tcBorders>
              <w:top w:val="nil"/>
              <w:left w:val="nil"/>
              <w:bottom w:val="nil"/>
              <w:right w:val="nil"/>
            </w:tcBorders>
            <w:shd w:val="clear" w:color="000000" w:fill="F2F2F2"/>
            <w:noWrap/>
            <w:vAlign w:val="bottom"/>
            <w:hideMark/>
          </w:tcPr>
          <w:p w14:paraId="52E085F6" w14:textId="77777777" w:rsidR="00F76B72" w:rsidRDefault="00F76B72" w:rsidP="00F76B72">
            <w:pPr>
              <w:keepNext/>
              <w:spacing w:after="0"/>
              <w:ind w:left="240"/>
            </w:pPr>
            <w:r>
              <w:t>52.0</w:t>
            </w:r>
          </w:p>
        </w:tc>
      </w:tr>
      <w:tr w:rsidR="00F76B72" w:rsidRPr="007431D2" w14:paraId="067166D5" w14:textId="77777777" w:rsidTr="00F76B72">
        <w:trPr>
          <w:trHeight w:val="300"/>
        </w:trPr>
        <w:tc>
          <w:tcPr>
            <w:tcW w:w="1035" w:type="pct"/>
            <w:tcBorders>
              <w:top w:val="nil"/>
              <w:left w:val="nil"/>
              <w:bottom w:val="nil"/>
              <w:right w:val="nil"/>
            </w:tcBorders>
            <w:shd w:val="clear" w:color="000000" w:fill="F2F2F2"/>
            <w:noWrap/>
            <w:vAlign w:val="bottom"/>
            <w:hideMark/>
          </w:tcPr>
          <w:p w14:paraId="6C6BAF10" w14:textId="77777777" w:rsidR="00F76B72" w:rsidRDefault="00F76B72" w:rsidP="00F76B72">
            <w:pPr>
              <w:keepNext/>
              <w:spacing w:after="0"/>
            </w:pPr>
            <w:r>
              <w:t>$85</w:t>
            </w:r>
          </w:p>
        </w:tc>
        <w:tc>
          <w:tcPr>
            <w:tcW w:w="986" w:type="pct"/>
            <w:tcBorders>
              <w:top w:val="nil"/>
              <w:left w:val="nil"/>
              <w:bottom w:val="nil"/>
              <w:right w:val="nil"/>
            </w:tcBorders>
            <w:shd w:val="clear" w:color="000000" w:fill="F2F2F2"/>
            <w:noWrap/>
            <w:vAlign w:val="bottom"/>
            <w:hideMark/>
          </w:tcPr>
          <w:p w14:paraId="7A27E2FC" w14:textId="77777777" w:rsidR="00F76B72" w:rsidRDefault="00F76B72" w:rsidP="00F76B72">
            <w:pPr>
              <w:keepNext/>
              <w:spacing w:after="0"/>
              <w:ind w:left="885"/>
            </w:pPr>
            <w:r>
              <w:t>6.2</w:t>
            </w:r>
          </w:p>
        </w:tc>
        <w:tc>
          <w:tcPr>
            <w:tcW w:w="1470" w:type="pct"/>
            <w:tcBorders>
              <w:top w:val="nil"/>
              <w:left w:val="nil"/>
              <w:bottom w:val="nil"/>
              <w:right w:val="nil"/>
            </w:tcBorders>
            <w:shd w:val="clear" w:color="000000" w:fill="F2F2F2"/>
            <w:noWrap/>
            <w:vAlign w:val="bottom"/>
            <w:hideMark/>
          </w:tcPr>
          <w:p w14:paraId="673BC638" w14:textId="77777777" w:rsidR="00F76B72" w:rsidRDefault="00F76B72" w:rsidP="00F76B72">
            <w:pPr>
              <w:keepNext/>
              <w:spacing w:after="0"/>
              <w:ind w:left="765"/>
            </w:pPr>
            <w:r>
              <w:t>205</w:t>
            </w:r>
          </w:p>
        </w:tc>
        <w:tc>
          <w:tcPr>
            <w:tcW w:w="1510" w:type="pct"/>
            <w:tcBorders>
              <w:top w:val="nil"/>
              <w:left w:val="nil"/>
              <w:bottom w:val="nil"/>
              <w:right w:val="nil"/>
            </w:tcBorders>
            <w:shd w:val="clear" w:color="000000" w:fill="F2F2F2"/>
            <w:noWrap/>
            <w:vAlign w:val="bottom"/>
            <w:hideMark/>
          </w:tcPr>
          <w:p w14:paraId="7B30491A" w14:textId="77777777" w:rsidR="00F76B72" w:rsidRDefault="00F76B72" w:rsidP="00F76B72">
            <w:pPr>
              <w:keepNext/>
              <w:spacing w:after="0"/>
              <w:ind w:left="240"/>
            </w:pPr>
            <w:r>
              <w:t>60.5</w:t>
            </w:r>
          </w:p>
        </w:tc>
      </w:tr>
      <w:tr w:rsidR="00F76B72" w:rsidRPr="007431D2" w14:paraId="55252453" w14:textId="77777777" w:rsidTr="00F76B72">
        <w:trPr>
          <w:trHeight w:val="300"/>
        </w:trPr>
        <w:tc>
          <w:tcPr>
            <w:tcW w:w="1035" w:type="pct"/>
            <w:tcBorders>
              <w:top w:val="nil"/>
              <w:left w:val="nil"/>
              <w:bottom w:val="nil"/>
              <w:right w:val="nil"/>
            </w:tcBorders>
            <w:shd w:val="clear" w:color="000000" w:fill="F2F2F2"/>
            <w:noWrap/>
            <w:vAlign w:val="bottom"/>
            <w:hideMark/>
          </w:tcPr>
          <w:p w14:paraId="47829A92" w14:textId="77777777" w:rsidR="00F76B72" w:rsidRDefault="00F76B72" w:rsidP="00F76B72">
            <w:pPr>
              <w:keepNext/>
              <w:spacing w:after="0"/>
            </w:pPr>
            <w:r>
              <w:t>$105</w:t>
            </w:r>
          </w:p>
        </w:tc>
        <w:tc>
          <w:tcPr>
            <w:tcW w:w="986" w:type="pct"/>
            <w:tcBorders>
              <w:top w:val="nil"/>
              <w:left w:val="nil"/>
              <w:bottom w:val="nil"/>
              <w:right w:val="nil"/>
            </w:tcBorders>
            <w:shd w:val="clear" w:color="000000" w:fill="F2F2F2"/>
            <w:noWrap/>
            <w:vAlign w:val="bottom"/>
            <w:hideMark/>
          </w:tcPr>
          <w:p w14:paraId="7870BEC8" w14:textId="77777777" w:rsidR="00F76B72" w:rsidRDefault="00F76B72" w:rsidP="00F76B72">
            <w:pPr>
              <w:keepNext/>
              <w:spacing w:after="0"/>
              <w:ind w:left="885"/>
            </w:pPr>
            <w:r>
              <w:t>7.7</w:t>
            </w:r>
          </w:p>
        </w:tc>
        <w:tc>
          <w:tcPr>
            <w:tcW w:w="1470" w:type="pct"/>
            <w:tcBorders>
              <w:top w:val="nil"/>
              <w:left w:val="nil"/>
              <w:bottom w:val="nil"/>
              <w:right w:val="nil"/>
            </w:tcBorders>
            <w:shd w:val="clear" w:color="000000" w:fill="F2F2F2"/>
            <w:noWrap/>
            <w:vAlign w:val="bottom"/>
            <w:hideMark/>
          </w:tcPr>
          <w:p w14:paraId="18540681" w14:textId="77777777" w:rsidR="00F76B72" w:rsidRDefault="00F76B72" w:rsidP="00F76B72">
            <w:pPr>
              <w:keepNext/>
              <w:spacing w:after="0"/>
              <w:ind w:left="765"/>
            </w:pPr>
            <w:r>
              <w:t>184</w:t>
            </w:r>
          </w:p>
        </w:tc>
        <w:tc>
          <w:tcPr>
            <w:tcW w:w="1510" w:type="pct"/>
            <w:tcBorders>
              <w:top w:val="nil"/>
              <w:left w:val="nil"/>
              <w:bottom w:val="nil"/>
              <w:right w:val="nil"/>
            </w:tcBorders>
            <w:shd w:val="clear" w:color="000000" w:fill="F2F2F2"/>
            <w:noWrap/>
            <w:vAlign w:val="bottom"/>
            <w:hideMark/>
          </w:tcPr>
          <w:p w14:paraId="6A8A427A" w14:textId="77777777" w:rsidR="00F76B72" w:rsidRDefault="00F76B72" w:rsidP="00F76B72">
            <w:pPr>
              <w:keepNext/>
              <w:spacing w:after="0"/>
              <w:ind w:left="240"/>
            </w:pPr>
            <w:r>
              <w:t>52.4</w:t>
            </w:r>
          </w:p>
        </w:tc>
      </w:tr>
      <w:tr w:rsidR="00F76B72" w:rsidRPr="007431D2" w14:paraId="51CD9FC3" w14:textId="77777777" w:rsidTr="00F76B72">
        <w:trPr>
          <w:trHeight w:val="300"/>
        </w:trPr>
        <w:tc>
          <w:tcPr>
            <w:tcW w:w="1035" w:type="pct"/>
            <w:tcBorders>
              <w:top w:val="nil"/>
              <w:left w:val="nil"/>
              <w:bottom w:val="nil"/>
              <w:right w:val="nil"/>
            </w:tcBorders>
            <w:shd w:val="clear" w:color="000000" w:fill="F2F2F2"/>
            <w:noWrap/>
            <w:vAlign w:val="bottom"/>
            <w:hideMark/>
          </w:tcPr>
          <w:p w14:paraId="0CEF7479" w14:textId="77777777" w:rsidR="00F76B72" w:rsidRDefault="00F76B72" w:rsidP="00F76B72">
            <w:pPr>
              <w:keepNext/>
              <w:spacing w:after="0"/>
            </w:pPr>
            <w:r>
              <w:t>$135</w:t>
            </w:r>
          </w:p>
        </w:tc>
        <w:tc>
          <w:tcPr>
            <w:tcW w:w="986" w:type="pct"/>
            <w:tcBorders>
              <w:top w:val="nil"/>
              <w:left w:val="nil"/>
              <w:bottom w:val="nil"/>
              <w:right w:val="nil"/>
            </w:tcBorders>
            <w:shd w:val="clear" w:color="000000" w:fill="F2F2F2"/>
            <w:noWrap/>
            <w:vAlign w:val="bottom"/>
            <w:hideMark/>
          </w:tcPr>
          <w:p w14:paraId="59540425" w14:textId="77777777" w:rsidR="00F76B72" w:rsidRDefault="00F76B72" w:rsidP="00F76B72">
            <w:pPr>
              <w:keepNext/>
              <w:spacing w:after="0"/>
              <w:ind w:left="885"/>
            </w:pPr>
            <w:r>
              <w:t>9.9</w:t>
            </w:r>
          </w:p>
        </w:tc>
        <w:tc>
          <w:tcPr>
            <w:tcW w:w="1470" w:type="pct"/>
            <w:tcBorders>
              <w:top w:val="nil"/>
              <w:left w:val="nil"/>
              <w:bottom w:val="nil"/>
              <w:right w:val="nil"/>
            </w:tcBorders>
            <w:shd w:val="clear" w:color="000000" w:fill="F2F2F2"/>
            <w:noWrap/>
            <w:vAlign w:val="bottom"/>
            <w:hideMark/>
          </w:tcPr>
          <w:p w14:paraId="072FF682" w14:textId="77777777" w:rsidR="00F76B72" w:rsidRDefault="00F76B72" w:rsidP="00F76B72">
            <w:pPr>
              <w:keepNext/>
              <w:spacing w:after="0"/>
              <w:ind w:left="765"/>
            </w:pPr>
            <w:r>
              <w:t>108</w:t>
            </w:r>
          </w:p>
        </w:tc>
        <w:tc>
          <w:tcPr>
            <w:tcW w:w="1510" w:type="pct"/>
            <w:tcBorders>
              <w:top w:val="nil"/>
              <w:left w:val="nil"/>
              <w:bottom w:val="nil"/>
              <w:right w:val="nil"/>
            </w:tcBorders>
            <w:shd w:val="clear" w:color="000000" w:fill="F2F2F2"/>
            <w:noWrap/>
            <w:vAlign w:val="bottom"/>
            <w:hideMark/>
          </w:tcPr>
          <w:p w14:paraId="56107E64" w14:textId="77777777" w:rsidR="00F76B72" w:rsidRDefault="00F76B72" w:rsidP="00F76B72">
            <w:pPr>
              <w:keepNext/>
              <w:spacing w:after="0"/>
              <w:ind w:left="240"/>
            </w:pPr>
            <w:r>
              <w:t>59.3</w:t>
            </w:r>
          </w:p>
        </w:tc>
      </w:tr>
      <w:tr w:rsidR="00F76B72" w:rsidRPr="007431D2" w14:paraId="3ACBA866" w14:textId="77777777" w:rsidTr="00F76B72">
        <w:trPr>
          <w:trHeight w:val="300"/>
        </w:trPr>
        <w:tc>
          <w:tcPr>
            <w:tcW w:w="1035" w:type="pct"/>
            <w:tcBorders>
              <w:top w:val="nil"/>
              <w:left w:val="nil"/>
              <w:bottom w:val="nil"/>
              <w:right w:val="nil"/>
            </w:tcBorders>
            <w:shd w:val="clear" w:color="000000" w:fill="F2F2F2"/>
            <w:noWrap/>
            <w:vAlign w:val="bottom"/>
            <w:hideMark/>
          </w:tcPr>
          <w:p w14:paraId="5876E916" w14:textId="77777777" w:rsidR="00F76B72" w:rsidRDefault="00F76B72" w:rsidP="00F76B72">
            <w:pPr>
              <w:keepNext/>
              <w:spacing w:after="0"/>
            </w:pPr>
            <w:r>
              <w:t>$155</w:t>
            </w:r>
          </w:p>
        </w:tc>
        <w:tc>
          <w:tcPr>
            <w:tcW w:w="986" w:type="pct"/>
            <w:tcBorders>
              <w:top w:val="nil"/>
              <w:left w:val="nil"/>
              <w:bottom w:val="nil"/>
              <w:right w:val="nil"/>
            </w:tcBorders>
            <w:shd w:val="clear" w:color="000000" w:fill="F2F2F2"/>
            <w:noWrap/>
            <w:vAlign w:val="bottom"/>
            <w:hideMark/>
          </w:tcPr>
          <w:p w14:paraId="64D8C463" w14:textId="77777777" w:rsidR="00F76B72" w:rsidRDefault="00F76B72" w:rsidP="00F76B72">
            <w:pPr>
              <w:keepNext/>
              <w:spacing w:after="0"/>
              <w:ind w:left="885"/>
            </w:pPr>
            <w:r>
              <w:t>11.3</w:t>
            </w:r>
          </w:p>
        </w:tc>
        <w:tc>
          <w:tcPr>
            <w:tcW w:w="1470" w:type="pct"/>
            <w:tcBorders>
              <w:top w:val="nil"/>
              <w:left w:val="nil"/>
              <w:bottom w:val="nil"/>
              <w:right w:val="nil"/>
            </w:tcBorders>
            <w:shd w:val="clear" w:color="000000" w:fill="F2F2F2"/>
            <w:noWrap/>
            <w:vAlign w:val="bottom"/>
            <w:hideMark/>
          </w:tcPr>
          <w:p w14:paraId="6AF2EA2C" w14:textId="77777777" w:rsidR="00F76B72" w:rsidRDefault="00F76B72" w:rsidP="00F76B72">
            <w:pPr>
              <w:keepNext/>
              <w:spacing w:after="0"/>
              <w:ind w:left="765"/>
            </w:pPr>
            <w:r>
              <w:t>119</w:t>
            </w:r>
          </w:p>
        </w:tc>
        <w:tc>
          <w:tcPr>
            <w:tcW w:w="1510" w:type="pct"/>
            <w:tcBorders>
              <w:top w:val="nil"/>
              <w:left w:val="nil"/>
              <w:bottom w:val="nil"/>
              <w:right w:val="nil"/>
            </w:tcBorders>
            <w:shd w:val="clear" w:color="000000" w:fill="F2F2F2"/>
            <w:noWrap/>
            <w:vAlign w:val="bottom"/>
            <w:hideMark/>
          </w:tcPr>
          <w:p w14:paraId="040E7C85" w14:textId="77777777" w:rsidR="00F76B72" w:rsidRDefault="00F76B72" w:rsidP="00F76B72">
            <w:pPr>
              <w:keepNext/>
              <w:spacing w:after="0"/>
              <w:ind w:left="240"/>
            </w:pPr>
            <w:r>
              <w:t>61.4</w:t>
            </w:r>
          </w:p>
        </w:tc>
      </w:tr>
      <w:tr w:rsidR="00F76B72" w:rsidRPr="007431D2" w14:paraId="7CB61821" w14:textId="77777777" w:rsidTr="00F76B72">
        <w:trPr>
          <w:trHeight w:val="525"/>
        </w:trPr>
        <w:tc>
          <w:tcPr>
            <w:tcW w:w="5000" w:type="pct"/>
            <w:gridSpan w:val="4"/>
            <w:tcBorders>
              <w:top w:val="single" w:sz="4" w:space="0" w:color="auto"/>
              <w:left w:val="nil"/>
              <w:bottom w:val="nil"/>
              <w:right w:val="nil"/>
            </w:tcBorders>
            <w:shd w:val="clear" w:color="000000" w:fill="F2F2F2"/>
            <w:hideMark/>
          </w:tcPr>
          <w:p w14:paraId="32081FBB" w14:textId="77777777" w:rsidR="00F76B72" w:rsidRPr="007431D2" w:rsidRDefault="00F76B72" w:rsidP="00F76B72">
            <w:pPr>
              <w:keepNext/>
              <w:spacing w:after="0" w:line="240" w:lineRule="auto"/>
              <w:rPr>
                <w:rFonts w:eastAsia="Times New Roman"/>
                <w:sz w:val="18"/>
                <w:szCs w:val="18"/>
              </w:rPr>
            </w:pPr>
            <w:r w:rsidRPr="007431D2">
              <w:rPr>
                <w:rFonts w:eastAsia="Times New Roman"/>
                <w:sz w:val="18"/>
                <w:szCs w:val="18"/>
              </w:rPr>
              <w:t>Five responden</w:t>
            </w:r>
            <w:r>
              <w:rPr>
                <w:rFonts w:eastAsia="Times New Roman"/>
                <w:sz w:val="18"/>
                <w:szCs w:val="18"/>
              </w:rPr>
              <w:t>ts refused to answer the prompt and are not included, note this</w:t>
            </w:r>
            <w:r w:rsidRPr="007431D2">
              <w:rPr>
                <w:rFonts w:eastAsia="Times New Roman"/>
                <w:sz w:val="18"/>
                <w:szCs w:val="18"/>
              </w:rPr>
              <w:t xml:space="preserve"> did not occur more than once per bid amount.</w:t>
            </w:r>
            <w:r>
              <w:rPr>
                <w:rFonts w:eastAsia="Times New Roman"/>
                <w:sz w:val="18"/>
                <w:szCs w:val="18"/>
              </w:rPr>
              <w:t xml:space="preserve">  Percentage household bill increase based on the 2015 national average monthly residential energy bill of $114.03 (EIA).</w:t>
            </w:r>
          </w:p>
        </w:tc>
      </w:tr>
    </w:tbl>
    <w:p w14:paraId="70C8A9F7" w14:textId="4C379453" w:rsidR="00F76B72" w:rsidRDefault="00F76B72" w:rsidP="0052424D">
      <w:pPr>
        <w:spacing w:before="120" w:line="360" w:lineRule="auto"/>
      </w:pPr>
      <w:r>
        <w:t>Using a logit model</w:t>
      </w:r>
      <w:r w:rsidR="00D82B27">
        <w:t xml:space="preserve"> that</w:t>
      </w:r>
      <w:r>
        <w:t xml:space="preserve"> includ</w:t>
      </w:r>
      <w:r w:rsidR="008B1700">
        <w:t>es</w:t>
      </w:r>
      <w:r>
        <w:t xml:space="preserve"> </w:t>
      </w:r>
      <w:r w:rsidR="00D82B27">
        <w:t>the</w:t>
      </w:r>
      <w:r>
        <w:t xml:space="preserve"> randomized bid amount</w:t>
      </w:r>
      <w:r w:rsidR="00D82B27">
        <w:t xml:space="preserve"> as an explanatory variable</w:t>
      </w:r>
      <w:r>
        <w:t>, the bid result as</w:t>
      </w:r>
      <w:r w:rsidR="00D82B27">
        <w:t xml:space="preserve"> a dichotomous</w:t>
      </w:r>
      <w:r>
        <w:t xml:space="preserve"> dependent variable, demographic covariates, and global warming belief indicators, the probability of supporting the tax on fossil fuels to reduce global warming</w:t>
      </w:r>
      <w:r w:rsidR="00D82B27">
        <w:t xml:space="preserve"> is estimated.  The results in Table 4</w:t>
      </w:r>
      <w:r>
        <w:t xml:space="preserve"> </w:t>
      </w:r>
      <w:r w:rsidR="00A457BE">
        <w:t>are</w:t>
      </w:r>
      <w:r>
        <w:t xml:space="preserve"> the marginal effects of each variable.  Model 1 presents results specifying demographics, political affiliation, and bid but not address</w:t>
      </w:r>
      <w:r w:rsidR="00D82B27">
        <w:t>ing</w:t>
      </w:r>
      <w:r>
        <w:t xml:space="preserve"> global warming beliefs which are then added in </w:t>
      </w:r>
      <w:r w:rsidR="00D82B27">
        <w:t>M</w:t>
      </w:r>
      <w:r>
        <w:t xml:space="preserve">odel 2.  Model 3 further breaks out global warming beliefs by indicators for respondents who report being at least “very sure” in their respective global warming stance.  This specification </w:t>
      </w:r>
      <w:r w:rsidR="00D82B27">
        <w:t>expands on</w:t>
      </w:r>
      <w:r>
        <w:t xml:space="preserve"> Kotchen, Boyle, and Leiserowitz (2013) where strength of attitudes on global warming is a statistically significant indicator of willingness to pay in support for a national clean energy standard (NCES) rather than political affiliation alone.  </w:t>
      </w:r>
      <w:r w:rsidR="00D82B27">
        <w:t>A</w:t>
      </w:r>
      <w:r>
        <w:t xml:space="preserve"> similar</w:t>
      </w:r>
      <w:r w:rsidR="00D82B27">
        <w:t xml:space="preserve"> result is found</w:t>
      </w:r>
      <w:r w:rsidR="00162395">
        <w:t xml:space="preserve"> </w:t>
      </w:r>
      <w:r w:rsidR="00D82B27">
        <w:t xml:space="preserve">- </w:t>
      </w:r>
      <w:r w:rsidR="00162395">
        <w:t>R</w:t>
      </w:r>
      <w:r w:rsidR="00D82B27">
        <w:t>epublican party</w:t>
      </w:r>
      <w:r>
        <w:t xml:space="preserve"> alone is not a statistically significant indicator of </w:t>
      </w:r>
      <w:r w:rsidR="00D82B27">
        <w:t xml:space="preserve">opposition to a global warming focused tax when </w:t>
      </w:r>
      <w:r w:rsidR="009E106E">
        <w:t xml:space="preserve">the certainty </w:t>
      </w:r>
      <w:r w:rsidR="00D82B27">
        <w:t>of global warming beliefs are separately controlled for</w:t>
      </w:r>
      <w:r>
        <w:t>.</w:t>
      </w:r>
    </w:p>
    <w:p w14:paraId="5D2D4BDC" w14:textId="0160C0B9" w:rsidR="00F76B72" w:rsidRDefault="00F76B72" w:rsidP="0052424D">
      <w:pPr>
        <w:spacing w:line="360" w:lineRule="auto"/>
      </w:pPr>
      <w:r>
        <w:t xml:space="preserve">Model 2 is </w:t>
      </w:r>
      <w:r w:rsidR="00357E86">
        <w:t>the</w:t>
      </w:r>
      <w:r>
        <w:t xml:space="preserve"> preferred specification for</w:t>
      </w:r>
      <w:r w:rsidR="00357E86">
        <w:t xml:space="preserve"> simplicity, however, and the</w:t>
      </w:r>
      <w:r>
        <w:t xml:space="preserve"> analysis of willingness to pay and discussion extends from it.  Analyzing marginal effects, a </w:t>
      </w:r>
      <w:r w:rsidRPr="00D11B47">
        <w:t>$10 increase in household energy bills results in a 1-percent decrease in the probability of supporting a tax on fossil fuels to combat global warming for the average household.</w:t>
      </w:r>
      <w:r>
        <w:t xml:space="preserve">  Statistically insignificant effects on support probability are found for education, gender, household size.  A $10,000 increase in income increases the probability of support</w:t>
      </w:r>
      <w:r w:rsidR="00357E86">
        <w:t>,</w:t>
      </w:r>
      <w:r>
        <w:t xml:space="preserve"> as expected.  Republicans, independents, and those claiming no party affiliation or leaning are each substantially less likely to support such a proposal than the base </w:t>
      </w:r>
      <w:r w:rsidR="009270A8">
        <w:t>D</w:t>
      </w:r>
      <w:r w:rsidR="00357E86">
        <w:t>emocrat group</w:t>
      </w:r>
      <w:r>
        <w:t xml:space="preserve">, with magnitudes of 11.2, 20.1, and 17.6-percent decreases, respectively.  </w:t>
      </w:r>
      <w:r w:rsidR="00357E86">
        <w:t>M</w:t>
      </w:r>
      <w:r>
        <w:t xml:space="preserve">odel 4 </w:t>
      </w:r>
      <w:r w:rsidR="00357E86">
        <w:t xml:space="preserve">is also estimated </w:t>
      </w:r>
      <w:r>
        <w:t xml:space="preserve">which differs in how the variable “bid amount” is specified.  Rather than </w:t>
      </w:r>
      <w:r w:rsidR="00A132C7">
        <w:t>in</w:t>
      </w:r>
      <w:r>
        <w:t xml:space="preserve"> dollar </w:t>
      </w:r>
      <w:r w:rsidR="00A132C7">
        <w:t>terms</w:t>
      </w:r>
      <w:r>
        <w:t>, bids offered</w:t>
      </w:r>
      <w:r w:rsidR="00A132C7">
        <w:t xml:space="preserve"> are transformed</w:t>
      </w:r>
      <w:r>
        <w:t xml:space="preserve"> into percentage increases in the average energy bill in each respondent’s home state using data from the Energy Information Administration (EIA).  This provides a particularly </w:t>
      </w:r>
      <w:r w:rsidR="00A132C7">
        <w:t>easy</w:t>
      </w:r>
      <w:r>
        <w:t xml:space="preserve"> interpretation of the bid </w:t>
      </w:r>
      <w:r w:rsidRPr="006964E1">
        <w:t>coefficient- a 1-percent increase in household energy bills results in a 1-percent decrease in support for the tax.</w:t>
      </w:r>
    </w:p>
    <w:p w14:paraId="2DC41CC0" w14:textId="6703AE8C" w:rsidR="00F76B72" w:rsidRPr="00416B8C" w:rsidRDefault="00F76B72" w:rsidP="0052424D">
      <w:pPr>
        <w:spacing w:line="360" w:lineRule="auto"/>
        <w:rPr>
          <w:rFonts w:eastAsia="Times New Roman"/>
          <w:highlight w:val="lightGray"/>
        </w:rPr>
      </w:pPr>
      <w:r>
        <w:lastRenderedPageBreak/>
        <w:t xml:space="preserve">By far the largest effect on the probability of support comes with beliefs on whether global warming is happening.  Those who claim </w:t>
      </w:r>
      <w:r w:rsidR="0016516B">
        <w:t>global warming is not happening</w:t>
      </w:r>
      <w:r>
        <w:t xml:space="preserve"> are 25.4-percent less likely to support the proposal.  In comparison, those that do believe global warming is happening, representing most </w:t>
      </w:r>
      <w:r w:rsidR="00017EA2">
        <w:t>the U.S. population, are</w:t>
      </w:r>
      <w:r>
        <w:t xml:space="preserve"> 35.2-percent more likely to support such a proposal than the </w:t>
      </w:r>
      <w:r w:rsidR="00017EA2">
        <w:t>‘</w:t>
      </w:r>
      <w:r>
        <w:t>don’t know</w:t>
      </w:r>
      <w:r w:rsidR="00017EA2">
        <w:t>’</w:t>
      </w:r>
      <w:r>
        <w:t xml:space="preserve"> base.</w:t>
      </w:r>
      <w:r w:rsidR="00017EA2">
        <w:t xml:space="preserve">  These beliefs, more than any </w:t>
      </w:r>
      <w:r>
        <w:t>demographic or political indicator, appear to account for the most opposition</w:t>
      </w:r>
      <w:r w:rsidR="0016516B">
        <w:t xml:space="preserve"> or support of</w:t>
      </w:r>
      <w:r>
        <w:t xml:space="preserve"> a carbon tax among the public.</w:t>
      </w:r>
      <w:r>
        <w:rPr>
          <w:rFonts w:eastAsia="Times New Roman"/>
        </w:rPr>
        <w:t xml:space="preserve">  Finally, t</w:t>
      </w:r>
      <w:r>
        <w:t>he point estimates of mean WTP derived from each model are r</w:t>
      </w:r>
      <w:r w:rsidR="00242AAC">
        <w:t>eported at the bottom of Table 4</w:t>
      </w:r>
      <w:r>
        <w:t>.</w:t>
      </w:r>
    </w:p>
    <w:tbl>
      <w:tblPr>
        <w:tblW w:w="5000" w:type="pct"/>
        <w:tblLayout w:type="fixed"/>
        <w:tblLook w:val="04A0" w:firstRow="1" w:lastRow="0" w:firstColumn="1" w:lastColumn="0" w:noHBand="0" w:noVBand="1"/>
      </w:tblPr>
      <w:tblGrid>
        <w:gridCol w:w="3867"/>
        <w:gridCol w:w="1352"/>
        <w:gridCol w:w="1501"/>
        <w:gridCol w:w="1348"/>
        <w:gridCol w:w="32"/>
        <w:gridCol w:w="1260"/>
      </w:tblGrid>
      <w:tr w:rsidR="00F76B72" w:rsidRPr="003E5D9C" w14:paraId="41A4DB7C" w14:textId="77777777" w:rsidTr="00F76B72">
        <w:trPr>
          <w:trHeight w:val="300"/>
        </w:trPr>
        <w:tc>
          <w:tcPr>
            <w:tcW w:w="5000" w:type="pct"/>
            <w:gridSpan w:val="6"/>
            <w:tcBorders>
              <w:top w:val="nil"/>
              <w:left w:val="nil"/>
              <w:bottom w:val="single" w:sz="4" w:space="0" w:color="000000"/>
              <w:right w:val="nil"/>
            </w:tcBorders>
            <w:shd w:val="clear" w:color="auto" w:fill="E7E6E6" w:themeFill="background2"/>
            <w:noWrap/>
            <w:vAlign w:val="bottom"/>
            <w:hideMark/>
          </w:tcPr>
          <w:p w14:paraId="578FC5D2" w14:textId="77777777" w:rsidR="00F76B72" w:rsidRPr="00582D88" w:rsidRDefault="00242AAC" w:rsidP="00F76B72">
            <w:pPr>
              <w:keepNext/>
              <w:spacing w:after="0" w:line="240" w:lineRule="auto"/>
              <w:rPr>
                <w:rFonts w:eastAsia="Times New Roman"/>
                <w:b/>
                <w:bCs/>
              </w:rPr>
            </w:pPr>
            <w:r>
              <w:rPr>
                <w:rFonts w:eastAsia="Times New Roman"/>
                <w:b/>
                <w:bCs/>
              </w:rPr>
              <w:lastRenderedPageBreak/>
              <w:t>Table 4</w:t>
            </w:r>
            <w:r w:rsidR="00F76B72" w:rsidRPr="00582D88">
              <w:rPr>
                <w:rFonts w:eastAsia="Times New Roman"/>
                <w:b/>
                <w:bCs/>
              </w:rPr>
              <w:t xml:space="preserve"> | </w:t>
            </w:r>
            <w:r w:rsidR="00F76B72">
              <w:rPr>
                <w:rFonts w:eastAsia="Times New Roman"/>
                <w:b/>
                <w:bCs/>
              </w:rPr>
              <w:t>Marginal effects from logit models of support for a tax on fossil fuels to reduce global warming that result in higher household energy bills</w:t>
            </w:r>
            <w:r w:rsidR="00F76B72" w:rsidRPr="00582D88">
              <w:rPr>
                <w:rFonts w:eastAsia="Times New Roman"/>
                <w:b/>
                <w:bCs/>
              </w:rPr>
              <w:t>.</w:t>
            </w:r>
          </w:p>
        </w:tc>
      </w:tr>
      <w:tr w:rsidR="00F76B72" w:rsidRPr="003E5D9C" w14:paraId="52A4C6FE" w14:textId="77777777" w:rsidTr="00F76B72">
        <w:trPr>
          <w:trHeight w:val="300"/>
        </w:trPr>
        <w:tc>
          <w:tcPr>
            <w:tcW w:w="2066" w:type="pct"/>
            <w:tcBorders>
              <w:top w:val="nil"/>
              <w:left w:val="nil"/>
              <w:bottom w:val="nil"/>
              <w:right w:val="nil"/>
            </w:tcBorders>
            <w:shd w:val="clear" w:color="000000" w:fill="F2F2F2"/>
            <w:noWrap/>
            <w:vAlign w:val="bottom"/>
            <w:hideMark/>
          </w:tcPr>
          <w:p w14:paraId="6C8507D9" w14:textId="77777777" w:rsidR="00F76B72" w:rsidRPr="003E5D9C" w:rsidRDefault="00F76B72" w:rsidP="00F76B72">
            <w:pPr>
              <w:keepNext/>
              <w:spacing w:after="0" w:line="240" w:lineRule="auto"/>
              <w:rPr>
                <w:rFonts w:eastAsia="Times New Roman"/>
              </w:rPr>
            </w:pPr>
            <w:r w:rsidRPr="003E5D9C">
              <w:rPr>
                <w:rFonts w:eastAsia="Times New Roman"/>
              </w:rPr>
              <w:t> </w:t>
            </w:r>
          </w:p>
        </w:tc>
        <w:tc>
          <w:tcPr>
            <w:tcW w:w="722" w:type="pct"/>
            <w:tcBorders>
              <w:top w:val="nil"/>
              <w:left w:val="nil"/>
              <w:bottom w:val="nil"/>
              <w:right w:val="nil"/>
            </w:tcBorders>
            <w:shd w:val="clear" w:color="000000" w:fill="F2F2F2"/>
            <w:noWrap/>
            <w:vAlign w:val="bottom"/>
            <w:hideMark/>
          </w:tcPr>
          <w:p w14:paraId="468B0DF0" w14:textId="77777777" w:rsidR="00F76B72" w:rsidRPr="003E5D9C" w:rsidRDefault="00F76B72" w:rsidP="00F76B72">
            <w:pPr>
              <w:keepNext/>
              <w:spacing w:after="0" w:line="240" w:lineRule="auto"/>
              <w:jc w:val="center"/>
              <w:rPr>
                <w:rFonts w:eastAsia="Times New Roman"/>
              </w:rPr>
            </w:pPr>
            <w:r w:rsidRPr="003E5D9C">
              <w:rPr>
                <w:rFonts w:eastAsia="Times New Roman"/>
              </w:rPr>
              <w:t>(1)</w:t>
            </w:r>
          </w:p>
        </w:tc>
        <w:tc>
          <w:tcPr>
            <w:tcW w:w="802" w:type="pct"/>
            <w:tcBorders>
              <w:top w:val="nil"/>
              <w:left w:val="nil"/>
              <w:bottom w:val="nil"/>
              <w:right w:val="nil"/>
            </w:tcBorders>
            <w:shd w:val="clear" w:color="000000" w:fill="F2F2F2"/>
            <w:noWrap/>
            <w:vAlign w:val="bottom"/>
            <w:hideMark/>
          </w:tcPr>
          <w:p w14:paraId="5FA27EA3" w14:textId="77777777" w:rsidR="00F76B72" w:rsidRPr="003E5D9C" w:rsidRDefault="00F76B72" w:rsidP="00F76B72">
            <w:pPr>
              <w:keepNext/>
              <w:spacing w:after="0" w:line="240" w:lineRule="auto"/>
              <w:jc w:val="center"/>
              <w:rPr>
                <w:rFonts w:eastAsia="Times New Roman"/>
              </w:rPr>
            </w:pPr>
            <w:r w:rsidRPr="003E5D9C">
              <w:rPr>
                <w:rFonts w:eastAsia="Times New Roman"/>
              </w:rPr>
              <w:t>(2)</w:t>
            </w:r>
          </w:p>
        </w:tc>
        <w:tc>
          <w:tcPr>
            <w:tcW w:w="720" w:type="pct"/>
            <w:tcBorders>
              <w:top w:val="nil"/>
              <w:left w:val="nil"/>
              <w:bottom w:val="nil"/>
            </w:tcBorders>
            <w:shd w:val="clear" w:color="000000" w:fill="F2F2F2"/>
            <w:noWrap/>
            <w:vAlign w:val="bottom"/>
            <w:hideMark/>
          </w:tcPr>
          <w:p w14:paraId="77E113DF" w14:textId="77777777" w:rsidR="00F76B72" w:rsidRPr="003E5D9C" w:rsidRDefault="00F76B72" w:rsidP="00F76B72">
            <w:pPr>
              <w:keepNext/>
              <w:spacing w:after="0" w:line="240" w:lineRule="auto"/>
              <w:jc w:val="center"/>
              <w:rPr>
                <w:rFonts w:eastAsia="Times New Roman"/>
              </w:rPr>
            </w:pPr>
            <w:r w:rsidRPr="003E5D9C">
              <w:rPr>
                <w:rFonts w:eastAsia="Times New Roman"/>
              </w:rPr>
              <w:t>(3)</w:t>
            </w:r>
          </w:p>
        </w:tc>
        <w:tc>
          <w:tcPr>
            <w:tcW w:w="690" w:type="pct"/>
            <w:gridSpan w:val="2"/>
            <w:tcBorders>
              <w:top w:val="nil"/>
              <w:right w:val="nil"/>
            </w:tcBorders>
            <w:shd w:val="clear" w:color="000000" w:fill="F2F2F2"/>
            <w:noWrap/>
            <w:vAlign w:val="bottom"/>
            <w:hideMark/>
          </w:tcPr>
          <w:p w14:paraId="10C437FE" w14:textId="77777777" w:rsidR="00F76B72" w:rsidRPr="003E5D9C" w:rsidRDefault="00F76B72" w:rsidP="00F76B72">
            <w:pPr>
              <w:keepNext/>
              <w:spacing w:after="0" w:line="240" w:lineRule="auto"/>
              <w:jc w:val="center"/>
              <w:rPr>
                <w:rFonts w:eastAsia="Times New Roman"/>
              </w:rPr>
            </w:pPr>
            <w:r>
              <w:rPr>
                <w:rFonts w:eastAsia="Times New Roman"/>
              </w:rPr>
              <w:t>(4</w:t>
            </w:r>
            <w:r w:rsidRPr="003E5D9C">
              <w:rPr>
                <w:rFonts w:eastAsia="Times New Roman"/>
              </w:rPr>
              <w:t>)</w:t>
            </w:r>
          </w:p>
        </w:tc>
      </w:tr>
      <w:tr w:rsidR="00F76B72" w:rsidRPr="003E5D9C" w14:paraId="72AFD409" w14:textId="77777777" w:rsidTr="00F76B72">
        <w:trPr>
          <w:trHeight w:val="300"/>
        </w:trPr>
        <w:tc>
          <w:tcPr>
            <w:tcW w:w="2066" w:type="pct"/>
            <w:tcBorders>
              <w:top w:val="nil"/>
              <w:left w:val="nil"/>
              <w:bottom w:val="single" w:sz="4" w:space="0" w:color="auto"/>
              <w:right w:val="nil"/>
            </w:tcBorders>
            <w:shd w:val="clear" w:color="000000" w:fill="F2F2F2"/>
            <w:noWrap/>
            <w:vAlign w:val="bottom"/>
            <w:hideMark/>
          </w:tcPr>
          <w:p w14:paraId="1672CF33" w14:textId="77777777" w:rsidR="00F76B72" w:rsidRPr="003E5D9C" w:rsidRDefault="00F76B72" w:rsidP="00F76B72">
            <w:pPr>
              <w:keepNext/>
              <w:spacing w:after="0" w:line="240" w:lineRule="auto"/>
              <w:rPr>
                <w:rFonts w:eastAsia="Times New Roman"/>
              </w:rPr>
            </w:pPr>
            <w:r w:rsidRPr="003E5D9C">
              <w:rPr>
                <w:rFonts w:eastAsia="Times New Roman"/>
              </w:rPr>
              <w:t> </w:t>
            </w:r>
          </w:p>
        </w:tc>
        <w:tc>
          <w:tcPr>
            <w:tcW w:w="2261" w:type="pct"/>
            <w:gridSpan w:val="4"/>
            <w:tcBorders>
              <w:top w:val="nil"/>
              <w:left w:val="nil"/>
              <w:bottom w:val="single" w:sz="4" w:space="0" w:color="auto"/>
            </w:tcBorders>
            <w:shd w:val="clear" w:color="000000" w:fill="F2F2F2"/>
            <w:noWrap/>
            <w:vAlign w:val="bottom"/>
            <w:hideMark/>
          </w:tcPr>
          <w:p w14:paraId="4D839199" w14:textId="77777777" w:rsidR="00F76B72" w:rsidRPr="003E5D9C" w:rsidRDefault="00F76B72" w:rsidP="00F76B72">
            <w:pPr>
              <w:keepNext/>
              <w:spacing w:after="0" w:line="240" w:lineRule="auto"/>
              <w:jc w:val="center"/>
              <w:rPr>
                <w:rFonts w:eastAsia="Times New Roman"/>
              </w:rPr>
            </w:pPr>
          </w:p>
        </w:tc>
        <w:tc>
          <w:tcPr>
            <w:tcW w:w="673" w:type="pct"/>
            <w:tcBorders>
              <w:top w:val="nil"/>
              <w:left w:val="nil"/>
              <w:bottom w:val="single" w:sz="4" w:space="0" w:color="auto"/>
            </w:tcBorders>
            <w:shd w:val="clear" w:color="000000" w:fill="F2F2F2"/>
            <w:vAlign w:val="bottom"/>
          </w:tcPr>
          <w:p w14:paraId="4B756BA7" w14:textId="77777777" w:rsidR="00F76B72" w:rsidRPr="003E5D9C" w:rsidRDefault="00F76B72" w:rsidP="00F76B72">
            <w:pPr>
              <w:keepNext/>
              <w:spacing w:after="0" w:line="240" w:lineRule="auto"/>
              <w:jc w:val="center"/>
              <w:rPr>
                <w:rFonts w:eastAsia="Times New Roman"/>
              </w:rPr>
            </w:pPr>
            <w:r>
              <w:rPr>
                <w:rFonts w:eastAsia="Times New Roman"/>
              </w:rPr>
              <w:t>(percent)</w:t>
            </w:r>
          </w:p>
        </w:tc>
      </w:tr>
      <w:tr w:rsidR="00F76B72" w:rsidRPr="003E5D9C" w14:paraId="7D560642" w14:textId="77777777" w:rsidTr="00F76B72">
        <w:trPr>
          <w:trHeight w:val="300"/>
        </w:trPr>
        <w:tc>
          <w:tcPr>
            <w:tcW w:w="2066" w:type="pct"/>
            <w:tcBorders>
              <w:top w:val="nil"/>
              <w:left w:val="nil"/>
              <w:bottom w:val="nil"/>
              <w:right w:val="nil"/>
            </w:tcBorders>
            <w:shd w:val="clear" w:color="000000" w:fill="F2F2F2"/>
            <w:noWrap/>
            <w:hideMark/>
          </w:tcPr>
          <w:p w14:paraId="5E664C76" w14:textId="77777777" w:rsidR="00F76B72" w:rsidRDefault="00F76B72" w:rsidP="00F76B72">
            <w:pPr>
              <w:keepNext/>
              <w:spacing w:after="0"/>
            </w:pPr>
            <w:r>
              <w:t>Bid amount</w:t>
            </w:r>
          </w:p>
        </w:tc>
        <w:tc>
          <w:tcPr>
            <w:tcW w:w="722" w:type="pct"/>
            <w:tcBorders>
              <w:top w:val="nil"/>
              <w:left w:val="nil"/>
              <w:bottom w:val="nil"/>
              <w:right w:val="nil"/>
            </w:tcBorders>
            <w:shd w:val="clear" w:color="000000" w:fill="F2F2F2"/>
            <w:noWrap/>
            <w:hideMark/>
          </w:tcPr>
          <w:p w14:paraId="159039FD" w14:textId="77777777" w:rsidR="00F76B72" w:rsidRDefault="00F76B72" w:rsidP="00F76B72">
            <w:pPr>
              <w:keepNext/>
              <w:spacing w:after="0"/>
              <w:jc w:val="center"/>
            </w:pPr>
            <w:r>
              <w:t>-0.000704*</w:t>
            </w:r>
          </w:p>
        </w:tc>
        <w:tc>
          <w:tcPr>
            <w:tcW w:w="802" w:type="pct"/>
            <w:tcBorders>
              <w:top w:val="nil"/>
              <w:left w:val="nil"/>
              <w:bottom w:val="nil"/>
              <w:right w:val="nil"/>
            </w:tcBorders>
            <w:shd w:val="clear" w:color="000000" w:fill="F2F2F2"/>
            <w:noWrap/>
            <w:hideMark/>
          </w:tcPr>
          <w:p w14:paraId="590D60B2" w14:textId="77777777" w:rsidR="00F76B72" w:rsidRDefault="00F76B72" w:rsidP="00F76B72">
            <w:pPr>
              <w:keepNext/>
              <w:spacing w:after="0"/>
              <w:jc w:val="center"/>
            </w:pPr>
            <w:r>
              <w:t>-0.000845**</w:t>
            </w:r>
          </w:p>
        </w:tc>
        <w:tc>
          <w:tcPr>
            <w:tcW w:w="720" w:type="pct"/>
            <w:tcBorders>
              <w:top w:val="nil"/>
              <w:left w:val="nil"/>
              <w:bottom w:val="nil"/>
              <w:right w:val="nil"/>
            </w:tcBorders>
            <w:shd w:val="clear" w:color="000000" w:fill="F2F2F2"/>
            <w:noWrap/>
            <w:hideMark/>
          </w:tcPr>
          <w:p w14:paraId="714378EF" w14:textId="77777777" w:rsidR="00F76B72" w:rsidRDefault="00F76B72" w:rsidP="00F76B72">
            <w:pPr>
              <w:keepNext/>
              <w:spacing w:after="0"/>
              <w:jc w:val="center"/>
            </w:pPr>
            <w:r>
              <w:t>-0.000966**</w:t>
            </w:r>
          </w:p>
        </w:tc>
        <w:tc>
          <w:tcPr>
            <w:tcW w:w="690" w:type="pct"/>
            <w:gridSpan w:val="2"/>
            <w:tcBorders>
              <w:top w:val="nil"/>
              <w:left w:val="nil"/>
              <w:bottom w:val="nil"/>
              <w:right w:val="nil"/>
            </w:tcBorders>
            <w:shd w:val="clear" w:color="000000" w:fill="F2F2F2"/>
            <w:noWrap/>
            <w:hideMark/>
          </w:tcPr>
          <w:p w14:paraId="448354B9" w14:textId="77777777" w:rsidR="00F76B72" w:rsidRDefault="00F76B72" w:rsidP="00F76B72">
            <w:pPr>
              <w:keepNext/>
              <w:spacing w:after="0"/>
              <w:jc w:val="center"/>
            </w:pPr>
            <w:r>
              <w:t>-0.00982*</w:t>
            </w:r>
          </w:p>
        </w:tc>
      </w:tr>
      <w:tr w:rsidR="00F76B72" w:rsidRPr="003E5D9C" w14:paraId="404A948F" w14:textId="77777777" w:rsidTr="00F76B72">
        <w:trPr>
          <w:trHeight w:val="300"/>
        </w:trPr>
        <w:tc>
          <w:tcPr>
            <w:tcW w:w="2066" w:type="pct"/>
            <w:tcBorders>
              <w:top w:val="nil"/>
              <w:left w:val="nil"/>
              <w:bottom w:val="nil"/>
              <w:right w:val="nil"/>
            </w:tcBorders>
            <w:shd w:val="clear" w:color="000000" w:fill="F2F2F2"/>
            <w:noWrap/>
            <w:hideMark/>
          </w:tcPr>
          <w:p w14:paraId="683B1600"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3DC7D9F0" w14:textId="77777777" w:rsidR="00F76B72" w:rsidRDefault="00F76B72" w:rsidP="00F76B72">
            <w:pPr>
              <w:keepNext/>
              <w:spacing w:after="0"/>
              <w:jc w:val="center"/>
            </w:pPr>
            <w:r>
              <w:t>(0.000380)</w:t>
            </w:r>
          </w:p>
        </w:tc>
        <w:tc>
          <w:tcPr>
            <w:tcW w:w="802" w:type="pct"/>
            <w:tcBorders>
              <w:top w:val="nil"/>
              <w:left w:val="nil"/>
              <w:bottom w:val="nil"/>
              <w:right w:val="nil"/>
            </w:tcBorders>
            <w:shd w:val="clear" w:color="000000" w:fill="F2F2F2"/>
            <w:noWrap/>
            <w:hideMark/>
          </w:tcPr>
          <w:p w14:paraId="3700A128" w14:textId="77777777" w:rsidR="00F76B72" w:rsidRDefault="00F76B72" w:rsidP="00F76B72">
            <w:pPr>
              <w:keepNext/>
              <w:spacing w:after="0"/>
              <w:jc w:val="center"/>
            </w:pPr>
            <w:r>
              <w:t>(0.000421)</w:t>
            </w:r>
          </w:p>
        </w:tc>
        <w:tc>
          <w:tcPr>
            <w:tcW w:w="720" w:type="pct"/>
            <w:tcBorders>
              <w:top w:val="nil"/>
              <w:left w:val="nil"/>
              <w:bottom w:val="nil"/>
              <w:right w:val="nil"/>
            </w:tcBorders>
            <w:shd w:val="clear" w:color="000000" w:fill="F2F2F2"/>
            <w:noWrap/>
            <w:hideMark/>
          </w:tcPr>
          <w:p w14:paraId="2E33549F" w14:textId="77777777" w:rsidR="00F76B72" w:rsidRDefault="00F76B72" w:rsidP="00F76B72">
            <w:pPr>
              <w:keepNext/>
              <w:spacing w:after="0"/>
              <w:jc w:val="center"/>
            </w:pPr>
            <w:r>
              <w:t>(0.000426)</w:t>
            </w:r>
          </w:p>
        </w:tc>
        <w:tc>
          <w:tcPr>
            <w:tcW w:w="690" w:type="pct"/>
            <w:gridSpan w:val="2"/>
            <w:tcBorders>
              <w:top w:val="nil"/>
              <w:left w:val="nil"/>
              <w:bottom w:val="nil"/>
              <w:right w:val="nil"/>
            </w:tcBorders>
            <w:shd w:val="clear" w:color="000000" w:fill="F2F2F2"/>
            <w:noWrap/>
            <w:hideMark/>
          </w:tcPr>
          <w:p w14:paraId="0242307B" w14:textId="77777777" w:rsidR="00F76B72" w:rsidRDefault="00F76B72" w:rsidP="00F76B72">
            <w:pPr>
              <w:keepNext/>
              <w:spacing w:after="0"/>
              <w:jc w:val="center"/>
            </w:pPr>
            <w:r>
              <w:t>(0.00536)</w:t>
            </w:r>
          </w:p>
        </w:tc>
      </w:tr>
      <w:tr w:rsidR="00F76B72" w:rsidRPr="003E5D9C" w14:paraId="7C5D25A8" w14:textId="77777777" w:rsidTr="00F76B72">
        <w:trPr>
          <w:trHeight w:val="300"/>
        </w:trPr>
        <w:tc>
          <w:tcPr>
            <w:tcW w:w="2066" w:type="pct"/>
            <w:tcBorders>
              <w:top w:val="nil"/>
              <w:left w:val="nil"/>
              <w:bottom w:val="nil"/>
              <w:right w:val="nil"/>
            </w:tcBorders>
            <w:shd w:val="clear" w:color="000000" w:fill="F2F2F2"/>
            <w:noWrap/>
            <w:hideMark/>
          </w:tcPr>
          <w:p w14:paraId="0831FC6F" w14:textId="77777777" w:rsidR="00F76B72" w:rsidRDefault="00F76B72" w:rsidP="00F76B72">
            <w:pPr>
              <w:keepNext/>
              <w:spacing w:after="0"/>
            </w:pPr>
            <w:r>
              <w:t>Education (years)</w:t>
            </w:r>
          </w:p>
        </w:tc>
        <w:tc>
          <w:tcPr>
            <w:tcW w:w="722" w:type="pct"/>
            <w:tcBorders>
              <w:top w:val="nil"/>
              <w:left w:val="nil"/>
              <w:bottom w:val="nil"/>
              <w:right w:val="nil"/>
            </w:tcBorders>
            <w:shd w:val="clear" w:color="000000" w:fill="F2F2F2"/>
            <w:noWrap/>
            <w:hideMark/>
          </w:tcPr>
          <w:p w14:paraId="00ADE793" w14:textId="77777777" w:rsidR="00F76B72" w:rsidRDefault="00F76B72" w:rsidP="00F76B72">
            <w:pPr>
              <w:keepNext/>
              <w:spacing w:after="0"/>
              <w:jc w:val="center"/>
            </w:pPr>
            <w:r>
              <w:t>0.0137**</w:t>
            </w:r>
          </w:p>
        </w:tc>
        <w:tc>
          <w:tcPr>
            <w:tcW w:w="802" w:type="pct"/>
            <w:tcBorders>
              <w:top w:val="nil"/>
              <w:left w:val="nil"/>
              <w:bottom w:val="nil"/>
              <w:right w:val="nil"/>
            </w:tcBorders>
            <w:shd w:val="clear" w:color="000000" w:fill="F2F2F2"/>
            <w:noWrap/>
            <w:hideMark/>
          </w:tcPr>
          <w:p w14:paraId="2A999D30" w14:textId="77777777" w:rsidR="00F76B72" w:rsidRDefault="00F76B72" w:rsidP="00F76B72">
            <w:pPr>
              <w:keepNext/>
              <w:spacing w:after="0"/>
              <w:jc w:val="center"/>
            </w:pPr>
            <w:r>
              <w:t>0.0101</w:t>
            </w:r>
          </w:p>
        </w:tc>
        <w:tc>
          <w:tcPr>
            <w:tcW w:w="720" w:type="pct"/>
            <w:tcBorders>
              <w:top w:val="nil"/>
              <w:left w:val="nil"/>
              <w:bottom w:val="nil"/>
              <w:right w:val="nil"/>
            </w:tcBorders>
            <w:shd w:val="clear" w:color="000000" w:fill="F2F2F2"/>
            <w:noWrap/>
            <w:hideMark/>
          </w:tcPr>
          <w:p w14:paraId="62300969" w14:textId="77777777" w:rsidR="00F76B72" w:rsidRDefault="00F76B72" w:rsidP="00F76B72">
            <w:pPr>
              <w:keepNext/>
              <w:spacing w:after="0"/>
              <w:jc w:val="center"/>
            </w:pPr>
            <w:r>
              <w:t>0.00801</w:t>
            </w:r>
          </w:p>
        </w:tc>
        <w:tc>
          <w:tcPr>
            <w:tcW w:w="690" w:type="pct"/>
            <w:gridSpan w:val="2"/>
            <w:tcBorders>
              <w:top w:val="nil"/>
              <w:left w:val="nil"/>
              <w:bottom w:val="nil"/>
              <w:right w:val="nil"/>
            </w:tcBorders>
            <w:shd w:val="clear" w:color="000000" w:fill="F2F2F2"/>
            <w:noWrap/>
            <w:hideMark/>
          </w:tcPr>
          <w:p w14:paraId="67E5F7B7" w14:textId="77777777" w:rsidR="00F76B72" w:rsidRDefault="00F76B72" w:rsidP="00F76B72">
            <w:pPr>
              <w:keepNext/>
              <w:spacing w:after="0"/>
              <w:jc w:val="center"/>
            </w:pPr>
            <w:r>
              <w:t>0.0102</w:t>
            </w:r>
          </w:p>
        </w:tc>
      </w:tr>
      <w:tr w:rsidR="00F76B72" w:rsidRPr="003E5D9C" w14:paraId="1E85AB89" w14:textId="77777777" w:rsidTr="00F76B72">
        <w:trPr>
          <w:trHeight w:val="300"/>
        </w:trPr>
        <w:tc>
          <w:tcPr>
            <w:tcW w:w="2066" w:type="pct"/>
            <w:tcBorders>
              <w:top w:val="nil"/>
              <w:left w:val="nil"/>
              <w:bottom w:val="nil"/>
              <w:right w:val="nil"/>
            </w:tcBorders>
            <w:shd w:val="clear" w:color="000000" w:fill="F2F2F2"/>
            <w:noWrap/>
            <w:hideMark/>
          </w:tcPr>
          <w:p w14:paraId="1C7A99BE"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2668BD4E" w14:textId="77777777" w:rsidR="00F76B72" w:rsidRDefault="00F76B72" w:rsidP="00F76B72">
            <w:pPr>
              <w:keepNext/>
              <w:spacing w:after="0"/>
              <w:jc w:val="center"/>
            </w:pPr>
            <w:r>
              <w:t>(0.00643)</w:t>
            </w:r>
          </w:p>
        </w:tc>
        <w:tc>
          <w:tcPr>
            <w:tcW w:w="802" w:type="pct"/>
            <w:tcBorders>
              <w:top w:val="nil"/>
              <w:left w:val="nil"/>
              <w:bottom w:val="nil"/>
              <w:right w:val="nil"/>
            </w:tcBorders>
            <w:shd w:val="clear" w:color="000000" w:fill="F2F2F2"/>
            <w:noWrap/>
            <w:hideMark/>
          </w:tcPr>
          <w:p w14:paraId="1B33246B" w14:textId="77777777" w:rsidR="00F76B72" w:rsidRDefault="00F76B72" w:rsidP="00F76B72">
            <w:pPr>
              <w:keepNext/>
              <w:spacing w:after="0"/>
              <w:jc w:val="center"/>
            </w:pPr>
            <w:r>
              <w:t>(0.00678)</w:t>
            </w:r>
          </w:p>
        </w:tc>
        <w:tc>
          <w:tcPr>
            <w:tcW w:w="720" w:type="pct"/>
            <w:tcBorders>
              <w:top w:val="nil"/>
              <w:left w:val="nil"/>
              <w:bottom w:val="nil"/>
              <w:right w:val="nil"/>
            </w:tcBorders>
            <w:shd w:val="clear" w:color="000000" w:fill="F2F2F2"/>
            <w:noWrap/>
            <w:hideMark/>
          </w:tcPr>
          <w:p w14:paraId="1408D080" w14:textId="77777777" w:rsidR="00F76B72" w:rsidRDefault="00F76B72" w:rsidP="00F76B72">
            <w:pPr>
              <w:keepNext/>
              <w:spacing w:after="0"/>
              <w:jc w:val="center"/>
            </w:pPr>
            <w:r>
              <w:t>(0.00683)</w:t>
            </w:r>
          </w:p>
        </w:tc>
        <w:tc>
          <w:tcPr>
            <w:tcW w:w="690" w:type="pct"/>
            <w:gridSpan w:val="2"/>
            <w:tcBorders>
              <w:top w:val="nil"/>
              <w:left w:val="nil"/>
              <w:bottom w:val="nil"/>
              <w:right w:val="nil"/>
            </w:tcBorders>
            <w:shd w:val="clear" w:color="000000" w:fill="F2F2F2"/>
            <w:noWrap/>
            <w:hideMark/>
          </w:tcPr>
          <w:p w14:paraId="313377BF" w14:textId="77777777" w:rsidR="00F76B72" w:rsidRDefault="00F76B72" w:rsidP="00F76B72">
            <w:pPr>
              <w:keepNext/>
              <w:spacing w:after="0"/>
              <w:jc w:val="center"/>
            </w:pPr>
            <w:r>
              <w:t>(0.00679)</w:t>
            </w:r>
          </w:p>
        </w:tc>
      </w:tr>
      <w:tr w:rsidR="00F76B72" w:rsidRPr="003E5D9C" w14:paraId="5E0BAFFE" w14:textId="77777777" w:rsidTr="00F76B72">
        <w:trPr>
          <w:trHeight w:val="300"/>
        </w:trPr>
        <w:tc>
          <w:tcPr>
            <w:tcW w:w="2066" w:type="pct"/>
            <w:tcBorders>
              <w:top w:val="nil"/>
              <w:left w:val="nil"/>
              <w:bottom w:val="nil"/>
              <w:right w:val="nil"/>
            </w:tcBorders>
            <w:shd w:val="clear" w:color="000000" w:fill="F2F2F2"/>
            <w:noWrap/>
            <w:hideMark/>
          </w:tcPr>
          <w:p w14:paraId="091275BF" w14:textId="77777777" w:rsidR="00F76B72" w:rsidRDefault="00F76B72" w:rsidP="00F76B72">
            <w:pPr>
              <w:keepNext/>
              <w:spacing w:after="0"/>
            </w:pPr>
            <w:r>
              <w:t>Male (1=yes)</w:t>
            </w:r>
          </w:p>
        </w:tc>
        <w:tc>
          <w:tcPr>
            <w:tcW w:w="722" w:type="pct"/>
            <w:tcBorders>
              <w:top w:val="nil"/>
              <w:left w:val="nil"/>
              <w:bottom w:val="nil"/>
              <w:right w:val="nil"/>
            </w:tcBorders>
            <w:shd w:val="clear" w:color="000000" w:fill="F2F2F2"/>
            <w:noWrap/>
            <w:hideMark/>
          </w:tcPr>
          <w:p w14:paraId="243BE519" w14:textId="77777777" w:rsidR="00F76B72" w:rsidRDefault="00F76B72" w:rsidP="00F76B72">
            <w:pPr>
              <w:keepNext/>
              <w:spacing w:after="0"/>
              <w:jc w:val="center"/>
            </w:pPr>
            <w:r>
              <w:t>-0.0242</w:t>
            </w:r>
          </w:p>
        </w:tc>
        <w:tc>
          <w:tcPr>
            <w:tcW w:w="802" w:type="pct"/>
            <w:tcBorders>
              <w:top w:val="nil"/>
              <w:left w:val="nil"/>
              <w:bottom w:val="nil"/>
              <w:right w:val="nil"/>
            </w:tcBorders>
            <w:shd w:val="clear" w:color="000000" w:fill="F2F2F2"/>
            <w:noWrap/>
            <w:hideMark/>
          </w:tcPr>
          <w:p w14:paraId="28D0B937" w14:textId="77777777" w:rsidR="00F76B72" w:rsidRDefault="00F76B72" w:rsidP="00F76B72">
            <w:pPr>
              <w:keepNext/>
              <w:spacing w:after="0"/>
              <w:jc w:val="center"/>
            </w:pPr>
            <w:r>
              <w:t>-0.0329</w:t>
            </w:r>
          </w:p>
        </w:tc>
        <w:tc>
          <w:tcPr>
            <w:tcW w:w="720" w:type="pct"/>
            <w:tcBorders>
              <w:top w:val="nil"/>
              <w:left w:val="nil"/>
              <w:bottom w:val="nil"/>
              <w:right w:val="nil"/>
            </w:tcBorders>
            <w:shd w:val="clear" w:color="000000" w:fill="F2F2F2"/>
            <w:noWrap/>
            <w:hideMark/>
          </w:tcPr>
          <w:p w14:paraId="6A5E313E" w14:textId="77777777" w:rsidR="00F76B72" w:rsidRDefault="00F76B72" w:rsidP="00F76B72">
            <w:pPr>
              <w:keepNext/>
              <w:spacing w:after="0"/>
              <w:jc w:val="center"/>
            </w:pPr>
            <w:r>
              <w:t>-0.0352</w:t>
            </w:r>
          </w:p>
        </w:tc>
        <w:tc>
          <w:tcPr>
            <w:tcW w:w="690" w:type="pct"/>
            <w:gridSpan w:val="2"/>
            <w:tcBorders>
              <w:top w:val="nil"/>
              <w:left w:val="nil"/>
              <w:bottom w:val="nil"/>
              <w:right w:val="nil"/>
            </w:tcBorders>
            <w:shd w:val="clear" w:color="000000" w:fill="F2F2F2"/>
            <w:noWrap/>
            <w:hideMark/>
          </w:tcPr>
          <w:p w14:paraId="3A94158E" w14:textId="77777777" w:rsidR="00F76B72" w:rsidRDefault="00F76B72" w:rsidP="00F76B72">
            <w:pPr>
              <w:keepNext/>
              <w:spacing w:after="0"/>
              <w:jc w:val="center"/>
            </w:pPr>
            <w:r>
              <w:t>-0.0320</w:t>
            </w:r>
          </w:p>
        </w:tc>
      </w:tr>
      <w:tr w:rsidR="00F76B72" w:rsidRPr="003E5D9C" w14:paraId="20DA6D1D" w14:textId="77777777" w:rsidTr="00F76B72">
        <w:trPr>
          <w:trHeight w:val="300"/>
        </w:trPr>
        <w:tc>
          <w:tcPr>
            <w:tcW w:w="2066" w:type="pct"/>
            <w:tcBorders>
              <w:top w:val="nil"/>
              <w:left w:val="nil"/>
              <w:bottom w:val="nil"/>
              <w:right w:val="nil"/>
            </w:tcBorders>
            <w:shd w:val="clear" w:color="000000" w:fill="F2F2F2"/>
            <w:noWrap/>
            <w:hideMark/>
          </w:tcPr>
          <w:p w14:paraId="016B8116"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1443EC5B" w14:textId="77777777" w:rsidR="00F76B72" w:rsidRDefault="00F76B72" w:rsidP="00F76B72">
            <w:pPr>
              <w:keepNext/>
              <w:spacing w:after="0"/>
              <w:jc w:val="center"/>
            </w:pPr>
            <w:r>
              <w:t>(0.0331)</w:t>
            </w:r>
          </w:p>
        </w:tc>
        <w:tc>
          <w:tcPr>
            <w:tcW w:w="802" w:type="pct"/>
            <w:tcBorders>
              <w:top w:val="nil"/>
              <w:left w:val="nil"/>
              <w:bottom w:val="nil"/>
              <w:right w:val="nil"/>
            </w:tcBorders>
            <w:shd w:val="clear" w:color="000000" w:fill="F2F2F2"/>
            <w:noWrap/>
            <w:hideMark/>
          </w:tcPr>
          <w:p w14:paraId="0CCF1DDA" w14:textId="77777777" w:rsidR="00F76B72" w:rsidRDefault="00F76B72" w:rsidP="00F76B72">
            <w:pPr>
              <w:keepNext/>
              <w:spacing w:after="0"/>
              <w:jc w:val="center"/>
            </w:pPr>
            <w:r>
              <w:t>(0.0357)</w:t>
            </w:r>
          </w:p>
        </w:tc>
        <w:tc>
          <w:tcPr>
            <w:tcW w:w="720" w:type="pct"/>
            <w:tcBorders>
              <w:top w:val="nil"/>
              <w:left w:val="nil"/>
              <w:bottom w:val="nil"/>
              <w:right w:val="nil"/>
            </w:tcBorders>
            <w:shd w:val="clear" w:color="000000" w:fill="F2F2F2"/>
            <w:noWrap/>
            <w:hideMark/>
          </w:tcPr>
          <w:p w14:paraId="00B8FB6B" w14:textId="77777777" w:rsidR="00F76B72" w:rsidRDefault="00F76B72" w:rsidP="00F76B72">
            <w:pPr>
              <w:keepNext/>
              <w:spacing w:after="0"/>
              <w:jc w:val="center"/>
            </w:pPr>
            <w:r>
              <w:t>(0.0362)</w:t>
            </w:r>
          </w:p>
        </w:tc>
        <w:tc>
          <w:tcPr>
            <w:tcW w:w="690" w:type="pct"/>
            <w:gridSpan w:val="2"/>
            <w:tcBorders>
              <w:top w:val="nil"/>
              <w:left w:val="nil"/>
              <w:bottom w:val="nil"/>
              <w:right w:val="nil"/>
            </w:tcBorders>
            <w:shd w:val="clear" w:color="000000" w:fill="F2F2F2"/>
            <w:noWrap/>
            <w:hideMark/>
          </w:tcPr>
          <w:p w14:paraId="5391F114" w14:textId="77777777" w:rsidR="00F76B72" w:rsidRDefault="00F76B72" w:rsidP="00F76B72">
            <w:pPr>
              <w:keepNext/>
              <w:spacing w:after="0"/>
              <w:jc w:val="center"/>
            </w:pPr>
            <w:r>
              <w:t>(0.0357)</w:t>
            </w:r>
          </w:p>
        </w:tc>
      </w:tr>
      <w:tr w:rsidR="00F76B72" w:rsidRPr="003E5D9C" w14:paraId="4821DDDE" w14:textId="77777777" w:rsidTr="00F76B72">
        <w:trPr>
          <w:trHeight w:val="300"/>
        </w:trPr>
        <w:tc>
          <w:tcPr>
            <w:tcW w:w="2066" w:type="pct"/>
            <w:tcBorders>
              <w:top w:val="nil"/>
              <w:left w:val="nil"/>
              <w:bottom w:val="nil"/>
              <w:right w:val="nil"/>
            </w:tcBorders>
            <w:shd w:val="clear" w:color="000000" w:fill="F2F2F2"/>
            <w:noWrap/>
            <w:hideMark/>
          </w:tcPr>
          <w:p w14:paraId="7698BAE3" w14:textId="77777777" w:rsidR="00F76B72" w:rsidRDefault="00F76B72" w:rsidP="00F76B72">
            <w:pPr>
              <w:keepNext/>
              <w:spacing w:after="0"/>
            </w:pPr>
            <w:r>
              <w:t>Household size (# people)</w:t>
            </w:r>
          </w:p>
        </w:tc>
        <w:tc>
          <w:tcPr>
            <w:tcW w:w="722" w:type="pct"/>
            <w:tcBorders>
              <w:top w:val="nil"/>
              <w:left w:val="nil"/>
              <w:bottom w:val="nil"/>
              <w:right w:val="nil"/>
            </w:tcBorders>
            <w:shd w:val="clear" w:color="000000" w:fill="F2F2F2"/>
            <w:noWrap/>
            <w:hideMark/>
          </w:tcPr>
          <w:p w14:paraId="5C468FFF" w14:textId="77777777" w:rsidR="00F76B72" w:rsidRDefault="00F76B72" w:rsidP="00F76B72">
            <w:pPr>
              <w:keepNext/>
              <w:spacing w:after="0"/>
              <w:jc w:val="center"/>
            </w:pPr>
            <w:r>
              <w:t>-0.00918</w:t>
            </w:r>
          </w:p>
        </w:tc>
        <w:tc>
          <w:tcPr>
            <w:tcW w:w="802" w:type="pct"/>
            <w:tcBorders>
              <w:top w:val="nil"/>
              <w:left w:val="nil"/>
              <w:bottom w:val="nil"/>
              <w:right w:val="nil"/>
            </w:tcBorders>
            <w:shd w:val="clear" w:color="000000" w:fill="F2F2F2"/>
            <w:noWrap/>
            <w:hideMark/>
          </w:tcPr>
          <w:p w14:paraId="1A0F1B75" w14:textId="77777777" w:rsidR="00F76B72" w:rsidRDefault="00F76B72" w:rsidP="00F76B72">
            <w:pPr>
              <w:keepNext/>
              <w:spacing w:after="0"/>
              <w:jc w:val="center"/>
            </w:pPr>
            <w:r>
              <w:t>-0.00981</w:t>
            </w:r>
          </w:p>
        </w:tc>
        <w:tc>
          <w:tcPr>
            <w:tcW w:w="720" w:type="pct"/>
            <w:tcBorders>
              <w:top w:val="nil"/>
              <w:left w:val="nil"/>
              <w:bottom w:val="nil"/>
              <w:right w:val="nil"/>
            </w:tcBorders>
            <w:shd w:val="clear" w:color="000000" w:fill="F2F2F2"/>
            <w:noWrap/>
            <w:hideMark/>
          </w:tcPr>
          <w:p w14:paraId="509D079B" w14:textId="77777777" w:rsidR="00F76B72" w:rsidRDefault="00F76B72" w:rsidP="00F76B72">
            <w:pPr>
              <w:keepNext/>
              <w:spacing w:after="0"/>
              <w:jc w:val="center"/>
            </w:pPr>
            <w:r>
              <w:t>-0.00644</w:t>
            </w:r>
          </w:p>
        </w:tc>
        <w:tc>
          <w:tcPr>
            <w:tcW w:w="690" w:type="pct"/>
            <w:gridSpan w:val="2"/>
            <w:tcBorders>
              <w:top w:val="nil"/>
              <w:left w:val="nil"/>
              <w:bottom w:val="nil"/>
              <w:right w:val="nil"/>
            </w:tcBorders>
            <w:shd w:val="clear" w:color="000000" w:fill="F2F2F2"/>
            <w:noWrap/>
            <w:hideMark/>
          </w:tcPr>
          <w:p w14:paraId="3339B6AD" w14:textId="77777777" w:rsidR="00F76B72" w:rsidRDefault="00F76B72" w:rsidP="00F76B72">
            <w:pPr>
              <w:keepNext/>
              <w:spacing w:after="0"/>
              <w:jc w:val="center"/>
            </w:pPr>
            <w:r>
              <w:t>-0.0101</w:t>
            </w:r>
          </w:p>
        </w:tc>
      </w:tr>
      <w:tr w:rsidR="00F76B72" w:rsidRPr="003E5D9C" w14:paraId="10010F61" w14:textId="77777777" w:rsidTr="00F76B72">
        <w:trPr>
          <w:trHeight w:val="300"/>
        </w:trPr>
        <w:tc>
          <w:tcPr>
            <w:tcW w:w="2066" w:type="pct"/>
            <w:tcBorders>
              <w:top w:val="nil"/>
              <w:left w:val="nil"/>
              <w:bottom w:val="nil"/>
              <w:right w:val="nil"/>
            </w:tcBorders>
            <w:shd w:val="clear" w:color="000000" w:fill="F2F2F2"/>
            <w:noWrap/>
            <w:hideMark/>
          </w:tcPr>
          <w:p w14:paraId="56497161"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5A8F6702" w14:textId="77777777" w:rsidR="00F76B72" w:rsidRDefault="00F76B72" w:rsidP="00F76B72">
            <w:pPr>
              <w:keepNext/>
              <w:spacing w:after="0"/>
              <w:jc w:val="center"/>
            </w:pPr>
            <w:r>
              <w:t>(0.0124)</w:t>
            </w:r>
          </w:p>
        </w:tc>
        <w:tc>
          <w:tcPr>
            <w:tcW w:w="802" w:type="pct"/>
            <w:tcBorders>
              <w:top w:val="nil"/>
              <w:left w:val="nil"/>
              <w:bottom w:val="nil"/>
              <w:right w:val="nil"/>
            </w:tcBorders>
            <w:shd w:val="clear" w:color="000000" w:fill="F2F2F2"/>
            <w:noWrap/>
            <w:hideMark/>
          </w:tcPr>
          <w:p w14:paraId="4A6FB096" w14:textId="77777777" w:rsidR="00F76B72" w:rsidRDefault="00F76B72" w:rsidP="00F76B72">
            <w:pPr>
              <w:keepNext/>
              <w:spacing w:after="0"/>
              <w:jc w:val="center"/>
            </w:pPr>
            <w:r>
              <w:t>(0.0133)</w:t>
            </w:r>
          </w:p>
        </w:tc>
        <w:tc>
          <w:tcPr>
            <w:tcW w:w="720" w:type="pct"/>
            <w:tcBorders>
              <w:top w:val="nil"/>
              <w:left w:val="nil"/>
              <w:bottom w:val="nil"/>
              <w:right w:val="nil"/>
            </w:tcBorders>
            <w:shd w:val="clear" w:color="000000" w:fill="F2F2F2"/>
            <w:noWrap/>
            <w:hideMark/>
          </w:tcPr>
          <w:p w14:paraId="39D643CF" w14:textId="77777777" w:rsidR="00F76B72" w:rsidRDefault="00F76B72" w:rsidP="00F76B72">
            <w:pPr>
              <w:keepNext/>
              <w:spacing w:after="0"/>
              <w:jc w:val="center"/>
            </w:pPr>
            <w:r>
              <w:t>(0.0137)</w:t>
            </w:r>
          </w:p>
        </w:tc>
        <w:tc>
          <w:tcPr>
            <w:tcW w:w="690" w:type="pct"/>
            <w:gridSpan w:val="2"/>
            <w:tcBorders>
              <w:top w:val="nil"/>
              <w:left w:val="nil"/>
              <w:bottom w:val="nil"/>
              <w:right w:val="nil"/>
            </w:tcBorders>
            <w:shd w:val="clear" w:color="000000" w:fill="F2F2F2"/>
            <w:noWrap/>
            <w:hideMark/>
          </w:tcPr>
          <w:p w14:paraId="6BF42374" w14:textId="77777777" w:rsidR="00F76B72" w:rsidRDefault="00F76B72" w:rsidP="00F76B72">
            <w:pPr>
              <w:keepNext/>
              <w:spacing w:after="0"/>
              <w:jc w:val="center"/>
            </w:pPr>
            <w:r>
              <w:t>(0.0133)</w:t>
            </w:r>
          </w:p>
        </w:tc>
      </w:tr>
      <w:tr w:rsidR="00F76B72" w:rsidRPr="003E5D9C" w14:paraId="0A42B31D" w14:textId="77777777" w:rsidTr="00F76B72">
        <w:trPr>
          <w:trHeight w:val="300"/>
        </w:trPr>
        <w:tc>
          <w:tcPr>
            <w:tcW w:w="2066" w:type="pct"/>
            <w:tcBorders>
              <w:top w:val="nil"/>
              <w:left w:val="nil"/>
              <w:bottom w:val="nil"/>
              <w:right w:val="nil"/>
            </w:tcBorders>
            <w:shd w:val="clear" w:color="000000" w:fill="F2F2F2"/>
            <w:noWrap/>
            <w:hideMark/>
          </w:tcPr>
          <w:p w14:paraId="13B7C7FE" w14:textId="77777777" w:rsidR="00F76B72" w:rsidRDefault="00F76B72" w:rsidP="00F76B72">
            <w:pPr>
              <w:keepNext/>
              <w:spacing w:after="0"/>
            </w:pPr>
            <w:r>
              <w:t>Income ($10,000's)</w:t>
            </w:r>
          </w:p>
        </w:tc>
        <w:tc>
          <w:tcPr>
            <w:tcW w:w="722" w:type="pct"/>
            <w:tcBorders>
              <w:top w:val="nil"/>
              <w:left w:val="nil"/>
              <w:bottom w:val="nil"/>
              <w:right w:val="nil"/>
            </w:tcBorders>
            <w:shd w:val="clear" w:color="000000" w:fill="F2F2F2"/>
            <w:noWrap/>
            <w:hideMark/>
          </w:tcPr>
          <w:p w14:paraId="0C802741" w14:textId="77777777" w:rsidR="00F76B72" w:rsidRDefault="00F76B72" w:rsidP="00F76B72">
            <w:pPr>
              <w:keepNext/>
              <w:spacing w:after="0"/>
              <w:jc w:val="center"/>
            </w:pPr>
            <w:r>
              <w:t>0.00923***</w:t>
            </w:r>
          </w:p>
        </w:tc>
        <w:tc>
          <w:tcPr>
            <w:tcW w:w="802" w:type="pct"/>
            <w:tcBorders>
              <w:top w:val="nil"/>
              <w:left w:val="nil"/>
              <w:bottom w:val="nil"/>
              <w:right w:val="nil"/>
            </w:tcBorders>
            <w:shd w:val="clear" w:color="000000" w:fill="F2F2F2"/>
            <w:noWrap/>
            <w:hideMark/>
          </w:tcPr>
          <w:p w14:paraId="2B6EA322" w14:textId="77777777" w:rsidR="00F76B72" w:rsidRDefault="00F76B72" w:rsidP="00F76B72">
            <w:pPr>
              <w:keepNext/>
              <w:spacing w:after="0"/>
              <w:jc w:val="center"/>
            </w:pPr>
            <w:r>
              <w:t>0.00864**</w:t>
            </w:r>
          </w:p>
        </w:tc>
        <w:tc>
          <w:tcPr>
            <w:tcW w:w="720" w:type="pct"/>
            <w:tcBorders>
              <w:top w:val="nil"/>
              <w:left w:val="nil"/>
              <w:bottom w:val="nil"/>
              <w:right w:val="nil"/>
            </w:tcBorders>
            <w:shd w:val="clear" w:color="000000" w:fill="F2F2F2"/>
            <w:noWrap/>
            <w:hideMark/>
          </w:tcPr>
          <w:p w14:paraId="4E7523DF" w14:textId="77777777" w:rsidR="00F76B72" w:rsidRDefault="00F76B72" w:rsidP="00F76B72">
            <w:pPr>
              <w:keepNext/>
              <w:spacing w:after="0"/>
              <w:jc w:val="center"/>
            </w:pPr>
            <w:r>
              <w:t>0.00800**</w:t>
            </w:r>
          </w:p>
        </w:tc>
        <w:tc>
          <w:tcPr>
            <w:tcW w:w="690" w:type="pct"/>
            <w:gridSpan w:val="2"/>
            <w:tcBorders>
              <w:top w:val="nil"/>
              <w:left w:val="nil"/>
              <w:bottom w:val="nil"/>
              <w:right w:val="nil"/>
            </w:tcBorders>
            <w:shd w:val="clear" w:color="000000" w:fill="F2F2F2"/>
            <w:noWrap/>
            <w:hideMark/>
          </w:tcPr>
          <w:p w14:paraId="7EEDF7A7" w14:textId="77777777" w:rsidR="00F76B72" w:rsidRDefault="00F76B72" w:rsidP="00F76B72">
            <w:pPr>
              <w:keepNext/>
              <w:spacing w:after="0"/>
              <w:jc w:val="center"/>
            </w:pPr>
            <w:r>
              <w:t>0.00878**</w:t>
            </w:r>
          </w:p>
        </w:tc>
      </w:tr>
      <w:tr w:rsidR="00F76B72" w:rsidRPr="003E5D9C" w14:paraId="308CCE69" w14:textId="77777777" w:rsidTr="00F76B72">
        <w:trPr>
          <w:trHeight w:val="300"/>
        </w:trPr>
        <w:tc>
          <w:tcPr>
            <w:tcW w:w="2066" w:type="pct"/>
            <w:tcBorders>
              <w:top w:val="nil"/>
              <w:left w:val="nil"/>
              <w:bottom w:val="nil"/>
              <w:right w:val="nil"/>
            </w:tcBorders>
            <w:shd w:val="clear" w:color="000000" w:fill="F2F2F2"/>
            <w:noWrap/>
            <w:hideMark/>
          </w:tcPr>
          <w:p w14:paraId="3BDE1350"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5197AB3E" w14:textId="77777777" w:rsidR="00F76B72" w:rsidRDefault="00F76B72" w:rsidP="00F76B72">
            <w:pPr>
              <w:keepNext/>
              <w:spacing w:after="0"/>
              <w:jc w:val="center"/>
            </w:pPr>
            <w:r>
              <w:t>(0.00329)</w:t>
            </w:r>
          </w:p>
        </w:tc>
        <w:tc>
          <w:tcPr>
            <w:tcW w:w="802" w:type="pct"/>
            <w:tcBorders>
              <w:top w:val="nil"/>
              <w:left w:val="nil"/>
              <w:bottom w:val="nil"/>
              <w:right w:val="nil"/>
            </w:tcBorders>
            <w:shd w:val="clear" w:color="000000" w:fill="F2F2F2"/>
            <w:noWrap/>
            <w:hideMark/>
          </w:tcPr>
          <w:p w14:paraId="429158CB" w14:textId="77777777" w:rsidR="00F76B72" w:rsidRDefault="00F76B72" w:rsidP="00F76B72">
            <w:pPr>
              <w:keepNext/>
              <w:spacing w:after="0"/>
              <w:jc w:val="center"/>
            </w:pPr>
            <w:r>
              <w:t>(0.00352)</w:t>
            </w:r>
          </w:p>
        </w:tc>
        <w:tc>
          <w:tcPr>
            <w:tcW w:w="720" w:type="pct"/>
            <w:tcBorders>
              <w:top w:val="nil"/>
              <w:left w:val="nil"/>
              <w:bottom w:val="nil"/>
              <w:right w:val="nil"/>
            </w:tcBorders>
            <w:shd w:val="clear" w:color="000000" w:fill="F2F2F2"/>
            <w:noWrap/>
            <w:hideMark/>
          </w:tcPr>
          <w:p w14:paraId="5D083378" w14:textId="77777777" w:rsidR="00F76B72" w:rsidRDefault="00F76B72" w:rsidP="00F76B72">
            <w:pPr>
              <w:keepNext/>
              <w:spacing w:after="0"/>
              <w:jc w:val="center"/>
            </w:pPr>
            <w:r>
              <w:t>(0.00368)</w:t>
            </w:r>
          </w:p>
        </w:tc>
        <w:tc>
          <w:tcPr>
            <w:tcW w:w="690" w:type="pct"/>
            <w:gridSpan w:val="2"/>
            <w:tcBorders>
              <w:top w:val="nil"/>
              <w:left w:val="nil"/>
              <w:bottom w:val="nil"/>
              <w:right w:val="nil"/>
            </w:tcBorders>
            <w:shd w:val="clear" w:color="000000" w:fill="F2F2F2"/>
            <w:noWrap/>
            <w:hideMark/>
          </w:tcPr>
          <w:p w14:paraId="1EAB66A0" w14:textId="77777777" w:rsidR="00F76B72" w:rsidRDefault="00F76B72" w:rsidP="00F76B72">
            <w:pPr>
              <w:keepNext/>
              <w:spacing w:after="0"/>
              <w:jc w:val="center"/>
            </w:pPr>
            <w:r>
              <w:t>(0.00350)</w:t>
            </w:r>
          </w:p>
        </w:tc>
      </w:tr>
      <w:tr w:rsidR="00F76B72" w:rsidRPr="003E5D9C" w14:paraId="0C9F4AF3" w14:textId="77777777" w:rsidTr="00F76B72">
        <w:trPr>
          <w:trHeight w:val="300"/>
        </w:trPr>
        <w:tc>
          <w:tcPr>
            <w:tcW w:w="2066" w:type="pct"/>
            <w:tcBorders>
              <w:top w:val="nil"/>
              <w:left w:val="nil"/>
              <w:bottom w:val="nil"/>
              <w:right w:val="nil"/>
            </w:tcBorders>
            <w:shd w:val="clear" w:color="000000" w:fill="F2F2F2"/>
            <w:noWrap/>
            <w:hideMark/>
          </w:tcPr>
          <w:p w14:paraId="24D75429" w14:textId="77777777" w:rsidR="00F76B72" w:rsidRDefault="00F76B72" w:rsidP="00F76B72">
            <w:pPr>
              <w:keepNext/>
              <w:spacing w:after="0"/>
            </w:pPr>
            <w:r>
              <w:t>Age (years)</w:t>
            </w:r>
          </w:p>
        </w:tc>
        <w:tc>
          <w:tcPr>
            <w:tcW w:w="722" w:type="pct"/>
            <w:tcBorders>
              <w:top w:val="nil"/>
              <w:left w:val="nil"/>
              <w:bottom w:val="nil"/>
              <w:right w:val="nil"/>
            </w:tcBorders>
            <w:shd w:val="clear" w:color="000000" w:fill="F2F2F2"/>
            <w:noWrap/>
            <w:hideMark/>
          </w:tcPr>
          <w:p w14:paraId="73C45D57" w14:textId="77777777" w:rsidR="00F76B72" w:rsidRDefault="00F76B72" w:rsidP="00F76B72">
            <w:pPr>
              <w:keepNext/>
              <w:spacing w:after="0"/>
              <w:jc w:val="center"/>
            </w:pPr>
            <w:r>
              <w:t>-0.000903</w:t>
            </w:r>
          </w:p>
        </w:tc>
        <w:tc>
          <w:tcPr>
            <w:tcW w:w="802" w:type="pct"/>
            <w:tcBorders>
              <w:top w:val="nil"/>
              <w:left w:val="nil"/>
              <w:bottom w:val="nil"/>
              <w:right w:val="nil"/>
            </w:tcBorders>
            <w:shd w:val="clear" w:color="000000" w:fill="F2F2F2"/>
            <w:noWrap/>
            <w:hideMark/>
          </w:tcPr>
          <w:p w14:paraId="4F3DD880" w14:textId="77777777" w:rsidR="00F76B72" w:rsidRDefault="00F76B72" w:rsidP="00F76B72">
            <w:pPr>
              <w:keepNext/>
              <w:spacing w:after="0"/>
              <w:jc w:val="center"/>
            </w:pPr>
            <w:r>
              <w:t>-0.00107</w:t>
            </w:r>
          </w:p>
        </w:tc>
        <w:tc>
          <w:tcPr>
            <w:tcW w:w="720" w:type="pct"/>
            <w:tcBorders>
              <w:top w:val="nil"/>
              <w:left w:val="nil"/>
              <w:bottom w:val="nil"/>
              <w:right w:val="nil"/>
            </w:tcBorders>
            <w:shd w:val="clear" w:color="000000" w:fill="F2F2F2"/>
            <w:noWrap/>
            <w:hideMark/>
          </w:tcPr>
          <w:p w14:paraId="12A7971F" w14:textId="77777777" w:rsidR="00F76B72" w:rsidRDefault="00F76B72" w:rsidP="00F76B72">
            <w:pPr>
              <w:keepNext/>
              <w:spacing w:after="0"/>
              <w:jc w:val="center"/>
            </w:pPr>
            <w:r>
              <w:t>-0.000751</w:t>
            </w:r>
          </w:p>
        </w:tc>
        <w:tc>
          <w:tcPr>
            <w:tcW w:w="690" w:type="pct"/>
            <w:gridSpan w:val="2"/>
            <w:tcBorders>
              <w:top w:val="nil"/>
              <w:left w:val="nil"/>
              <w:bottom w:val="nil"/>
              <w:right w:val="nil"/>
            </w:tcBorders>
            <w:shd w:val="clear" w:color="000000" w:fill="F2F2F2"/>
            <w:noWrap/>
            <w:hideMark/>
          </w:tcPr>
          <w:p w14:paraId="425D33F6" w14:textId="77777777" w:rsidR="00F76B72" w:rsidRDefault="00F76B72" w:rsidP="00F76B72">
            <w:pPr>
              <w:keepNext/>
              <w:spacing w:after="0"/>
              <w:jc w:val="center"/>
            </w:pPr>
            <w:r>
              <w:t>-0.00110</w:t>
            </w:r>
          </w:p>
        </w:tc>
      </w:tr>
      <w:tr w:rsidR="00F76B72" w:rsidRPr="003E5D9C" w14:paraId="6FCB7954" w14:textId="77777777" w:rsidTr="00F76B72">
        <w:trPr>
          <w:trHeight w:val="300"/>
        </w:trPr>
        <w:tc>
          <w:tcPr>
            <w:tcW w:w="2066" w:type="pct"/>
            <w:tcBorders>
              <w:top w:val="nil"/>
              <w:left w:val="nil"/>
              <w:bottom w:val="nil"/>
              <w:right w:val="nil"/>
            </w:tcBorders>
            <w:shd w:val="clear" w:color="000000" w:fill="F2F2F2"/>
            <w:noWrap/>
            <w:hideMark/>
          </w:tcPr>
          <w:p w14:paraId="560AF2F0"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7D16D6E5" w14:textId="77777777" w:rsidR="00F76B72" w:rsidRDefault="00F76B72" w:rsidP="00F76B72">
            <w:pPr>
              <w:keepNext/>
              <w:spacing w:after="0"/>
              <w:jc w:val="center"/>
            </w:pPr>
            <w:r>
              <w:t>(0.00102)</w:t>
            </w:r>
          </w:p>
        </w:tc>
        <w:tc>
          <w:tcPr>
            <w:tcW w:w="802" w:type="pct"/>
            <w:tcBorders>
              <w:top w:val="nil"/>
              <w:left w:val="nil"/>
              <w:bottom w:val="nil"/>
              <w:right w:val="nil"/>
            </w:tcBorders>
            <w:shd w:val="clear" w:color="000000" w:fill="F2F2F2"/>
            <w:noWrap/>
            <w:hideMark/>
          </w:tcPr>
          <w:p w14:paraId="703F1D1A" w14:textId="77777777" w:rsidR="00F76B72" w:rsidRDefault="00F76B72" w:rsidP="00F76B72">
            <w:pPr>
              <w:keepNext/>
              <w:spacing w:after="0"/>
              <w:jc w:val="center"/>
            </w:pPr>
            <w:r>
              <w:t>(0.00109)</w:t>
            </w:r>
          </w:p>
        </w:tc>
        <w:tc>
          <w:tcPr>
            <w:tcW w:w="720" w:type="pct"/>
            <w:tcBorders>
              <w:top w:val="nil"/>
              <w:left w:val="nil"/>
              <w:bottom w:val="nil"/>
              <w:right w:val="nil"/>
            </w:tcBorders>
            <w:shd w:val="clear" w:color="000000" w:fill="F2F2F2"/>
            <w:noWrap/>
            <w:hideMark/>
          </w:tcPr>
          <w:p w14:paraId="404C6FD9" w14:textId="77777777" w:rsidR="00F76B72" w:rsidRDefault="00F76B72" w:rsidP="00F76B72">
            <w:pPr>
              <w:keepNext/>
              <w:spacing w:after="0"/>
              <w:jc w:val="center"/>
            </w:pPr>
            <w:r>
              <w:t>(0.00111)</w:t>
            </w:r>
          </w:p>
        </w:tc>
        <w:tc>
          <w:tcPr>
            <w:tcW w:w="690" w:type="pct"/>
            <w:gridSpan w:val="2"/>
            <w:tcBorders>
              <w:top w:val="nil"/>
              <w:left w:val="nil"/>
              <w:bottom w:val="nil"/>
              <w:right w:val="nil"/>
            </w:tcBorders>
            <w:shd w:val="clear" w:color="000000" w:fill="F2F2F2"/>
            <w:noWrap/>
            <w:hideMark/>
          </w:tcPr>
          <w:p w14:paraId="4F6BA5FB" w14:textId="77777777" w:rsidR="00F76B72" w:rsidRDefault="00F76B72" w:rsidP="00F76B72">
            <w:pPr>
              <w:keepNext/>
              <w:spacing w:after="0"/>
              <w:jc w:val="center"/>
            </w:pPr>
            <w:r>
              <w:t>(0.00109)</w:t>
            </w:r>
          </w:p>
        </w:tc>
      </w:tr>
      <w:tr w:rsidR="00F76B72" w:rsidRPr="003E5D9C" w14:paraId="47F99C15" w14:textId="77777777" w:rsidTr="00F76B72">
        <w:trPr>
          <w:trHeight w:val="300"/>
        </w:trPr>
        <w:tc>
          <w:tcPr>
            <w:tcW w:w="2066" w:type="pct"/>
            <w:tcBorders>
              <w:top w:val="nil"/>
              <w:left w:val="nil"/>
              <w:bottom w:val="nil"/>
              <w:right w:val="nil"/>
            </w:tcBorders>
            <w:shd w:val="clear" w:color="000000" w:fill="F2F2F2"/>
            <w:noWrap/>
            <w:hideMark/>
          </w:tcPr>
          <w:p w14:paraId="6BFA81FA" w14:textId="77777777" w:rsidR="00F76B72" w:rsidRDefault="00F76B72" w:rsidP="00F76B72">
            <w:pPr>
              <w:keepNext/>
              <w:spacing w:after="0"/>
            </w:pPr>
            <w:r>
              <w:t>White (1=yes)</w:t>
            </w:r>
          </w:p>
        </w:tc>
        <w:tc>
          <w:tcPr>
            <w:tcW w:w="722" w:type="pct"/>
            <w:tcBorders>
              <w:top w:val="nil"/>
              <w:left w:val="nil"/>
              <w:bottom w:val="nil"/>
              <w:right w:val="nil"/>
            </w:tcBorders>
            <w:shd w:val="clear" w:color="000000" w:fill="F2F2F2"/>
            <w:noWrap/>
            <w:hideMark/>
          </w:tcPr>
          <w:p w14:paraId="04593468" w14:textId="77777777" w:rsidR="00F76B72" w:rsidRDefault="00F76B72" w:rsidP="00F76B72">
            <w:pPr>
              <w:keepNext/>
              <w:spacing w:after="0"/>
              <w:jc w:val="center"/>
            </w:pPr>
            <w:r>
              <w:t>0.0791**</w:t>
            </w:r>
          </w:p>
        </w:tc>
        <w:tc>
          <w:tcPr>
            <w:tcW w:w="802" w:type="pct"/>
            <w:tcBorders>
              <w:top w:val="nil"/>
              <w:left w:val="nil"/>
              <w:bottom w:val="nil"/>
              <w:right w:val="nil"/>
            </w:tcBorders>
            <w:shd w:val="clear" w:color="000000" w:fill="F2F2F2"/>
            <w:noWrap/>
            <w:hideMark/>
          </w:tcPr>
          <w:p w14:paraId="6D3C3280" w14:textId="77777777" w:rsidR="00F76B72" w:rsidRDefault="00F76B72" w:rsidP="00F76B72">
            <w:pPr>
              <w:keepNext/>
              <w:spacing w:after="0"/>
              <w:jc w:val="center"/>
            </w:pPr>
            <w:r>
              <w:t>0.0738*</w:t>
            </w:r>
          </w:p>
        </w:tc>
        <w:tc>
          <w:tcPr>
            <w:tcW w:w="720" w:type="pct"/>
            <w:tcBorders>
              <w:top w:val="nil"/>
              <w:left w:val="nil"/>
              <w:bottom w:val="nil"/>
              <w:right w:val="nil"/>
            </w:tcBorders>
            <w:shd w:val="clear" w:color="000000" w:fill="F2F2F2"/>
            <w:noWrap/>
            <w:hideMark/>
          </w:tcPr>
          <w:p w14:paraId="396A4599" w14:textId="77777777" w:rsidR="00F76B72" w:rsidRDefault="00F76B72" w:rsidP="00F76B72">
            <w:pPr>
              <w:keepNext/>
              <w:spacing w:after="0"/>
              <w:jc w:val="center"/>
            </w:pPr>
            <w:r>
              <w:t>0.0508</w:t>
            </w:r>
          </w:p>
        </w:tc>
        <w:tc>
          <w:tcPr>
            <w:tcW w:w="690" w:type="pct"/>
            <w:gridSpan w:val="2"/>
            <w:tcBorders>
              <w:top w:val="nil"/>
              <w:left w:val="nil"/>
              <w:bottom w:val="nil"/>
              <w:right w:val="nil"/>
            </w:tcBorders>
            <w:shd w:val="clear" w:color="000000" w:fill="F2F2F2"/>
            <w:noWrap/>
            <w:hideMark/>
          </w:tcPr>
          <w:p w14:paraId="3CFCC40B" w14:textId="77777777" w:rsidR="00F76B72" w:rsidRDefault="00F76B72" w:rsidP="00F76B72">
            <w:pPr>
              <w:keepNext/>
              <w:spacing w:after="0"/>
              <w:jc w:val="center"/>
            </w:pPr>
            <w:r>
              <w:t>0.0736*</w:t>
            </w:r>
          </w:p>
        </w:tc>
      </w:tr>
      <w:tr w:rsidR="00F76B72" w:rsidRPr="003E5D9C" w14:paraId="24F76E5A" w14:textId="77777777" w:rsidTr="00F76B72">
        <w:trPr>
          <w:trHeight w:val="300"/>
        </w:trPr>
        <w:tc>
          <w:tcPr>
            <w:tcW w:w="2066" w:type="pct"/>
            <w:tcBorders>
              <w:top w:val="nil"/>
              <w:left w:val="nil"/>
              <w:bottom w:val="nil"/>
              <w:right w:val="nil"/>
            </w:tcBorders>
            <w:shd w:val="clear" w:color="000000" w:fill="F2F2F2"/>
            <w:noWrap/>
            <w:hideMark/>
          </w:tcPr>
          <w:p w14:paraId="4DE5B369"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00209E90" w14:textId="77777777" w:rsidR="00F76B72" w:rsidRDefault="00F76B72" w:rsidP="00F76B72">
            <w:pPr>
              <w:keepNext/>
              <w:spacing w:after="0"/>
              <w:jc w:val="center"/>
            </w:pPr>
            <w:r>
              <w:t>(0.0396)</w:t>
            </w:r>
          </w:p>
        </w:tc>
        <w:tc>
          <w:tcPr>
            <w:tcW w:w="802" w:type="pct"/>
            <w:tcBorders>
              <w:top w:val="nil"/>
              <w:left w:val="nil"/>
              <w:bottom w:val="nil"/>
              <w:right w:val="nil"/>
            </w:tcBorders>
            <w:shd w:val="clear" w:color="000000" w:fill="F2F2F2"/>
            <w:noWrap/>
            <w:hideMark/>
          </w:tcPr>
          <w:p w14:paraId="7E6F9E80" w14:textId="77777777" w:rsidR="00F76B72" w:rsidRDefault="00F76B72" w:rsidP="00F76B72">
            <w:pPr>
              <w:keepNext/>
              <w:spacing w:after="0"/>
              <w:jc w:val="center"/>
            </w:pPr>
            <w:r>
              <w:t>(0.0418)</w:t>
            </w:r>
          </w:p>
        </w:tc>
        <w:tc>
          <w:tcPr>
            <w:tcW w:w="720" w:type="pct"/>
            <w:tcBorders>
              <w:top w:val="nil"/>
              <w:left w:val="nil"/>
              <w:bottom w:val="nil"/>
              <w:right w:val="nil"/>
            </w:tcBorders>
            <w:shd w:val="clear" w:color="000000" w:fill="F2F2F2"/>
            <w:noWrap/>
            <w:hideMark/>
          </w:tcPr>
          <w:p w14:paraId="1B208A71" w14:textId="77777777" w:rsidR="00F76B72" w:rsidRDefault="00F76B72" w:rsidP="00F76B72">
            <w:pPr>
              <w:keepNext/>
              <w:spacing w:after="0"/>
              <w:jc w:val="center"/>
            </w:pPr>
            <w:r>
              <w:t>(0.0431)</w:t>
            </w:r>
          </w:p>
        </w:tc>
        <w:tc>
          <w:tcPr>
            <w:tcW w:w="690" w:type="pct"/>
            <w:gridSpan w:val="2"/>
            <w:tcBorders>
              <w:top w:val="nil"/>
              <w:left w:val="nil"/>
              <w:bottom w:val="nil"/>
              <w:right w:val="nil"/>
            </w:tcBorders>
            <w:shd w:val="clear" w:color="000000" w:fill="F2F2F2"/>
            <w:noWrap/>
            <w:hideMark/>
          </w:tcPr>
          <w:p w14:paraId="4A6BCF2B" w14:textId="77777777" w:rsidR="00F76B72" w:rsidRDefault="00F76B72" w:rsidP="00F76B72">
            <w:pPr>
              <w:keepNext/>
              <w:spacing w:after="0"/>
              <w:jc w:val="center"/>
            </w:pPr>
            <w:r>
              <w:t>(0.0419)</w:t>
            </w:r>
          </w:p>
        </w:tc>
      </w:tr>
      <w:tr w:rsidR="00F76B72" w:rsidRPr="003E5D9C" w14:paraId="3B9EE0A3" w14:textId="77777777" w:rsidTr="00F76B72">
        <w:trPr>
          <w:trHeight w:val="300"/>
        </w:trPr>
        <w:tc>
          <w:tcPr>
            <w:tcW w:w="2066" w:type="pct"/>
            <w:tcBorders>
              <w:top w:val="nil"/>
              <w:left w:val="nil"/>
              <w:bottom w:val="nil"/>
              <w:right w:val="nil"/>
            </w:tcBorders>
            <w:shd w:val="clear" w:color="000000" w:fill="F2F2F2"/>
            <w:noWrap/>
            <w:hideMark/>
          </w:tcPr>
          <w:p w14:paraId="43514258" w14:textId="77777777" w:rsidR="00F76B72" w:rsidRDefault="00F76B72" w:rsidP="00F76B72">
            <w:pPr>
              <w:keepNext/>
              <w:spacing w:after="0"/>
            </w:pPr>
            <w:r>
              <w:t>Republican (1=yes)</w:t>
            </w:r>
          </w:p>
        </w:tc>
        <w:tc>
          <w:tcPr>
            <w:tcW w:w="722" w:type="pct"/>
            <w:tcBorders>
              <w:top w:val="nil"/>
              <w:left w:val="nil"/>
              <w:bottom w:val="nil"/>
              <w:right w:val="nil"/>
            </w:tcBorders>
            <w:shd w:val="clear" w:color="000000" w:fill="F2F2F2"/>
            <w:noWrap/>
            <w:hideMark/>
          </w:tcPr>
          <w:p w14:paraId="1F6B0708" w14:textId="77777777" w:rsidR="00F76B72" w:rsidRDefault="00F76B72" w:rsidP="00F76B72">
            <w:pPr>
              <w:keepNext/>
              <w:spacing w:after="0"/>
              <w:jc w:val="center"/>
            </w:pPr>
            <w:r>
              <w:t>-0.268***</w:t>
            </w:r>
          </w:p>
        </w:tc>
        <w:tc>
          <w:tcPr>
            <w:tcW w:w="802" w:type="pct"/>
            <w:tcBorders>
              <w:top w:val="nil"/>
              <w:left w:val="nil"/>
              <w:bottom w:val="nil"/>
              <w:right w:val="nil"/>
            </w:tcBorders>
            <w:shd w:val="clear" w:color="000000" w:fill="F2F2F2"/>
            <w:noWrap/>
            <w:hideMark/>
          </w:tcPr>
          <w:p w14:paraId="67F9884F" w14:textId="77777777" w:rsidR="00F76B72" w:rsidRDefault="00F76B72" w:rsidP="00F76B72">
            <w:pPr>
              <w:keepNext/>
              <w:spacing w:after="0"/>
              <w:jc w:val="center"/>
            </w:pPr>
            <w:r>
              <w:t>-0.112**</w:t>
            </w:r>
          </w:p>
        </w:tc>
        <w:tc>
          <w:tcPr>
            <w:tcW w:w="720" w:type="pct"/>
            <w:tcBorders>
              <w:top w:val="nil"/>
              <w:left w:val="nil"/>
              <w:bottom w:val="nil"/>
              <w:right w:val="nil"/>
            </w:tcBorders>
            <w:shd w:val="clear" w:color="000000" w:fill="F2F2F2"/>
            <w:noWrap/>
            <w:hideMark/>
          </w:tcPr>
          <w:p w14:paraId="6AEF26B3" w14:textId="77777777" w:rsidR="00F76B72" w:rsidRDefault="00F76B72" w:rsidP="00F76B72">
            <w:pPr>
              <w:keepNext/>
              <w:spacing w:after="0"/>
              <w:jc w:val="center"/>
            </w:pPr>
            <w:r>
              <w:t>-0.0648</w:t>
            </w:r>
          </w:p>
        </w:tc>
        <w:tc>
          <w:tcPr>
            <w:tcW w:w="690" w:type="pct"/>
            <w:gridSpan w:val="2"/>
            <w:tcBorders>
              <w:top w:val="nil"/>
              <w:left w:val="nil"/>
              <w:bottom w:val="nil"/>
              <w:right w:val="nil"/>
            </w:tcBorders>
            <w:shd w:val="clear" w:color="000000" w:fill="F2F2F2"/>
            <w:noWrap/>
            <w:hideMark/>
          </w:tcPr>
          <w:p w14:paraId="73AC7F5C" w14:textId="77777777" w:rsidR="00F76B72" w:rsidRDefault="00F76B72" w:rsidP="00F76B72">
            <w:pPr>
              <w:keepNext/>
              <w:spacing w:after="0"/>
              <w:jc w:val="center"/>
            </w:pPr>
            <w:r>
              <w:t>-0.112**</w:t>
            </w:r>
          </w:p>
        </w:tc>
      </w:tr>
      <w:tr w:rsidR="00F76B72" w:rsidRPr="003E5D9C" w14:paraId="69284E10" w14:textId="77777777" w:rsidTr="00F76B72">
        <w:trPr>
          <w:trHeight w:val="300"/>
        </w:trPr>
        <w:tc>
          <w:tcPr>
            <w:tcW w:w="2066" w:type="pct"/>
            <w:tcBorders>
              <w:top w:val="nil"/>
              <w:left w:val="nil"/>
              <w:bottom w:val="nil"/>
              <w:right w:val="nil"/>
            </w:tcBorders>
            <w:shd w:val="clear" w:color="000000" w:fill="F2F2F2"/>
            <w:noWrap/>
            <w:hideMark/>
          </w:tcPr>
          <w:p w14:paraId="591C9C90"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39AF27DD" w14:textId="77777777" w:rsidR="00F76B72" w:rsidRDefault="00F76B72" w:rsidP="00F76B72">
            <w:pPr>
              <w:keepNext/>
              <w:spacing w:after="0"/>
              <w:jc w:val="center"/>
            </w:pPr>
            <w:r>
              <w:t>(0.0369)</w:t>
            </w:r>
          </w:p>
        </w:tc>
        <w:tc>
          <w:tcPr>
            <w:tcW w:w="802" w:type="pct"/>
            <w:tcBorders>
              <w:top w:val="nil"/>
              <w:left w:val="nil"/>
              <w:bottom w:val="nil"/>
              <w:right w:val="nil"/>
            </w:tcBorders>
            <w:shd w:val="clear" w:color="000000" w:fill="F2F2F2"/>
            <w:noWrap/>
            <w:hideMark/>
          </w:tcPr>
          <w:p w14:paraId="0F99242D" w14:textId="77777777" w:rsidR="00F76B72" w:rsidRDefault="00F76B72" w:rsidP="00F76B72">
            <w:pPr>
              <w:keepNext/>
              <w:spacing w:after="0"/>
              <w:jc w:val="center"/>
            </w:pPr>
            <w:r>
              <w:t>(0.0436)</w:t>
            </w:r>
          </w:p>
        </w:tc>
        <w:tc>
          <w:tcPr>
            <w:tcW w:w="720" w:type="pct"/>
            <w:tcBorders>
              <w:top w:val="nil"/>
              <w:left w:val="nil"/>
              <w:bottom w:val="nil"/>
              <w:right w:val="nil"/>
            </w:tcBorders>
            <w:shd w:val="clear" w:color="000000" w:fill="F2F2F2"/>
            <w:noWrap/>
            <w:hideMark/>
          </w:tcPr>
          <w:p w14:paraId="010D927E" w14:textId="77777777" w:rsidR="00F76B72" w:rsidRDefault="00F76B72" w:rsidP="00F76B72">
            <w:pPr>
              <w:keepNext/>
              <w:spacing w:after="0"/>
              <w:jc w:val="center"/>
            </w:pPr>
            <w:r>
              <w:t>(0.0451)</w:t>
            </w:r>
          </w:p>
        </w:tc>
        <w:tc>
          <w:tcPr>
            <w:tcW w:w="690" w:type="pct"/>
            <w:gridSpan w:val="2"/>
            <w:tcBorders>
              <w:top w:val="nil"/>
              <w:left w:val="nil"/>
              <w:bottom w:val="nil"/>
              <w:right w:val="nil"/>
            </w:tcBorders>
            <w:shd w:val="clear" w:color="000000" w:fill="F2F2F2"/>
            <w:noWrap/>
            <w:hideMark/>
          </w:tcPr>
          <w:p w14:paraId="00B98B79" w14:textId="77777777" w:rsidR="00F76B72" w:rsidRDefault="00F76B72" w:rsidP="00F76B72">
            <w:pPr>
              <w:keepNext/>
              <w:spacing w:after="0"/>
              <w:jc w:val="center"/>
            </w:pPr>
            <w:r>
              <w:t>(0.0436)</w:t>
            </w:r>
          </w:p>
        </w:tc>
      </w:tr>
      <w:tr w:rsidR="00F76B72" w:rsidRPr="003E5D9C" w14:paraId="22E3ED80" w14:textId="77777777" w:rsidTr="00F76B72">
        <w:trPr>
          <w:trHeight w:val="300"/>
        </w:trPr>
        <w:tc>
          <w:tcPr>
            <w:tcW w:w="2066" w:type="pct"/>
            <w:tcBorders>
              <w:top w:val="nil"/>
              <w:left w:val="nil"/>
              <w:bottom w:val="nil"/>
              <w:right w:val="nil"/>
            </w:tcBorders>
            <w:shd w:val="clear" w:color="000000" w:fill="F2F2F2"/>
            <w:noWrap/>
            <w:hideMark/>
          </w:tcPr>
          <w:p w14:paraId="4A47AE7D" w14:textId="77777777" w:rsidR="00F76B72" w:rsidRDefault="00F76B72" w:rsidP="00F76B72">
            <w:pPr>
              <w:keepNext/>
              <w:spacing w:after="0"/>
            </w:pPr>
            <w:r>
              <w:t>Independent (1=yes)</w:t>
            </w:r>
          </w:p>
        </w:tc>
        <w:tc>
          <w:tcPr>
            <w:tcW w:w="722" w:type="pct"/>
            <w:tcBorders>
              <w:top w:val="nil"/>
              <w:left w:val="nil"/>
              <w:bottom w:val="nil"/>
              <w:right w:val="nil"/>
            </w:tcBorders>
            <w:shd w:val="clear" w:color="000000" w:fill="F2F2F2"/>
            <w:noWrap/>
            <w:hideMark/>
          </w:tcPr>
          <w:p w14:paraId="3AFDC781" w14:textId="77777777" w:rsidR="00F76B72" w:rsidRDefault="00F76B72" w:rsidP="00F76B72">
            <w:pPr>
              <w:keepNext/>
              <w:spacing w:after="0"/>
              <w:jc w:val="center"/>
            </w:pPr>
            <w:r>
              <w:t>-0.303***</w:t>
            </w:r>
          </w:p>
        </w:tc>
        <w:tc>
          <w:tcPr>
            <w:tcW w:w="802" w:type="pct"/>
            <w:tcBorders>
              <w:top w:val="nil"/>
              <w:left w:val="nil"/>
              <w:bottom w:val="nil"/>
              <w:right w:val="nil"/>
            </w:tcBorders>
            <w:shd w:val="clear" w:color="000000" w:fill="F2F2F2"/>
            <w:noWrap/>
            <w:hideMark/>
          </w:tcPr>
          <w:p w14:paraId="34DB6E64" w14:textId="77777777" w:rsidR="00F76B72" w:rsidRDefault="00F76B72" w:rsidP="00F76B72">
            <w:pPr>
              <w:keepNext/>
              <w:spacing w:after="0"/>
              <w:jc w:val="center"/>
            </w:pPr>
            <w:r>
              <w:t>-0.201***</w:t>
            </w:r>
          </w:p>
        </w:tc>
        <w:tc>
          <w:tcPr>
            <w:tcW w:w="720" w:type="pct"/>
            <w:tcBorders>
              <w:top w:val="nil"/>
              <w:left w:val="nil"/>
              <w:bottom w:val="nil"/>
              <w:right w:val="nil"/>
            </w:tcBorders>
            <w:shd w:val="clear" w:color="000000" w:fill="F2F2F2"/>
            <w:noWrap/>
            <w:hideMark/>
          </w:tcPr>
          <w:p w14:paraId="6126B397" w14:textId="77777777" w:rsidR="00F76B72" w:rsidRDefault="00F76B72" w:rsidP="00F76B72">
            <w:pPr>
              <w:keepNext/>
              <w:spacing w:after="0"/>
              <w:jc w:val="center"/>
            </w:pPr>
            <w:r>
              <w:t>-0.186***</w:t>
            </w:r>
          </w:p>
        </w:tc>
        <w:tc>
          <w:tcPr>
            <w:tcW w:w="690" w:type="pct"/>
            <w:gridSpan w:val="2"/>
            <w:tcBorders>
              <w:top w:val="nil"/>
              <w:left w:val="nil"/>
              <w:bottom w:val="nil"/>
              <w:right w:val="nil"/>
            </w:tcBorders>
            <w:shd w:val="clear" w:color="000000" w:fill="F2F2F2"/>
            <w:noWrap/>
            <w:hideMark/>
          </w:tcPr>
          <w:p w14:paraId="24C489B7" w14:textId="77777777" w:rsidR="00F76B72" w:rsidRDefault="00F76B72" w:rsidP="00F76B72">
            <w:pPr>
              <w:keepNext/>
              <w:spacing w:after="0"/>
              <w:jc w:val="center"/>
            </w:pPr>
            <w:r>
              <w:t>-0.201***</w:t>
            </w:r>
          </w:p>
        </w:tc>
      </w:tr>
      <w:tr w:rsidR="00F76B72" w:rsidRPr="003E5D9C" w14:paraId="3CA205C8" w14:textId="77777777" w:rsidTr="00F76B72">
        <w:trPr>
          <w:trHeight w:val="300"/>
        </w:trPr>
        <w:tc>
          <w:tcPr>
            <w:tcW w:w="2066" w:type="pct"/>
            <w:tcBorders>
              <w:top w:val="nil"/>
              <w:left w:val="nil"/>
              <w:bottom w:val="nil"/>
              <w:right w:val="nil"/>
            </w:tcBorders>
            <w:shd w:val="clear" w:color="000000" w:fill="F2F2F2"/>
            <w:noWrap/>
            <w:hideMark/>
          </w:tcPr>
          <w:p w14:paraId="1D1B0DEF"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31F259C6" w14:textId="77777777" w:rsidR="00F76B72" w:rsidRDefault="00F76B72" w:rsidP="00F76B72">
            <w:pPr>
              <w:keepNext/>
              <w:spacing w:after="0"/>
              <w:jc w:val="center"/>
            </w:pPr>
            <w:r>
              <w:t>(0.0529)</w:t>
            </w:r>
          </w:p>
        </w:tc>
        <w:tc>
          <w:tcPr>
            <w:tcW w:w="802" w:type="pct"/>
            <w:tcBorders>
              <w:top w:val="nil"/>
              <w:left w:val="nil"/>
              <w:bottom w:val="nil"/>
              <w:right w:val="nil"/>
            </w:tcBorders>
            <w:shd w:val="clear" w:color="000000" w:fill="F2F2F2"/>
            <w:noWrap/>
            <w:hideMark/>
          </w:tcPr>
          <w:p w14:paraId="396AD380" w14:textId="77777777" w:rsidR="00F76B72" w:rsidRDefault="00F76B72" w:rsidP="00F76B72">
            <w:pPr>
              <w:keepNext/>
              <w:spacing w:after="0"/>
              <w:jc w:val="center"/>
            </w:pPr>
            <w:r>
              <w:t>(0.0574)</w:t>
            </w:r>
          </w:p>
        </w:tc>
        <w:tc>
          <w:tcPr>
            <w:tcW w:w="720" w:type="pct"/>
            <w:tcBorders>
              <w:top w:val="nil"/>
              <w:left w:val="nil"/>
              <w:bottom w:val="nil"/>
              <w:right w:val="nil"/>
            </w:tcBorders>
            <w:shd w:val="clear" w:color="000000" w:fill="F2F2F2"/>
            <w:noWrap/>
            <w:hideMark/>
          </w:tcPr>
          <w:p w14:paraId="5240B5C8" w14:textId="77777777" w:rsidR="00F76B72" w:rsidRDefault="00F76B72" w:rsidP="00F76B72">
            <w:pPr>
              <w:keepNext/>
              <w:spacing w:after="0"/>
              <w:jc w:val="center"/>
            </w:pPr>
            <w:r>
              <w:t>(0.0587)</w:t>
            </w:r>
          </w:p>
        </w:tc>
        <w:tc>
          <w:tcPr>
            <w:tcW w:w="690" w:type="pct"/>
            <w:gridSpan w:val="2"/>
            <w:tcBorders>
              <w:top w:val="nil"/>
              <w:left w:val="nil"/>
              <w:bottom w:val="nil"/>
              <w:right w:val="nil"/>
            </w:tcBorders>
            <w:shd w:val="clear" w:color="000000" w:fill="F2F2F2"/>
            <w:noWrap/>
            <w:hideMark/>
          </w:tcPr>
          <w:p w14:paraId="178AA328" w14:textId="77777777" w:rsidR="00F76B72" w:rsidRDefault="00F76B72" w:rsidP="00F76B72">
            <w:pPr>
              <w:keepNext/>
              <w:spacing w:after="0"/>
              <w:jc w:val="center"/>
            </w:pPr>
            <w:r>
              <w:t>(0.0572)</w:t>
            </w:r>
          </w:p>
        </w:tc>
      </w:tr>
      <w:tr w:rsidR="00F76B72" w:rsidRPr="003E5D9C" w14:paraId="6A1EA4C0" w14:textId="77777777" w:rsidTr="00F76B72">
        <w:trPr>
          <w:trHeight w:val="300"/>
        </w:trPr>
        <w:tc>
          <w:tcPr>
            <w:tcW w:w="2066" w:type="pct"/>
            <w:tcBorders>
              <w:top w:val="nil"/>
              <w:left w:val="nil"/>
              <w:bottom w:val="nil"/>
              <w:right w:val="nil"/>
            </w:tcBorders>
            <w:shd w:val="clear" w:color="000000" w:fill="F2F2F2"/>
            <w:noWrap/>
            <w:hideMark/>
          </w:tcPr>
          <w:p w14:paraId="2EC491BD" w14:textId="77777777" w:rsidR="00F76B72" w:rsidRDefault="00F76B72" w:rsidP="00F76B72">
            <w:pPr>
              <w:keepNext/>
              <w:spacing w:after="0"/>
            </w:pPr>
            <w:r>
              <w:t>No party (1=yes)</w:t>
            </w:r>
          </w:p>
        </w:tc>
        <w:tc>
          <w:tcPr>
            <w:tcW w:w="722" w:type="pct"/>
            <w:tcBorders>
              <w:top w:val="nil"/>
              <w:left w:val="nil"/>
              <w:bottom w:val="nil"/>
              <w:right w:val="nil"/>
            </w:tcBorders>
            <w:shd w:val="clear" w:color="000000" w:fill="F2F2F2"/>
            <w:noWrap/>
            <w:hideMark/>
          </w:tcPr>
          <w:p w14:paraId="4617CF75" w14:textId="77777777" w:rsidR="00F76B72" w:rsidRDefault="00F76B72" w:rsidP="00F76B72">
            <w:pPr>
              <w:keepNext/>
              <w:spacing w:after="0"/>
              <w:jc w:val="center"/>
            </w:pPr>
            <w:r>
              <w:t>-0.220***</w:t>
            </w:r>
          </w:p>
        </w:tc>
        <w:tc>
          <w:tcPr>
            <w:tcW w:w="802" w:type="pct"/>
            <w:tcBorders>
              <w:top w:val="nil"/>
              <w:left w:val="nil"/>
              <w:bottom w:val="nil"/>
              <w:right w:val="nil"/>
            </w:tcBorders>
            <w:shd w:val="clear" w:color="000000" w:fill="F2F2F2"/>
            <w:noWrap/>
            <w:hideMark/>
          </w:tcPr>
          <w:p w14:paraId="1A7EA681" w14:textId="77777777" w:rsidR="00F76B72" w:rsidRDefault="00F76B72" w:rsidP="00F76B72">
            <w:pPr>
              <w:keepNext/>
              <w:spacing w:after="0"/>
              <w:jc w:val="center"/>
            </w:pPr>
            <w:r>
              <w:t>-0.176***</w:t>
            </w:r>
          </w:p>
        </w:tc>
        <w:tc>
          <w:tcPr>
            <w:tcW w:w="720" w:type="pct"/>
            <w:tcBorders>
              <w:top w:val="nil"/>
              <w:left w:val="nil"/>
              <w:bottom w:val="nil"/>
              <w:right w:val="nil"/>
            </w:tcBorders>
            <w:shd w:val="clear" w:color="000000" w:fill="F2F2F2"/>
            <w:noWrap/>
            <w:hideMark/>
          </w:tcPr>
          <w:p w14:paraId="07C66507" w14:textId="77777777" w:rsidR="00F76B72" w:rsidRDefault="00F76B72" w:rsidP="00F76B72">
            <w:pPr>
              <w:keepNext/>
              <w:spacing w:after="0"/>
              <w:jc w:val="center"/>
            </w:pPr>
            <w:r>
              <w:t>-0.152**</w:t>
            </w:r>
          </w:p>
        </w:tc>
        <w:tc>
          <w:tcPr>
            <w:tcW w:w="690" w:type="pct"/>
            <w:gridSpan w:val="2"/>
            <w:tcBorders>
              <w:top w:val="nil"/>
              <w:left w:val="nil"/>
              <w:bottom w:val="nil"/>
              <w:right w:val="nil"/>
            </w:tcBorders>
            <w:shd w:val="clear" w:color="000000" w:fill="F2F2F2"/>
            <w:noWrap/>
            <w:hideMark/>
          </w:tcPr>
          <w:p w14:paraId="611E7FEE" w14:textId="77777777" w:rsidR="00F76B72" w:rsidRDefault="00F76B72" w:rsidP="00F76B72">
            <w:pPr>
              <w:keepNext/>
              <w:spacing w:after="0"/>
              <w:jc w:val="center"/>
            </w:pPr>
            <w:r>
              <w:t>-0.175***</w:t>
            </w:r>
          </w:p>
        </w:tc>
      </w:tr>
      <w:tr w:rsidR="00F76B72" w:rsidRPr="003E5D9C" w14:paraId="3B8F1D3E" w14:textId="77777777" w:rsidTr="00F76B72">
        <w:trPr>
          <w:trHeight w:val="300"/>
        </w:trPr>
        <w:tc>
          <w:tcPr>
            <w:tcW w:w="2066" w:type="pct"/>
            <w:tcBorders>
              <w:top w:val="nil"/>
              <w:left w:val="nil"/>
              <w:bottom w:val="nil"/>
              <w:right w:val="nil"/>
            </w:tcBorders>
            <w:shd w:val="clear" w:color="000000" w:fill="F2F2F2"/>
            <w:noWrap/>
            <w:hideMark/>
          </w:tcPr>
          <w:p w14:paraId="34A34B0B"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7782B10C" w14:textId="77777777" w:rsidR="00F76B72" w:rsidRDefault="00F76B72" w:rsidP="00F76B72">
            <w:pPr>
              <w:keepNext/>
              <w:spacing w:after="0"/>
              <w:jc w:val="center"/>
            </w:pPr>
            <w:r>
              <w:t>(0.0588)</w:t>
            </w:r>
          </w:p>
        </w:tc>
        <w:tc>
          <w:tcPr>
            <w:tcW w:w="802" w:type="pct"/>
            <w:tcBorders>
              <w:top w:val="nil"/>
              <w:left w:val="nil"/>
              <w:bottom w:val="nil"/>
              <w:right w:val="nil"/>
            </w:tcBorders>
            <w:shd w:val="clear" w:color="000000" w:fill="F2F2F2"/>
            <w:noWrap/>
            <w:hideMark/>
          </w:tcPr>
          <w:p w14:paraId="6BCF0135" w14:textId="77777777" w:rsidR="00F76B72" w:rsidRDefault="00F76B72" w:rsidP="00F76B72">
            <w:pPr>
              <w:keepNext/>
              <w:spacing w:after="0"/>
              <w:jc w:val="center"/>
            </w:pPr>
            <w:r>
              <w:t>(0.0659)</w:t>
            </w:r>
          </w:p>
        </w:tc>
        <w:tc>
          <w:tcPr>
            <w:tcW w:w="720" w:type="pct"/>
            <w:tcBorders>
              <w:top w:val="nil"/>
              <w:left w:val="nil"/>
              <w:bottom w:val="nil"/>
              <w:right w:val="nil"/>
            </w:tcBorders>
            <w:shd w:val="clear" w:color="000000" w:fill="F2F2F2"/>
            <w:noWrap/>
            <w:hideMark/>
          </w:tcPr>
          <w:p w14:paraId="7F6E4529" w14:textId="77777777" w:rsidR="00F76B72" w:rsidRDefault="00F76B72" w:rsidP="00F76B72">
            <w:pPr>
              <w:keepNext/>
              <w:spacing w:after="0"/>
              <w:jc w:val="center"/>
            </w:pPr>
            <w:r>
              <w:t>(0.0693)</w:t>
            </w:r>
          </w:p>
        </w:tc>
        <w:tc>
          <w:tcPr>
            <w:tcW w:w="690" w:type="pct"/>
            <w:gridSpan w:val="2"/>
            <w:tcBorders>
              <w:top w:val="nil"/>
              <w:left w:val="nil"/>
              <w:bottom w:val="nil"/>
              <w:right w:val="nil"/>
            </w:tcBorders>
            <w:shd w:val="clear" w:color="000000" w:fill="F2F2F2"/>
            <w:noWrap/>
            <w:hideMark/>
          </w:tcPr>
          <w:p w14:paraId="4460404A" w14:textId="77777777" w:rsidR="00F76B72" w:rsidRDefault="00F76B72" w:rsidP="00F76B72">
            <w:pPr>
              <w:keepNext/>
              <w:spacing w:after="0"/>
              <w:jc w:val="center"/>
            </w:pPr>
            <w:r>
              <w:t>(0.0659)</w:t>
            </w:r>
          </w:p>
        </w:tc>
      </w:tr>
      <w:tr w:rsidR="00F76B72" w:rsidRPr="003E5D9C" w14:paraId="12BB426F" w14:textId="77777777" w:rsidTr="00F76B72">
        <w:trPr>
          <w:trHeight w:val="300"/>
        </w:trPr>
        <w:tc>
          <w:tcPr>
            <w:tcW w:w="2066" w:type="pct"/>
            <w:tcBorders>
              <w:top w:val="nil"/>
              <w:left w:val="nil"/>
              <w:bottom w:val="nil"/>
              <w:right w:val="nil"/>
            </w:tcBorders>
            <w:shd w:val="clear" w:color="000000" w:fill="F2F2F2"/>
            <w:noWrap/>
            <w:hideMark/>
          </w:tcPr>
          <w:p w14:paraId="7C619C80" w14:textId="77777777" w:rsidR="00F76B72" w:rsidRDefault="00F76B72" w:rsidP="00F76B72">
            <w:pPr>
              <w:keepNext/>
              <w:spacing w:after="0"/>
            </w:pPr>
            <w:r>
              <w:t>Global warming (no=1)</w:t>
            </w:r>
          </w:p>
        </w:tc>
        <w:tc>
          <w:tcPr>
            <w:tcW w:w="722" w:type="pct"/>
            <w:tcBorders>
              <w:top w:val="nil"/>
              <w:left w:val="nil"/>
              <w:bottom w:val="nil"/>
              <w:right w:val="nil"/>
            </w:tcBorders>
            <w:shd w:val="clear" w:color="000000" w:fill="F2F2F2"/>
            <w:noWrap/>
            <w:hideMark/>
          </w:tcPr>
          <w:p w14:paraId="47BDD78E" w14:textId="77777777" w:rsidR="00F76B72" w:rsidRDefault="00F76B72" w:rsidP="00F76B72">
            <w:pPr>
              <w:keepNext/>
              <w:spacing w:after="0"/>
              <w:jc w:val="center"/>
            </w:pPr>
          </w:p>
        </w:tc>
        <w:tc>
          <w:tcPr>
            <w:tcW w:w="802" w:type="pct"/>
            <w:tcBorders>
              <w:top w:val="nil"/>
              <w:left w:val="nil"/>
              <w:bottom w:val="nil"/>
              <w:right w:val="nil"/>
            </w:tcBorders>
            <w:shd w:val="clear" w:color="000000" w:fill="F2F2F2"/>
            <w:noWrap/>
            <w:hideMark/>
          </w:tcPr>
          <w:p w14:paraId="59034291" w14:textId="77777777" w:rsidR="00F76B72" w:rsidRDefault="00F76B72" w:rsidP="00F76B72">
            <w:pPr>
              <w:keepNext/>
              <w:spacing w:after="0"/>
              <w:jc w:val="center"/>
            </w:pPr>
            <w:r>
              <w:t>-0.254***</w:t>
            </w:r>
          </w:p>
        </w:tc>
        <w:tc>
          <w:tcPr>
            <w:tcW w:w="720" w:type="pct"/>
            <w:tcBorders>
              <w:top w:val="nil"/>
              <w:left w:val="nil"/>
              <w:bottom w:val="nil"/>
              <w:right w:val="nil"/>
            </w:tcBorders>
            <w:shd w:val="clear" w:color="000000" w:fill="F2F2F2"/>
            <w:noWrap/>
            <w:hideMark/>
          </w:tcPr>
          <w:p w14:paraId="6D1DA8AA" w14:textId="77777777" w:rsidR="00F76B72" w:rsidRDefault="00F76B72" w:rsidP="00F76B72">
            <w:pPr>
              <w:keepNext/>
              <w:spacing w:after="0"/>
              <w:jc w:val="center"/>
            </w:pPr>
            <w:r>
              <w:t>-0.154*</w:t>
            </w:r>
          </w:p>
        </w:tc>
        <w:tc>
          <w:tcPr>
            <w:tcW w:w="690" w:type="pct"/>
            <w:gridSpan w:val="2"/>
            <w:tcBorders>
              <w:top w:val="nil"/>
              <w:left w:val="nil"/>
              <w:bottom w:val="nil"/>
              <w:right w:val="nil"/>
            </w:tcBorders>
            <w:shd w:val="clear" w:color="000000" w:fill="F2F2F2"/>
            <w:noWrap/>
            <w:hideMark/>
          </w:tcPr>
          <w:p w14:paraId="25DC627E" w14:textId="77777777" w:rsidR="00F76B72" w:rsidRDefault="00F76B72" w:rsidP="00F76B72">
            <w:pPr>
              <w:keepNext/>
              <w:spacing w:after="0"/>
              <w:jc w:val="center"/>
            </w:pPr>
            <w:r>
              <w:t>-0.254***</w:t>
            </w:r>
          </w:p>
        </w:tc>
      </w:tr>
      <w:tr w:rsidR="00F76B72" w:rsidRPr="003E5D9C" w14:paraId="377ECD0A" w14:textId="77777777" w:rsidTr="00F76B72">
        <w:trPr>
          <w:trHeight w:val="300"/>
        </w:trPr>
        <w:tc>
          <w:tcPr>
            <w:tcW w:w="2066" w:type="pct"/>
            <w:tcBorders>
              <w:top w:val="nil"/>
              <w:left w:val="nil"/>
              <w:bottom w:val="nil"/>
              <w:right w:val="nil"/>
            </w:tcBorders>
            <w:shd w:val="clear" w:color="000000" w:fill="F2F2F2"/>
            <w:noWrap/>
            <w:hideMark/>
          </w:tcPr>
          <w:p w14:paraId="34F05AD1"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03D8CA23" w14:textId="77777777" w:rsidR="00F76B72" w:rsidRDefault="00F76B72" w:rsidP="00F76B72">
            <w:pPr>
              <w:keepNext/>
              <w:spacing w:after="0"/>
              <w:jc w:val="center"/>
            </w:pPr>
          </w:p>
        </w:tc>
        <w:tc>
          <w:tcPr>
            <w:tcW w:w="802" w:type="pct"/>
            <w:tcBorders>
              <w:top w:val="nil"/>
              <w:left w:val="nil"/>
              <w:bottom w:val="nil"/>
              <w:right w:val="nil"/>
            </w:tcBorders>
            <w:shd w:val="clear" w:color="000000" w:fill="F2F2F2"/>
            <w:noWrap/>
            <w:hideMark/>
          </w:tcPr>
          <w:p w14:paraId="2ECF5BC2" w14:textId="77777777" w:rsidR="00F76B72" w:rsidRDefault="00F76B72" w:rsidP="00F76B72">
            <w:pPr>
              <w:keepNext/>
              <w:spacing w:after="0"/>
              <w:jc w:val="center"/>
            </w:pPr>
            <w:r>
              <w:t>(0.0693)</w:t>
            </w:r>
          </w:p>
        </w:tc>
        <w:tc>
          <w:tcPr>
            <w:tcW w:w="720" w:type="pct"/>
            <w:tcBorders>
              <w:top w:val="nil"/>
              <w:left w:val="nil"/>
              <w:bottom w:val="nil"/>
              <w:right w:val="nil"/>
            </w:tcBorders>
            <w:shd w:val="clear" w:color="000000" w:fill="F2F2F2"/>
            <w:noWrap/>
            <w:hideMark/>
          </w:tcPr>
          <w:p w14:paraId="64000069" w14:textId="77777777" w:rsidR="00F76B72" w:rsidRDefault="00F76B72" w:rsidP="00F76B72">
            <w:pPr>
              <w:keepNext/>
              <w:spacing w:after="0"/>
              <w:jc w:val="center"/>
            </w:pPr>
            <w:r>
              <w:t>(0.0826)</w:t>
            </w:r>
          </w:p>
        </w:tc>
        <w:tc>
          <w:tcPr>
            <w:tcW w:w="690" w:type="pct"/>
            <w:gridSpan w:val="2"/>
            <w:tcBorders>
              <w:top w:val="nil"/>
              <w:left w:val="nil"/>
              <w:bottom w:val="nil"/>
              <w:right w:val="nil"/>
            </w:tcBorders>
            <w:shd w:val="clear" w:color="000000" w:fill="F2F2F2"/>
            <w:noWrap/>
            <w:hideMark/>
          </w:tcPr>
          <w:p w14:paraId="6F1C9B4D" w14:textId="77777777" w:rsidR="00F76B72" w:rsidRDefault="00F76B72" w:rsidP="00F76B72">
            <w:pPr>
              <w:keepNext/>
              <w:spacing w:after="0"/>
              <w:jc w:val="center"/>
            </w:pPr>
            <w:r>
              <w:t>(0.0693)</w:t>
            </w:r>
          </w:p>
        </w:tc>
      </w:tr>
      <w:tr w:rsidR="00F76B72" w:rsidRPr="003E5D9C" w14:paraId="3D563744" w14:textId="77777777" w:rsidTr="00F76B72">
        <w:trPr>
          <w:trHeight w:val="300"/>
        </w:trPr>
        <w:tc>
          <w:tcPr>
            <w:tcW w:w="2066" w:type="pct"/>
            <w:tcBorders>
              <w:top w:val="nil"/>
              <w:left w:val="nil"/>
              <w:bottom w:val="nil"/>
              <w:right w:val="nil"/>
            </w:tcBorders>
            <w:shd w:val="clear" w:color="000000" w:fill="F2F2F2"/>
            <w:noWrap/>
          </w:tcPr>
          <w:p w14:paraId="168CBA0C" w14:textId="77777777" w:rsidR="00F76B72" w:rsidRDefault="00F76B72" w:rsidP="00F76B72">
            <w:pPr>
              <w:keepNext/>
              <w:spacing w:after="0"/>
            </w:pPr>
            <w:r>
              <w:t>Global warming (yes=1)</w:t>
            </w:r>
          </w:p>
        </w:tc>
        <w:tc>
          <w:tcPr>
            <w:tcW w:w="722" w:type="pct"/>
            <w:tcBorders>
              <w:top w:val="nil"/>
              <w:left w:val="nil"/>
              <w:bottom w:val="nil"/>
              <w:right w:val="nil"/>
            </w:tcBorders>
            <w:shd w:val="clear" w:color="000000" w:fill="F2F2F2"/>
            <w:noWrap/>
          </w:tcPr>
          <w:p w14:paraId="2FCA27CA" w14:textId="77777777" w:rsidR="00F76B72" w:rsidRDefault="00F76B72" w:rsidP="00F76B72">
            <w:pPr>
              <w:keepNext/>
              <w:spacing w:after="0"/>
              <w:jc w:val="center"/>
            </w:pPr>
          </w:p>
        </w:tc>
        <w:tc>
          <w:tcPr>
            <w:tcW w:w="802" w:type="pct"/>
            <w:tcBorders>
              <w:top w:val="nil"/>
              <w:left w:val="nil"/>
              <w:bottom w:val="nil"/>
              <w:right w:val="nil"/>
            </w:tcBorders>
            <w:shd w:val="clear" w:color="000000" w:fill="F2F2F2"/>
            <w:noWrap/>
          </w:tcPr>
          <w:p w14:paraId="79654A85" w14:textId="77777777" w:rsidR="00F76B72" w:rsidRDefault="00F76B72" w:rsidP="00F76B72">
            <w:pPr>
              <w:keepNext/>
              <w:spacing w:after="0"/>
              <w:jc w:val="center"/>
            </w:pPr>
            <w:r>
              <w:t>0.352***</w:t>
            </w:r>
          </w:p>
        </w:tc>
        <w:tc>
          <w:tcPr>
            <w:tcW w:w="720" w:type="pct"/>
            <w:tcBorders>
              <w:top w:val="nil"/>
              <w:left w:val="nil"/>
              <w:bottom w:val="nil"/>
              <w:right w:val="nil"/>
            </w:tcBorders>
            <w:shd w:val="clear" w:color="000000" w:fill="F2F2F2"/>
            <w:noWrap/>
          </w:tcPr>
          <w:p w14:paraId="3DE8BDDD" w14:textId="77777777" w:rsidR="00F76B72" w:rsidRDefault="00F76B72" w:rsidP="00F76B72">
            <w:pPr>
              <w:keepNext/>
              <w:spacing w:after="0"/>
              <w:jc w:val="center"/>
            </w:pPr>
            <w:r>
              <w:t>0.247***</w:t>
            </w:r>
          </w:p>
        </w:tc>
        <w:tc>
          <w:tcPr>
            <w:tcW w:w="690" w:type="pct"/>
            <w:gridSpan w:val="2"/>
            <w:tcBorders>
              <w:top w:val="nil"/>
              <w:left w:val="nil"/>
              <w:bottom w:val="nil"/>
              <w:right w:val="nil"/>
            </w:tcBorders>
            <w:shd w:val="clear" w:color="000000" w:fill="F2F2F2"/>
            <w:noWrap/>
          </w:tcPr>
          <w:p w14:paraId="24C89058" w14:textId="77777777" w:rsidR="00F76B72" w:rsidRDefault="00F76B72" w:rsidP="00F76B72">
            <w:pPr>
              <w:keepNext/>
              <w:spacing w:after="0"/>
              <w:jc w:val="center"/>
            </w:pPr>
            <w:r>
              <w:t>0.352***</w:t>
            </w:r>
          </w:p>
        </w:tc>
      </w:tr>
      <w:tr w:rsidR="00F76B72" w:rsidRPr="003E5D9C" w14:paraId="4A66F641" w14:textId="77777777" w:rsidTr="00F76B72">
        <w:trPr>
          <w:trHeight w:val="300"/>
        </w:trPr>
        <w:tc>
          <w:tcPr>
            <w:tcW w:w="2066" w:type="pct"/>
            <w:tcBorders>
              <w:top w:val="nil"/>
              <w:left w:val="nil"/>
              <w:bottom w:val="nil"/>
              <w:right w:val="nil"/>
            </w:tcBorders>
            <w:shd w:val="clear" w:color="000000" w:fill="F2F2F2"/>
            <w:noWrap/>
          </w:tcPr>
          <w:p w14:paraId="2F93077E"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tcPr>
          <w:p w14:paraId="369333CE" w14:textId="77777777" w:rsidR="00F76B72" w:rsidRDefault="00F76B72" w:rsidP="00F76B72">
            <w:pPr>
              <w:keepNext/>
              <w:spacing w:after="0"/>
              <w:jc w:val="center"/>
            </w:pPr>
          </w:p>
        </w:tc>
        <w:tc>
          <w:tcPr>
            <w:tcW w:w="802" w:type="pct"/>
            <w:tcBorders>
              <w:top w:val="nil"/>
              <w:left w:val="nil"/>
              <w:bottom w:val="nil"/>
              <w:right w:val="nil"/>
            </w:tcBorders>
            <w:shd w:val="clear" w:color="000000" w:fill="F2F2F2"/>
            <w:noWrap/>
          </w:tcPr>
          <w:p w14:paraId="4837472B" w14:textId="77777777" w:rsidR="00F76B72" w:rsidRDefault="00F76B72" w:rsidP="00F76B72">
            <w:pPr>
              <w:keepNext/>
              <w:spacing w:after="0"/>
              <w:jc w:val="center"/>
            </w:pPr>
            <w:r>
              <w:t>(0.0440)</w:t>
            </w:r>
          </w:p>
        </w:tc>
        <w:tc>
          <w:tcPr>
            <w:tcW w:w="720" w:type="pct"/>
            <w:tcBorders>
              <w:top w:val="nil"/>
              <w:left w:val="nil"/>
              <w:bottom w:val="nil"/>
              <w:right w:val="nil"/>
            </w:tcBorders>
            <w:shd w:val="clear" w:color="000000" w:fill="F2F2F2"/>
            <w:noWrap/>
          </w:tcPr>
          <w:p w14:paraId="0BB21497" w14:textId="77777777" w:rsidR="00F76B72" w:rsidRDefault="00F76B72" w:rsidP="00F76B72">
            <w:pPr>
              <w:keepNext/>
              <w:spacing w:after="0"/>
              <w:jc w:val="center"/>
            </w:pPr>
            <w:r>
              <w:t>(0.0522)</w:t>
            </w:r>
          </w:p>
        </w:tc>
        <w:tc>
          <w:tcPr>
            <w:tcW w:w="690" w:type="pct"/>
            <w:gridSpan w:val="2"/>
            <w:tcBorders>
              <w:top w:val="nil"/>
              <w:left w:val="nil"/>
              <w:bottom w:val="nil"/>
              <w:right w:val="nil"/>
            </w:tcBorders>
            <w:shd w:val="clear" w:color="000000" w:fill="F2F2F2"/>
            <w:noWrap/>
          </w:tcPr>
          <w:p w14:paraId="49CCA1C6" w14:textId="77777777" w:rsidR="00F76B72" w:rsidRDefault="00F76B72" w:rsidP="00F76B72">
            <w:pPr>
              <w:keepNext/>
              <w:spacing w:after="0"/>
              <w:jc w:val="center"/>
            </w:pPr>
            <w:r>
              <w:t>(0.0439)</w:t>
            </w:r>
          </w:p>
        </w:tc>
      </w:tr>
      <w:tr w:rsidR="00F76B72" w:rsidRPr="003E5D9C" w14:paraId="4A8AA418" w14:textId="77777777" w:rsidTr="00F76B72">
        <w:trPr>
          <w:trHeight w:val="300"/>
        </w:trPr>
        <w:tc>
          <w:tcPr>
            <w:tcW w:w="2066" w:type="pct"/>
            <w:tcBorders>
              <w:top w:val="nil"/>
              <w:left w:val="nil"/>
              <w:bottom w:val="nil"/>
              <w:right w:val="nil"/>
            </w:tcBorders>
            <w:shd w:val="clear" w:color="000000" w:fill="F2F2F2"/>
            <w:noWrap/>
            <w:hideMark/>
          </w:tcPr>
          <w:p w14:paraId="6B0206D5" w14:textId="77777777" w:rsidR="00F76B72" w:rsidRDefault="00F76B72" w:rsidP="00F76B72">
            <w:pPr>
              <w:keepNext/>
              <w:spacing w:after="0"/>
            </w:pPr>
            <w:r>
              <w:t>Global warming (no, very sure=1)</w:t>
            </w:r>
          </w:p>
        </w:tc>
        <w:tc>
          <w:tcPr>
            <w:tcW w:w="722" w:type="pct"/>
            <w:tcBorders>
              <w:top w:val="nil"/>
              <w:left w:val="nil"/>
              <w:bottom w:val="nil"/>
              <w:right w:val="nil"/>
            </w:tcBorders>
            <w:shd w:val="clear" w:color="000000" w:fill="F2F2F2"/>
            <w:noWrap/>
            <w:hideMark/>
          </w:tcPr>
          <w:p w14:paraId="47CD16CF" w14:textId="77777777" w:rsidR="00F76B72" w:rsidRDefault="00F76B72" w:rsidP="00F76B72">
            <w:pPr>
              <w:keepNext/>
              <w:spacing w:after="0"/>
              <w:jc w:val="center"/>
            </w:pPr>
          </w:p>
        </w:tc>
        <w:tc>
          <w:tcPr>
            <w:tcW w:w="802" w:type="pct"/>
            <w:tcBorders>
              <w:top w:val="nil"/>
              <w:left w:val="nil"/>
              <w:bottom w:val="nil"/>
              <w:right w:val="nil"/>
            </w:tcBorders>
            <w:shd w:val="clear" w:color="000000" w:fill="F2F2F2"/>
            <w:noWrap/>
            <w:hideMark/>
          </w:tcPr>
          <w:p w14:paraId="21F0DFBD" w14:textId="77777777" w:rsidR="00F76B72" w:rsidRDefault="00F76B72" w:rsidP="00F76B72">
            <w:pPr>
              <w:keepNext/>
              <w:spacing w:after="0"/>
              <w:jc w:val="center"/>
              <w:rPr>
                <w:sz w:val="20"/>
                <w:szCs w:val="20"/>
              </w:rPr>
            </w:pPr>
          </w:p>
        </w:tc>
        <w:tc>
          <w:tcPr>
            <w:tcW w:w="720" w:type="pct"/>
            <w:tcBorders>
              <w:top w:val="nil"/>
              <w:left w:val="nil"/>
              <w:bottom w:val="nil"/>
              <w:right w:val="nil"/>
            </w:tcBorders>
            <w:shd w:val="clear" w:color="000000" w:fill="F2F2F2"/>
            <w:noWrap/>
            <w:hideMark/>
          </w:tcPr>
          <w:p w14:paraId="30C415A6" w14:textId="77777777" w:rsidR="00F76B72" w:rsidRDefault="00F76B72" w:rsidP="00F76B72">
            <w:pPr>
              <w:keepNext/>
              <w:spacing w:after="0"/>
              <w:jc w:val="center"/>
            </w:pPr>
            <w:r>
              <w:t>-0.245**</w:t>
            </w:r>
          </w:p>
        </w:tc>
        <w:tc>
          <w:tcPr>
            <w:tcW w:w="690" w:type="pct"/>
            <w:gridSpan w:val="2"/>
            <w:tcBorders>
              <w:top w:val="nil"/>
              <w:left w:val="nil"/>
              <w:bottom w:val="nil"/>
              <w:right w:val="nil"/>
            </w:tcBorders>
            <w:shd w:val="clear" w:color="000000" w:fill="F2F2F2"/>
            <w:noWrap/>
            <w:hideMark/>
          </w:tcPr>
          <w:p w14:paraId="6D7F5FC9" w14:textId="77777777" w:rsidR="00F76B72" w:rsidRDefault="00F76B72" w:rsidP="00F76B72">
            <w:pPr>
              <w:keepNext/>
              <w:spacing w:after="0"/>
              <w:jc w:val="center"/>
            </w:pPr>
          </w:p>
        </w:tc>
      </w:tr>
      <w:tr w:rsidR="00F76B72" w:rsidRPr="003E5D9C" w14:paraId="4FCEF3AC" w14:textId="77777777" w:rsidTr="00F76B72">
        <w:trPr>
          <w:trHeight w:val="300"/>
        </w:trPr>
        <w:tc>
          <w:tcPr>
            <w:tcW w:w="2066" w:type="pct"/>
            <w:tcBorders>
              <w:top w:val="nil"/>
              <w:left w:val="nil"/>
              <w:bottom w:val="nil"/>
              <w:right w:val="nil"/>
            </w:tcBorders>
            <w:shd w:val="clear" w:color="000000" w:fill="F2F2F2"/>
            <w:noWrap/>
            <w:hideMark/>
          </w:tcPr>
          <w:p w14:paraId="43C61325"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hideMark/>
          </w:tcPr>
          <w:p w14:paraId="20D957E6" w14:textId="77777777" w:rsidR="00F76B72" w:rsidRDefault="00F76B72" w:rsidP="00F76B72">
            <w:pPr>
              <w:keepNext/>
              <w:spacing w:after="0"/>
              <w:jc w:val="center"/>
            </w:pPr>
          </w:p>
        </w:tc>
        <w:tc>
          <w:tcPr>
            <w:tcW w:w="802" w:type="pct"/>
            <w:tcBorders>
              <w:top w:val="nil"/>
              <w:left w:val="nil"/>
              <w:bottom w:val="nil"/>
              <w:right w:val="nil"/>
            </w:tcBorders>
            <w:shd w:val="clear" w:color="000000" w:fill="F2F2F2"/>
            <w:noWrap/>
            <w:hideMark/>
          </w:tcPr>
          <w:p w14:paraId="4D0DC3C8" w14:textId="77777777" w:rsidR="00F76B72" w:rsidRDefault="00F76B72" w:rsidP="00F76B72">
            <w:pPr>
              <w:keepNext/>
              <w:spacing w:after="0"/>
              <w:jc w:val="center"/>
              <w:rPr>
                <w:sz w:val="20"/>
                <w:szCs w:val="20"/>
              </w:rPr>
            </w:pPr>
          </w:p>
        </w:tc>
        <w:tc>
          <w:tcPr>
            <w:tcW w:w="720" w:type="pct"/>
            <w:tcBorders>
              <w:top w:val="nil"/>
              <w:left w:val="nil"/>
              <w:bottom w:val="nil"/>
              <w:right w:val="nil"/>
            </w:tcBorders>
            <w:shd w:val="clear" w:color="000000" w:fill="F2F2F2"/>
            <w:noWrap/>
            <w:hideMark/>
          </w:tcPr>
          <w:p w14:paraId="241CB676" w14:textId="77777777" w:rsidR="00F76B72" w:rsidRDefault="00F76B72" w:rsidP="00F76B72">
            <w:pPr>
              <w:keepNext/>
              <w:spacing w:after="0"/>
              <w:jc w:val="center"/>
            </w:pPr>
            <w:r>
              <w:t>(0.120)</w:t>
            </w:r>
          </w:p>
        </w:tc>
        <w:tc>
          <w:tcPr>
            <w:tcW w:w="690" w:type="pct"/>
            <w:gridSpan w:val="2"/>
            <w:tcBorders>
              <w:top w:val="nil"/>
              <w:left w:val="nil"/>
              <w:bottom w:val="nil"/>
              <w:right w:val="nil"/>
            </w:tcBorders>
            <w:shd w:val="clear" w:color="000000" w:fill="F2F2F2"/>
            <w:noWrap/>
            <w:hideMark/>
          </w:tcPr>
          <w:p w14:paraId="7C90886F" w14:textId="77777777" w:rsidR="00F76B72" w:rsidRDefault="00F76B72" w:rsidP="00F76B72">
            <w:pPr>
              <w:keepNext/>
              <w:spacing w:after="0"/>
              <w:jc w:val="center"/>
            </w:pPr>
          </w:p>
        </w:tc>
      </w:tr>
      <w:tr w:rsidR="00F76B72" w:rsidRPr="003E5D9C" w14:paraId="1715C007" w14:textId="77777777" w:rsidTr="00F76B72">
        <w:trPr>
          <w:trHeight w:val="300"/>
        </w:trPr>
        <w:tc>
          <w:tcPr>
            <w:tcW w:w="2066" w:type="pct"/>
            <w:tcBorders>
              <w:top w:val="nil"/>
              <w:left w:val="nil"/>
              <w:bottom w:val="nil"/>
              <w:right w:val="nil"/>
            </w:tcBorders>
            <w:shd w:val="clear" w:color="000000" w:fill="F2F2F2"/>
            <w:noWrap/>
            <w:hideMark/>
          </w:tcPr>
          <w:p w14:paraId="5166F64F" w14:textId="77777777" w:rsidR="00F76B72" w:rsidRDefault="00F76B72" w:rsidP="00F76B72">
            <w:pPr>
              <w:keepNext/>
              <w:spacing w:after="0"/>
            </w:pPr>
            <w:r>
              <w:t>Global warming (yes, very sure=1)</w:t>
            </w:r>
          </w:p>
        </w:tc>
        <w:tc>
          <w:tcPr>
            <w:tcW w:w="722" w:type="pct"/>
            <w:tcBorders>
              <w:top w:val="nil"/>
              <w:left w:val="nil"/>
              <w:bottom w:val="nil"/>
              <w:right w:val="nil"/>
            </w:tcBorders>
            <w:shd w:val="clear" w:color="000000" w:fill="F2F2F2"/>
            <w:noWrap/>
            <w:hideMark/>
          </w:tcPr>
          <w:p w14:paraId="760412F5" w14:textId="77777777" w:rsidR="00F76B72" w:rsidRDefault="00F76B72" w:rsidP="00F76B72">
            <w:pPr>
              <w:keepNext/>
              <w:spacing w:after="0"/>
              <w:jc w:val="center"/>
            </w:pPr>
          </w:p>
        </w:tc>
        <w:tc>
          <w:tcPr>
            <w:tcW w:w="802" w:type="pct"/>
            <w:tcBorders>
              <w:top w:val="nil"/>
              <w:left w:val="nil"/>
              <w:bottom w:val="nil"/>
              <w:right w:val="nil"/>
            </w:tcBorders>
            <w:shd w:val="clear" w:color="000000" w:fill="F2F2F2"/>
            <w:noWrap/>
            <w:hideMark/>
          </w:tcPr>
          <w:p w14:paraId="15582E2D" w14:textId="77777777" w:rsidR="00F76B72" w:rsidRDefault="00F76B72" w:rsidP="00F76B72">
            <w:pPr>
              <w:keepNext/>
              <w:spacing w:after="0"/>
              <w:jc w:val="center"/>
              <w:rPr>
                <w:sz w:val="20"/>
                <w:szCs w:val="20"/>
              </w:rPr>
            </w:pPr>
          </w:p>
        </w:tc>
        <w:tc>
          <w:tcPr>
            <w:tcW w:w="720" w:type="pct"/>
            <w:tcBorders>
              <w:top w:val="nil"/>
              <w:left w:val="nil"/>
              <w:bottom w:val="nil"/>
              <w:right w:val="nil"/>
            </w:tcBorders>
            <w:shd w:val="clear" w:color="000000" w:fill="F2F2F2"/>
            <w:noWrap/>
            <w:hideMark/>
          </w:tcPr>
          <w:p w14:paraId="72F040D9" w14:textId="77777777" w:rsidR="00F76B72" w:rsidRDefault="00F76B72" w:rsidP="00F76B72">
            <w:pPr>
              <w:keepNext/>
              <w:spacing w:after="0"/>
              <w:jc w:val="center"/>
            </w:pPr>
            <w:r>
              <w:t>0.200***</w:t>
            </w:r>
          </w:p>
        </w:tc>
        <w:tc>
          <w:tcPr>
            <w:tcW w:w="690" w:type="pct"/>
            <w:gridSpan w:val="2"/>
            <w:tcBorders>
              <w:top w:val="nil"/>
              <w:left w:val="nil"/>
              <w:bottom w:val="nil"/>
              <w:right w:val="nil"/>
            </w:tcBorders>
            <w:shd w:val="clear" w:color="000000" w:fill="F2F2F2"/>
            <w:noWrap/>
            <w:hideMark/>
          </w:tcPr>
          <w:p w14:paraId="05F4B022" w14:textId="77777777" w:rsidR="00F76B72" w:rsidRDefault="00F76B72" w:rsidP="00F76B72">
            <w:pPr>
              <w:keepNext/>
              <w:spacing w:after="0"/>
              <w:jc w:val="center"/>
            </w:pPr>
          </w:p>
        </w:tc>
      </w:tr>
      <w:tr w:rsidR="00F76B72" w:rsidRPr="003E5D9C" w14:paraId="073CA8C0" w14:textId="77777777" w:rsidTr="00F76B72">
        <w:trPr>
          <w:trHeight w:val="300"/>
        </w:trPr>
        <w:tc>
          <w:tcPr>
            <w:tcW w:w="2066" w:type="pct"/>
            <w:tcBorders>
              <w:top w:val="nil"/>
              <w:left w:val="nil"/>
              <w:bottom w:val="single" w:sz="4" w:space="0" w:color="auto"/>
              <w:right w:val="nil"/>
            </w:tcBorders>
            <w:shd w:val="clear" w:color="000000" w:fill="F2F2F2"/>
            <w:noWrap/>
            <w:hideMark/>
          </w:tcPr>
          <w:p w14:paraId="38747E72" w14:textId="77777777" w:rsidR="00F76B72" w:rsidRDefault="00F76B72" w:rsidP="00F76B72">
            <w:pPr>
              <w:keepNext/>
              <w:spacing w:after="0"/>
              <w:rPr>
                <w:sz w:val="20"/>
                <w:szCs w:val="20"/>
              </w:rPr>
            </w:pPr>
          </w:p>
        </w:tc>
        <w:tc>
          <w:tcPr>
            <w:tcW w:w="722" w:type="pct"/>
            <w:tcBorders>
              <w:top w:val="nil"/>
              <w:left w:val="nil"/>
              <w:bottom w:val="single" w:sz="4" w:space="0" w:color="auto"/>
              <w:right w:val="nil"/>
            </w:tcBorders>
            <w:shd w:val="clear" w:color="000000" w:fill="F2F2F2"/>
            <w:noWrap/>
            <w:hideMark/>
          </w:tcPr>
          <w:p w14:paraId="6823B434" w14:textId="77777777" w:rsidR="00F76B72" w:rsidRDefault="00F76B72" w:rsidP="00F76B72">
            <w:pPr>
              <w:keepNext/>
              <w:spacing w:after="0"/>
              <w:jc w:val="center"/>
              <w:rPr>
                <w:sz w:val="20"/>
                <w:szCs w:val="20"/>
              </w:rPr>
            </w:pPr>
          </w:p>
        </w:tc>
        <w:tc>
          <w:tcPr>
            <w:tcW w:w="802" w:type="pct"/>
            <w:tcBorders>
              <w:top w:val="nil"/>
              <w:left w:val="nil"/>
              <w:bottom w:val="single" w:sz="4" w:space="0" w:color="auto"/>
              <w:right w:val="nil"/>
            </w:tcBorders>
            <w:shd w:val="clear" w:color="000000" w:fill="F2F2F2"/>
            <w:noWrap/>
            <w:hideMark/>
          </w:tcPr>
          <w:p w14:paraId="3CC51219" w14:textId="77777777" w:rsidR="00F76B72" w:rsidRDefault="00F76B72" w:rsidP="00F76B72">
            <w:pPr>
              <w:keepNext/>
              <w:spacing w:after="0"/>
              <w:jc w:val="center"/>
              <w:rPr>
                <w:sz w:val="20"/>
                <w:szCs w:val="20"/>
              </w:rPr>
            </w:pPr>
          </w:p>
        </w:tc>
        <w:tc>
          <w:tcPr>
            <w:tcW w:w="720" w:type="pct"/>
            <w:tcBorders>
              <w:top w:val="nil"/>
              <w:left w:val="nil"/>
              <w:bottom w:val="single" w:sz="4" w:space="0" w:color="auto"/>
              <w:right w:val="nil"/>
            </w:tcBorders>
            <w:shd w:val="clear" w:color="000000" w:fill="F2F2F2"/>
            <w:noWrap/>
            <w:hideMark/>
          </w:tcPr>
          <w:p w14:paraId="6F540F70" w14:textId="77777777" w:rsidR="00F76B72" w:rsidRDefault="00F76B72" w:rsidP="00F76B72">
            <w:pPr>
              <w:keepNext/>
              <w:spacing w:after="0"/>
              <w:jc w:val="center"/>
            </w:pPr>
            <w:r>
              <w:t>(0.0422)</w:t>
            </w:r>
          </w:p>
        </w:tc>
        <w:tc>
          <w:tcPr>
            <w:tcW w:w="690" w:type="pct"/>
            <w:gridSpan w:val="2"/>
            <w:tcBorders>
              <w:top w:val="nil"/>
              <w:left w:val="nil"/>
              <w:bottom w:val="single" w:sz="4" w:space="0" w:color="auto"/>
              <w:right w:val="nil"/>
            </w:tcBorders>
            <w:shd w:val="clear" w:color="000000" w:fill="F2F2F2"/>
            <w:noWrap/>
            <w:hideMark/>
          </w:tcPr>
          <w:p w14:paraId="06E12B09" w14:textId="77777777" w:rsidR="00F76B72" w:rsidRDefault="00F76B72" w:rsidP="00F76B72">
            <w:pPr>
              <w:keepNext/>
              <w:spacing w:after="0"/>
              <w:jc w:val="center"/>
            </w:pPr>
          </w:p>
        </w:tc>
      </w:tr>
      <w:tr w:rsidR="00F76B72" w:rsidRPr="003E5D9C" w14:paraId="5F47F7B8" w14:textId="77777777" w:rsidTr="00F76B72">
        <w:trPr>
          <w:trHeight w:val="300"/>
        </w:trPr>
        <w:tc>
          <w:tcPr>
            <w:tcW w:w="2066" w:type="pct"/>
            <w:tcBorders>
              <w:top w:val="single" w:sz="4" w:space="0" w:color="auto"/>
              <w:left w:val="nil"/>
              <w:bottom w:val="nil"/>
              <w:right w:val="nil"/>
            </w:tcBorders>
            <w:shd w:val="clear" w:color="000000" w:fill="F2F2F2"/>
            <w:noWrap/>
            <w:vAlign w:val="center"/>
          </w:tcPr>
          <w:p w14:paraId="3D22953B" w14:textId="77777777" w:rsidR="00F76B72" w:rsidRDefault="00F76B72" w:rsidP="00F76B72">
            <w:pPr>
              <w:keepNext/>
              <w:spacing w:after="0"/>
              <w:rPr>
                <w:sz w:val="20"/>
                <w:szCs w:val="20"/>
              </w:rPr>
            </w:pPr>
            <w:r>
              <w:rPr>
                <w:sz w:val="20"/>
                <w:szCs w:val="20"/>
              </w:rPr>
              <w:t>Implied mean WTP</w:t>
            </w:r>
          </w:p>
        </w:tc>
        <w:tc>
          <w:tcPr>
            <w:tcW w:w="722" w:type="pct"/>
            <w:tcBorders>
              <w:top w:val="single" w:sz="4" w:space="0" w:color="auto"/>
              <w:left w:val="nil"/>
              <w:bottom w:val="nil"/>
              <w:right w:val="nil"/>
            </w:tcBorders>
            <w:shd w:val="clear" w:color="000000" w:fill="F2F2F2"/>
            <w:noWrap/>
            <w:vAlign w:val="center"/>
          </w:tcPr>
          <w:p w14:paraId="72C3DD36" w14:textId="77777777" w:rsidR="00F76B72" w:rsidRDefault="00F76B72" w:rsidP="00F76B72">
            <w:pPr>
              <w:keepNext/>
              <w:spacing w:after="0"/>
              <w:jc w:val="center"/>
              <w:rPr>
                <w:sz w:val="20"/>
                <w:szCs w:val="20"/>
              </w:rPr>
            </w:pPr>
            <w:r>
              <w:rPr>
                <w:sz w:val="20"/>
                <w:szCs w:val="20"/>
              </w:rPr>
              <w:t>$204</w:t>
            </w:r>
          </w:p>
        </w:tc>
        <w:tc>
          <w:tcPr>
            <w:tcW w:w="802" w:type="pct"/>
            <w:tcBorders>
              <w:top w:val="single" w:sz="4" w:space="0" w:color="auto"/>
              <w:left w:val="nil"/>
              <w:bottom w:val="nil"/>
              <w:right w:val="nil"/>
            </w:tcBorders>
            <w:shd w:val="clear" w:color="000000" w:fill="F2F2F2"/>
            <w:noWrap/>
            <w:vAlign w:val="center"/>
          </w:tcPr>
          <w:p w14:paraId="5F0A4638" w14:textId="77777777" w:rsidR="00F76B72" w:rsidRDefault="00F76B72" w:rsidP="00F76B72">
            <w:pPr>
              <w:keepNext/>
              <w:spacing w:after="0"/>
              <w:jc w:val="center"/>
              <w:rPr>
                <w:sz w:val="20"/>
                <w:szCs w:val="20"/>
              </w:rPr>
            </w:pPr>
            <w:r>
              <w:rPr>
                <w:sz w:val="20"/>
                <w:szCs w:val="20"/>
              </w:rPr>
              <w:t>$177</w:t>
            </w:r>
          </w:p>
        </w:tc>
        <w:tc>
          <w:tcPr>
            <w:tcW w:w="720" w:type="pct"/>
            <w:tcBorders>
              <w:top w:val="single" w:sz="4" w:space="0" w:color="auto"/>
              <w:left w:val="nil"/>
              <w:bottom w:val="nil"/>
              <w:right w:val="nil"/>
            </w:tcBorders>
            <w:shd w:val="clear" w:color="000000" w:fill="F2F2F2"/>
            <w:noWrap/>
            <w:vAlign w:val="center"/>
          </w:tcPr>
          <w:p w14:paraId="2834B7E0" w14:textId="77777777" w:rsidR="00F76B72" w:rsidRDefault="00F76B72" w:rsidP="00F76B72">
            <w:pPr>
              <w:keepNext/>
              <w:spacing w:after="0"/>
              <w:jc w:val="center"/>
            </w:pPr>
            <w:r>
              <w:t>$168</w:t>
            </w:r>
          </w:p>
        </w:tc>
        <w:tc>
          <w:tcPr>
            <w:tcW w:w="690" w:type="pct"/>
            <w:gridSpan w:val="2"/>
            <w:tcBorders>
              <w:top w:val="single" w:sz="4" w:space="0" w:color="auto"/>
              <w:left w:val="nil"/>
              <w:bottom w:val="nil"/>
              <w:right w:val="nil"/>
            </w:tcBorders>
            <w:shd w:val="clear" w:color="000000" w:fill="F2F2F2"/>
            <w:noWrap/>
            <w:vAlign w:val="center"/>
          </w:tcPr>
          <w:p w14:paraId="097EC493" w14:textId="77777777" w:rsidR="00F76B72" w:rsidRDefault="00F76B72" w:rsidP="00F76B72">
            <w:pPr>
              <w:keepNext/>
              <w:spacing w:after="0"/>
              <w:jc w:val="center"/>
            </w:pPr>
            <w:r>
              <w:t>14.4-pct</w:t>
            </w:r>
          </w:p>
        </w:tc>
      </w:tr>
      <w:tr w:rsidR="00F76B72" w:rsidRPr="003E5D9C" w14:paraId="33FF07A2" w14:textId="77777777" w:rsidTr="00F76B72">
        <w:trPr>
          <w:trHeight w:val="1350"/>
        </w:trPr>
        <w:tc>
          <w:tcPr>
            <w:tcW w:w="5000" w:type="pct"/>
            <w:gridSpan w:val="6"/>
            <w:tcBorders>
              <w:top w:val="single" w:sz="4" w:space="0" w:color="000000"/>
              <w:left w:val="nil"/>
              <w:bottom w:val="nil"/>
              <w:right w:val="nil"/>
            </w:tcBorders>
            <w:shd w:val="clear" w:color="000000" w:fill="F2F2F2"/>
            <w:hideMark/>
          </w:tcPr>
          <w:p w14:paraId="66F73026" w14:textId="77777777" w:rsidR="00F76B72" w:rsidRPr="003E5D9C" w:rsidRDefault="00F76B72" w:rsidP="00F76B72">
            <w:pPr>
              <w:keepNext/>
              <w:spacing w:after="0" w:line="240" w:lineRule="auto"/>
              <w:rPr>
                <w:rFonts w:eastAsia="Times New Roman"/>
                <w:sz w:val="18"/>
                <w:szCs w:val="18"/>
              </w:rPr>
            </w:pPr>
            <w:r w:rsidRPr="003E5D9C">
              <w:rPr>
                <w:rFonts w:eastAsia="Times New Roman"/>
                <w:sz w:val="18"/>
                <w:szCs w:val="18"/>
              </w:rPr>
              <w:t>The dependent variable indicates whether the respondent supports a tax on fossil fuels at the randomized bid amount.</w:t>
            </w:r>
            <w:r>
              <w:rPr>
                <w:rFonts w:eastAsia="Times New Roman"/>
                <w:sz w:val="18"/>
                <w:szCs w:val="18"/>
              </w:rPr>
              <w:t xml:space="preserve">  The bid is in dollars in models 1-3 and </w:t>
            </w:r>
            <w:r w:rsidR="00242AAC">
              <w:rPr>
                <w:rFonts w:eastAsia="Times New Roman"/>
                <w:sz w:val="18"/>
                <w:szCs w:val="18"/>
              </w:rPr>
              <w:t>transformed to</w:t>
            </w:r>
            <w:r>
              <w:rPr>
                <w:rFonts w:eastAsia="Times New Roman"/>
                <w:sz w:val="18"/>
                <w:szCs w:val="18"/>
              </w:rPr>
              <w:t xml:space="preserve"> a percentage increase in average household energy bills in the respondent’s state in model 4.</w:t>
            </w:r>
            <w:r w:rsidRPr="003E5D9C">
              <w:rPr>
                <w:rFonts w:eastAsia="Times New Roman"/>
                <w:sz w:val="18"/>
                <w:szCs w:val="18"/>
              </w:rPr>
              <w:t xml:space="preserve">  Each model includes 1</w:t>
            </w:r>
            <w:r w:rsidR="00242AAC">
              <w:rPr>
                <w:rFonts w:eastAsia="Times New Roman"/>
                <w:sz w:val="18"/>
                <w:szCs w:val="18"/>
              </w:rPr>
              <w:t>,220 observations which exclude</w:t>
            </w:r>
            <w:r w:rsidRPr="003E5D9C">
              <w:rPr>
                <w:rFonts w:eastAsia="Times New Roman"/>
                <w:sz w:val="18"/>
                <w:szCs w:val="18"/>
              </w:rPr>
              <w:t xml:space="preserve"> six respondents who refused political affiliation or other questions</w:t>
            </w:r>
            <w:r w:rsidR="00242AAC">
              <w:rPr>
                <w:rFonts w:eastAsia="Times New Roman"/>
                <w:sz w:val="18"/>
                <w:szCs w:val="18"/>
              </w:rPr>
              <w:t xml:space="preserve"> and is</w:t>
            </w:r>
            <w:r w:rsidRPr="003E5D9C">
              <w:rPr>
                <w:rFonts w:eastAsia="Times New Roman"/>
                <w:sz w:val="18"/>
                <w:szCs w:val="18"/>
              </w:rPr>
              <w:t xml:space="preserve"> weighted for survey representativeness.  Democrat</w:t>
            </w:r>
            <w:r w:rsidR="00242AAC">
              <w:rPr>
                <w:rFonts w:eastAsia="Times New Roman"/>
                <w:sz w:val="18"/>
                <w:szCs w:val="18"/>
              </w:rPr>
              <w:t>,</w:t>
            </w:r>
            <w:r w:rsidRPr="003E5D9C">
              <w:rPr>
                <w:rFonts w:eastAsia="Times New Roman"/>
                <w:sz w:val="18"/>
                <w:szCs w:val="18"/>
              </w:rPr>
              <w:t xml:space="preserve"> and global warming 'don't know' are the omitted categories for their respective contributions. Global warming 'no, very sure' and 'yes, very sure' include responses indicating either 'very sure' or 'extremely sure'.  </w:t>
            </w:r>
            <w:r w:rsidR="008C3426">
              <w:rPr>
                <w:rFonts w:eastAsia="Times New Roman"/>
                <w:sz w:val="18"/>
                <w:szCs w:val="18"/>
              </w:rPr>
              <w:t>The mean WTP coefficient</w:t>
            </w:r>
            <w:r>
              <w:rPr>
                <w:rFonts w:eastAsia="Times New Roman"/>
                <w:sz w:val="18"/>
                <w:szCs w:val="18"/>
              </w:rPr>
              <w:t xml:space="preserve"> estimates are included in Appendix A. </w:t>
            </w:r>
            <w:r w:rsidRPr="003E5D9C">
              <w:rPr>
                <w:rFonts w:eastAsia="Times New Roman"/>
                <w:sz w:val="18"/>
                <w:szCs w:val="18"/>
              </w:rPr>
              <w:t>Standard errors are in parentheses and follow conventional notation: *** p&lt;0.01, ** p&lt;0.05, * p&lt;0.1</w:t>
            </w:r>
          </w:p>
        </w:tc>
      </w:tr>
    </w:tbl>
    <w:p w14:paraId="59D4A5EB" w14:textId="7A14E4F1" w:rsidR="00F76B72" w:rsidRDefault="0016516B" w:rsidP="0052424D">
      <w:pPr>
        <w:spacing w:before="240" w:line="360" w:lineRule="auto"/>
      </w:pPr>
      <w:r>
        <w:t>M</w:t>
      </w:r>
      <w:r w:rsidR="00F76B72">
        <w:t xml:space="preserve">ean willingness to pay </w:t>
      </w:r>
      <w:r w:rsidR="00242AAC">
        <w:t xml:space="preserve">is estimated while </w:t>
      </w:r>
      <w:r w:rsidR="00F76B72">
        <w:t>admitting the possibility of respondents having negative WTP</w:t>
      </w:r>
      <w:r>
        <w:t xml:space="preserve"> for each model</w:t>
      </w:r>
      <w:r w:rsidR="00F76B72">
        <w:t xml:space="preserve">.  </w:t>
      </w:r>
      <w:r w:rsidR="00242AAC">
        <w:t>T</w:t>
      </w:r>
      <w:r w:rsidR="00F76B72">
        <w:t xml:space="preserve">he possibility of negative WTP conceptually includes the wishes of respondents who are opposed to the tax on fossil fuels to an extent that they would be willing to pay some amount to avoid </w:t>
      </w:r>
      <w:r w:rsidR="00242AAC">
        <w:t>imposition</w:t>
      </w:r>
      <w:r w:rsidR="00F76B72">
        <w:t xml:space="preserve">.  Table </w:t>
      </w:r>
      <w:r w:rsidR="00242AAC">
        <w:t>5</w:t>
      </w:r>
      <w:r w:rsidR="00F76B72">
        <w:t xml:space="preserve"> provides results from estimating mean (</w:t>
      </w:r>
      <w:r w:rsidR="00242AAC">
        <w:t xml:space="preserve">theoretically </w:t>
      </w:r>
      <w:r w:rsidR="00F76B72">
        <w:t xml:space="preserve">equal to median) willingness to </w:t>
      </w:r>
      <w:r w:rsidR="00F76B72">
        <w:lastRenderedPageBreak/>
        <w:t>pay using the standard</w:t>
      </w:r>
      <w:r w:rsidR="00242AAC">
        <w:t xml:space="preserve"> and alternative</w:t>
      </w:r>
      <w:r w:rsidR="00F76B72">
        <w:t xml:space="preserve"> methodologies noted</w:t>
      </w:r>
      <w:r>
        <w:t xml:space="preserve"> for the preferred specification in model 2</w:t>
      </w:r>
      <w:r w:rsidR="00F76B72">
        <w:t xml:space="preserve">.  As the resulting mean WTP exceeds the highest bid amount offered in the survey, not </w:t>
      </w:r>
      <w:r w:rsidR="00242AAC">
        <w:t>an</w:t>
      </w:r>
      <w:r w:rsidR="00F76B72">
        <w:t xml:space="preserve"> ex ante</w:t>
      </w:r>
      <w:r w:rsidR="00242AAC">
        <w:t xml:space="preserve"> expectation</w:t>
      </w:r>
      <w:r w:rsidR="00F76B72">
        <w:t xml:space="preserve">, a diversity of estimation methods are undertaken to arrive at a robust picture of public support for the proposed fossil fuel tax.  Regardless of method, the results derived are similar in point estimate and </w:t>
      </w:r>
      <w:r w:rsidR="00242AAC">
        <w:t>generally have</w:t>
      </w:r>
      <w:r w:rsidR="00F76B72">
        <w:t xml:space="preserve"> overlapping confidence intervals.</w:t>
      </w:r>
    </w:p>
    <w:p w14:paraId="4DEE20EE" w14:textId="1D53924E" w:rsidR="00F76B72" w:rsidRDefault="00F76B72" w:rsidP="0052424D">
      <w:pPr>
        <w:spacing w:before="240" w:line="360" w:lineRule="auto"/>
      </w:pPr>
      <w:r>
        <w:t xml:space="preserve">At a minimum, </w:t>
      </w:r>
      <w:r w:rsidR="008C5663">
        <w:t>it is found</w:t>
      </w:r>
      <w:r>
        <w:t xml:space="preserve"> that for all bid values </w:t>
      </w:r>
      <w:r w:rsidR="008C5663">
        <w:t>offered,</w:t>
      </w:r>
      <w:r>
        <w:t xml:space="preserve"> including </w:t>
      </w:r>
      <w:r w:rsidR="008C5663">
        <w:t>the $155 maximum</w:t>
      </w:r>
      <w:r>
        <w:t xml:space="preserve">, more than half of respondents support the policy.  This suggests a WTP lower bound of at least $155 which is not particularly different from </w:t>
      </w:r>
      <w:r w:rsidR="008C5663">
        <w:t>the</w:t>
      </w:r>
      <w:r>
        <w:t xml:space="preserve"> derived estimate.  To check this, a 95-percent confidence interval</w:t>
      </w:r>
      <w:r w:rsidR="008C5663">
        <w:t xml:space="preserve"> </w:t>
      </w:r>
      <w:r w:rsidR="0016516B">
        <w:t>following</w:t>
      </w:r>
      <w:r>
        <w:t xml:space="preserve"> the methodology employed by Krinsky and Robb (1986)</w:t>
      </w:r>
      <w:r w:rsidR="0016516B">
        <w:t xml:space="preserve"> is used</w:t>
      </w:r>
      <w:r>
        <w:t xml:space="preserve">.  Around </w:t>
      </w:r>
      <w:r w:rsidR="008C5663">
        <w:t>the</w:t>
      </w:r>
      <w:r>
        <w:t xml:space="preserve"> $</w:t>
      </w:r>
      <w:r w:rsidR="008C5663">
        <w:t>177</w:t>
      </w:r>
      <w:r>
        <w:t xml:space="preserve"> mean WTP a 95-percent confidence interval of $1</w:t>
      </w:r>
      <w:r w:rsidR="008C5663">
        <w:t>01</w:t>
      </w:r>
      <w:r>
        <w:t xml:space="preserve"> to $5</w:t>
      </w:r>
      <w:r w:rsidR="008C5663">
        <w:t>87</w:t>
      </w:r>
      <w:r>
        <w:t xml:space="preserve"> clearly contains </w:t>
      </w:r>
      <w:r w:rsidR="008C5663">
        <w:t>the</w:t>
      </w:r>
      <w:r>
        <w:t xml:space="preserve"> conservative $155 median</w:t>
      </w:r>
      <w:r w:rsidR="008C0142">
        <w:t xml:space="preserve"> WTP measure.  As an alternative</w:t>
      </w:r>
      <w:r>
        <w:t>, the Turnbull empirical estimator (Carson, 1994a,b)</w:t>
      </w:r>
      <w:r w:rsidR="008C0142">
        <w:t xml:space="preserve"> is also employed</w:t>
      </w:r>
      <w:r>
        <w:t xml:space="preserve"> to arrive at alternative lower and upper bounds of $28 and $272.  This non-parametric approach allows for negative WTP</w:t>
      </w:r>
      <w:r w:rsidR="008C0142">
        <w:t xml:space="preserve"> as well by accommodating a large</w:t>
      </w:r>
      <w:r>
        <w:t xml:space="preserve"> density of zero WTP responses in the data without making any assumption about distributional form.  Given that our mean WTP is outside the bid range, this is an important check </w:t>
      </w:r>
      <w:r w:rsidR="008C0142">
        <w:t>that</w:t>
      </w:r>
      <w:r>
        <w:t xml:space="preserve"> arrives at reassuring results. </w:t>
      </w:r>
      <w:r w:rsidR="008C0142">
        <w:t xml:space="preserve"> The Turnbull estimator results </w:t>
      </w:r>
      <w:r>
        <w:t xml:space="preserve">bound </w:t>
      </w:r>
      <w:r w:rsidR="008C0142">
        <w:t>the</w:t>
      </w:r>
      <w:r>
        <w:t xml:space="preserve"> </w:t>
      </w:r>
      <w:r w:rsidR="008C0142">
        <w:t xml:space="preserve">primary </w:t>
      </w:r>
      <w:r>
        <w:t xml:space="preserve">mean WTP result, </w:t>
      </w:r>
      <w:r w:rsidR="0016516B">
        <w:t xml:space="preserve">the </w:t>
      </w:r>
      <w:r>
        <w:t>naïve $155 median WTP lower bound, and ha</w:t>
      </w:r>
      <w:r w:rsidR="008C0142">
        <w:t>s</w:t>
      </w:r>
      <w:r>
        <w:t xml:space="preserve"> substantial overlap with the Krinsky and Robb confidence interval. </w:t>
      </w:r>
    </w:p>
    <w:p w14:paraId="43722E44" w14:textId="1AC0EA3B" w:rsidR="00F76B72" w:rsidRDefault="00F76B72" w:rsidP="0052424D">
      <w:pPr>
        <w:spacing w:before="120" w:line="360" w:lineRule="auto"/>
      </w:pPr>
      <w:r>
        <w:t>As a final check the</w:t>
      </w:r>
      <w:r w:rsidR="009F5575">
        <w:t xml:space="preserve"> spike model from Kristrom (1997</w:t>
      </w:r>
      <w:r>
        <w:t>)</w:t>
      </w:r>
      <w:r w:rsidR="009F5575">
        <w:t xml:space="preserve"> is </w:t>
      </w:r>
      <w:r w:rsidR="0016516B">
        <w:t>implemented</w:t>
      </w:r>
      <w:r>
        <w:t xml:space="preserve">.  Using </w:t>
      </w:r>
      <w:r w:rsidR="0016516B">
        <w:t>the described</w:t>
      </w:r>
      <w:r>
        <w:t xml:space="preserve"> screening question, WTP </w:t>
      </w:r>
      <w:r w:rsidR="004F0F2A">
        <w:t>is estimated at</w:t>
      </w:r>
      <w:r>
        <w:t xml:space="preserve"> $136 </w:t>
      </w:r>
      <w:r w:rsidR="004F0F2A">
        <w:t>with 26-percent of respondents having</w:t>
      </w:r>
      <w:r>
        <w:t xml:space="preserve"> a WTP of zero.  The spike model confidence interval of $122 to $150 implies this method underestimates WTP as it does not include our naïve lower bound of $155.  Meanwhile, the 26-percent projection of zero WTP matches </w:t>
      </w:r>
      <w:r w:rsidR="004F0F2A">
        <w:t xml:space="preserve">well with </w:t>
      </w:r>
      <w:r>
        <w:t xml:space="preserve">the level of </w:t>
      </w:r>
      <w:r w:rsidR="004F0F2A">
        <w:t>rejection</w:t>
      </w:r>
      <w:r>
        <w:t xml:space="preserve"> found at </w:t>
      </w:r>
      <w:r w:rsidR="004F0F2A">
        <w:t>the</w:t>
      </w:r>
      <w:r>
        <w:t xml:space="preserve"> </w:t>
      </w:r>
      <w:r w:rsidR="004F0F2A">
        <w:t>minimum bid of $5.  Despite the</w:t>
      </w:r>
      <w:r>
        <w:t xml:space="preserve"> critique, </w:t>
      </w:r>
      <w:r w:rsidR="004F0F2A">
        <w:t>it is</w:t>
      </w:r>
      <w:r>
        <w:t xml:space="preserve"> note</w:t>
      </w:r>
      <w:r w:rsidR="004F0F2A">
        <w:t>d</w:t>
      </w:r>
      <w:r>
        <w:t xml:space="preserve"> the spike model confidence interval </w:t>
      </w:r>
      <w:r w:rsidR="004F0F2A">
        <w:t xml:space="preserve">also </w:t>
      </w:r>
      <w:r>
        <w:t>falls entirely within those of the Krinsky and Robb 95-percent and Turnbull confidence intervals.</w:t>
      </w:r>
    </w:p>
    <w:tbl>
      <w:tblPr>
        <w:tblW w:w="5000" w:type="pct"/>
        <w:tblLook w:val="04A0" w:firstRow="1" w:lastRow="0" w:firstColumn="1" w:lastColumn="0" w:noHBand="0" w:noVBand="1"/>
      </w:tblPr>
      <w:tblGrid>
        <w:gridCol w:w="3067"/>
        <w:gridCol w:w="1481"/>
        <w:gridCol w:w="1346"/>
        <w:gridCol w:w="1461"/>
        <w:gridCol w:w="2005"/>
      </w:tblGrid>
      <w:tr w:rsidR="00F76B72" w:rsidRPr="00EF5E7E" w14:paraId="7047E9C9" w14:textId="77777777" w:rsidTr="00F76B72">
        <w:trPr>
          <w:trHeight w:val="300"/>
        </w:trPr>
        <w:tc>
          <w:tcPr>
            <w:tcW w:w="5000" w:type="pct"/>
            <w:gridSpan w:val="5"/>
            <w:tcBorders>
              <w:top w:val="nil"/>
              <w:left w:val="nil"/>
              <w:bottom w:val="single" w:sz="4" w:space="0" w:color="auto"/>
              <w:right w:val="nil"/>
            </w:tcBorders>
            <w:shd w:val="clear" w:color="000000" w:fill="E7E6E6"/>
            <w:noWrap/>
            <w:vAlign w:val="bottom"/>
            <w:hideMark/>
          </w:tcPr>
          <w:p w14:paraId="0E65BE73" w14:textId="77777777" w:rsidR="00F76B72" w:rsidRPr="00EF5E7E" w:rsidRDefault="00D008FB" w:rsidP="00F76B72">
            <w:pPr>
              <w:keepNext/>
              <w:spacing w:after="0" w:line="240" w:lineRule="auto"/>
              <w:rPr>
                <w:rFonts w:eastAsia="Times New Roman"/>
                <w:b/>
                <w:bCs/>
              </w:rPr>
            </w:pPr>
            <w:r>
              <w:rPr>
                <w:rFonts w:eastAsia="Times New Roman"/>
                <w:b/>
                <w:bCs/>
              </w:rPr>
              <w:lastRenderedPageBreak/>
              <w:t>Table 5</w:t>
            </w:r>
            <w:r w:rsidR="00F76B72" w:rsidRPr="00EF5E7E">
              <w:rPr>
                <w:rFonts w:eastAsia="Times New Roman"/>
                <w:b/>
                <w:bCs/>
              </w:rPr>
              <w:t xml:space="preserve"> | Willingness to pay measures through a tax on fossil fuels to reduce global warming.</w:t>
            </w:r>
          </w:p>
        </w:tc>
      </w:tr>
      <w:tr w:rsidR="00F76B72" w:rsidRPr="00EF5E7E" w14:paraId="4820AB33" w14:textId="77777777" w:rsidTr="00F76B72">
        <w:trPr>
          <w:trHeight w:val="300"/>
        </w:trPr>
        <w:tc>
          <w:tcPr>
            <w:tcW w:w="1663" w:type="pct"/>
            <w:tcBorders>
              <w:top w:val="nil"/>
              <w:left w:val="nil"/>
              <w:bottom w:val="single" w:sz="4" w:space="0" w:color="auto"/>
              <w:right w:val="nil"/>
            </w:tcBorders>
            <w:shd w:val="clear" w:color="000000" w:fill="F2F2F2"/>
            <w:noWrap/>
            <w:hideMark/>
          </w:tcPr>
          <w:p w14:paraId="11E0C413" w14:textId="77777777" w:rsidR="00F76B72" w:rsidRPr="00EF5E7E" w:rsidRDefault="00F76B72" w:rsidP="00F76B72">
            <w:pPr>
              <w:keepNext/>
              <w:spacing w:after="0" w:line="240" w:lineRule="auto"/>
              <w:rPr>
                <w:rFonts w:eastAsia="Times New Roman"/>
              </w:rPr>
            </w:pPr>
            <w:r w:rsidRPr="00EF5E7E">
              <w:rPr>
                <w:rFonts w:eastAsia="Times New Roman"/>
              </w:rPr>
              <w:t>Method</w:t>
            </w:r>
          </w:p>
        </w:tc>
        <w:tc>
          <w:tcPr>
            <w:tcW w:w="785" w:type="pct"/>
            <w:tcBorders>
              <w:top w:val="nil"/>
              <w:left w:val="nil"/>
              <w:bottom w:val="single" w:sz="4" w:space="0" w:color="auto"/>
              <w:right w:val="nil"/>
            </w:tcBorders>
            <w:shd w:val="clear" w:color="000000" w:fill="F2F2F2"/>
            <w:noWrap/>
            <w:hideMark/>
          </w:tcPr>
          <w:p w14:paraId="76CED0B6" w14:textId="77777777" w:rsidR="00F76B72" w:rsidRPr="00EF5E7E" w:rsidRDefault="00F76B72" w:rsidP="00F76B72">
            <w:pPr>
              <w:keepNext/>
              <w:spacing w:after="0" w:line="240" w:lineRule="auto"/>
              <w:rPr>
                <w:rFonts w:eastAsia="Times New Roman"/>
              </w:rPr>
            </w:pPr>
            <w:r w:rsidRPr="00EF5E7E">
              <w:rPr>
                <w:rFonts w:eastAsia="Times New Roman"/>
              </w:rPr>
              <w:t>Lower bound ($)</w:t>
            </w:r>
          </w:p>
        </w:tc>
        <w:tc>
          <w:tcPr>
            <w:tcW w:w="1109" w:type="pct"/>
            <w:tcBorders>
              <w:top w:val="nil"/>
              <w:left w:val="nil"/>
              <w:bottom w:val="single" w:sz="4" w:space="0" w:color="auto"/>
              <w:right w:val="nil"/>
            </w:tcBorders>
            <w:shd w:val="clear" w:color="000000" w:fill="F2F2F2"/>
            <w:noWrap/>
            <w:hideMark/>
          </w:tcPr>
          <w:p w14:paraId="7729BEB7" w14:textId="77777777" w:rsidR="00F76B72" w:rsidRPr="00EF5E7E" w:rsidRDefault="00F76B72" w:rsidP="00F76B72">
            <w:pPr>
              <w:keepNext/>
              <w:spacing w:after="0" w:line="240" w:lineRule="auto"/>
              <w:rPr>
                <w:rFonts w:eastAsia="Times New Roman"/>
              </w:rPr>
            </w:pPr>
            <w:r w:rsidRPr="00EF5E7E">
              <w:rPr>
                <w:rFonts w:eastAsia="Times New Roman"/>
              </w:rPr>
              <w:t>Mean WTP ($)</w:t>
            </w:r>
          </w:p>
        </w:tc>
        <w:tc>
          <w:tcPr>
            <w:tcW w:w="379" w:type="pct"/>
            <w:tcBorders>
              <w:top w:val="nil"/>
              <w:left w:val="nil"/>
              <w:bottom w:val="single" w:sz="4" w:space="0" w:color="auto"/>
              <w:right w:val="nil"/>
            </w:tcBorders>
            <w:shd w:val="clear" w:color="000000" w:fill="F2F2F2"/>
            <w:noWrap/>
            <w:hideMark/>
          </w:tcPr>
          <w:p w14:paraId="17866234" w14:textId="77777777" w:rsidR="00F76B72" w:rsidRPr="00EF5E7E" w:rsidRDefault="00F76B72" w:rsidP="00F76B72">
            <w:pPr>
              <w:keepNext/>
              <w:spacing w:after="0" w:line="240" w:lineRule="auto"/>
              <w:rPr>
                <w:rFonts w:eastAsia="Times New Roman"/>
              </w:rPr>
            </w:pPr>
            <w:r w:rsidRPr="00EF5E7E">
              <w:rPr>
                <w:rFonts w:eastAsia="Times New Roman"/>
              </w:rPr>
              <w:t>Upper bound ($)</w:t>
            </w:r>
          </w:p>
        </w:tc>
        <w:tc>
          <w:tcPr>
            <w:tcW w:w="1063" w:type="pct"/>
            <w:tcBorders>
              <w:top w:val="nil"/>
              <w:left w:val="nil"/>
              <w:bottom w:val="single" w:sz="4" w:space="0" w:color="auto"/>
              <w:right w:val="nil"/>
            </w:tcBorders>
            <w:shd w:val="clear" w:color="000000" w:fill="F2F2F2"/>
            <w:noWrap/>
            <w:hideMark/>
          </w:tcPr>
          <w:p w14:paraId="197211C6" w14:textId="77777777" w:rsidR="00F76B72" w:rsidRPr="00EF5E7E" w:rsidRDefault="00F76B72" w:rsidP="00F76B72">
            <w:pPr>
              <w:keepNext/>
              <w:spacing w:after="0" w:line="240" w:lineRule="auto"/>
              <w:rPr>
                <w:rFonts w:eastAsia="Times New Roman"/>
              </w:rPr>
            </w:pPr>
            <w:r w:rsidRPr="00EF5E7E">
              <w:rPr>
                <w:rFonts w:eastAsia="Times New Roman"/>
              </w:rPr>
              <w:t>Source</w:t>
            </w:r>
          </w:p>
        </w:tc>
      </w:tr>
      <w:tr w:rsidR="00F76B72" w:rsidRPr="00EF5E7E" w14:paraId="156DBDE3" w14:textId="77777777" w:rsidTr="00F76B72">
        <w:trPr>
          <w:trHeight w:val="300"/>
        </w:trPr>
        <w:tc>
          <w:tcPr>
            <w:tcW w:w="1663" w:type="pct"/>
            <w:tcBorders>
              <w:top w:val="nil"/>
              <w:left w:val="nil"/>
              <w:bottom w:val="nil"/>
              <w:right w:val="nil"/>
            </w:tcBorders>
            <w:shd w:val="clear" w:color="000000" w:fill="F2F2F2"/>
            <w:noWrap/>
            <w:hideMark/>
          </w:tcPr>
          <w:p w14:paraId="2854AE4D" w14:textId="77777777" w:rsidR="00F76B72" w:rsidRPr="000E7B55" w:rsidRDefault="00F76B72" w:rsidP="00F76B72">
            <w:pPr>
              <w:keepNext/>
              <w:spacing w:after="0" w:line="240" w:lineRule="auto"/>
              <w:rPr>
                <w:rFonts w:eastAsia="Times New Roman"/>
              </w:rPr>
            </w:pPr>
            <w:r>
              <w:rPr>
                <w:rFonts w:eastAsia="Times New Roman"/>
              </w:rPr>
              <w:t>Point estimate</w:t>
            </w:r>
          </w:p>
        </w:tc>
        <w:tc>
          <w:tcPr>
            <w:tcW w:w="785" w:type="pct"/>
            <w:tcBorders>
              <w:top w:val="nil"/>
              <w:left w:val="nil"/>
              <w:bottom w:val="nil"/>
              <w:right w:val="nil"/>
            </w:tcBorders>
            <w:shd w:val="clear" w:color="000000" w:fill="F2F2F2"/>
            <w:noWrap/>
            <w:vAlign w:val="center"/>
            <w:hideMark/>
          </w:tcPr>
          <w:p w14:paraId="53AF9397" w14:textId="77777777" w:rsidR="00F76B72" w:rsidRPr="00EF5E7E" w:rsidRDefault="00F76B72" w:rsidP="00F76B72">
            <w:pPr>
              <w:keepNext/>
              <w:spacing w:after="0" w:line="240" w:lineRule="auto"/>
              <w:rPr>
                <w:rFonts w:eastAsia="Times New Roman"/>
              </w:rPr>
            </w:pPr>
            <w:r w:rsidRPr="00EF5E7E">
              <w:rPr>
                <w:rFonts w:eastAsia="Times New Roman"/>
              </w:rPr>
              <w:t>-</w:t>
            </w:r>
          </w:p>
        </w:tc>
        <w:tc>
          <w:tcPr>
            <w:tcW w:w="1109" w:type="pct"/>
            <w:tcBorders>
              <w:top w:val="nil"/>
              <w:left w:val="nil"/>
              <w:bottom w:val="nil"/>
              <w:right w:val="nil"/>
            </w:tcBorders>
            <w:shd w:val="clear" w:color="000000" w:fill="F2F2F2"/>
            <w:noWrap/>
            <w:vAlign w:val="center"/>
            <w:hideMark/>
          </w:tcPr>
          <w:p w14:paraId="11BDFCF9" w14:textId="77777777" w:rsidR="00F76B72" w:rsidRPr="00EF5E7E" w:rsidRDefault="00F76B72" w:rsidP="00F76B72">
            <w:pPr>
              <w:keepNext/>
              <w:spacing w:after="0" w:line="240" w:lineRule="auto"/>
              <w:rPr>
                <w:rFonts w:eastAsia="Times New Roman"/>
              </w:rPr>
            </w:pPr>
            <w:r>
              <w:rPr>
                <w:rFonts w:eastAsia="Times New Roman"/>
              </w:rPr>
              <w:t>177</w:t>
            </w:r>
          </w:p>
        </w:tc>
        <w:tc>
          <w:tcPr>
            <w:tcW w:w="379" w:type="pct"/>
            <w:tcBorders>
              <w:top w:val="nil"/>
              <w:left w:val="nil"/>
              <w:bottom w:val="nil"/>
              <w:right w:val="nil"/>
            </w:tcBorders>
            <w:shd w:val="clear" w:color="000000" w:fill="F2F2F2"/>
            <w:noWrap/>
            <w:vAlign w:val="center"/>
            <w:hideMark/>
          </w:tcPr>
          <w:p w14:paraId="409E8C43" w14:textId="77777777" w:rsidR="00F76B72" w:rsidRPr="00EF5E7E" w:rsidRDefault="00F76B72" w:rsidP="00F76B72">
            <w:pPr>
              <w:keepNext/>
              <w:spacing w:after="0" w:line="240" w:lineRule="auto"/>
              <w:rPr>
                <w:rFonts w:eastAsia="Times New Roman"/>
              </w:rPr>
            </w:pPr>
            <w:r w:rsidRPr="00EF5E7E">
              <w:rPr>
                <w:rFonts w:eastAsia="Times New Roman"/>
              </w:rPr>
              <w:t>-</w:t>
            </w:r>
          </w:p>
        </w:tc>
        <w:tc>
          <w:tcPr>
            <w:tcW w:w="1063" w:type="pct"/>
            <w:tcBorders>
              <w:top w:val="nil"/>
              <w:left w:val="nil"/>
              <w:bottom w:val="nil"/>
              <w:right w:val="nil"/>
            </w:tcBorders>
            <w:shd w:val="clear" w:color="000000" w:fill="F2F2F2"/>
            <w:noWrap/>
            <w:hideMark/>
          </w:tcPr>
          <w:p w14:paraId="1D77BBD6" w14:textId="77777777" w:rsidR="00F76B72" w:rsidRPr="00EF5E7E" w:rsidRDefault="00F76B72" w:rsidP="00F76B72">
            <w:pPr>
              <w:keepNext/>
              <w:spacing w:after="0" w:line="240" w:lineRule="auto"/>
              <w:rPr>
                <w:rFonts w:eastAsia="Times New Roman"/>
              </w:rPr>
            </w:pPr>
            <w:r w:rsidRPr="00EF5E7E">
              <w:rPr>
                <w:rFonts w:eastAsia="Times New Roman"/>
              </w:rPr>
              <w:t>Hanemann (1989)</w:t>
            </w:r>
          </w:p>
        </w:tc>
      </w:tr>
      <w:tr w:rsidR="00F76B72" w:rsidRPr="00EF5E7E" w14:paraId="2C83F5B7" w14:textId="77777777" w:rsidTr="00F76B72">
        <w:trPr>
          <w:trHeight w:val="300"/>
        </w:trPr>
        <w:tc>
          <w:tcPr>
            <w:tcW w:w="1663" w:type="pct"/>
            <w:tcBorders>
              <w:top w:val="nil"/>
              <w:left w:val="nil"/>
              <w:bottom w:val="nil"/>
              <w:right w:val="nil"/>
            </w:tcBorders>
            <w:shd w:val="clear" w:color="000000" w:fill="F2F2F2"/>
            <w:noWrap/>
            <w:hideMark/>
          </w:tcPr>
          <w:p w14:paraId="2E1A6955" w14:textId="77777777" w:rsidR="00F76B72" w:rsidRPr="00EF5E7E" w:rsidRDefault="00F76B72" w:rsidP="00F76B72">
            <w:pPr>
              <w:keepNext/>
              <w:spacing w:after="0" w:line="240" w:lineRule="auto"/>
              <w:rPr>
                <w:rFonts w:eastAsia="Times New Roman"/>
              </w:rPr>
            </w:pPr>
            <w:r w:rsidRPr="00EF5E7E">
              <w:rPr>
                <w:rFonts w:eastAsia="Times New Roman"/>
              </w:rPr>
              <w:t>Krins</w:t>
            </w:r>
            <w:r>
              <w:rPr>
                <w:rFonts w:eastAsia="Times New Roman"/>
              </w:rPr>
              <w:t>ky and Robb confidence interval</w:t>
            </w:r>
          </w:p>
        </w:tc>
        <w:tc>
          <w:tcPr>
            <w:tcW w:w="785" w:type="pct"/>
            <w:tcBorders>
              <w:top w:val="nil"/>
              <w:left w:val="nil"/>
              <w:bottom w:val="nil"/>
              <w:right w:val="nil"/>
            </w:tcBorders>
            <w:shd w:val="clear" w:color="000000" w:fill="F2F2F2"/>
            <w:noWrap/>
            <w:vAlign w:val="center"/>
            <w:hideMark/>
          </w:tcPr>
          <w:p w14:paraId="4647C0BD" w14:textId="77777777" w:rsidR="00F76B72" w:rsidRPr="00EF5E7E" w:rsidRDefault="00F76B72" w:rsidP="00F76B72">
            <w:pPr>
              <w:keepNext/>
              <w:spacing w:after="0" w:line="240" w:lineRule="auto"/>
              <w:rPr>
                <w:rFonts w:eastAsia="Times New Roman"/>
              </w:rPr>
            </w:pPr>
            <w:r w:rsidRPr="00EF5E7E">
              <w:rPr>
                <w:rFonts w:eastAsia="Times New Roman"/>
              </w:rPr>
              <w:t>1</w:t>
            </w:r>
            <w:r>
              <w:rPr>
                <w:rFonts w:eastAsia="Times New Roman"/>
              </w:rPr>
              <w:t>01</w:t>
            </w:r>
          </w:p>
        </w:tc>
        <w:tc>
          <w:tcPr>
            <w:tcW w:w="1109" w:type="pct"/>
            <w:tcBorders>
              <w:top w:val="nil"/>
              <w:left w:val="nil"/>
              <w:bottom w:val="nil"/>
              <w:right w:val="nil"/>
            </w:tcBorders>
            <w:shd w:val="clear" w:color="000000" w:fill="F2F2F2"/>
            <w:noWrap/>
            <w:vAlign w:val="center"/>
            <w:hideMark/>
          </w:tcPr>
          <w:p w14:paraId="49B9EADA" w14:textId="77777777" w:rsidR="00F76B72" w:rsidRPr="00EF5E7E" w:rsidRDefault="00F76B72" w:rsidP="00F76B72">
            <w:pPr>
              <w:keepNext/>
              <w:spacing w:after="0" w:line="240" w:lineRule="auto"/>
              <w:rPr>
                <w:rFonts w:eastAsia="Times New Roman"/>
              </w:rPr>
            </w:pPr>
            <w:r>
              <w:rPr>
                <w:rFonts w:eastAsia="Times New Roman"/>
              </w:rPr>
              <w:t>177</w:t>
            </w:r>
          </w:p>
        </w:tc>
        <w:tc>
          <w:tcPr>
            <w:tcW w:w="379" w:type="pct"/>
            <w:tcBorders>
              <w:top w:val="nil"/>
              <w:left w:val="nil"/>
              <w:bottom w:val="nil"/>
              <w:right w:val="nil"/>
            </w:tcBorders>
            <w:shd w:val="clear" w:color="000000" w:fill="F2F2F2"/>
            <w:noWrap/>
            <w:vAlign w:val="center"/>
            <w:hideMark/>
          </w:tcPr>
          <w:p w14:paraId="7C737F03" w14:textId="77777777" w:rsidR="00F76B72" w:rsidRPr="00EF5E7E" w:rsidRDefault="00F76B72" w:rsidP="00F76B72">
            <w:pPr>
              <w:keepNext/>
              <w:spacing w:after="0" w:line="240" w:lineRule="auto"/>
              <w:rPr>
                <w:rFonts w:eastAsia="Times New Roman"/>
              </w:rPr>
            </w:pPr>
            <w:r>
              <w:rPr>
                <w:rFonts w:eastAsia="Times New Roman"/>
              </w:rPr>
              <w:t>587</w:t>
            </w:r>
          </w:p>
        </w:tc>
        <w:tc>
          <w:tcPr>
            <w:tcW w:w="1063" w:type="pct"/>
            <w:tcBorders>
              <w:top w:val="nil"/>
              <w:left w:val="nil"/>
              <w:bottom w:val="nil"/>
              <w:right w:val="nil"/>
            </w:tcBorders>
            <w:shd w:val="clear" w:color="000000" w:fill="F2F2F2"/>
            <w:noWrap/>
            <w:hideMark/>
          </w:tcPr>
          <w:p w14:paraId="75DCA3C7" w14:textId="77777777" w:rsidR="00F76B72" w:rsidRPr="00EF5E7E" w:rsidRDefault="00F76B72" w:rsidP="00F76B72">
            <w:pPr>
              <w:keepNext/>
              <w:spacing w:after="0" w:line="240" w:lineRule="auto"/>
              <w:rPr>
                <w:rFonts w:eastAsia="Times New Roman"/>
              </w:rPr>
            </w:pPr>
            <w:r w:rsidRPr="00EF5E7E">
              <w:rPr>
                <w:rFonts w:eastAsia="Times New Roman"/>
              </w:rPr>
              <w:t>Krinsky &amp; Robb (1986)</w:t>
            </w:r>
          </w:p>
        </w:tc>
      </w:tr>
      <w:tr w:rsidR="00F76B72" w:rsidRPr="00EF5E7E" w14:paraId="4A6A3FC7" w14:textId="77777777" w:rsidTr="00F76B72">
        <w:trPr>
          <w:trHeight w:val="300"/>
        </w:trPr>
        <w:tc>
          <w:tcPr>
            <w:tcW w:w="1663" w:type="pct"/>
            <w:tcBorders>
              <w:top w:val="nil"/>
              <w:left w:val="nil"/>
              <w:bottom w:val="nil"/>
              <w:right w:val="nil"/>
            </w:tcBorders>
            <w:shd w:val="clear" w:color="000000" w:fill="F2F2F2"/>
            <w:noWrap/>
            <w:hideMark/>
          </w:tcPr>
          <w:p w14:paraId="5D764106" w14:textId="77777777" w:rsidR="00F76B72" w:rsidRPr="00EF5E7E" w:rsidRDefault="00F76B72" w:rsidP="00F76B72">
            <w:pPr>
              <w:keepNext/>
              <w:spacing w:after="0" w:line="240" w:lineRule="auto"/>
              <w:rPr>
                <w:rFonts w:eastAsia="Times New Roman"/>
              </w:rPr>
            </w:pPr>
            <w:r w:rsidRPr="00EF5E7E">
              <w:rPr>
                <w:rFonts w:eastAsia="Times New Roman"/>
              </w:rPr>
              <w:t xml:space="preserve">Turnbull non-parametric estimator </w:t>
            </w:r>
          </w:p>
        </w:tc>
        <w:tc>
          <w:tcPr>
            <w:tcW w:w="785" w:type="pct"/>
            <w:tcBorders>
              <w:top w:val="nil"/>
              <w:left w:val="nil"/>
              <w:bottom w:val="nil"/>
              <w:right w:val="nil"/>
            </w:tcBorders>
            <w:shd w:val="clear" w:color="000000" w:fill="F2F2F2"/>
            <w:noWrap/>
            <w:vAlign w:val="center"/>
            <w:hideMark/>
          </w:tcPr>
          <w:p w14:paraId="1CA97154" w14:textId="77777777" w:rsidR="00F76B72" w:rsidRPr="00EF5E7E" w:rsidRDefault="00F76B72" w:rsidP="00F76B72">
            <w:pPr>
              <w:keepNext/>
              <w:spacing w:after="0" w:line="240" w:lineRule="auto"/>
              <w:rPr>
                <w:rFonts w:eastAsia="Times New Roman"/>
              </w:rPr>
            </w:pPr>
            <w:r w:rsidRPr="00EF5E7E">
              <w:rPr>
                <w:rFonts w:eastAsia="Times New Roman"/>
              </w:rPr>
              <w:t>28</w:t>
            </w:r>
          </w:p>
        </w:tc>
        <w:tc>
          <w:tcPr>
            <w:tcW w:w="1109" w:type="pct"/>
            <w:tcBorders>
              <w:top w:val="nil"/>
              <w:left w:val="nil"/>
              <w:bottom w:val="nil"/>
              <w:right w:val="nil"/>
            </w:tcBorders>
            <w:shd w:val="clear" w:color="000000" w:fill="F2F2F2"/>
            <w:noWrap/>
            <w:vAlign w:val="center"/>
            <w:hideMark/>
          </w:tcPr>
          <w:p w14:paraId="2B6D5771" w14:textId="77777777" w:rsidR="00F76B72" w:rsidRPr="00EF5E7E" w:rsidRDefault="00F76B72" w:rsidP="00F76B72">
            <w:pPr>
              <w:keepNext/>
              <w:spacing w:after="0" w:line="240" w:lineRule="auto"/>
              <w:rPr>
                <w:rFonts w:eastAsia="Times New Roman"/>
              </w:rPr>
            </w:pPr>
            <w:r w:rsidRPr="00EF5E7E">
              <w:rPr>
                <w:rFonts w:eastAsia="Times New Roman"/>
              </w:rPr>
              <w:t>-</w:t>
            </w:r>
          </w:p>
        </w:tc>
        <w:tc>
          <w:tcPr>
            <w:tcW w:w="379" w:type="pct"/>
            <w:tcBorders>
              <w:top w:val="nil"/>
              <w:left w:val="nil"/>
              <w:bottom w:val="nil"/>
              <w:right w:val="nil"/>
            </w:tcBorders>
            <w:shd w:val="clear" w:color="000000" w:fill="F2F2F2"/>
            <w:noWrap/>
            <w:vAlign w:val="center"/>
            <w:hideMark/>
          </w:tcPr>
          <w:p w14:paraId="1CC05F2C" w14:textId="77777777" w:rsidR="00F76B72" w:rsidRPr="00EF5E7E" w:rsidRDefault="00F76B72" w:rsidP="00F76B72">
            <w:pPr>
              <w:keepNext/>
              <w:spacing w:after="0" w:line="240" w:lineRule="auto"/>
              <w:rPr>
                <w:rFonts w:eastAsia="Times New Roman"/>
              </w:rPr>
            </w:pPr>
            <w:r w:rsidRPr="00EF5E7E">
              <w:rPr>
                <w:rFonts w:eastAsia="Times New Roman"/>
              </w:rPr>
              <w:t>272</w:t>
            </w:r>
          </w:p>
        </w:tc>
        <w:tc>
          <w:tcPr>
            <w:tcW w:w="1063" w:type="pct"/>
            <w:tcBorders>
              <w:top w:val="nil"/>
              <w:left w:val="nil"/>
              <w:bottom w:val="nil"/>
              <w:right w:val="nil"/>
            </w:tcBorders>
            <w:shd w:val="clear" w:color="000000" w:fill="F2F2F2"/>
            <w:noWrap/>
            <w:hideMark/>
          </w:tcPr>
          <w:p w14:paraId="1B0FDBA6" w14:textId="77777777" w:rsidR="00F76B72" w:rsidRPr="00EF5E7E" w:rsidRDefault="00F76B72" w:rsidP="00F76B72">
            <w:pPr>
              <w:keepNext/>
              <w:spacing w:after="0" w:line="240" w:lineRule="auto"/>
              <w:rPr>
                <w:rFonts w:eastAsia="Times New Roman"/>
              </w:rPr>
            </w:pPr>
            <w:r w:rsidRPr="00EF5E7E">
              <w:rPr>
                <w:rFonts w:eastAsia="Times New Roman"/>
              </w:rPr>
              <w:t>Carson et al. (1994</w:t>
            </w:r>
            <w:r>
              <w:rPr>
                <w:rFonts w:eastAsia="Times New Roman"/>
              </w:rPr>
              <w:t>a</w:t>
            </w:r>
            <w:r w:rsidRPr="00EF5E7E">
              <w:rPr>
                <w:rFonts w:eastAsia="Times New Roman"/>
              </w:rPr>
              <w:t>)</w:t>
            </w:r>
          </w:p>
        </w:tc>
      </w:tr>
      <w:tr w:rsidR="00F76B72" w:rsidRPr="00EF5E7E" w14:paraId="2EB9698E" w14:textId="77777777" w:rsidTr="00F76B72">
        <w:trPr>
          <w:trHeight w:val="300"/>
        </w:trPr>
        <w:tc>
          <w:tcPr>
            <w:tcW w:w="1663" w:type="pct"/>
            <w:tcBorders>
              <w:top w:val="nil"/>
              <w:left w:val="nil"/>
              <w:bottom w:val="single" w:sz="4" w:space="0" w:color="auto"/>
              <w:right w:val="nil"/>
            </w:tcBorders>
            <w:shd w:val="clear" w:color="000000" w:fill="F2F2F2"/>
            <w:noWrap/>
            <w:hideMark/>
          </w:tcPr>
          <w:p w14:paraId="691D9247" w14:textId="77777777" w:rsidR="00F76B72" w:rsidRPr="00EF5E7E" w:rsidRDefault="00F76B72" w:rsidP="00F76B72">
            <w:pPr>
              <w:keepNext/>
              <w:spacing w:after="0" w:line="240" w:lineRule="auto"/>
              <w:rPr>
                <w:rFonts w:eastAsia="Times New Roman"/>
              </w:rPr>
            </w:pPr>
            <w:r w:rsidRPr="00EF5E7E">
              <w:rPr>
                <w:rFonts w:eastAsia="Times New Roman"/>
              </w:rPr>
              <w:t>Spike model</w:t>
            </w:r>
          </w:p>
        </w:tc>
        <w:tc>
          <w:tcPr>
            <w:tcW w:w="785" w:type="pct"/>
            <w:tcBorders>
              <w:top w:val="nil"/>
              <w:left w:val="nil"/>
              <w:bottom w:val="single" w:sz="4" w:space="0" w:color="auto"/>
              <w:right w:val="nil"/>
            </w:tcBorders>
            <w:shd w:val="clear" w:color="000000" w:fill="F2F2F2"/>
            <w:noWrap/>
            <w:vAlign w:val="center"/>
            <w:hideMark/>
          </w:tcPr>
          <w:p w14:paraId="2E819798" w14:textId="77777777" w:rsidR="00F76B72" w:rsidRPr="00EF5E7E" w:rsidRDefault="00F76B72" w:rsidP="00F76B72">
            <w:pPr>
              <w:keepNext/>
              <w:spacing w:after="0" w:line="240" w:lineRule="auto"/>
              <w:rPr>
                <w:rFonts w:eastAsia="Times New Roman"/>
              </w:rPr>
            </w:pPr>
            <w:r>
              <w:rPr>
                <w:rFonts w:eastAsia="Times New Roman"/>
              </w:rPr>
              <w:t>122</w:t>
            </w:r>
          </w:p>
        </w:tc>
        <w:tc>
          <w:tcPr>
            <w:tcW w:w="1109" w:type="pct"/>
            <w:tcBorders>
              <w:top w:val="nil"/>
              <w:left w:val="nil"/>
              <w:bottom w:val="single" w:sz="4" w:space="0" w:color="auto"/>
              <w:right w:val="nil"/>
            </w:tcBorders>
            <w:shd w:val="clear" w:color="000000" w:fill="F2F2F2"/>
            <w:noWrap/>
            <w:vAlign w:val="center"/>
            <w:hideMark/>
          </w:tcPr>
          <w:p w14:paraId="3CA167FA" w14:textId="77777777" w:rsidR="00F76B72" w:rsidRPr="00EF5E7E" w:rsidRDefault="00F76B72" w:rsidP="00F76B72">
            <w:pPr>
              <w:keepNext/>
              <w:spacing w:after="0" w:line="240" w:lineRule="auto"/>
              <w:rPr>
                <w:rFonts w:eastAsia="Times New Roman"/>
              </w:rPr>
            </w:pPr>
            <w:r w:rsidRPr="00EF5E7E">
              <w:rPr>
                <w:rFonts w:eastAsia="Times New Roman"/>
              </w:rPr>
              <w:t>136</w:t>
            </w:r>
          </w:p>
        </w:tc>
        <w:tc>
          <w:tcPr>
            <w:tcW w:w="379" w:type="pct"/>
            <w:tcBorders>
              <w:top w:val="nil"/>
              <w:left w:val="nil"/>
              <w:bottom w:val="single" w:sz="4" w:space="0" w:color="auto"/>
              <w:right w:val="nil"/>
            </w:tcBorders>
            <w:shd w:val="clear" w:color="000000" w:fill="F2F2F2"/>
            <w:noWrap/>
            <w:vAlign w:val="center"/>
            <w:hideMark/>
          </w:tcPr>
          <w:p w14:paraId="171EBFC9" w14:textId="77777777" w:rsidR="00F76B72" w:rsidRPr="00EF5E7E" w:rsidRDefault="00F76B72" w:rsidP="00F76B72">
            <w:pPr>
              <w:keepNext/>
              <w:spacing w:after="0" w:line="240" w:lineRule="auto"/>
              <w:rPr>
                <w:rFonts w:eastAsia="Times New Roman"/>
              </w:rPr>
            </w:pPr>
            <w:r>
              <w:rPr>
                <w:rFonts w:eastAsia="Times New Roman"/>
              </w:rPr>
              <w:t>150</w:t>
            </w:r>
          </w:p>
        </w:tc>
        <w:tc>
          <w:tcPr>
            <w:tcW w:w="1063" w:type="pct"/>
            <w:tcBorders>
              <w:top w:val="nil"/>
              <w:left w:val="nil"/>
              <w:bottom w:val="single" w:sz="4" w:space="0" w:color="auto"/>
              <w:right w:val="nil"/>
            </w:tcBorders>
            <w:shd w:val="clear" w:color="000000" w:fill="F2F2F2"/>
            <w:noWrap/>
            <w:hideMark/>
          </w:tcPr>
          <w:p w14:paraId="11B02CF5" w14:textId="77777777" w:rsidR="00F76B72" w:rsidRPr="00EF5E7E" w:rsidRDefault="009F5575" w:rsidP="00F76B72">
            <w:pPr>
              <w:keepNext/>
              <w:spacing w:after="0" w:line="240" w:lineRule="auto"/>
              <w:rPr>
                <w:rFonts w:eastAsia="Times New Roman"/>
              </w:rPr>
            </w:pPr>
            <w:r>
              <w:rPr>
                <w:rFonts w:eastAsia="Times New Roman"/>
              </w:rPr>
              <w:t>Kristrom (1997</w:t>
            </w:r>
            <w:r w:rsidR="00F76B72" w:rsidRPr="00EF5E7E">
              <w:rPr>
                <w:rFonts w:eastAsia="Times New Roman"/>
              </w:rPr>
              <w:t>)</w:t>
            </w:r>
          </w:p>
        </w:tc>
      </w:tr>
    </w:tbl>
    <w:p w14:paraId="1A13290E" w14:textId="592175F4" w:rsidR="00F76B72" w:rsidRDefault="006B32C4" w:rsidP="0052424D">
      <w:pPr>
        <w:pStyle w:val="Heading1"/>
        <w:spacing w:line="360" w:lineRule="auto"/>
      </w:pPr>
      <w:bookmarkStart w:id="10" w:name="_Toc482127031"/>
      <w:bookmarkStart w:id="11" w:name="_Toc482187981"/>
      <w:r>
        <w:t xml:space="preserve">Disaggregating </w:t>
      </w:r>
      <w:r w:rsidR="00F22E4D">
        <w:t>WTP measures</w:t>
      </w:r>
      <w:bookmarkEnd w:id="10"/>
      <w:bookmarkEnd w:id="11"/>
    </w:p>
    <w:p w14:paraId="6C1AC7F6" w14:textId="16FE5641" w:rsidR="00F76B72" w:rsidRDefault="00F76B72" w:rsidP="0052424D">
      <w:pPr>
        <w:spacing w:line="360" w:lineRule="auto"/>
      </w:pPr>
      <w:r>
        <w:t xml:space="preserve">WTP </w:t>
      </w:r>
      <w:r w:rsidR="00621807">
        <w:t>differs</w:t>
      </w:r>
      <w:r>
        <w:t xml:space="preserve"> substantially between individuals, from potentially negative suggesting opposition to </w:t>
      </w:r>
      <w:r w:rsidR="00621807">
        <w:t>carbon tax</w:t>
      </w:r>
      <w:r>
        <w:t xml:space="preserve"> polic</w:t>
      </w:r>
      <w:r w:rsidR="00621807">
        <w:t>ies</w:t>
      </w:r>
      <w:r w:rsidR="006B0098">
        <w:t>,</w:t>
      </w:r>
      <w:r>
        <w:t xml:space="preserve"> to large positives indicating </w:t>
      </w:r>
      <w:r w:rsidR="00E76B43">
        <w:t>relative</w:t>
      </w:r>
      <w:r>
        <w:t xml:space="preserve"> indifference to the price of combating global warming.  This section </w:t>
      </w:r>
      <w:r w:rsidR="00621807">
        <w:t>uses the econometric model results to compare</w:t>
      </w:r>
      <w:r>
        <w:t xml:space="preserve"> willingness to pay b</w:t>
      </w:r>
      <w:r w:rsidR="00621807">
        <w:t>y</w:t>
      </w:r>
      <w:r>
        <w:t xml:space="preserve"> subpopulation</w:t>
      </w:r>
      <w:r w:rsidR="00621807">
        <w:t xml:space="preserve">.  </w:t>
      </w:r>
      <w:r w:rsidR="006B0098">
        <w:t>These are</w:t>
      </w:r>
      <w:r>
        <w:t xml:space="preserve"> WTP estimated by political affiliation or leaning, stated global warming beliefs, and the Global Warming’s Six Americas groups from the Yale </w:t>
      </w:r>
      <w:r w:rsidR="00305F56">
        <w:t xml:space="preserve">Program </w:t>
      </w:r>
      <w:r>
        <w:t>on Climate Change Communication and George Mason University Center for Climate Change Communication (</w:t>
      </w:r>
      <w:r w:rsidRPr="001A2871">
        <w:t>Leiserowitz, Maibach</w:t>
      </w:r>
      <w:r>
        <w:t>,</w:t>
      </w:r>
      <w:r w:rsidRPr="001A2871">
        <w:t xml:space="preserve"> </w:t>
      </w:r>
      <w:r>
        <w:t>&amp;</w:t>
      </w:r>
      <w:r w:rsidRPr="001A2871">
        <w:t xml:space="preserve"> Roser-Renouf</w:t>
      </w:r>
      <w:r>
        <w:t xml:space="preserve">, 2009).  </w:t>
      </w:r>
      <w:r w:rsidR="0052424D">
        <w:t>A</w:t>
      </w:r>
      <w:r>
        <w:t>ll other variables are held at their means and the results are consolidated in</w:t>
      </w:r>
      <w:r w:rsidR="00621807">
        <w:t>to</w:t>
      </w:r>
      <w:r>
        <w:t xml:space="preserve"> Table </w:t>
      </w:r>
      <w:r w:rsidR="00621807">
        <w:t>6</w:t>
      </w:r>
      <w:r>
        <w:t>.</w:t>
      </w:r>
    </w:p>
    <w:p w14:paraId="5A762C51" w14:textId="55FCD603" w:rsidR="00F76B72" w:rsidRDefault="00F76B72" w:rsidP="0052424D">
      <w:pPr>
        <w:spacing w:before="240" w:line="360" w:lineRule="auto"/>
      </w:pPr>
      <w:r>
        <w:t xml:space="preserve">First, WTP is </w:t>
      </w:r>
      <w:r w:rsidR="00B763CD">
        <w:t>derived</w:t>
      </w:r>
      <w:r>
        <w:t xml:space="preserve"> by political leaning.  These categories represent both respondents who identify with a political party o</w:t>
      </w:r>
      <w:r w:rsidR="00B763CD">
        <w:t>r indicate a preference</w:t>
      </w:r>
      <w:r>
        <w:t xml:space="preserve"> or leaning.  The base group, </w:t>
      </w:r>
      <w:r w:rsidR="00305F56">
        <w:t>D</w:t>
      </w:r>
      <w:r>
        <w:t xml:space="preserve">emocrats, have a mean WTP of $269 while </w:t>
      </w:r>
      <w:r w:rsidR="00305F56">
        <w:t>R</w:t>
      </w:r>
      <w:r>
        <w:t xml:space="preserve">epublicans have a mean $40 lower than the </w:t>
      </w:r>
      <w:r w:rsidR="00621807">
        <w:t>$177 result</w:t>
      </w:r>
      <w:r>
        <w:t xml:space="preserve"> when climate change beliefs are held at survey means.  In fact, each group has a mean WTP that is positive </w:t>
      </w:r>
      <w:r w:rsidR="00621807">
        <w:t>when</w:t>
      </w:r>
      <w:r>
        <w:t xml:space="preserve"> the covariates</w:t>
      </w:r>
      <w:r w:rsidR="00621807">
        <w:t xml:space="preserve"> are</w:t>
      </w:r>
      <w:r>
        <w:t xml:space="preserve"> held at means.  </w:t>
      </w:r>
      <w:r w:rsidR="00621807">
        <w:t>Recall instead that</w:t>
      </w:r>
      <w:r>
        <w:t xml:space="preserve"> climate change beliefs</w:t>
      </w:r>
      <w:r w:rsidR="00621807">
        <w:t>,</w:t>
      </w:r>
      <w:r>
        <w:t xml:space="preserve"> independent of political affiliation</w:t>
      </w:r>
      <w:r w:rsidR="00621807">
        <w:t>,</w:t>
      </w:r>
      <w:r>
        <w:t xml:space="preserve"> have the largest impact on WTP</w:t>
      </w:r>
      <w:r w:rsidR="00621807">
        <w:t xml:space="preserve"> in Table 4</w:t>
      </w:r>
      <w:r>
        <w:t xml:space="preserve">.  </w:t>
      </w:r>
    </w:p>
    <w:p w14:paraId="028EF453" w14:textId="77777777" w:rsidR="00F76B72" w:rsidRDefault="00F76B72" w:rsidP="0052424D">
      <w:pPr>
        <w:spacing w:before="240" w:line="360" w:lineRule="auto"/>
      </w:pPr>
      <w:r>
        <w:t>Following</w:t>
      </w:r>
      <w:r w:rsidR="0071389A">
        <w:t>,</w:t>
      </w:r>
      <w:r>
        <w:t xml:space="preserve"> WTP </w:t>
      </w:r>
      <w:r w:rsidR="0071389A">
        <w:t xml:space="preserve">is then disaggregated </w:t>
      </w:r>
      <w:r>
        <w:t>by global warming belief</w:t>
      </w:r>
      <w:r w:rsidR="0071389A">
        <w:t>s</w:t>
      </w:r>
      <w:r>
        <w:t xml:space="preserve">.  For a member of the population who is otherwise </w:t>
      </w:r>
      <w:r w:rsidR="0071389A">
        <w:t>at the mean</w:t>
      </w:r>
      <w:r>
        <w:t xml:space="preserve">, these beliefs substantially impact </w:t>
      </w:r>
      <w:r w:rsidR="0071389A">
        <w:t>the result</w:t>
      </w:r>
      <w:r>
        <w:t xml:space="preserve">.  </w:t>
      </w:r>
      <w:r w:rsidRPr="00295B9C">
        <w:t>Here</w:t>
      </w:r>
      <w:r w:rsidR="0071389A">
        <w:t>,</w:t>
      </w:r>
      <w:r w:rsidRPr="00295B9C">
        <w:t xml:space="preserve"> WTP is estimated </w:t>
      </w:r>
      <w:r>
        <w:t>negative</w:t>
      </w:r>
      <w:r w:rsidRPr="00295B9C">
        <w:t xml:space="preserve"> for both those who don’t believe</w:t>
      </w:r>
      <w:r>
        <w:t xml:space="preserve"> in climate change</w:t>
      </w:r>
      <w:r w:rsidRPr="00295B9C">
        <w:t xml:space="preserve"> and </w:t>
      </w:r>
      <w:r>
        <w:t>who reply ‘don’t know’ to a query of their beliefs.  This is an interesting result- it would be reasonable to have a willingness to pay of zero for a new policy, but a negative suggests a willingness to increase their taxes</w:t>
      </w:r>
      <w:r w:rsidR="0071389A">
        <w:t xml:space="preserve"> without an increase in benefit</w:t>
      </w:r>
      <w:r>
        <w:t xml:space="preserve">.  It may also imply a belief that such a policy would cost them substantially more and so they have a WTP against the policy which they think would </w:t>
      </w:r>
      <w:r w:rsidR="0071389A">
        <w:t>still save them money versus implementation</w:t>
      </w:r>
      <w:r>
        <w:t xml:space="preserve">.  However, it would seem like an extreme suspicion to believe </w:t>
      </w:r>
      <w:r w:rsidR="0071389A">
        <w:t>a new carbon</w:t>
      </w:r>
      <w:r>
        <w:t xml:space="preserve"> tax woul</w:t>
      </w:r>
      <w:r w:rsidR="0071389A">
        <w:t xml:space="preserve">d result in greater than a $379 a </w:t>
      </w:r>
      <w:r>
        <w:t xml:space="preserve">year, or 28-percent </w:t>
      </w:r>
      <w:r w:rsidR="0071389A">
        <w:t>increase in average household energy bills.</w:t>
      </w:r>
    </w:p>
    <w:p w14:paraId="413FBFE9" w14:textId="7ADC6460" w:rsidR="00F76B72" w:rsidRDefault="00F76B72" w:rsidP="0052424D">
      <w:pPr>
        <w:spacing w:before="240" w:line="360" w:lineRule="auto"/>
      </w:pPr>
      <w:r>
        <w:t xml:space="preserve">As a third </w:t>
      </w:r>
      <w:r w:rsidR="00E27C68">
        <w:t>specification</w:t>
      </w:r>
      <w:r>
        <w:t>, the Global Warming’s Six Americas categories derived during</w:t>
      </w:r>
      <w:r w:rsidR="00E27C68">
        <w:t xml:space="preserve"> the survey process</w:t>
      </w:r>
      <w:r>
        <w:t xml:space="preserve"> are substituted in place of the global warming belief indicators in the </w:t>
      </w:r>
      <w:r w:rsidR="00E27C68">
        <w:t>estimation</w:t>
      </w:r>
      <w:r>
        <w:t xml:space="preserve">.  They represent a </w:t>
      </w:r>
      <w:r>
        <w:lastRenderedPageBreak/>
        <w:t xml:space="preserve">spectrum of beliefs on climate change.  On one end, the Alarmed are thoroughly convinced that </w:t>
      </w:r>
      <w:r w:rsidR="00E27C68">
        <w:t>global warming</w:t>
      </w:r>
      <w:r>
        <w:t xml:space="preserve"> is occurring and</w:t>
      </w:r>
      <w:r w:rsidR="00E27C68">
        <w:t xml:space="preserve"> are</w:t>
      </w:r>
      <w:r>
        <w:t xml:space="preserve"> strongly in favor of policy to curtail it.  On the other end of the spectrum, the Dismissive are equally convinced against global warming, its causes, and whether any action is warranted.  This latter group also tend to report a belief in various forms of conspiracy theory </w:t>
      </w:r>
      <w:r w:rsidR="00E27C68">
        <w:t xml:space="preserve">regarding the </w:t>
      </w:r>
      <w:r w:rsidR="00775B77">
        <w:t xml:space="preserve">reality </w:t>
      </w:r>
      <w:r w:rsidR="00E27C68">
        <w:t>of</w:t>
      </w:r>
      <w:r>
        <w:t xml:space="preserve"> global warming.  Due to these firmly held beliefs, the</w:t>
      </w:r>
      <w:r w:rsidR="00E27C68">
        <w:t xml:space="preserve"> Dismissive</w:t>
      </w:r>
      <w:r>
        <w:t xml:space="preserve"> tend to be motivated to spend against a carbon tax </w:t>
      </w:r>
      <w:r w:rsidR="00E76B43">
        <w:t>as opposition to an attack on their core beliefs</w:t>
      </w:r>
      <w:r w:rsidR="009D3587">
        <w:t xml:space="preserve"> </w:t>
      </w:r>
      <w:r>
        <w:t>- a strong motivator.</w:t>
      </w:r>
      <w:r w:rsidR="00E27C68">
        <w:t xml:space="preserve">  </w:t>
      </w:r>
      <w:r>
        <w:t>The results of the Six Americas alternative</w:t>
      </w:r>
      <w:r w:rsidR="00E27C68">
        <w:t xml:space="preserve"> in Table 6</w:t>
      </w:r>
      <w:r>
        <w:t xml:space="preserve"> suggest global warming beliefs are entirely driving the WTP result as </w:t>
      </w:r>
      <w:r w:rsidR="009D3587">
        <w:t>can</w:t>
      </w:r>
      <w:r w:rsidR="00E27C68">
        <w:t xml:space="preserve"> be expected</w:t>
      </w:r>
      <w:r>
        <w:t xml:space="preserve">.  </w:t>
      </w:r>
      <w:r w:rsidR="00E27C68">
        <w:t>It is also found that r</w:t>
      </w:r>
      <w:r>
        <w:t xml:space="preserve">espondents who are </w:t>
      </w:r>
      <w:r w:rsidR="00775B77">
        <w:t>D</w:t>
      </w:r>
      <w:r>
        <w:t xml:space="preserve">isengaged- those who have little knowledge, interest, or belief in global warming one way </w:t>
      </w:r>
      <w:r w:rsidR="009D3587">
        <w:t>or</w:t>
      </w:r>
      <w:r>
        <w:t xml:space="preserve"> the other, have a mean WTP of </w:t>
      </w:r>
      <w:r w:rsidR="00E27C68">
        <w:t>nearly</w:t>
      </w:r>
      <w:r>
        <w:t xml:space="preserve"> zero.  They</w:t>
      </w:r>
      <w:r w:rsidR="00E27C68">
        <w:t xml:space="preserve"> appear truly disengaged</w:t>
      </w:r>
      <w:r>
        <w:t xml:space="preserve">.  </w:t>
      </w:r>
    </w:p>
    <w:p w14:paraId="45B22A7C" w14:textId="0A723635" w:rsidR="00F76B72" w:rsidRDefault="00F76B72" w:rsidP="0052424D">
      <w:pPr>
        <w:spacing w:line="360" w:lineRule="auto"/>
      </w:pPr>
      <w:r>
        <w:t xml:space="preserve">It </w:t>
      </w:r>
      <w:r w:rsidR="00E27C68">
        <w:t>should</w:t>
      </w:r>
      <w:r>
        <w:t xml:space="preserve"> be noted that these WTP measures </w:t>
      </w:r>
      <w:r w:rsidR="00E27C68">
        <w:t>are</w:t>
      </w:r>
      <w:r>
        <w:t xml:space="preserve"> interpret</w:t>
      </w:r>
      <w:r w:rsidR="00E27C68">
        <w:t>able</w:t>
      </w:r>
      <w:r>
        <w:t xml:space="preserve"> as net of any</w:t>
      </w:r>
      <w:r w:rsidR="00E27C68">
        <w:t xml:space="preserve"> carbon tax</w:t>
      </w:r>
      <w:r>
        <w:t xml:space="preserve"> rebate.  As the Climate Leadership Council’s proposal includes large cash rebates, if the</w:t>
      </w:r>
      <w:r w:rsidR="00E27C68">
        <w:t>y</w:t>
      </w:r>
      <w:r>
        <w:t xml:space="preserve"> exceed the </w:t>
      </w:r>
      <w:r w:rsidR="00E27C68">
        <w:t>cost to the Dismissive audience</w:t>
      </w:r>
      <w:r>
        <w:t xml:space="preserve"> many may very well come to support the policy.  The Dismissive subgroup requires a rebate in excess of $361, or a 26-percent offset in </w:t>
      </w:r>
      <w:r w:rsidR="00E27C68">
        <w:t xml:space="preserve">average </w:t>
      </w:r>
      <w:r>
        <w:t xml:space="preserve">energy bills </w:t>
      </w:r>
      <w:r w:rsidR="00E27C68">
        <w:t>to overcome strongly held</w:t>
      </w:r>
      <w:r>
        <w:t xml:space="preserve"> reservations.  Unfortunately, making such predictions of how the conservative proposal will impact the Dismissive and other groups is beyond the capacity of the current survey to answer.</w:t>
      </w:r>
      <w:r w:rsidR="00E27C68">
        <w:t xml:space="preserve">  It is an interesting question, however,</w:t>
      </w:r>
      <w:r>
        <w:t xml:space="preserve"> that may warrant later work.</w:t>
      </w:r>
    </w:p>
    <w:tbl>
      <w:tblPr>
        <w:tblW w:w="5000" w:type="pct"/>
        <w:tblLook w:val="04A0" w:firstRow="1" w:lastRow="0" w:firstColumn="1" w:lastColumn="0" w:noHBand="0" w:noVBand="1"/>
      </w:tblPr>
      <w:tblGrid>
        <w:gridCol w:w="3330"/>
        <w:gridCol w:w="2879"/>
        <w:gridCol w:w="3151"/>
      </w:tblGrid>
      <w:tr w:rsidR="00F76B72" w:rsidRPr="002C4867" w14:paraId="35D31D28" w14:textId="77777777" w:rsidTr="00F76B72">
        <w:trPr>
          <w:trHeight w:val="300"/>
        </w:trPr>
        <w:tc>
          <w:tcPr>
            <w:tcW w:w="5000" w:type="pct"/>
            <w:gridSpan w:val="3"/>
            <w:tcBorders>
              <w:top w:val="nil"/>
              <w:left w:val="nil"/>
              <w:bottom w:val="single" w:sz="4" w:space="0" w:color="auto"/>
              <w:right w:val="nil"/>
            </w:tcBorders>
            <w:shd w:val="clear" w:color="000000" w:fill="D0CECE"/>
            <w:noWrap/>
            <w:hideMark/>
          </w:tcPr>
          <w:p w14:paraId="5F14A38C" w14:textId="77777777" w:rsidR="00F76B72" w:rsidRPr="002C4867" w:rsidRDefault="004272F8" w:rsidP="00F76B72">
            <w:pPr>
              <w:keepNext/>
              <w:spacing w:after="0" w:line="240" w:lineRule="auto"/>
              <w:rPr>
                <w:rFonts w:eastAsia="Times New Roman"/>
                <w:b/>
                <w:bCs/>
              </w:rPr>
            </w:pPr>
            <w:r>
              <w:rPr>
                <w:rFonts w:eastAsia="Times New Roman"/>
                <w:b/>
                <w:bCs/>
              </w:rPr>
              <w:lastRenderedPageBreak/>
              <w:t>Table 6</w:t>
            </w:r>
            <w:r w:rsidR="00F76B72" w:rsidRPr="002C4867">
              <w:rPr>
                <w:rFonts w:eastAsia="Times New Roman"/>
                <w:b/>
                <w:bCs/>
              </w:rPr>
              <w:t xml:space="preserve"> | Willingness to pay by subgroup</w:t>
            </w:r>
          </w:p>
        </w:tc>
      </w:tr>
      <w:tr w:rsidR="00F76B72" w:rsidRPr="002C4867" w14:paraId="1B9FA5A1" w14:textId="77777777" w:rsidTr="00F76B72">
        <w:trPr>
          <w:trHeight w:val="300"/>
        </w:trPr>
        <w:tc>
          <w:tcPr>
            <w:tcW w:w="1779" w:type="pct"/>
            <w:tcBorders>
              <w:top w:val="nil"/>
              <w:left w:val="nil"/>
              <w:bottom w:val="single" w:sz="4" w:space="0" w:color="auto"/>
              <w:right w:val="nil"/>
            </w:tcBorders>
            <w:shd w:val="clear" w:color="000000" w:fill="F2F2F2"/>
            <w:noWrap/>
            <w:vAlign w:val="bottom"/>
            <w:hideMark/>
          </w:tcPr>
          <w:p w14:paraId="7F126590" w14:textId="77777777" w:rsidR="00F76B72" w:rsidRPr="002C4867" w:rsidRDefault="00F76B72" w:rsidP="00F76B72">
            <w:pPr>
              <w:keepNext/>
              <w:spacing w:after="0" w:line="240" w:lineRule="auto"/>
              <w:rPr>
                <w:rFonts w:eastAsia="Times New Roman"/>
                <w:b/>
                <w:bCs/>
              </w:rPr>
            </w:pPr>
            <w:r w:rsidRPr="002C4867">
              <w:rPr>
                <w:rFonts w:eastAsia="Times New Roman"/>
                <w:b/>
                <w:bCs/>
              </w:rPr>
              <w:t> </w:t>
            </w:r>
          </w:p>
        </w:tc>
        <w:tc>
          <w:tcPr>
            <w:tcW w:w="1538" w:type="pct"/>
            <w:tcBorders>
              <w:top w:val="nil"/>
              <w:left w:val="nil"/>
              <w:bottom w:val="single" w:sz="4" w:space="0" w:color="auto"/>
              <w:right w:val="nil"/>
            </w:tcBorders>
            <w:shd w:val="clear" w:color="000000" w:fill="F2F2F2"/>
            <w:noWrap/>
            <w:vAlign w:val="bottom"/>
            <w:hideMark/>
          </w:tcPr>
          <w:p w14:paraId="7FCF43F0" w14:textId="77777777" w:rsidR="00F76B72" w:rsidRPr="002C4867" w:rsidRDefault="00F76B72" w:rsidP="00F76B72">
            <w:pPr>
              <w:keepNext/>
              <w:spacing w:after="0" w:line="240" w:lineRule="auto"/>
              <w:jc w:val="center"/>
              <w:rPr>
                <w:rFonts w:eastAsia="Times New Roman"/>
              </w:rPr>
            </w:pPr>
            <w:r w:rsidRPr="002C4867">
              <w:rPr>
                <w:rFonts w:eastAsia="Times New Roman"/>
              </w:rPr>
              <w:t>mean WTP ($)</w:t>
            </w:r>
          </w:p>
        </w:tc>
        <w:tc>
          <w:tcPr>
            <w:tcW w:w="1683" w:type="pct"/>
            <w:tcBorders>
              <w:top w:val="nil"/>
              <w:left w:val="nil"/>
              <w:bottom w:val="single" w:sz="4" w:space="0" w:color="auto"/>
              <w:right w:val="nil"/>
            </w:tcBorders>
            <w:shd w:val="clear" w:color="000000" w:fill="F2F2F2"/>
            <w:noWrap/>
            <w:vAlign w:val="bottom"/>
            <w:hideMark/>
          </w:tcPr>
          <w:p w14:paraId="4D6E4D7D" w14:textId="77777777" w:rsidR="00F76B72" w:rsidRPr="002C4867" w:rsidRDefault="00F76B72" w:rsidP="00F76B72">
            <w:pPr>
              <w:keepNext/>
              <w:spacing w:after="0" w:line="240" w:lineRule="auto"/>
              <w:jc w:val="center"/>
              <w:rPr>
                <w:rFonts w:eastAsia="Times New Roman"/>
              </w:rPr>
            </w:pPr>
            <w:r>
              <w:rPr>
                <w:rFonts w:eastAsia="Times New Roman"/>
              </w:rPr>
              <w:t>Share of r</w:t>
            </w:r>
            <w:r w:rsidRPr="002C4867">
              <w:rPr>
                <w:rFonts w:eastAsia="Times New Roman"/>
              </w:rPr>
              <w:t>espondents (%)</w:t>
            </w:r>
          </w:p>
        </w:tc>
      </w:tr>
      <w:tr w:rsidR="00F76B72" w:rsidRPr="002C4867" w14:paraId="5BD9AC13" w14:textId="77777777" w:rsidTr="00F76B72">
        <w:trPr>
          <w:trHeight w:val="300"/>
        </w:trPr>
        <w:tc>
          <w:tcPr>
            <w:tcW w:w="1779" w:type="pct"/>
            <w:tcBorders>
              <w:top w:val="nil"/>
              <w:left w:val="nil"/>
              <w:bottom w:val="nil"/>
              <w:right w:val="nil"/>
            </w:tcBorders>
            <w:shd w:val="clear" w:color="000000" w:fill="F2F2F2"/>
            <w:noWrap/>
            <w:hideMark/>
          </w:tcPr>
          <w:p w14:paraId="56A1D692" w14:textId="77777777" w:rsidR="00F76B72" w:rsidRPr="002C4867" w:rsidRDefault="00F76B72" w:rsidP="00F76B72">
            <w:pPr>
              <w:keepNext/>
              <w:spacing w:after="0" w:line="240" w:lineRule="auto"/>
              <w:jc w:val="center"/>
              <w:rPr>
                <w:rFonts w:eastAsia="Times New Roman"/>
                <w:u w:val="single"/>
              </w:rPr>
            </w:pPr>
            <w:r w:rsidRPr="002C4867">
              <w:rPr>
                <w:rFonts w:eastAsia="Times New Roman"/>
                <w:u w:val="single"/>
              </w:rPr>
              <w:t>Political affiliation or leaning</w:t>
            </w:r>
          </w:p>
        </w:tc>
        <w:tc>
          <w:tcPr>
            <w:tcW w:w="1538" w:type="pct"/>
            <w:tcBorders>
              <w:top w:val="nil"/>
              <w:left w:val="nil"/>
              <w:bottom w:val="nil"/>
              <w:right w:val="nil"/>
            </w:tcBorders>
            <w:shd w:val="clear" w:color="000000" w:fill="F2F2F2"/>
            <w:noWrap/>
            <w:vAlign w:val="bottom"/>
            <w:hideMark/>
          </w:tcPr>
          <w:p w14:paraId="19B18B03" w14:textId="77777777" w:rsidR="00F76B72" w:rsidRPr="002C4867" w:rsidRDefault="00F76B72" w:rsidP="00F76B72">
            <w:pPr>
              <w:keepNext/>
              <w:spacing w:after="0" w:line="240" w:lineRule="auto"/>
              <w:rPr>
                <w:rFonts w:eastAsia="Times New Roman"/>
              </w:rPr>
            </w:pPr>
            <w:r w:rsidRPr="002C4867">
              <w:rPr>
                <w:rFonts w:eastAsia="Times New Roman"/>
              </w:rPr>
              <w:t> </w:t>
            </w:r>
          </w:p>
        </w:tc>
        <w:tc>
          <w:tcPr>
            <w:tcW w:w="1683" w:type="pct"/>
            <w:tcBorders>
              <w:top w:val="nil"/>
              <w:left w:val="nil"/>
              <w:bottom w:val="nil"/>
              <w:right w:val="nil"/>
            </w:tcBorders>
            <w:shd w:val="clear" w:color="000000" w:fill="F2F2F2"/>
            <w:noWrap/>
            <w:vAlign w:val="bottom"/>
            <w:hideMark/>
          </w:tcPr>
          <w:p w14:paraId="4B2EC21D" w14:textId="77777777" w:rsidR="00F76B72" w:rsidRPr="002C4867" w:rsidRDefault="00F76B72" w:rsidP="00F76B72">
            <w:pPr>
              <w:keepNext/>
              <w:spacing w:after="0" w:line="240" w:lineRule="auto"/>
              <w:rPr>
                <w:rFonts w:eastAsia="Times New Roman"/>
              </w:rPr>
            </w:pPr>
            <w:r w:rsidRPr="002C4867">
              <w:rPr>
                <w:rFonts w:eastAsia="Times New Roman"/>
              </w:rPr>
              <w:t> </w:t>
            </w:r>
          </w:p>
        </w:tc>
      </w:tr>
      <w:tr w:rsidR="00F76B72" w:rsidRPr="002C4867" w14:paraId="52E14B99" w14:textId="77777777" w:rsidTr="00F76B72">
        <w:trPr>
          <w:trHeight w:val="300"/>
        </w:trPr>
        <w:tc>
          <w:tcPr>
            <w:tcW w:w="1779" w:type="pct"/>
            <w:tcBorders>
              <w:top w:val="nil"/>
              <w:left w:val="nil"/>
              <w:bottom w:val="nil"/>
              <w:right w:val="nil"/>
            </w:tcBorders>
            <w:shd w:val="clear" w:color="000000" w:fill="F2F2F2"/>
            <w:noWrap/>
            <w:vAlign w:val="bottom"/>
            <w:hideMark/>
          </w:tcPr>
          <w:p w14:paraId="48AB3110" w14:textId="77777777" w:rsidR="00F76B72" w:rsidRPr="002C4867" w:rsidRDefault="00F76B72" w:rsidP="00F76B72">
            <w:pPr>
              <w:keepNext/>
              <w:spacing w:after="0" w:line="240" w:lineRule="auto"/>
              <w:rPr>
                <w:rFonts w:eastAsia="Times New Roman"/>
              </w:rPr>
            </w:pPr>
            <w:r w:rsidRPr="002C4867">
              <w:rPr>
                <w:rFonts w:eastAsia="Times New Roman"/>
              </w:rPr>
              <w:t>Democrats</w:t>
            </w:r>
          </w:p>
        </w:tc>
        <w:tc>
          <w:tcPr>
            <w:tcW w:w="1538" w:type="pct"/>
            <w:tcBorders>
              <w:top w:val="nil"/>
              <w:left w:val="nil"/>
              <w:bottom w:val="nil"/>
              <w:right w:val="nil"/>
            </w:tcBorders>
            <w:shd w:val="clear" w:color="000000" w:fill="F2F2F2"/>
            <w:noWrap/>
            <w:vAlign w:val="bottom"/>
            <w:hideMark/>
          </w:tcPr>
          <w:p w14:paraId="6A861CAF" w14:textId="77777777" w:rsidR="00F76B72" w:rsidRPr="002C4867" w:rsidRDefault="00F76B72" w:rsidP="00F76B72">
            <w:pPr>
              <w:keepNext/>
              <w:spacing w:after="0" w:line="240" w:lineRule="auto"/>
              <w:jc w:val="center"/>
              <w:rPr>
                <w:rFonts w:eastAsia="Times New Roman"/>
              </w:rPr>
            </w:pPr>
            <w:r w:rsidRPr="002C4867">
              <w:rPr>
                <w:rFonts w:eastAsia="Times New Roman"/>
              </w:rPr>
              <w:t>269</w:t>
            </w:r>
          </w:p>
        </w:tc>
        <w:tc>
          <w:tcPr>
            <w:tcW w:w="1683" w:type="pct"/>
            <w:tcBorders>
              <w:top w:val="nil"/>
              <w:left w:val="nil"/>
              <w:bottom w:val="nil"/>
              <w:right w:val="nil"/>
            </w:tcBorders>
            <w:shd w:val="clear" w:color="000000" w:fill="F2F2F2"/>
            <w:noWrap/>
            <w:vAlign w:val="bottom"/>
            <w:hideMark/>
          </w:tcPr>
          <w:p w14:paraId="360758AA" w14:textId="77777777" w:rsidR="00F76B72" w:rsidRPr="002C4867" w:rsidRDefault="00F76B72" w:rsidP="00F76B72">
            <w:pPr>
              <w:keepNext/>
              <w:spacing w:after="0" w:line="240" w:lineRule="auto"/>
              <w:jc w:val="center"/>
              <w:rPr>
                <w:rFonts w:eastAsia="Times New Roman"/>
              </w:rPr>
            </w:pPr>
            <w:r w:rsidRPr="002C4867">
              <w:rPr>
                <w:rFonts w:eastAsia="Times New Roman"/>
              </w:rPr>
              <w:t>43.8</w:t>
            </w:r>
          </w:p>
        </w:tc>
      </w:tr>
      <w:tr w:rsidR="00F76B72" w:rsidRPr="002C4867" w14:paraId="074D959D" w14:textId="77777777" w:rsidTr="00F76B72">
        <w:trPr>
          <w:trHeight w:val="300"/>
        </w:trPr>
        <w:tc>
          <w:tcPr>
            <w:tcW w:w="1779" w:type="pct"/>
            <w:tcBorders>
              <w:top w:val="nil"/>
              <w:left w:val="nil"/>
              <w:bottom w:val="nil"/>
              <w:right w:val="nil"/>
            </w:tcBorders>
            <w:shd w:val="clear" w:color="000000" w:fill="F2F2F2"/>
            <w:noWrap/>
            <w:vAlign w:val="bottom"/>
            <w:hideMark/>
          </w:tcPr>
          <w:p w14:paraId="281DFE41" w14:textId="77777777" w:rsidR="00F76B72" w:rsidRPr="002C4867" w:rsidRDefault="00F76B72" w:rsidP="00F76B72">
            <w:pPr>
              <w:keepNext/>
              <w:spacing w:after="0" w:line="240" w:lineRule="auto"/>
              <w:rPr>
                <w:rFonts w:eastAsia="Times New Roman"/>
              </w:rPr>
            </w:pPr>
            <w:r w:rsidRPr="002C4867">
              <w:rPr>
                <w:rFonts w:eastAsia="Times New Roman"/>
              </w:rPr>
              <w:t>Republicans</w:t>
            </w:r>
          </w:p>
        </w:tc>
        <w:tc>
          <w:tcPr>
            <w:tcW w:w="1538" w:type="pct"/>
            <w:tcBorders>
              <w:top w:val="nil"/>
              <w:left w:val="nil"/>
              <w:bottom w:val="nil"/>
              <w:right w:val="nil"/>
            </w:tcBorders>
            <w:shd w:val="clear" w:color="000000" w:fill="F2F2F2"/>
            <w:noWrap/>
            <w:vAlign w:val="bottom"/>
            <w:hideMark/>
          </w:tcPr>
          <w:p w14:paraId="21AFDD01" w14:textId="77777777" w:rsidR="00F76B72" w:rsidRPr="002C4867" w:rsidRDefault="00F76B72" w:rsidP="00F76B72">
            <w:pPr>
              <w:keepNext/>
              <w:spacing w:after="0" w:line="240" w:lineRule="auto"/>
              <w:jc w:val="center"/>
              <w:rPr>
                <w:rFonts w:eastAsia="Times New Roman"/>
              </w:rPr>
            </w:pPr>
            <w:r w:rsidRPr="002C4867">
              <w:rPr>
                <w:rFonts w:eastAsia="Times New Roman"/>
              </w:rPr>
              <w:t>137</w:t>
            </w:r>
          </w:p>
        </w:tc>
        <w:tc>
          <w:tcPr>
            <w:tcW w:w="1683" w:type="pct"/>
            <w:tcBorders>
              <w:top w:val="nil"/>
              <w:left w:val="nil"/>
              <w:bottom w:val="nil"/>
              <w:right w:val="nil"/>
            </w:tcBorders>
            <w:shd w:val="clear" w:color="000000" w:fill="F2F2F2"/>
            <w:noWrap/>
            <w:vAlign w:val="bottom"/>
            <w:hideMark/>
          </w:tcPr>
          <w:p w14:paraId="72BE3D96" w14:textId="77777777" w:rsidR="00F76B72" w:rsidRPr="002C4867" w:rsidRDefault="00F76B72" w:rsidP="00F76B72">
            <w:pPr>
              <w:keepNext/>
              <w:spacing w:after="0" w:line="240" w:lineRule="auto"/>
              <w:jc w:val="center"/>
              <w:rPr>
                <w:rFonts w:eastAsia="Times New Roman"/>
              </w:rPr>
            </w:pPr>
            <w:r w:rsidRPr="002C4867">
              <w:rPr>
                <w:rFonts w:eastAsia="Times New Roman"/>
              </w:rPr>
              <w:t>36.5</w:t>
            </w:r>
          </w:p>
        </w:tc>
      </w:tr>
      <w:tr w:rsidR="00F76B72" w:rsidRPr="002C4867" w14:paraId="7801B7D9" w14:textId="77777777" w:rsidTr="00F76B72">
        <w:trPr>
          <w:trHeight w:val="300"/>
        </w:trPr>
        <w:tc>
          <w:tcPr>
            <w:tcW w:w="1779" w:type="pct"/>
            <w:tcBorders>
              <w:top w:val="nil"/>
              <w:left w:val="nil"/>
              <w:bottom w:val="nil"/>
              <w:right w:val="nil"/>
            </w:tcBorders>
            <w:shd w:val="clear" w:color="000000" w:fill="F2F2F2"/>
            <w:noWrap/>
            <w:vAlign w:val="bottom"/>
            <w:hideMark/>
          </w:tcPr>
          <w:p w14:paraId="46714DB9" w14:textId="77777777" w:rsidR="00F76B72" w:rsidRPr="002C4867" w:rsidRDefault="00F76B72" w:rsidP="00F76B72">
            <w:pPr>
              <w:keepNext/>
              <w:spacing w:after="0" w:line="240" w:lineRule="auto"/>
              <w:rPr>
                <w:rFonts w:eastAsia="Times New Roman"/>
              </w:rPr>
            </w:pPr>
            <w:r w:rsidRPr="002C4867">
              <w:rPr>
                <w:rFonts w:eastAsia="Times New Roman"/>
              </w:rPr>
              <w:t>Independents</w:t>
            </w:r>
          </w:p>
        </w:tc>
        <w:tc>
          <w:tcPr>
            <w:tcW w:w="1538" w:type="pct"/>
            <w:tcBorders>
              <w:top w:val="nil"/>
              <w:left w:val="nil"/>
              <w:bottom w:val="nil"/>
              <w:right w:val="nil"/>
            </w:tcBorders>
            <w:shd w:val="clear" w:color="000000" w:fill="F2F2F2"/>
            <w:noWrap/>
            <w:vAlign w:val="bottom"/>
            <w:hideMark/>
          </w:tcPr>
          <w:p w14:paraId="03BF9A10" w14:textId="77777777" w:rsidR="00F76B72" w:rsidRPr="002C4867" w:rsidRDefault="00F76B72" w:rsidP="00F76B72">
            <w:pPr>
              <w:keepNext/>
              <w:spacing w:after="0" w:line="240" w:lineRule="auto"/>
              <w:jc w:val="center"/>
              <w:rPr>
                <w:rFonts w:eastAsia="Times New Roman"/>
              </w:rPr>
            </w:pPr>
            <w:r w:rsidRPr="002C4867">
              <w:rPr>
                <w:rFonts w:eastAsia="Times New Roman"/>
              </w:rPr>
              <w:t>35</w:t>
            </w:r>
          </w:p>
        </w:tc>
        <w:tc>
          <w:tcPr>
            <w:tcW w:w="1683" w:type="pct"/>
            <w:tcBorders>
              <w:top w:val="nil"/>
              <w:left w:val="nil"/>
              <w:bottom w:val="nil"/>
              <w:right w:val="nil"/>
            </w:tcBorders>
            <w:shd w:val="clear" w:color="000000" w:fill="F2F2F2"/>
            <w:noWrap/>
            <w:vAlign w:val="bottom"/>
            <w:hideMark/>
          </w:tcPr>
          <w:p w14:paraId="688601D8" w14:textId="77777777" w:rsidR="00F76B72" w:rsidRPr="002C4867" w:rsidRDefault="00F76B72" w:rsidP="00F76B72">
            <w:pPr>
              <w:keepNext/>
              <w:spacing w:after="0" w:line="240" w:lineRule="auto"/>
              <w:jc w:val="center"/>
              <w:rPr>
                <w:rFonts w:eastAsia="Times New Roman"/>
              </w:rPr>
            </w:pPr>
            <w:r w:rsidRPr="002C4867">
              <w:rPr>
                <w:rFonts w:eastAsia="Times New Roman"/>
              </w:rPr>
              <w:t>8.4</w:t>
            </w:r>
          </w:p>
        </w:tc>
      </w:tr>
      <w:tr w:rsidR="00F76B72" w:rsidRPr="002C4867" w14:paraId="53FF1C10" w14:textId="77777777" w:rsidTr="00F76B72">
        <w:trPr>
          <w:trHeight w:val="300"/>
        </w:trPr>
        <w:tc>
          <w:tcPr>
            <w:tcW w:w="1779" w:type="pct"/>
            <w:tcBorders>
              <w:top w:val="nil"/>
              <w:left w:val="nil"/>
              <w:bottom w:val="nil"/>
              <w:right w:val="nil"/>
            </w:tcBorders>
            <w:shd w:val="clear" w:color="000000" w:fill="F2F2F2"/>
            <w:noWrap/>
            <w:vAlign w:val="bottom"/>
            <w:hideMark/>
          </w:tcPr>
          <w:p w14:paraId="74F6EDC0" w14:textId="77777777" w:rsidR="00F76B72" w:rsidRPr="002C4867" w:rsidRDefault="00F76B72" w:rsidP="00F76B72">
            <w:pPr>
              <w:keepNext/>
              <w:spacing w:after="0" w:line="240" w:lineRule="auto"/>
              <w:rPr>
                <w:rFonts w:eastAsia="Times New Roman"/>
              </w:rPr>
            </w:pPr>
            <w:r w:rsidRPr="002C4867">
              <w:rPr>
                <w:rFonts w:eastAsia="Times New Roman"/>
              </w:rPr>
              <w:t>No party</w:t>
            </w:r>
          </w:p>
        </w:tc>
        <w:tc>
          <w:tcPr>
            <w:tcW w:w="1538" w:type="pct"/>
            <w:tcBorders>
              <w:top w:val="nil"/>
              <w:left w:val="nil"/>
              <w:bottom w:val="nil"/>
              <w:right w:val="nil"/>
            </w:tcBorders>
            <w:shd w:val="clear" w:color="000000" w:fill="F2F2F2"/>
            <w:noWrap/>
            <w:vAlign w:val="bottom"/>
            <w:hideMark/>
          </w:tcPr>
          <w:p w14:paraId="400BCA92" w14:textId="77777777" w:rsidR="00F76B72" w:rsidRPr="002C4867" w:rsidRDefault="00F76B72" w:rsidP="00F76B72">
            <w:pPr>
              <w:keepNext/>
              <w:spacing w:after="0" w:line="240" w:lineRule="auto"/>
              <w:jc w:val="center"/>
              <w:rPr>
                <w:rFonts w:eastAsia="Times New Roman"/>
              </w:rPr>
            </w:pPr>
            <w:r w:rsidRPr="002C4867">
              <w:rPr>
                <w:rFonts w:eastAsia="Times New Roman"/>
              </w:rPr>
              <w:t>65</w:t>
            </w:r>
          </w:p>
        </w:tc>
        <w:tc>
          <w:tcPr>
            <w:tcW w:w="1683" w:type="pct"/>
            <w:tcBorders>
              <w:top w:val="nil"/>
              <w:left w:val="nil"/>
              <w:bottom w:val="nil"/>
              <w:right w:val="nil"/>
            </w:tcBorders>
            <w:shd w:val="clear" w:color="000000" w:fill="F2F2F2"/>
            <w:noWrap/>
            <w:vAlign w:val="bottom"/>
            <w:hideMark/>
          </w:tcPr>
          <w:p w14:paraId="1F672B91" w14:textId="77777777" w:rsidR="00F76B72" w:rsidRPr="002C4867" w:rsidRDefault="00F76B72" w:rsidP="00F76B72">
            <w:pPr>
              <w:keepNext/>
              <w:spacing w:after="0" w:line="240" w:lineRule="auto"/>
              <w:jc w:val="center"/>
              <w:rPr>
                <w:rFonts w:eastAsia="Times New Roman"/>
              </w:rPr>
            </w:pPr>
            <w:r w:rsidRPr="002C4867">
              <w:rPr>
                <w:rFonts w:eastAsia="Times New Roman"/>
              </w:rPr>
              <w:t>11.2</w:t>
            </w:r>
          </w:p>
        </w:tc>
      </w:tr>
      <w:tr w:rsidR="00F76B72" w:rsidRPr="002C4867" w14:paraId="594026F7" w14:textId="77777777" w:rsidTr="00F76B72">
        <w:trPr>
          <w:trHeight w:val="300"/>
        </w:trPr>
        <w:tc>
          <w:tcPr>
            <w:tcW w:w="1779" w:type="pct"/>
            <w:tcBorders>
              <w:top w:val="nil"/>
              <w:left w:val="nil"/>
              <w:bottom w:val="nil"/>
              <w:right w:val="nil"/>
            </w:tcBorders>
            <w:shd w:val="clear" w:color="000000" w:fill="F2F2F2"/>
            <w:noWrap/>
            <w:vAlign w:val="bottom"/>
            <w:hideMark/>
          </w:tcPr>
          <w:p w14:paraId="7CE4691A" w14:textId="77777777" w:rsidR="00F76B72" w:rsidRPr="002C4867" w:rsidRDefault="00F76B72" w:rsidP="00F76B72">
            <w:pPr>
              <w:keepNext/>
              <w:spacing w:after="0" w:line="240" w:lineRule="auto"/>
              <w:rPr>
                <w:rFonts w:eastAsia="Times New Roman"/>
              </w:rPr>
            </w:pPr>
            <w:r w:rsidRPr="002C4867">
              <w:rPr>
                <w:rFonts w:eastAsia="Times New Roman"/>
              </w:rPr>
              <w:t> </w:t>
            </w:r>
          </w:p>
        </w:tc>
        <w:tc>
          <w:tcPr>
            <w:tcW w:w="1538" w:type="pct"/>
            <w:tcBorders>
              <w:top w:val="nil"/>
              <w:left w:val="nil"/>
              <w:bottom w:val="nil"/>
              <w:right w:val="nil"/>
            </w:tcBorders>
            <w:shd w:val="clear" w:color="000000" w:fill="F2F2F2"/>
            <w:noWrap/>
            <w:vAlign w:val="bottom"/>
            <w:hideMark/>
          </w:tcPr>
          <w:p w14:paraId="61A0FBBC" w14:textId="77777777" w:rsidR="00F76B72" w:rsidRPr="002C4867" w:rsidRDefault="00F76B72" w:rsidP="00F76B72">
            <w:pPr>
              <w:keepNext/>
              <w:spacing w:after="0" w:line="240" w:lineRule="auto"/>
              <w:jc w:val="center"/>
              <w:rPr>
                <w:rFonts w:eastAsia="Times New Roman"/>
              </w:rPr>
            </w:pPr>
            <w:r w:rsidRPr="002C4867">
              <w:rPr>
                <w:rFonts w:eastAsia="Times New Roman"/>
              </w:rPr>
              <w:t> </w:t>
            </w:r>
          </w:p>
        </w:tc>
        <w:tc>
          <w:tcPr>
            <w:tcW w:w="1683" w:type="pct"/>
            <w:tcBorders>
              <w:top w:val="nil"/>
              <w:left w:val="nil"/>
              <w:bottom w:val="nil"/>
              <w:right w:val="nil"/>
            </w:tcBorders>
            <w:shd w:val="clear" w:color="000000" w:fill="F2F2F2"/>
            <w:noWrap/>
            <w:vAlign w:val="bottom"/>
            <w:hideMark/>
          </w:tcPr>
          <w:p w14:paraId="77E64DB6" w14:textId="77777777" w:rsidR="00F76B72" w:rsidRPr="002C4867" w:rsidRDefault="00F76B72" w:rsidP="00F76B72">
            <w:pPr>
              <w:keepNext/>
              <w:spacing w:after="0" w:line="240" w:lineRule="auto"/>
              <w:jc w:val="center"/>
              <w:rPr>
                <w:rFonts w:eastAsia="Times New Roman"/>
              </w:rPr>
            </w:pPr>
            <w:r w:rsidRPr="002C4867">
              <w:rPr>
                <w:rFonts w:eastAsia="Times New Roman"/>
              </w:rPr>
              <w:t> </w:t>
            </w:r>
          </w:p>
        </w:tc>
      </w:tr>
      <w:tr w:rsidR="00F76B72" w:rsidRPr="002C4867" w14:paraId="36E93420" w14:textId="77777777" w:rsidTr="00F76B72">
        <w:trPr>
          <w:trHeight w:val="300"/>
        </w:trPr>
        <w:tc>
          <w:tcPr>
            <w:tcW w:w="1779" w:type="pct"/>
            <w:tcBorders>
              <w:top w:val="nil"/>
              <w:left w:val="nil"/>
              <w:bottom w:val="nil"/>
              <w:right w:val="nil"/>
            </w:tcBorders>
            <w:shd w:val="clear" w:color="000000" w:fill="F2F2F2"/>
            <w:noWrap/>
            <w:hideMark/>
          </w:tcPr>
          <w:p w14:paraId="0D23C8A5" w14:textId="77777777" w:rsidR="00F76B72" w:rsidRPr="002C4867" w:rsidRDefault="00F76B72" w:rsidP="00F76B72">
            <w:pPr>
              <w:keepNext/>
              <w:spacing w:after="0" w:line="240" w:lineRule="auto"/>
              <w:jc w:val="center"/>
              <w:rPr>
                <w:rFonts w:eastAsia="Times New Roman"/>
                <w:u w:val="single"/>
              </w:rPr>
            </w:pPr>
            <w:r w:rsidRPr="002C4867">
              <w:rPr>
                <w:rFonts w:eastAsia="Times New Roman"/>
                <w:u w:val="single"/>
              </w:rPr>
              <w:t>Globa</w:t>
            </w:r>
            <w:r>
              <w:rPr>
                <w:rFonts w:eastAsia="Times New Roman"/>
                <w:u w:val="single"/>
              </w:rPr>
              <w:t>l</w:t>
            </w:r>
            <w:r w:rsidRPr="002C4867">
              <w:rPr>
                <w:rFonts w:eastAsia="Times New Roman"/>
                <w:u w:val="single"/>
              </w:rPr>
              <w:t xml:space="preserve"> warming beliefs</w:t>
            </w:r>
          </w:p>
        </w:tc>
        <w:tc>
          <w:tcPr>
            <w:tcW w:w="1538" w:type="pct"/>
            <w:tcBorders>
              <w:top w:val="nil"/>
              <w:left w:val="nil"/>
              <w:bottom w:val="nil"/>
              <w:right w:val="nil"/>
            </w:tcBorders>
            <w:shd w:val="clear" w:color="000000" w:fill="F2F2F2"/>
            <w:noWrap/>
            <w:vAlign w:val="bottom"/>
            <w:hideMark/>
          </w:tcPr>
          <w:p w14:paraId="30D51F89" w14:textId="77777777" w:rsidR="00F76B72" w:rsidRPr="002C4867" w:rsidRDefault="00F76B72" w:rsidP="00F76B72">
            <w:pPr>
              <w:keepNext/>
              <w:spacing w:after="0" w:line="240" w:lineRule="auto"/>
              <w:jc w:val="center"/>
              <w:rPr>
                <w:rFonts w:eastAsia="Times New Roman"/>
              </w:rPr>
            </w:pPr>
            <w:r w:rsidRPr="002C4867">
              <w:rPr>
                <w:rFonts w:eastAsia="Times New Roman"/>
              </w:rPr>
              <w:t> </w:t>
            </w:r>
          </w:p>
        </w:tc>
        <w:tc>
          <w:tcPr>
            <w:tcW w:w="1683" w:type="pct"/>
            <w:tcBorders>
              <w:top w:val="nil"/>
              <w:left w:val="nil"/>
              <w:bottom w:val="nil"/>
              <w:right w:val="nil"/>
            </w:tcBorders>
            <w:shd w:val="clear" w:color="000000" w:fill="F2F2F2"/>
            <w:noWrap/>
            <w:vAlign w:val="bottom"/>
            <w:hideMark/>
          </w:tcPr>
          <w:p w14:paraId="7B278A15" w14:textId="77777777" w:rsidR="00F76B72" w:rsidRPr="002C4867" w:rsidRDefault="00F76B72" w:rsidP="00F76B72">
            <w:pPr>
              <w:keepNext/>
              <w:spacing w:after="0" w:line="240" w:lineRule="auto"/>
              <w:jc w:val="center"/>
              <w:rPr>
                <w:rFonts w:eastAsia="Times New Roman"/>
              </w:rPr>
            </w:pPr>
            <w:r w:rsidRPr="002C4867">
              <w:rPr>
                <w:rFonts w:eastAsia="Times New Roman"/>
              </w:rPr>
              <w:t> </w:t>
            </w:r>
          </w:p>
        </w:tc>
      </w:tr>
      <w:tr w:rsidR="00F76B72" w:rsidRPr="002C4867" w14:paraId="5E91648C" w14:textId="77777777" w:rsidTr="00F76B72">
        <w:trPr>
          <w:trHeight w:val="300"/>
        </w:trPr>
        <w:tc>
          <w:tcPr>
            <w:tcW w:w="1779" w:type="pct"/>
            <w:tcBorders>
              <w:top w:val="nil"/>
              <w:left w:val="nil"/>
              <w:bottom w:val="nil"/>
              <w:right w:val="nil"/>
            </w:tcBorders>
            <w:shd w:val="clear" w:color="000000" w:fill="F2F2F2"/>
            <w:noWrap/>
            <w:vAlign w:val="bottom"/>
            <w:hideMark/>
          </w:tcPr>
          <w:p w14:paraId="2B818A11" w14:textId="77777777" w:rsidR="00F76B72" w:rsidRPr="002C4867" w:rsidRDefault="00F76B72" w:rsidP="00F76B72">
            <w:pPr>
              <w:keepNext/>
              <w:spacing w:after="0" w:line="240" w:lineRule="auto"/>
              <w:rPr>
                <w:rFonts w:eastAsia="Times New Roman"/>
              </w:rPr>
            </w:pPr>
            <w:r w:rsidRPr="002C4867">
              <w:rPr>
                <w:rFonts w:eastAsia="Times New Roman"/>
              </w:rPr>
              <w:t>Yes</w:t>
            </w:r>
          </w:p>
        </w:tc>
        <w:tc>
          <w:tcPr>
            <w:tcW w:w="1538" w:type="pct"/>
            <w:tcBorders>
              <w:top w:val="nil"/>
              <w:left w:val="nil"/>
              <w:bottom w:val="nil"/>
              <w:right w:val="nil"/>
            </w:tcBorders>
            <w:shd w:val="clear" w:color="000000" w:fill="F2F2F2"/>
            <w:noWrap/>
            <w:vAlign w:val="bottom"/>
            <w:hideMark/>
          </w:tcPr>
          <w:p w14:paraId="239A6ADF" w14:textId="77777777" w:rsidR="00F76B72" w:rsidRPr="002C4867" w:rsidRDefault="00F76B72" w:rsidP="00F76B72">
            <w:pPr>
              <w:keepNext/>
              <w:spacing w:after="0" w:line="240" w:lineRule="auto"/>
              <w:jc w:val="center"/>
              <w:rPr>
                <w:rFonts w:eastAsia="Times New Roman"/>
              </w:rPr>
            </w:pPr>
            <w:r w:rsidRPr="002C4867">
              <w:rPr>
                <w:rFonts w:eastAsia="Times New Roman"/>
              </w:rPr>
              <w:t>342</w:t>
            </w:r>
          </w:p>
        </w:tc>
        <w:tc>
          <w:tcPr>
            <w:tcW w:w="1683" w:type="pct"/>
            <w:tcBorders>
              <w:top w:val="nil"/>
              <w:left w:val="nil"/>
              <w:bottom w:val="nil"/>
              <w:right w:val="nil"/>
            </w:tcBorders>
            <w:shd w:val="clear" w:color="000000" w:fill="F2F2F2"/>
            <w:noWrap/>
            <w:vAlign w:val="bottom"/>
            <w:hideMark/>
          </w:tcPr>
          <w:p w14:paraId="7602A56E" w14:textId="77777777" w:rsidR="00F76B72" w:rsidRPr="002C4867" w:rsidRDefault="00F76B72" w:rsidP="00F76B72">
            <w:pPr>
              <w:keepNext/>
              <w:spacing w:after="0" w:line="240" w:lineRule="auto"/>
              <w:jc w:val="center"/>
              <w:rPr>
                <w:rFonts w:eastAsia="Times New Roman"/>
              </w:rPr>
            </w:pPr>
            <w:r w:rsidRPr="002C4867">
              <w:rPr>
                <w:rFonts w:eastAsia="Times New Roman"/>
              </w:rPr>
              <w:t>70.1</w:t>
            </w:r>
          </w:p>
        </w:tc>
      </w:tr>
      <w:tr w:rsidR="00F76B72" w:rsidRPr="002C4867" w14:paraId="07F9948E" w14:textId="77777777" w:rsidTr="00F76B72">
        <w:trPr>
          <w:trHeight w:val="300"/>
        </w:trPr>
        <w:tc>
          <w:tcPr>
            <w:tcW w:w="1779" w:type="pct"/>
            <w:tcBorders>
              <w:top w:val="nil"/>
              <w:left w:val="nil"/>
              <w:bottom w:val="nil"/>
              <w:right w:val="nil"/>
            </w:tcBorders>
            <w:shd w:val="clear" w:color="000000" w:fill="F2F2F2"/>
            <w:noWrap/>
            <w:vAlign w:val="bottom"/>
            <w:hideMark/>
          </w:tcPr>
          <w:p w14:paraId="0ACB24CE" w14:textId="77777777" w:rsidR="00F76B72" w:rsidRPr="002C4867" w:rsidRDefault="00F76B72" w:rsidP="00F76B72">
            <w:pPr>
              <w:keepNext/>
              <w:spacing w:after="0" w:line="240" w:lineRule="auto"/>
              <w:rPr>
                <w:rFonts w:eastAsia="Times New Roman"/>
              </w:rPr>
            </w:pPr>
            <w:r w:rsidRPr="002C4867">
              <w:rPr>
                <w:rFonts w:eastAsia="Times New Roman"/>
              </w:rPr>
              <w:t>No</w:t>
            </w:r>
          </w:p>
        </w:tc>
        <w:tc>
          <w:tcPr>
            <w:tcW w:w="1538" w:type="pct"/>
            <w:tcBorders>
              <w:top w:val="nil"/>
              <w:left w:val="nil"/>
              <w:bottom w:val="nil"/>
              <w:right w:val="nil"/>
            </w:tcBorders>
            <w:shd w:val="clear" w:color="000000" w:fill="F2F2F2"/>
            <w:noWrap/>
            <w:vAlign w:val="bottom"/>
            <w:hideMark/>
          </w:tcPr>
          <w:p w14:paraId="2E4FB36D" w14:textId="77777777" w:rsidR="00F76B72" w:rsidRPr="009F631A" w:rsidRDefault="00F76B72" w:rsidP="00F76B72">
            <w:pPr>
              <w:keepNext/>
              <w:spacing w:after="0" w:line="240" w:lineRule="auto"/>
              <w:jc w:val="center"/>
              <w:rPr>
                <w:rFonts w:eastAsia="Times New Roman"/>
                <w:color w:val="FF0000"/>
              </w:rPr>
            </w:pPr>
            <w:r w:rsidRPr="009F631A">
              <w:rPr>
                <w:rFonts w:eastAsia="Times New Roman"/>
                <w:color w:val="FF0000"/>
              </w:rPr>
              <w:t>-379</w:t>
            </w:r>
          </w:p>
        </w:tc>
        <w:tc>
          <w:tcPr>
            <w:tcW w:w="1683" w:type="pct"/>
            <w:tcBorders>
              <w:top w:val="nil"/>
              <w:left w:val="nil"/>
              <w:bottom w:val="nil"/>
              <w:right w:val="nil"/>
            </w:tcBorders>
            <w:shd w:val="clear" w:color="000000" w:fill="F2F2F2"/>
            <w:noWrap/>
            <w:vAlign w:val="bottom"/>
            <w:hideMark/>
          </w:tcPr>
          <w:p w14:paraId="42A3261A" w14:textId="77777777" w:rsidR="00F76B72" w:rsidRPr="002C4867" w:rsidRDefault="00F76B72" w:rsidP="00F76B72">
            <w:pPr>
              <w:keepNext/>
              <w:spacing w:after="0" w:line="240" w:lineRule="auto"/>
              <w:jc w:val="center"/>
              <w:rPr>
                <w:rFonts w:eastAsia="Times New Roman"/>
              </w:rPr>
            </w:pPr>
            <w:r w:rsidRPr="002C4867">
              <w:rPr>
                <w:rFonts w:eastAsia="Times New Roman"/>
              </w:rPr>
              <w:t>12.6</w:t>
            </w:r>
          </w:p>
        </w:tc>
      </w:tr>
      <w:tr w:rsidR="00F76B72" w:rsidRPr="002C4867" w14:paraId="337AA12A" w14:textId="77777777" w:rsidTr="00F76B72">
        <w:trPr>
          <w:trHeight w:val="300"/>
        </w:trPr>
        <w:tc>
          <w:tcPr>
            <w:tcW w:w="1779" w:type="pct"/>
            <w:tcBorders>
              <w:top w:val="nil"/>
              <w:left w:val="nil"/>
              <w:bottom w:val="nil"/>
              <w:right w:val="nil"/>
            </w:tcBorders>
            <w:shd w:val="clear" w:color="000000" w:fill="F2F2F2"/>
            <w:noWrap/>
            <w:vAlign w:val="bottom"/>
            <w:hideMark/>
          </w:tcPr>
          <w:p w14:paraId="0CC4CEA6" w14:textId="77777777" w:rsidR="00F76B72" w:rsidRPr="002C4867" w:rsidRDefault="00F76B72" w:rsidP="00F76B72">
            <w:pPr>
              <w:keepNext/>
              <w:spacing w:after="0" w:line="240" w:lineRule="auto"/>
              <w:rPr>
                <w:rFonts w:eastAsia="Times New Roman"/>
              </w:rPr>
            </w:pPr>
            <w:r w:rsidRPr="002C4867">
              <w:rPr>
                <w:rFonts w:eastAsia="Times New Roman"/>
              </w:rPr>
              <w:t>Don't know</w:t>
            </w:r>
          </w:p>
        </w:tc>
        <w:tc>
          <w:tcPr>
            <w:tcW w:w="1538" w:type="pct"/>
            <w:tcBorders>
              <w:top w:val="nil"/>
              <w:left w:val="nil"/>
              <w:bottom w:val="nil"/>
              <w:right w:val="nil"/>
            </w:tcBorders>
            <w:shd w:val="clear" w:color="000000" w:fill="F2F2F2"/>
            <w:noWrap/>
            <w:vAlign w:val="bottom"/>
            <w:hideMark/>
          </w:tcPr>
          <w:p w14:paraId="75387F95" w14:textId="77777777" w:rsidR="00F76B72" w:rsidRPr="009F631A" w:rsidRDefault="00F76B72" w:rsidP="00F76B72">
            <w:pPr>
              <w:keepNext/>
              <w:spacing w:after="0" w:line="240" w:lineRule="auto"/>
              <w:jc w:val="center"/>
              <w:rPr>
                <w:rFonts w:eastAsia="Times New Roman"/>
                <w:color w:val="FF0000"/>
              </w:rPr>
            </w:pPr>
            <w:r w:rsidRPr="009F631A">
              <w:rPr>
                <w:rFonts w:eastAsia="Times New Roman"/>
                <w:color w:val="FF0000"/>
              </w:rPr>
              <w:t>-81</w:t>
            </w:r>
          </w:p>
        </w:tc>
        <w:tc>
          <w:tcPr>
            <w:tcW w:w="1683" w:type="pct"/>
            <w:tcBorders>
              <w:top w:val="nil"/>
              <w:left w:val="nil"/>
              <w:bottom w:val="nil"/>
              <w:right w:val="nil"/>
            </w:tcBorders>
            <w:shd w:val="clear" w:color="000000" w:fill="F2F2F2"/>
            <w:noWrap/>
            <w:vAlign w:val="bottom"/>
            <w:hideMark/>
          </w:tcPr>
          <w:p w14:paraId="138369B3" w14:textId="77777777" w:rsidR="00F76B72" w:rsidRPr="002C4867" w:rsidRDefault="00F76B72" w:rsidP="00F76B72">
            <w:pPr>
              <w:keepNext/>
              <w:spacing w:after="0" w:line="240" w:lineRule="auto"/>
              <w:jc w:val="center"/>
              <w:rPr>
                <w:rFonts w:eastAsia="Times New Roman"/>
              </w:rPr>
            </w:pPr>
            <w:r w:rsidRPr="002C4867">
              <w:rPr>
                <w:rFonts w:eastAsia="Times New Roman"/>
              </w:rPr>
              <w:t>17.3</w:t>
            </w:r>
          </w:p>
        </w:tc>
      </w:tr>
      <w:tr w:rsidR="00F76B72" w:rsidRPr="002C4867" w14:paraId="38673819" w14:textId="77777777" w:rsidTr="00F76B72">
        <w:trPr>
          <w:trHeight w:val="300"/>
        </w:trPr>
        <w:tc>
          <w:tcPr>
            <w:tcW w:w="1779" w:type="pct"/>
            <w:tcBorders>
              <w:top w:val="nil"/>
              <w:left w:val="nil"/>
              <w:bottom w:val="nil"/>
              <w:right w:val="nil"/>
            </w:tcBorders>
            <w:shd w:val="clear" w:color="000000" w:fill="F2F2F2"/>
            <w:noWrap/>
            <w:vAlign w:val="bottom"/>
            <w:hideMark/>
          </w:tcPr>
          <w:p w14:paraId="02859763" w14:textId="77777777" w:rsidR="00F76B72" w:rsidRPr="002C4867" w:rsidRDefault="00F76B72" w:rsidP="00F76B72">
            <w:pPr>
              <w:keepNext/>
              <w:spacing w:after="0" w:line="240" w:lineRule="auto"/>
              <w:rPr>
                <w:rFonts w:eastAsia="Times New Roman"/>
              </w:rPr>
            </w:pPr>
            <w:r w:rsidRPr="002C4867">
              <w:rPr>
                <w:rFonts w:eastAsia="Times New Roman"/>
              </w:rPr>
              <w:t> </w:t>
            </w:r>
          </w:p>
        </w:tc>
        <w:tc>
          <w:tcPr>
            <w:tcW w:w="1538" w:type="pct"/>
            <w:tcBorders>
              <w:top w:val="nil"/>
              <w:left w:val="nil"/>
              <w:bottom w:val="nil"/>
              <w:right w:val="nil"/>
            </w:tcBorders>
            <w:shd w:val="clear" w:color="000000" w:fill="F2F2F2"/>
            <w:noWrap/>
            <w:vAlign w:val="bottom"/>
            <w:hideMark/>
          </w:tcPr>
          <w:p w14:paraId="5A0D5D3F" w14:textId="77777777" w:rsidR="00F76B72" w:rsidRPr="002C4867" w:rsidRDefault="00F76B72" w:rsidP="00F76B72">
            <w:pPr>
              <w:keepNext/>
              <w:spacing w:after="0" w:line="240" w:lineRule="auto"/>
              <w:jc w:val="center"/>
              <w:rPr>
                <w:rFonts w:eastAsia="Times New Roman"/>
              </w:rPr>
            </w:pPr>
            <w:r w:rsidRPr="002C4867">
              <w:rPr>
                <w:rFonts w:eastAsia="Times New Roman"/>
              </w:rPr>
              <w:t> </w:t>
            </w:r>
          </w:p>
        </w:tc>
        <w:tc>
          <w:tcPr>
            <w:tcW w:w="1683" w:type="pct"/>
            <w:tcBorders>
              <w:top w:val="nil"/>
              <w:left w:val="nil"/>
              <w:bottom w:val="nil"/>
              <w:right w:val="nil"/>
            </w:tcBorders>
            <w:shd w:val="clear" w:color="000000" w:fill="F2F2F2"/>
            <w:noWrap/>
            <w:vAlign w:val="bottom"/>
            <w:hideMark/>
          </w:tcPr>
          <w:p w14:paraId="4DBF2124" w14:textId="77777777" w:rsidR="00F76B72" w:rsidRPr="002C4867" w:rsidRDefault="00F76B72" w:rsidP="00F76B72">
            <w:pPr>
              <w:keepNext/>
              <w:spacing w:after="0" w:line="240" w:lineRule="auto"/>
              <w:jc w:val="center"/>
              <w:rPr>
                <w:rFonts w:eastAsia="Times New Roman"/>
              </w:rPr>
            </w:pPr>
            <w:r w:rsidRPr="002C4867">
              <w:rPr>
                <w:rFonts w:eastAsia="Times New Roman"/>
              </w:rPr>
              <w:t> </w:t>
            </w:r>
          </w:p>
        </w:tc>
      </w:tr>
      <w:tr w:rsidR="00F76B72" w:rsidRPr="002C4867" w14:paraId="5E929E79" w14:textId="77777777" w:rsidTr="00F76B72">
        <w:trPr>
          <w:trHeight w:val="300"/>
        </w:trPr>
        <w:tc>
          <w:tcPr>
            <w:tcW w:w="1779" w:type="pct"/>
            <w:tcBorders>
              <w:top w:val="nil"/>
              <w:left w:val="nil"/>
              <w:bottom w:val="nil"/>
              <w:right w:val="nil"/>
            </w:tcBorders>
            <w:shd w:val="clear" w:color="000000" w:fill="F2F2F2"/>
            <w:noWrap/>
            <w:hideMark/>
          </w:tcPr>
          <w:p w14:paraId="6ADFDEA3" w14:textId="77777777" w:rsidR="00F76B72" w:rsidRPr="002C4867" w:rsidRDefault="00F76B72" w:rsidP="00F76B72">
            <w:pPr>
              <w:keepNext/>
              <w:spacing w:after="0" w:line="240" w:lineRule="auto"/>
              <w:jc w:val="center"/>
              <w:rPr>
                <w:rFonts w:eastAsia="Times New Roman"/>
                <w:u w:val="single"/>
              </w:rPr>
            </w:pPr>
            <w:r w:rsidRPr="002C4867">
              <w:rPr>
                <w:rFonts w:eastAsia="Times New Roman"/>
                <w:u w:val="single"/>
              </w:rPr>
              <w:t>Six Americas indicator</w:t>
            </w:r>
          </w:p>
        </w:tc>
        <w:tc>
          <w:tcPr>
            <w:tcW w:w="1538" w:type="pct"/>
            <w:tcBorders>
              <w:top w:val="nil"/>
              <w:left w:val="nil"/>
              <w:bottom w:val="nil"/>
              <w:right w:val="nil"/>
            </w:tcBorders>
            <w:shd w:val="clear" w:color="000000" w:fill="F2F2F2"/>
            <w:noWrap/>
            <w:vAlign w:val="bottom"/>
            <w:hideMark/>
          </w:tcPr>
          <w:p w14:paraId="296CFEF7" w14:textId="77777777" w:rsidR="00F76B72" w:rsidRPr="002C4867" w:rsidRDefault="00F76B72" w:rsidP="00F76B72">
            <w:pPr>
              <w:keepNext/>
              <w:spacing w:after="0" w:line="240" w:lineRule="auto"/>
              <w:jc w:val="center"/>
              <w:rPr>
                <w:rFonts w:eastAsia="Times New Roman"/>
              </w:rPr>
            </w:pPr>
            <w:r w:rsidRPr="002C4867">
              <w:rPr>
                <w:rFonts w:eastAsia="Times New Roman"/>
              </w:rPr>
              <w:t> </w:t>
            </w:r>
          </w:p>
        </w:tc>
        <w:tc>
          <w:tcPr>
            <w:tcW w:w="1683" w:type="pct"/>
            <w:tcBorders>
              <w:top w:val="nil"/>
              <w:left w:val="nil"/>
              <w:bottom w:val="nil"/>
              <w:right w:val="nil"/>
            </w:tcBorders>
            <w:shd w:val="clear" w:color="000000" w:fill="F2F2F2"/>
            <w:noWrap/>
            <w:vAlign w:val="bottom"/>
            <w:hideMark/>
          </w:tcPr>
          <w:p w14:paraId="557E04FF" w14:textId="77777777" w:rsidR="00F76B72" w:rsidRPr="002C4867" w:rsidRDefault="00F76B72" w:rsidP="00F76B72">
            <w:pPr>
              <w:keepNext/>
              <w:spacing w:after="0" w:line="240" w:lineRule="auto"/>
              <w:jc w:val="center"/>
              <w:rPr>
                <w:rFonts w:eastAsia="Times New Roman"/>
              </w:rPr>
            </w:pPr>
            <w:r w:rsidRPr="002C4867">
              <w:rPr>
                <w:rFonts w:eastAsia="Times New Roman"/>
              </w:rPr>
              <w:t> </w:t>
            </w:r>
          </w:p>
        </w:tc>
      </w:tr>
      <w:tr w:rsidR="00F76B72" w:rsidRPr="002C4867" w14:paraId="0183796C" w14:textId="77777777" w:rsidTr="00F76B72">
        <w:trPr>
          <w:trHeight w:val="300"/>
        </w:trPr>
        <w:tc>
          <w:tcPr>
            <w:tcW w:w="1779" w:type="pct"/>
            <w:tcBorders>
              <w:top w:val="nil"/>
              <w:left w:val="nil"/>
              <w:bottom w:val="nil"/>
              <w:right w:val="nil"/>
            </w:tcBorders>
            <w:shd w:val="clear" w:color="000000" w:fill="F2F2F2"/>
            <w:noWrap/>
            <w:vAlign w:val="bottom"/>
            <w:hideMark/>
          </w:tcPr>
          <w:p w14:paraId="39D6811E" w14:textId="77777777" w:rsidR="00F76B72" w:rsidRPr="002C4867" w:rsidRDefault="00F76B72" w:rsidP="00F76B72">
            <w:pPr>
              <w:keepNext/>
              <w:spacing w:after="0" w:line="240" w:lineRule="auto"/>
              <w:rPr>
                <w:rFonts w:eastAsia="Times New Roman"/>
              </w:rPr>
            </w:pPr>
            <w:r w:rsidRPr="002C4867">
              <w:rPr>
                <w:rFonts w:eastAsia="Times New Roman"/>
              </w:rPr>
              <w:t>Alarmed</w:t>
            </w:r>
          </w:p>
        </w:tc>
        <w:tc>
          <w:tcPr>
            <w:tcW w:w="1538" w:type="pct"/>
            <w:tcBorders>
              <w:top w:val="nil"/>
              <w:left w:val="nil"/>
              <w:bottom w:val="nil"/>
              <w:right w:val="nil"/>
            </w:tcBorders>
            <w:shd w:val="clear" w:color="000000" w:fill="F2F2F2"/>
            <w:noWrap/>
            <w:vAlign w:val="bottom"/>
            <w:hideMark/>
          </w:tcPr>
          <w:p w14:paraId="75242AB8" w14:textId="77777777" w:rsidR="00F76B72" w:rsidRPr="002C4867" w:rsidRDefault="00F76B72" w:rsidP="00F76B72">
            <w:pPr>
              <w:keepNext/>
              <w:spacing w:after="0" w:line="240" w:lineRule="auto"/>
              <w:jc w:val="center"/>
              <w:rPr>
                <w:rFonts w:eastAsia="Times New Roman"/>
              </w:rPr>
            </w:pPr>
            <w:r w:rsidRPr="002C4867">
              <w:rPr>
                <w:rFonts w:eastAsia="Times New Roman"/>
              </w:rPr>
              <w:t>435</w:t>
            </w:r>
          </w:p>
        </w:tc>
        <w:tc>
          <w:tcPr>
            <w:tcW w:w="1683" w:type="pct"/>
            <w:tcBorders>
              <w:top w:val="nil"/>
              <w:left w:val="nil"/>
              <w:bottom w:val="nil"/>
              <w:right w:val="nil"/>
            </w:tcBorders>
            <w:shd w:val="clear" w:color="000000" w:fill="F2F2F2"/>
            <w:noWrap/>
            <w:vAlign w:val="bottom"/>
            <w:hideMark/>
          </w:tcPr>
          <w:p w14:paraId="0787D859" w14:textId="77777777" w:rsidR="00F76B72" w:rsidRPr="002C4867" w:rsidRDefault="00F76B72" w:rsidP="00F76B72">
            <w:pPr>
              <w:keepNext/>
              <w:spacing w:after="0" w:line="240" w:lineRule="auto"/>
              <w:jc w:val="center"/>
              <w:rPr>
                <w:rFonts w:eastAsia="Times New Roman"/>
              </w:rPr>
            </w:pPr>
            <w:r w:rsidRPr="002C4867">
              <w:rPr>
                <w:rFonts w:eastAsia="Times New Roman"/>
              </w:rPr>
              <w:t>18.4</w:t>
            </w:r>
          </w:p>
        </w:tc>
      </w:tr>
      <w:tr w:rsidR="00F76B72" w:rsidRPr="002C4867" w14:paraId="6AA6947A" w14:textId="77777777" w:rsidTr="00F76B72">
        <w:trPr>
          <w:trHeight w:val="300"/>
        </w:trPr>
        <w:tc>
          <w:tcPr>
            <w:tcW w:w="1779" w:type="pct"/>
            <w:tcBorders>
              <w:top w:val="nil"/>
              <w:left w:val="nil"/>
              <w:bottom w:val="nil"/>
              <w:right w:val="nil"/>
            </w:tcBorders>
            <w:shd w:val="clear" w:color="000000" w:fill="F2F2F2"/>
            <w:noWrap/>
            <w:vAlign w:val="bottom"/>
            <w:hideMark/>
          </w:tcPr>
          <w:p w14:paraId="2BD5C25B" w14:textId="77777777" w:rsidR="00F76B72" w:rsidRPr="002C4867" w:rsidRDefault="00F76B72" w:rsidP="00F76B72">
            <w:pPr>
              <w:keepNext/>
              <w:spacing w:after="0" w:line="240" w:lineRule="auto"/>
              <w:rPr>
                <w:rFonts w:eastAsia="Times New Roman"/>
              </w:rPr>
            </w:pPr>
            <w:r w:rsidRPr="002C4867">
              <w:rPr>
                <w:rFonts w:eastAsia="Times New Roman"/>
              </w:rPr>
              <w:t>Concerned</w:t>
            </w:r>
          </w:p>
        </w:tc>
        <w:tc>
          <w:tcPr>
            <w:tcW w:w="1538" w:type="pct"/>
            <w:tcBorders>
              <w:top w:val="nil"/>
              <w:left w:val="nil"/>
              <w:bottom w:val="nil"/>
              <w:right w:val="nil"/>
            </w:tcBorders>
            <w:shd w:val="clear" w:color="000000" w:fill="F2F2F2"/>
            <w:noWrap/>
            <w:vAlign w:val="bottom"/>
            <w:hideMark/>
          </w:tcPr>
          <w:p w14:paraId="428DF7A6" w14:textId="77777777" w:rsidR="00F76B72" w:rsidRPr="002C4867" w:rsidRDefault="00F76B72" w:rsidP="00F76B72">
            <w:pPr>
              <w:keepNext/>
              <w:spacing w:after="0" w:line="240" w:lineRule="auto"/>
              <w:jc w:val="center"/>
              <w:rPr>
                <w:rFonts w:eastAsia="Times New Roman"/>
              </w:rPr>
            </w:pPr>
            <w:r w:rsidRPr="002C4867">
              <w:rPr>
                <w:rFonts w:eastAsia="Times New Roman"/>
              </w:rPr>
              <w:t>318</w:t>
            </w:r>
          </w:p>
        </w:tc>
        <w:tc>
          <w:tcPr>
            <w:tcW w:w="1683" w:type="pct"/>
            <w:tcBorders>
              <w:top w:val="nil"/>
              <w:left w:val="nil"/>
              <w:bottom w:val="nil"/>
              <w:right w:val="nil"/>
            </w:tcBorders>
            <w:shd w:val="clear" w:color="000000" w:fill="F2F2F2"/>
            <w:noWrap/>
            <w:vAlign w:val="bottom"/>
            <w:hideMark/>
          </w:tcPr>
          <w:p w14:paraId="5B62716F" w14:textId="77777777" w:rsidR="00F76B72" w:rsidRPr="002C4867" w:rsidRDefault="00F76B72" w:rsidP="00F76B72">
            <w:pPr>
              <w:keepNext/>
              <w:spacing w:after="0" w:line="240" w:lineRule="auto"/>
              <w:jc w:val="center"/>
              <w:rPr>
                <w:rFonts w:eastAsia="Times New Roman"/>
              </w:rPr>
            </w:pPr>
            <w:r w:rsidRPr="002C4867">
              <w:rPr>
                <w:rFonts w:eastAsia="Times New Roman"/>
              </w:rPr>
              <w:t>34.0</w:t>
            </w:r>
          </w:p>
        </w:tc>
      </w:tr>
      <w:tr w:rsidR="00F76B72" w:rsidRPr="002C4867" w14:paraId="469938B5" w14:textId="77777777" w:rsidTr="00F76B72">
        <w:trPr>
          <w:trHeight w:val="300"/>
        </w:trPr>
        <w:tc>
          <w:tcPr>
            <w:tcW w:w="1779" w:type="pct"/>
            <w:tcBorders>
              <w:top w:val="nil"/>
              <w:left w:val="nil"/>
              <w:bottom w:val="nil"/>
              <w:right w:val="nil"/>
            </w:tcBorders>
            <w:shd w:val="clear" w:color="000000" w:fill="F2F2F2"/>
            <w:noWrap/>
            <w:vAlign w:val="bottom"/>
            <w:hideMark/>
          </w:tcPr>
          <w:p w14:paraId="139AEE68" w14:textId="77777777" w:rsidR="00F76B72" w:rsidRPr="002C4867" w:rsidRDefault="00F76B72" w:rsidP="00F76B72">
            <w:pPr>
              <w:keepNext/>
              <w:spacing w:after="0" w:line="240" w:lineRule="auto"/>
              <w:rPr>
                <w:rFonts w:eastAsia="Times New Roman"/>
              </w:rPr>
            </w:pPr>
            <w:r w:rsidRPr="002C4867">
              <w:rPr>
                <w:rFonts w:eastAsia="Times New Roman"/>
              </w:rPr>
              <w:t>Cautious</w:t>
            </w:r>
          </w:p>
        </w:tc>
        <w:tc>
          <w:tcPr>
            <w:tcW w:w="1538" w:type="pct"/>
            <w:tcBorders>
              <w:top w:val="nil"/>
              <w:left w:val="nil"/>
              <w:bottom w:val="nil"/>
              <w:right w:val="nil"/>
            </w:tcBorders>
            <w:shd w:val="clear" w:color="000000" w:fill="F2F2F2"/>
            <w:noWrap/>
            <w:vAlign w:val="bottom"/>
            <w:hideMark/>
          </w:tcPr>
          <w:p w14:paraId="39B8B657" w14:textId="77777777" w:rsidR="00F76B72" w:rsidRPr="002C4867" w:rsidRDefault="00F76B72" w:rsidP="00F76B72">
            <w:pPr>
              <w:keepNext/>
              <w:spacing w:after="0" w:line="240" w:lineRule="auto"/>
              <w:jc w:val="center"/>
              <w:rPr>
                <w:rFonts w:eastAsia="Times New Roman"/>
              </w:rPr>
            </w:pPr>
            <w:r w:rsidRPr="002C4867">
              <w:rPr>
                <w:rFonts w:eastAsia="Times New Roman"/>
              </w:rPr>
              <w:t>77</w:t>
            </w:r>
          </w:p>
        </w:tc>
        <w:tc>
          <w:tcPr>
            <w:tcW w:w="1683" w:type="pct"/>
            <w:tcBorders>
              <w:top w:val="nil"/>
              <w:left w:val="nil"/>
              <w:bottom w:val="nil"/>
              <w:right w:val="nil"/>
            </w:tcBorders>
            <w:shd w:val="clear" w:color="000000" w:fill="F2F2F2"/>
            <w:noWrap/>
            <w:vAlign w:val="bottom"/>
            <w:hideMark/>
          </w:tcPr>
          <w:p w14:paraId="7E380809" w14:textId="77777777" w:rsidR="00F76B72" w:rsidRPr="002C4867" w:rsidRDefault="00F76B72" w:rsidP="00F76B72">
            <w:pPr>
              <w:keepNext/>
              <w:spacing w:after="0" w:line="240" w:lineRule="auto"/>
              <w:jc w:val="center"/>
              <w:rPr>
                <w:rFonts w:eastAsia="Times New Roman"/>
              </w:rPr>
            </w:pPr>
            <w:r w:rsidRPr="002C4867">
              <w:rPr>
                <w:rFonts w:eastAsia="Times New Roman"/>
              </w:rPr>
              <w:t>22.8</w:t>
            </w:r>
          </w:p>
        </w:tc>
      </w:tr>
      <w:tr w:rsidR="00F76B72" w:rsidRPr="002C4867" w14:paraId="2F866375" w14:textId="77777777" w:rsidTr="00F76B72">
        <w:trPr>
          <w:trHeight w:val="300"/>
        </w:trPr>
        <w:tc>
          <w:tcPr>
            <w:tcW w:w="1779" w:type="pct"/>
            <w:tcBorders>
              <w:top w:val="nil"/>
              <w:left w:val="nil"/>
              <w:bottom w:val="nil"/>
              <w:right w:val="nil"/>
            </w:tcBorders>
            <w:shd w:val="clear" w:color="000000" w:fill="F2F2F2"/>
            <w:noWrap/>
            <w:vAlign w:val="bottom"/>
            <w:hideMark/>
          </w:tcPr>
          <w:p w14:paraId="7F213FE8" w14:textId="77777777" w:rsidR="00F76B72" w:rsidRPr="002C4867" w:rsidRDefault="00F76B72" w:rsidP="00F76B72">
            <w:pPr>
              <w:keepNext/>
              <w:spacing w:after="0" w:line="240" w:lineRule="auto"/>
              <w:rPr>
                <w:rFonts w:eastAsia="Times New Roman"/>
              </w:rPr>
            </w:pPr>
            <w:r w:rsidRPr="002C4867">
              <w:rPr>
                <w:rFonts w:eastAsia="Times New Roman"/>
              </w:rPr>
              <w:t>Disengaged</w:t>
            </w:r>
          </w:p>
        </w:tc>
        <w:tc>
          <w:tcPr>
            <w:tcW w:w="1538" w:type="pct"/>
            <w:tcBorders>
              <w:top w:val="nil"/>
              <w:left w:val="nil"/>
              <w:bottom w:val="nil"/>
              <w:right w:val="nil"/>
            </w:tcBorders>
            <w:shd w:val="clear" w:color="000000" w:fill="F2F2F2"/>
            <w:noWrap/>
            <w:vAlign w:val="bottom"/>
            <w:hideMark/>
          </w:tcPr>
          <w:p w14:paraId="399DA46A" w14:textId="77777777" w:rsidR="00F76B72" w:rsidRPr="009F631A" w:rsidRDefault="00F76B72" w:rsidP="00F76B72">
            <w:pPr>
              <w:keepNext/>
              <w:spacing w:after="0" w:line="240" w:lineRule="auto"/>
              <w:jc w:val="center"/>
              <w:rPr>
                <w:rFonts w:eastAsia="Times New Roman"/>
                <w:color w:val="FF0000"/>
              </w:rPr>
            </w:pPr>
            <w:r w:rsidRPr="009F631A">
              <w:rPr>
                <w:rFonts w:eastAsia="Times New Roman"/>
                <w:color w:val="FF0000"/>
              </w:rPr>
              <w:t>-2</w:t>
            </w:r>
          </w:p>
        </w:tc>
        <w:tc>
          <w:tcPr>
            <w:tcW w:w="1683" w:type="pct"/>
            <w:tcBorders>
              <w:top w:val="nil"/>
              <w:left w:val="nil"/>
              <w:bottom w:val="nil"/>
              <w:right w:val="nil"/>
            </w:tcBorders>
            <w:shd w:val="clear" w:color="000000" w:fill="F2F2F2"/>
            <w:noWrap/>
            <w:vAlign w:val="bottom"/>
            <w:hideMark/>
          </w:tcPr>
          <w:p w14:paraId="6FB9372B" w14:textId="77777777" w:rsidR="00F76B72" w:rsidRPr="002C4867" w:rsidRDefault="00F76B72" w:rsidP="00F76B72">
            <w:pPr>
              <w:keepNext/>
              <w:spacing w:after="0" w:line="240" w:lineRule="auto"/>
              <w:jc w:val="center"/>
              <w:rPr>
                <w:rFonts w:eastAsia="Times New Roman"/>
              </w:rPr>
            </w:pPr>
            <w:r w:rsidRPr="002C4867">
              <w:rPr>
                <w:rFonts w:eastAsia="Times New Roman"/>
              </w:rPr>
              <w:t>5.2</w:t>
            </w:r>
          </w:p>
        </w:tc>
      </w:tr>
      <w:tr w:rsidR="00F76B72" w:rsidRPr="002C4867" w14:paraId="18CB833E" w14:textId="77777777" w:rsidTr="00F76B72">
        <w:trPr>
          <w:trHeight w:val="300"/>
        </w:trPr>
        <w:tc>
          <w:tcPr>
            <w:tcW w:w="1779" w:type="pct"/>
            <w:tcBorders>
              <w:top w:val="nil"/>
              <w:left w:val="nil"/>
              <w:bottom w:val="nil"/>
              <w:right w:val="nil"/>
            </w:tcBorders>
            <w:shd w:val="clear" w:color="000000" w:fill="F2F2F2"/>
            <w:noWrap/>
            <w:vAlign w:val="bottom"/>
            <w:hideMark/>
          </w:tcPr>
          <w:p w14:paraId="51A25CA4" w14:textId="77777777" w:rsidR="00F76B72" w:rsidRPr="002C4867" w:rsidRDefault="00F76B72" w:rsidP="00F76B72">
            <w:pPr>
              <w:keepNext/>
              <w:spacing w:after="0" w:line="240" w:lineRule="auto"/>
              <w:rPr>
                <w:rFonts w:eastAsia="Times New Roman"/>
              </w:rPr>
            </w:pPr>
            <w:r w:rsidRPr="002C4867">
              <w:rPr>
                <w:rFonts w:eastAsia="Times New Roman"/>
              </w:rPr>
              <w:t>Doubtful</w:t>
            </w:r>
          </w:p>
        </w:tc>
        <w:tc>
          <w:tcPr>
            <w:tcW w:w="1538" w:type="pct"/>
            <w:tcBorders>
              <w:top w:val="nil"/>
              <w:left w:val="nil"/>
              <w:bottom w:val="nil"/>
              <w:right w:val="nil"/>
            </w:tcBorders>
            <w:shd w:val="clear" w:color="000000" w:fill="F2F2F2"/>
            <w:noWrap/>
            <w:vAlign w:val="bottom"/>
            <w:hideMark/>
          </w:tcPr>
          <w:p w14:paraId="5CC8D0F3" w14:textId="77777777" w:rsidR="00F76B72" w:rsidRPr="009F631A" w:rsidRDefault="00F76B72" w:rsidP="00F76B72">
            <w:pPr>
              <w:keepNext/>
              <w:spacing w:after="0" w:line="240" w:lineRule="auto"/>
              <w:jc w:val="center"/>
              <w:rPr>
                <w:rFonts w:eastAsia="Times New Roman"/>
                <w:color w:val="FF0000"/>
              </w:rPr>
            </w:pPr>
            <w:r w:rsidRPr="009F631A">
              <w:rPr>
                <w:rFonts w:eastAsia="Times New Roman"/>
                <w:color w:val="FF0000"/>
              </w:rPr>
              <w:t>-173</w:t>
            </w:r>
          </w:p>
        </w:tc>
        <w:tc>
          <w:tcPr>
            <w:tcW w:w="1683" w:type="pct"/>
            <w:tcBorders>
              <w:top w:val="nil"/>
              <w:left w:val="nil"/>
              <w:bottom w:val="nil"/>
              <w:right w:val="nil"/>
            </w:tcBorders>
            <w:shd w:val="clear" w:color="000000" w:fill="F2F2F2"/>
            <w:noWrap/>
            <w:vAlign w:val="bottom"/>
            <w:hideMark/>
          </w:tcPr>
          <w:p w14:paraId="1F04DE29" w14:textId="77777777" w:rsidR="00F76B72" w:rsidRPr="002C4867" w:rsidRDefault="00F76B72" w:rsidP="00F76B72">
            <w:pPr>
              <w:keepNext/>
              <w:spacing w:after="0" w:line="240" w:lineRule="auto"/>
              <w:jc w:val="center"/>
              <w:rPr>
                <w:rFonts w:eastAsia="Times New Roman"/>
              </w:rPr>
            </w:pPr>
            <w:r w:rsidRPr="002C4867">
              <w:rPr>
                <w:rFonts w:eastAsia="Times New Roman"/>
              </w:rPr>
              <w:t>10.5</w:t>
            </w:r>
          </w:p>
        </w:tc>
      </w:tr>
      <w:tr w:rsidR="00F76B72" w:rsidRPr="002C4867" w14:paraId="5085623E" w14:textId="77777777" w:rsidTr="00F76B72">
        <w:trPr>
          <w:trHeight w:val="300"/>
        </w:trPr>
        <w:tc>
          <w:tcPr>
            <w:tcW w:w="1779" w:type="pct"/>
            <w:tcBorders>
              <w:top w:val="nil"/>
              <w:left w:val="nil"/>
              <w:bottom w:val="single" w:sz="4" w:space="0" w:color="auto"/>
              <w:right w:val="nil"/>
            </w:tcBorders>
            <w:shd w:val="clear" w:color="000000" w:fill="F2F2F2"/>
            <w:noWrap/>
            <w:vAlign w:val="bottom"/>
            <w:hideMark/>
          </w:tcPr>
          <w:p w14:paraId="5276ABC7" w14:textId="77777777" w:rsidR="00F76B72" w:rsidRPr="002C4867" w:rsidRDefault="00F76B72" w:rsidP="00F76B72">
            <w:pPr>
              <w:keepNext/>
              <w:spacing w:after="0" w:line="240" w:lineRule="auto"/>
              <w:rPr>
                <w:rFonts w:eastAsia="Times New Roman"/>
              </w:rPr>
            </w:pPr>
            <w:r w:rsidRPr="002C4867">
              <w:rPr>
                <w:rFonts w:eastAsia="Times New Roman"/>
              </w:rPr>
              <w:t>Dismissive</w:t>
            </w:r>
          </w:p>
        </w:tc>
        <w:tc>
          <w:tcPr>
            <w:tcW w:w="1538" w:type="pct"/>
            <w:tcBorders>
              <w:top w:val="nil"/>
              <w:left w:val="nil"/>
              <w:bottom w:val="single" w:sz="4" w:space="0" w:color="auto"/>
              <w:right w:val="nil"/>
            </w:tcBorders>
            <w:shd w:val="clear" w:color="000000" w:fill="F2F2F2"/>
            <w:noWrap/>
            <w:vAlign w:val="bottom"/>
            <w:hideMark/>
          </w:tcPr>
          <w:p w14:paraId="2DA8CB5C" w14:textId="77777777" w:rsidR="00F76B72" w:rsidRPr="009F631A" w:rsidRDefault="00F76B72" w:rsidP="00F76B72">
            <w:pPr>
              <w:keepNext/>
              <w:spacing w:after="0" w:line="240" w:lineRule="auto"/>
              <w:jc w:val="center"/>
              <w:rPr>
                <w:rFonts w:eastAsia="Times New Roman"/>
                <w:color w:val="FF0000"/>
              </w:rPr>
            </w:pPr>
            <w:r w:rsidRPr="009F631A">
              <w:rPr>
                <w:rFonts w:eastAsia="Times New Roman"/>
                <w:color w:val="FF0000"/>
              </w:rPr>
              <w:t>-361</w:t>
            </w:r>
          </w:p>
        </w:tc>
        <w:tc>
          <w:tcPr>
            <w:tcW w:w="1683" w:type="pct"/>
            <w:tcBorders>
              <w:top w:val="nil"/>
              <w:left w:val="nil"/>
              <w:bottom w:val="single" w:sz="4" w:space="0" w:color="auto"/>
              <w:right w:val="nil"/>
            </w:tcBorders>
            <w:shd w:val="clear" w:color="000000" w:fill="F2F2F2"/>
            <w:noWrap/>
            <w:vAlign w:val="bottom"/>
            <w:hideMark/>
          </w:tcPr>
          <w:p w14:paraId="3F8E48A3" w14:textId="77777777" w:rsidR="00F76B72" w:rsidRPr="002C4867" w:rsidRDefault="00F76B72" w:rsidP="00F76B72">
            <w:pPr>
              <w:keepNext/>
              <w:spacing w:after="0" w:line="240" w:lineRule="auto"/>
              <w:jc w:val="center"/>
              <w:rPr>
                <w:rFonts w:eastAsia="Times New Roman"/>
              </w:rPr>
            </w:pPr>
            <w:r w:rsidRPr="002C4867">
              <w:rPr>
                <w:rFonts w:eastAsia="Times New Roman"/>
              </w:rPr>
              <w:t>9.1</w:t>
            </w:r>
          </w:p>
        </w:tc>
      </w:tr>
      <w:tr w:rsidR="00F76B72" w:rsidRPr="002C4867" w14:paraId="09FF5991" w14:textId="77777777" w:rsidTr="00F76B72">
        <w:trPr>
          <w:trHeight w:val="300"/>
        </w:trPr>
        <w:tc>
          <w:tcPr>
            <w:tcW w:w="5000" w:type="pct"/>
            <w:gridSpan w:val="3"/>
            <w:tcBorders>
              <w:top w:val="single" w:sz="4" w:space="0" w:color="auto"/>
              <w:left w:val="nil"/>
              <w:bottom w:val="nil"/>
              <w:right w:val="nil"/>
            </w:tcBorders>
            <w:shd w:val="clear" w:color="000000" w:fill="F2F2F2"/>
            <w:noWrap/>
            <w:hideMark/>
          </w:tcPr>
          <w:p w14:paraId="2816B3E0" w14:textId="77777777" w:rsidR="00F76B72" w:rsidRPr="002C4867" w:rsidRDefault="00F76B72" w:rsidP="00F76B72">
            <w:pPr>
              <w:keepNext/>
              <w:spacing w:after="0" w:line="240" w:lineRule="auto"/>
              <w:rPr>
                <w:rFonts w:eastAsia="Times New Roman"/>
                <w:sz w:val="18"/>
                <w:szCs w:val="18"/>
              </w:rPr>
            </w:pPr>
            <w:r w:rsidRPr="002C4867">
              <w:rPr>
                <w:rFonts w:eastAsia="Times New Roman"/>
                <w:sz w:val="18"/>
                <w:szCs w:val="18"/>
              </w:rPr>
              <w:t> </w:t>
            </w:r>
          </w:p>
        </w:tc>
      </w:tr>
    </w:tbl>
    <w:p w14:paraId="241BC434" w14:textId="77777777" w:rsidR="00F76B72" w:rsidRDefault="000F0E0B" w:rsidP="0052424D">
      <w:pPr>
        <w:pStyle w:val="Heading1"/>
        <w:spacing w:line="360" w:lineRule="auto"/>
      </w:pPr>
      <w:bookmarkStart w:id="12" w:name="_Toc479624358"/>
      <w:bookmarkStart w:id="13" w:name="_Toc482127032"/>
      <w:bookmarkStart w:id="14" w:name="_Toc482187982"/>
      <w:r>
        <w:t>C</w:t>
      </w:r>
      <w:r w:rsidR="00F76B72">
        <w:t>onclusion</w:t>
      </w:r>
      <w:bookmarkEnd w:id="12"/>
      <w:bookmarkEnd w:id="13"/>
      <w:bookmarkEnd w:id="14"/>
    </w:p>
    <w:p w14:paraId="5842BF07" w14:textId="77777777" w:rsidR="00F76B72" w:rsidRDefault="00F76B72" w:rsidP="0052424D">
      <w:pPr>
        <w:spacing w:line="360" w:lineRule="auto"/>
        <w:rPr>
          <w:rFonts w:eastAsia="Times New Roman"/>
        </w:rPr>
      </w:pPr>
      <w:r>
        <w:t xml:space="preserve">The primary result, a mean WTP of $177, informs on </w:t>
      </w:r>
      <w:r w:rsidR="000F0E0B">
        <w:t>average</w:t>
      </w:r>
      <w:r>
        <w:t xml:space="preserve"> support for the proposed measure in the United States.  In combination with the distributional preferences </w:t>
      </w:r>
      <w:r w:rsidR="000F0E0B">
        <w:t>from</w:t>
      </w:r>
      <w:r>
        <w:t xml:space="preserve"> Table </w:t>
      </w:r>
      <w:r w:rsidR="000F0E0B">
        <w:t>2</w:t>
      </w:r>
      <w:r>
        <w:t>, it estimates support for climate change mitigation and</w:t>
      </w:r>
      <w:r w:rsidR="000F0E0B">
        <w:t xml:space="preserve"> subsequent</w:t>
      </w:r>
      <w:r>
        <w:t xml:space="preserve"> compensatory measures.  </w:t>
      </w:r>
      <w:r w:rsidR="000F0E0B">
        <w:t>A particularly important consideration in garnering approval for such a policy is whether</w:t>
      </w:r>
      <w:r>
        <w:t xml:space="preserve"> support to </w:t>
      </w:r>
      <w:r>
        <w:rPr>
          <w:rFonts w:eastAsia="Times New Roman"/>
        </w:rPr>
        <w:t>as</w:t>
      </w:r>
      <w:r w:rsidRPr="001C271C">
        <w:rPr>
          <w:rFonts w:eastAsia="Times New Roman"/>
        </w:rPr>
        <w:t xml:space="preserve">sist workers in the coal industry </w:t>
      </w:r>
      <w:r w:rsidR="000F0E0B">
        <w:rPr>
          <w:rFonts w:eastAsia="Times New Roman"/>
        </w:rPr>
        <w:t>who are displaced is sufficient to fully compensate for lost wages</w:t>
      </w:r>
      <w:r>
        <w:rPr>
          <w:rFonts w:eastAsia="Times New Roman"/>
        </w:rPr>
        <w:t>.</w:t>
      </w:r>
    </w:p>
    <w:p w14:paraId="13A75BF8" w14:textId="77777777" w:rsidR="00F76B72" w:rsidRDefault="00F76B72" w:rsidP="0052424D">
      <w:pPr>
        <w:spacing w:before="120" w:line="360" w:lineRule="auto"/>
        <w:rPr>
          <w:rFonts w:eastAsia="Times New Roman"/>
        </w:rPr>
      </w:pPr>
      <w:r>
        <w:rPr>
          <w:rFonts w:eastAsia="Times New Roman"/>
        </w:rPr>
        <w:t xml:space="preserve">Using </w:t>
      </w:r>
      <w:r w:rsidR="00947B20">
        <w:rPr>
          <w:rFonts w:eastAsia="Times New Roman"/>
        </w:rPr>
        <w:t>the</w:t>
      </w:r>
      <w:r>
        <w:rPr>
          <w:rFonts w:eastAsia="Times New Roman"/>
        </w:rPr>
        <w:t xml:space="preserve"> mean WTP measure of $177 and data on the number of U.S. households from the Current Population Survey (U.S. Census Bureau, 2016), national</w:t>
      </w:r>
      <w:r w:rsidR="00947B20">
        <w:rPr>
          <w:rFonts w:eastAsia="Times New Roman"/>
        </w:rPr>
        <w:t>ly</w:t>
      </w:r>
      <w:r>
        <w:rPr>
          <w:rFonts w:eastAsia="Times New Roman"/>
        </w:rPr>
        <w:t xml:space="preserve"> aggregate</w:t>
      </w:r>
      <w:r w:rsidR="00947B20">
        <w:rPr>
          <w:rFonts w:eastAsia="Times New Roman"/>
        </w:rPr>
        <w:t>d</w:t>
      </w:r>
      <w:r>
        <w:rPr>
          <w:rFonts w:eastAsia="Times New Roman"/>
        </w:rPr>
        <w:t xml:space="preserve"> </w:t>
      </w:r>
      <w:r w:rsidR="00947B20">
        <w:rPr>
          <w:rFonts w:eastAsia="Times New Roman"/>
        </w:rPr>
        <w:t>support of $22</w:t>
      </w:r>
      <w:r>
        <w:rPr>
          <w:rFonts w:eastAsia="Times New Roman"/>
        </w:rPr>
        <w:t>.</w:t>
      </w:r>
      <w:r w:rsidR="00947B20">
        <w:rPr>
          <w:rFonts w:eastAsia="Times New Roman"/>
        </w:rPr>
        <w:t>3</w:t>
      </w:r>
      <w:r>
        <w:rPr>
          <w:rFonts w:eastAsia="Times New Roman"/>
        </w:rPr>
        <w:t xml:space="preserve"> billion to help reduce global warming</w:t>
      </w:r>
      <w:r w:rsidR="00947B20">
        <w:rPr>
          <w:rFonts w:eastAsia="Times New Roman"/>
        </w:rPr>
        <w:t xml:space="preserve"> is derived</w:t>
      </w:r>
      <w:r>
        <w:rPr>
          <w:rFonts w:eastAsia="Times New Roman"/>
        </w:rPr>
        <w:t xml:space="preserve">.  Of this, </w:t>
      </w:r>
      <w:r w:rsidR="00947B20">
        <w:rPr>
          <w:rFonts w:eastAsia="Times New Roman"/>
        </w:rPr>
        <w:t>the</w:t>
      </w:r>
      <w:r>
        <w:rPr>
          <w:rFonts w:eastAsia="Times New Roman"/>
        </w:rPr>
        <w:t xml:space="preserve"> study suggests the public prefers roughly $2.</w:t>
      </w:r>
      <w:r w:rsidR="00947B20">
        <w:rPr>
          <w:rFonts w:eastAsia="Times New Roman"/>
        </w:rPr>
        <w:t>3</w:t>
      </w:r>
      <w:r>
        <w:rPr>
          <w:rFonts w:eastAsia="Times New Roman"/>
        </w:rPr>
        <w:t xml:space="preserve"> billion be </w:t>
      </w:r>
      <w:r w:rsidR="00947B20">
        <w:rPr>
          <w:rFonts w:eastAsia="Times New Roman"/>
        </w:rPr>
        <w:t>directed</w:t>
      </w:r>
      <w:r>
        <w:rPr>
          <w:rFonts w:eastAsia="Times New Roman"/>
        </w:rPr>
        <w:t xml:space="preserve"> to assist displaced coal workers.  The Bureau of Labor Statistics (BLS) estimates total coal mining sector </w:t>
      </w:r>
      <w:r w:rsidR="00947B20">
        <w:rPr>
          <w:rFonts w:eastAsia="Times New Roman"/>
        </w:rPr>
        <w:t>employment</w:t>
      </w:r>
      <w:r>
        <w:rPr>
          <w:rFonts w:eastAsia="Times New Roman"/>
        </w:rPr>
        <w:t xml:space="preserve"> at 69,460 including all managerial, transport, and front office jobs.  As an estimate of sectoral employment of workers requiring a higher deg</w:t>
      </w:r>
      <w:r w:rsidR="00947B20">
        <w:rPr>
          <w:rFonts w:eastAsia="Times New Roman"/>
        </w:rPr>
        <w:t>ree of retraining to transition-</w:t>
      </w:r>
      <w:r>
        <w:rPr>
          <w:rFonts w:eastAsia="Times New Roman"/>
        </w:rPr>
        <w:t xml:space="preserve"> the BLS measure of 15,900 workers specifically in extraction roles (BLS, 2015)</w:t>
      </w:r>
      <w:r w:rsidR="00947B20">
        <w:rPr>
          <w:rFonts w:eastAsia="Times New Roman"/>
        </w:rPr>
        <w:t xml:space="preserve"> is also used</w:t>
      </w:r>
      <w:r>
        <w:rPr>
          <w:rFonts w:eastAsia="Times New Roman"/>
        </w:rPr>
        <w:t xml:space="preserve">.  </w:t>
      </w:r>
      <w:r w:rsidR="00947B20">
        <w:rPr>
          <w:rFonts w:eastAsia="Times New Roman"/>
        </w:rPr>
        <w:t>The</w:t>
      </w:r>
      <w:r>
        <w:rPr>
          <w:rFonts w:eastAsia="Times New Roman"/>
        </w:rPr>
        <w:t xml:space="preserve"> aggregate WTP estimate then implies public support of $3</w:t>
      </w:r>
      <w:r w:rsidR="00947B20">
        <w:rPr>
          <w:rFonts w:eastAsia="Times New Roman"/>
        </w:rPr>
        <w:t>3</w:t>
      </w:r>
      <w:r>
        <w:rPr>
          <w:rFonts w:eastAsia="Times New Roman"/>
        </w:rPr>
        <w:t>,</w:t>
      </w:r>
      <w:r w:rsidR="00947B20">
        <w:rPr>
          <w:rFonts w:eastAsia="Times New Roman"/>
        </w:rPr>
        <w:t>110</w:t>
      </w:r>
      <w:r>
        <w:rPr>
          <w:rFonts w:eastAsia="Times New Roman"/>
        </w:rPr>
        <w:t xml:space="preserve"> for every single person, or $1</w:t>
      </w:r>
      <w:r w:rsidR="00947B20">
        <w:rPr>
          <w:rFonts w:eastAsia="Times New Roman"/>
        </w:rPr>
        <w:t>4</w:t>
      </w:r>
      <w:r>
        <w:rPr>
          <w:rFonts w:eastAsia="Times New Roman"/>
        </w:rPr>
        <w:t>4,</w:t>
      </w:r>
      <w:r w:rsidR="00947B20">
        <w:rPr>
          <w:rFonts w:eastAsia="Times New Roman"/>
        </w:rPr>
        <w:t>650</w:t>
      </w:r>
      <w:r>
        <w:rPr>
          <w:rFonts w:eastAsia="Times New Roman"/>
        </w:rPr>
        <w:t xml:space="preserve"> per extraction worker </w:t>
      </w:r>
      <w:r>
        <w:rPr>
          <w:rFonts w:eastAsia="Times New Roman"/>
          <w:i/>
        </w:rPr>
        <w:t>every year</w:t>
      </w:r>
      <w:r>
        <w:rPr>
          <w:rFonts w:eastAsia="Times New Roman"/>
        </w:rPr>
        <w:t xml:space="preserve"> in the extreme case that the entire sector is regulated out of the workforce.  Clearly then, support for any displaced coal workers is even more substantial as it is unlikely that such a tax </w:t>
      </w:r>
      <w:r>
        <w:rPr>
          <w:rFonts w:eastAsia="Times New Roman"/>
        </w:rPr>
        <w:lastRenderedPageBreak/>
        <w:t xml:space="preserve">would eliminate the sector.  </w:t>
      </w:r>
      <w:r w:rsidR="00947B20">
        <w:rPr>
          <w:rFonts w:eastAsia="Times New Roman"/>
        </w:rPr>
        <w:t>At this scale, there may even be a real risk of overcompensation well in excess of losses.</w:t>
      </w:r>
    </w:p>
    <w:p w14:paraId="167FE634" w14:textId="58C776A9" w:rsidR="00F76B72" w:rsidRPr="00CE7035" w:rsidRDefault="00F76B72" w:rsidP="0052424D">
      <w:pPr>
        <w:spacing w:before="240" w:line="360" w:lineRule="auto"/>
        <w:rPr>
          <w:rFonts w:eastAsia="Times New Roman"/>
        </w:rPr>
      </w:pPr>
      <w:r>
        <w:rPr>
          <w:rFonts w:eastAsia="Times New Roman"/>
        </w:rPr>
        <w:t>By the same method, our study finds $3.</w:t>
      </w:r>
      <w:r w:rsidR="00307C08">
        <w:rPr>
          <w:rFonts w:eastAsia="Times New Roman"/>
        </w:rPr>
        <w:t>8</w:t>
      </w:r>
      <w:r>
        <w:rPr>
          <w:rFonts w:eastAsia="Times New Roman"/>
        </w:rPr>
        <w:t xml:space="preserve"> billion in support for further clean energy development and $3.</w:t>
      </w:r>
      <w:r w:rsidR="00307C08">
        <w:rPr>
          <w:rFonts w:eastAsia="Times New Roman"/>
        </w:rPr>
        <w:t>2</w:t>
      </w:r>
      <w:r>
        <w:rPr>
          <w:rFonts w:eastAsia="Times New Roman"/>
        </w:rPr>
        <w:t xml:space="preserve"> billion in support of infrastructure development from this potential revenue stream alone.  It is important to put </w:t>
      </w:r>
      <w:r w:rsidR="00307C08">
        <w:rPr>
          <w:rFonts w:eastAsia="Times New Roman"/>
        </w:rPr>
        <w:t>these</w:t>
      </w:r>
      <w:r>
        <w:rPr>
          <w:rFonts w:eastAsia="Times New Roman"/>
        </w:rPr>
        <w:t xml:space="preserve"> aggregate support measures in appropriate context.  While clean ene</w:t>
      </w:r>
      <w:r w:rsidR="00307C08">
        <w:rPr>
          <w:rFonts w:eastAsia="Times New Roman"/>
        </w:rPr>
        <w:t>rgy development support of $3.8</w:t>
      </w:r>
      <w:r>
        <w:rPr>
          <w:rFonts w:eastAsia="Times New Roman"/>
        </w:rPr>
        <w:t xml:space="preserve"> billion is small in comparison to the share spent in the American Recovery and Reinvestment Act (ARRA) of $92 billion by some estimates (Mundaca and Richter, 2015), the ARRA </w:t>
      </w:r>
      <w:r w:rsidR="00775B77">
        <w:rPr>
          <w:rFonts w:eastAsia="Times New Roman"/>
        </w:rPr>
        <w:t xml:space="preserve">was </w:t>
      </w:r>
      <w:r>
        <w:rPr>
          <w:rFonts w:eastAsia="Times New Roman"/>
        </w:rPr>
        <w:t xml:space="preserve">foremost a stimulus measure.  A more appropriate comparison </w:t>
      </w:r>
      <w:r w:rsidR="00307C08">
        <w:rPr>
          <w:rFonts w:eastAsia="Times New Roman"/>
        </w:rPr>
        <w:t>is</w:t>
      </w:r>
      <w:r>
        <w:rPr>
          <w:rFonts w:eastAsia="Times New Roman"/>
        </w:rPr>
        <w:t xml:space="preserve"> to individual programs such as the Department of Energy’s </w:t>
      </w:r>
      <w:r w:rsidRPr="0027303A">
        <w:rPr>
          <w:rFonts w:eastAsia="Times New Roman"/>
        </w:rPr>
        <w:t>Advanced Energy Manufacturing Tax Credit</w:t>
      </w:r>
      <w:r>
        <w:rPr>
          <w:rFonts w:eastAsia="Times New Roman"/>
        </w:rPr>
        <w:t xml:space="preserve"> which promotes investment in clean energy manufacturing.  Initially funded at $2.3 billion by ARRA, an additional $150 million </w:t>
      </w:r>
      <w:r w:rsidR="00307C08">
        <w:rPr>
          <w:rFonts w:eastAsia="Times New Roman"/>
        </w:rPr>
        <w:t>recently</w:t>
      </w:r>
      <w:r>
        <w:rPr>
          <w:rFonts w:eastAsia="Times New Roman"/>
        </w:rPr>
        <w:t xml:space="preserve"> came available in a second phase (Department of Energy, 2013).  Our estimate of </w:t>
      </w:r>
      <w:r w:rsidRPr="00CE6961">
        <w:rPr>
          <w:rFonts w:eastAsia="Times New Roman"/>
          <w:i/>
        </w:rPr>
        <w:t>per year</w:t>
      </w:r>
      <w:r>
        <w:rPr>
          <w:rFonts w:eastAsia="Times New Roman"/>
        </w:rPr>
        <w:t xml:space="preserve"> support for clean energy projects could fund several of these sorts of adjustments to clean energy outlays.  This same argument is applicable to the often-presented infrastructure spending d</w:t>
      </w:r>
      <w:r w:rsidR="00307C08">
        <w:rPr>
          <w:rFonts w:eastAsia="Times New Roman"/>
        </w:rPr>
        <w:t>eficit of $1 trillion.  The $3.2</w:t>
      </w:r>
      <w:r>
        <w:rPr>
          <w:rFonts w:eastAsia="Times New Roman"/>
        </w:rPr>
        <w:t xml:space="preserve"> billion </w:t>
      </w:r>
      <w:r w:rsidRPr="00CD1F47">
        <w:rPr>
          <w:rFonts w:eastAsia="Times New Roman"/>
          <w:i/>
        </w:rPr>
        <w:t>per year</w:t>
      </w:r>
      <w:r>
        <w:rPr>
          <w:rFonts w:eastAsia="Times New Roman"/>
        </w:rPr>
        <w:t xml:space="preserve"> of public support by way of a carbon tax could address pressing deficits.</w:t>
      </w:r>
      <w:r>
        <w:t xml:space="preserve">   </w:t>
      </w:r>
    </w:p>
    <w:p w14:paraId="43AF19B4" w14:textId="77777777" w:rsidR="00F76B72" w:rsidRDefault="00F76B72" w:rsidP="00F76B72">
      <w:pPr>
        <w:pStyle w:val="Heading1"/>
      </w:pPr>
      <w:bookmarkStart w:id="15" w:name="_Toc479624359"/>
      <w:bookmarkStart w:id="16" w:name="_Toc482127033"/>
      <w:bookmarkStart w:id="17" w:name="_Toc482187983"/>
      <w:r>
        <w:t>References</w:t>
      </w:r>
      <w:bookmarkEnd w:id="15"/>
      <w:bookmarkEnd w:id="16"/>
      <w:bookmarkEnd w:id="17"/>
    </w:p>
    <w:p w14:paraId="2F79ECCD" w14:textId="77777777" w:rsidR="00F76B72" w:rsidRPr="00C03F9A" w:rsidRDefault="00F76B72" w:rsidP="00F76B72">
      <w:r w:rsidRPr="00C03F9A">
        <w:rPr>
          <w:noProof/>
        </w:rPr>
        <w:t xml:space="preserve">Aldy, J. E., Kotchen, M. J., &amp; Leiserowitz, A. A. Willingness to pay and political support for a US national clean energy standard. </w:t>
      </w:r>
      <w:r w:rsidRPr="006C64C2">
        <w:rPr>
          <w:i/>
          <w:iCs/>
          <w:noProof/>
        </w:rPr>
        <w:t xml:space="preserve">Nature Climate Change </w:t>
      </w:r>
      <w:r w:rsidRPr="006C64C2">
        <w:rPr>
          <w:b/>
          <w:iCs/>
          <w:noProof/>
        </w:rPr>
        <w:t>2</w:t>
      </w:r>
      <w:r w:rsidRPr="00C03F9A">
        <w:rPr>
          <w:noProof/>
        </w:rPr>
        <w:t>, 596-599 (2012).</w:t>
      </w:r>
    </w:p>
    <w:p w14:paraId="737E4937" w14:textId="77777777" w:rsidR="00F76B72" w:rsidRDefault="00F76B72" w:rsidP="00F76B72">
      <w:r w:rsidRPr="00C03F9A">
        <w:t xml:space="preserve">Arrow, K. et al. Report of the NOAA panel on contingent valuation. </w:t>
      </w:r>
      <w:r w:rsidRPr="006C64C2">
        <w:rPr>
          <w:i/>
        </w:rPr>
        <w:t>Federal Register</w:t>
      </w:r>
      <w:r w:rsidRPr="00C03F9A">
        <w:t xml:space="preserve"> </w:t>
      </w:r>
      <w:r w:rsidRPr="006C64C2">
        <w:rPr>
          <w:b/>
        </w:rPr>
        <w:t>58</w:t>
      </w:r>
      <w:r w:rsidRPr="00C03F9A">
        <w:t>, 4602-4614 (1993).</w:t>
      </w:r>
    </w:p>
    <w:p w14:paraId="4ECBAD87" w14:textId="77777777" w:rsidR="00F76B72" w:rsidRPr="00C03F9A" w:rsidRDefault="00F76B72" w:rsidP="00F76B72">
      <w:r>
        <w:t xml:space="preserve">Baker, J. A. </w:t>
      </w:r>
      <w:r w:rsidRPr="006C64C2">
        <w:rPr>
          <w:i/>
        </w:rPr>
        <w:t>et al.</w:t>
      </w:r>
      <w:r>
        <w:t xml:space="preserve"> The conservative case for carbon dividends. </w:t>
      </w:r>
      <w:r w:rsidRPr="006C64C2">
        <w:rPr>
          <w:i/>
        </w:rPr>
        <w:t>Climate Leadership Council</w:t>
      </w:r>
      <w:r>
        <w:t>, 2017.</w:t>
      </w:r>
    </w:p>
    <w:p w14:paraId="76CCF945" w14:textId="77777777" w:rsidR="00F76B72" w:rsidRPr="00C03F9A" w:rsidRDefault="00F76B72" w:rsidP="00F76B72">
      <w:r w:rsidRPr="00C03F9A">
        <w:t xml:space="preserve">Bureau of Labor Statistics </w:t>
      </w:r>
      <w:r w:rsidRPr="006C64C2">
        <w:rPr>
          <w:i/>
        </w:rPr>
        <w:t xml:space="preserve">May 2015 National Industry-Specific Occupational Employment and Wage Estimates </w:t>
      </w:r>
      <w:r w:rsidRPr="00C03F9A">
        <w:t>(NAICS 212100 - Coal Mining); available at https://www.bls.gov/oes/current/naics4_212100.htm#47-0000</w:t>
      </w:r>
    </w:p>
    <w:p w14:paraId="3083B51E" w14:textId="77777777" w:rsidR="00F76B72" w:rsidRPr="00C03F9A" w:rsidRDefault="00F76B72" w:rsidP="00F76B72">
      <w:r w:rsidRPr="00C03F9A">
        <w:t xml:space="preserve">Carson, R. T. </w:t>
      </w:r>
      <w:r w:rsidRPr="006C64C2">
        <w:rPr>
          <w:i/>
        </w:rPr>
        <w:t>et al</w:t>
      </w:r>
      <w:r w:rsidRPr="00C03F9A">
        <w:t xml:space="preserve">. Prospective interim lost use value due to DDT and PCB contamination in the southern California bight. </w:t>
      </w:r>
      <w:r w:rsidRPr="006C64C2">
        <w:rPr>
          <w:i/>
        </w:rPr>
        <w:t>NOAA Contract No.</w:t>
      </w:r>
      <w:r w:rsidRPr="006C64C2">
        <w:rPr>
          <w:rFonts w:ascii="Cambria Math" w:hAnsi="Cambria Math" w:cs="Cambria Math"/>
          <w:i/>
        </w:rPr>
        <w:t>‐</w:t>
      </w:r>
      <w:r w:rsidRPr="006C64C2">
        <w:rPr>
          <w:i/>
        </w:rPr>
        <w:t>DGNC</w:t>
      </w:r>
      <w:r w:rsidRPr="006C64C2">
        <w:rPr>
          <w:rFonts w:ascii="Cambria Math" w:hAnsi="Cambria Math" w:cs="Cambria Math"/>
          <w:i/>
        </w:rPr>
        <w:t>‐</w:t>
      </w:r>
      <w:r w:rsidRPr="006C64C2">
        <w:rPr>
          <w:i/>
        </w:rPr>
        <w:t>1</w:t>
      </w:r>
      <w:r w:rsidRPr="006C64C2">
        <w:rPr>
          <w:rFonts w:ascii="Cambria Math" w:hAnsi="Cambria Math" w:cs="Cambria Math"/>
          <w:i/>
        </w:rPr>
        <w:t>‐</w:t>
      </w:r>
      <w:r w:rsidRPr="006C64C2">
        <w:rPr>
          <w:i/>
        </w:rPr>
        <w:t>00007</w:t>
      </w:r>
      <w:r w:rsidRPr="00C03F9A">
        <w:t xml:space="preserve"> (1994a).</w:t>
      </w:r>
    </w:p>
    <w:p w14:paraId="47C80CDA" w14:textId="77777777" w:rsidR="00F76B72" w:rsidRPr="00C03F9A" w:rsidRDefault="00F76B72" w:rsidP="00F76B72">
      <w:r w:rsidRPr="00C03F9A">
        <w:t xml:space="preserve">Carson, R. T., Wilks, L., &amp; Imber, D. Valuing the preservation of Australia’s Kakadu Conservation Zone. Oxford Economic Papers </w:t>
      </w:r>
      <w:r w:rsidRPr="006C64C2">
        <w:rPr>
          <w:b/>
        </w:rPr>
        <w:t>46</w:t>
      </w:r>
      <w:r w:rsidRPr="00C03F9A">
        <w:t>, 727</w:t>
      </w:r>
      <w:r w:rsidRPr="006C64C2">
        <w:rPr>
          <w:rFonts w:ascii="Cambria Math" w:hAnsi="Cambria Math" w:cs="Cambria Math"/>
        </w:rPr>
        <w:t>‐</w:t>
      </w:r>
      <w:r w:rsidRPr="00C03F9A">
        <w:t>749 (1994b).</w:t>
      </w:r>
    </w:p>
    <w:p w14:paraId="60A1CF93" w14:textId="77777777" w:rsidR="00F76B72" w:rsidRPr="00C03F9A" w:rsidRDefault="00F76B72" w:rsidP="00F76B72">
      <w:r w:rsidRPr="00C03F9A">
        <w:t xml:space="preserve">Energy Information Administration </w:t>
      </w:r>
      <w:r w:rsidRPr="006C64C2">
        <w:rPr>
          <w:i/>
        </w:rPr>
        <w:t>2015 Average Monthly Bill- Residential</w:t>
      </w:r>
      <w:r w:rsidRPr="00C03F9A">
        <w:t>; available at http://www.eia.gov/electricity/sales_revenue_price/pdf/table5_a.pdf</w:t>
      </w:r>
    </w:p>
    <w:p w14:paraId="3AA52613" w14:textId="77777777" w:rsidR="00F76B72" w:rsidRPr="00C03F9A" w:rsidRDefault="00F76B72" w:rsidP="00F76B72">
      <w:r w:rsidRPr="00C03F9A">
        <w:t xml:space="preserve">Greenstone, M. Americans appear willing to pay for a carbon tax policy. </w:t>
      </w:r>
      <w:r w:rsidRPr="006C64C2">
        <w:rPr>
          <w:i/>
        </w:rPr>
        <w:t>The New York Times</w:t>
      </w:r>
      <w:r w:rsidRPr="00C03F9A">
        <w:t xml:space="preserve"> (September 15, 2016); available at https://www.nytimes.com/2016/09/15/upshot/americans-appear-willing-to-pay-for-a-carbon-tax-policy.html</w:t>
      </w:r>
    </w:p>
    <w:p w14:paraId="6CB2816A" w14:textId="77777777" w:rsidR="00F76B72" w:rsidRPr="00C03F9A" w:rsidRDefault="00F76B72" w:rsidP="00F76B72">
      <w:r w:rsidRPr="00C03F9A">
        <w:t xml:space="preserve">Haab, T. &amp; McConnell, K. Referendum models and negative willingness to pay: Alternative solutions. </w:t>
      </w:r>
      <w:r w:rsidRPr="006C64C2">
        <w:rPr>
          <w:i/>
        </w:rPr>
        <w:t>J. of Environ. Econom. and Manage.</w:t>
      </w:r>
      <w:r w:rsidRPr="00C03F9A">
        <w:t xml:space="preserve"> </w:t>
      </w:r>
      <w:r w:rsidRPr="006C64C2">
        <w:rPr>
          <w:b/>
        </w:rPr>
        <w:t>32</w:t>
      </w:r>
      <w:r w:rsidRPr="00C03F9A">
        <w:t>, 251</w:t>
      </w:r>
      <w:r w:rsidRPr="006C64C2">
        <w:rPr>
          <w:rFonts w:ascii="Cambria Math" w:hAnsi="Cambria Math" w:cs="Cambria Math"/>
        </w:rPr>
        <w:t>‐</w:t>
      </w:r>
      <w:r w:rsidRPr="00C03F9A">
        <w:t>270 (1997).</w:t>
      </w:r>
    </w:p>
    <w:p w14:paraId="171BA989" w14:textId="77777777" w:rsidR="00F76B72" w:rsidRPr="00C03F9A" w:rsidRDefault="00F76B72" w:rsidP="00F76B72">
      <w:r w:rsidRPr="00C03F9A">
        <w:lastRenderedPageBreak/>
        <w:t xml:space="preserve">Hanemann, W. M. Welfare evaluations in contingent valuation experiments with discrete responses. </w:t>
      </w:r>
      <w:r w:rsidRPr="006C64C2">
        <w:rPr>
          <w:i/>
        </w:rPr>
        <w:t>Am. J. Agric. Econom.</w:t>
      </w:r>
      <w:r w:rsidRPr="00C03F9A">
        <w:t xml:space="preserve"> </w:t>
      </w:r>
      <w:r w:rsidRPr="006C64C2">
        <w:rPr>
          <w:b/>
        </w:rPr>
        <w:t>66</w:t>
      </w:r>
      <w:r w:rsidRPr="00C03F9A">
        <w:t>, 332-341 (1984).</w:t>
      </w:r>
    </w:p>
    <w:p w14:paraId="1B43A126" w14:textId="77777777" w:rsidR="00F76B72" w:rsidRPr="00C03F9A" w:rsidRDefault="00F76B72" w:rsidP="00F76B72">
      <w:r w:rsidRPr="00C03F9A">
        <w:t xml:space="preserve">Hanemann, W. M. Welfare evaluations in contingent valuation experiments with discrete response data: Reply. </w:t>
      </w:r>
      <w:r w:rsidRPr="006C64C2">
        <w:rPr>
          <w:i/>
        </w:rPr>
        <w:t>Am. J. Agric. Econom.</w:t>
      </w:r>
      <w:r w:rsidRPr="00C03F9A">
        <w:t xml:space="preserve"> </w:t>
      </w:r>
      <w:r w:rsidRPr="006C64C2">
        <w:rPr>
          <w:b/>
        </w:rPr>
        <w:t>71</w:t>
      </w:r>
      <w:r w:rsidRPr="00C03F9A">
        <w:t>, 1057-1061 (1989).</w:t>
      </w:r>
    </w:p>
    <w:p w14:paraId="0C89E103" w14:textId="77777777" w:rsidR="00F76B72" w:rsidRPr="00C03F9A" w:rsidRDefault="00F76B72" w:rsidP="00F76B72">
      <w:r w:rsidRPr="00C03F9A">
        <w:t xml:space="preserve">Kotchen, M. J., Boyle, K. J., &amp; Leiserowitz, A. A. Willingness-to-pay and policy-instrument choice for climate-change policy in the United States. </w:t>
      </w:r>
      <w:r w:rsidRPr="006C64C2">
        <w:rPr>
          <w:i/>
        </w:rPr>
        <w:t>Energy Policy</w:t>
      </w:r>
      <w:r w:rsidRPr="00C03F9A">
        <w:t xml:space="preserve"> </w:t>
      </w:r>
      <w:r w:rsidRPr="006C64C2">
        <w:rPr>
          <w:b/>
        </w:rPr>
        <w:t>55</w:t>
      </w:r>
      <w:r w:rsidRPr="00C03F9A">
        <w:t>, 617-625 (2013).</w:t>
      </w:r>
    </w:p>
    <w:p w14:paraId="2089D807" w14:textId="77777777" w:rsidR="00F76B72" w:rsidRPr="00C03F9A" w:rsidRDefault="00F76B72" w:rsidP="00F76B72">
      <w:r w:rsidRPr="00C03F9A">
        <w:t xml:space="preserve">Krinsky, I., &amp; Robb, A. L. On approximating the statistical properties of elasticities. </w:t>
      </w:r>
      <w:r w:rsidRPr="006C64C2">
        <w:rPr>
          <w:i/>
        </w:rPr>
        <w:t>Rev. Econom. Stat.</w:t>
      </w:r>
      <w:r w:rsidRPr="00C03F9A">
        <w:t xml:space="preserve"> </w:t>
      </w:r>
      <w:r w:rsidRPr="006C64C2">
        <w:rPr>
          <w:b/>
        </w:rPr>
        <w:t>68</w:t>
      </w:r>
      <w:r w:rsidRPr="00C03F9A">
        <w:t>, 715-719 (1986).</w:t>
      </w:r>
    </w:p>
    <w:p w14:paraId="63315743" w14:textId="77777777" w:rsidR="00F76B72" w:rsidRDefault="00F76B72" w:rsidP="00F76B72">
      <w:r w:rsidRPr="00C03F9A">
        <w:t>Kristrom, B. A Non</w:t>
      </w:r>
      <w:r w:rsidRPr="006C64C2">
        <w:rPr>
          <w:rFonts w:ascii="Cambria Math" w:hAnsi="Cambria Math" w:cs="Cambria Math"/>
        </w:rPr>
        <w:t>‐</w:t>
      </w:r>
      <w:r w:rsidRPr="00C03F9A">
        <w:t xml:space="preserve">parametric approach to the estimation of welfare measures in discrete response valuation studies. </w:t>
      </w:r>
      <w:r w:rsidRPr="006C64C2">
        <w:rPr>
          <w:i/>
        </w:rPr>
        <w:t>Land Econom.</w:t>
      </w:r>
      <w:r w:rsidRPr="00C03F9A">
        <w:t xml:space="preserve"> </w:t>
      </w:r>
      <w:r w:rsidRPr="006C64C2">
        <w:rPr>
          <w:b/>
        </w:rPr>
        <w:t>66</w:t>
      </w:r>
      <w:r w:rsidRPr="00C03F9A">
        <w:t>, 135</w:t>
      </w:r>
      <w:r w:rsidRPr="006C64C2">
        <w:rPr>
          <w:rFonts w:ascii="Cambria Math" w:hAnsi="Cambria Math" w:cs="Cambria Math"/>
        </w:rPr>
        <w:t>‐</w:t>
      </w:r>
      <w:r w:rsidRPr="00C03F9A">
        <w:t>139 (1990).</w:t>
      </w:r>
    </w:p>
    <w:p w14:paraId="76ED938E" w14:textId="77777777" w:rsidR="009F5575" w:rsidRPr="009F5575" w:rsidRDefault="009F5575" w:rsidP="00F76B72">
      <w:r>
        <w:t xml:space="preserve">Kristrom, B. Spike models in contingent valuation. Am. J. Aric. Econom. </w:t>
      </w:r>
      <w:r w:rsidRPr="009F5575">
        <w:rPr>
          <w:b/>
        </w:rPr>
        <w:t>79</w:t>
      </w:r>
      <w:r>
        <w:t>(3), 1013-1023 (1997).</w:t>
      </w:r>
    </w:p>
    <w:p w14:paraId="1342B636" w14:textId="77777777" w:rsidR="00F76B72" w:rsidRPr="00C03F9A" w:rsidRDefault="00F76B72" w:rsidP="00F76B72">
      <w:r w:rsidRPr="001A2871">
        <w:t>Leiserowitz</w:t>
      </w:r>
      <w:r>
        <w:t>, A.</w:t>
      </w:r>
      <w:r w:rsidRPr="001A2871">
        <w:t>, Maibach</w:t>
      </w:r>
      <w:r>
        <w:t>, E.,</w:t>
      </w:r>
      <w:r w:rsidRPr="001A2871">
        <w:t xml:space="preserve"> </w:t>
      </w:r>
      <w:r>
        <w:t>&amp;</w:t>
      </w:r>
      <w:r w:rsidRPr="001A2871">
        <w:t xml:space="preserve"> Roser-Renouf</w:t>
      </w:r>
      <w:r>
        <w:t xml:space="preserve">, C. </w:t>
      </w:r>
      <w:r w:rsidRPr="00ED0CF0">
        <w:rPr>
          <w:i/>
        </w:rPr>
        <w:t>Global Warming’s Six Americas 2009: An Audience Segmentation Analysis</w:t>
      </w:r>
      <w:r>
        <w:t xml:space="preserve"> </w:t>
      </w:r>
      <w:r w:rsidRPr="00C03F9A">
        <w:t>(Yale University and George Mason University, Yale Project on Climate Change Communication)</w:t>
      </w:r>
      <w:r>
        <w:t xml:space="preserve">; available at </w:t>
      </w:r>
      <w:r w:rsidRPr="00ED0CF0">
        <w:t>http://climatecommunication.yale.edu/publications/global-warmings-six-americas-2009/</w:t>
      </w:r>
      <w:r>
        <w:tab/>
      </w:r>
    </w:p>
    <w:p w14:paraId="0154E068" w14:textId="77777777" w:rsidR="00F76B72" w:rsidRPr="00C03F9A" w:rsidRDefault="00F76B72" w:rsidP="00F76B72">
      <w:r w:rsidRPr="00C03F9A">
        <w:t xml:space="preserve">Leiserowitz, A., Maibach, E., Roser-Renauf, C., Rosenthal, S., &amp; Cutler, M. </w:t>
      </w:r>
      <w:r w:rsidRPr="006C64C2">
        <w:rPr>
          <w:i/>
        </w:rPr>
        <w:t xml:space="preserve">Politics &amp; Global Warming, November 2016 </w:t>
      </w:r>
      <w:r w:rsidRPr="00C03F9A">
        <w:t>(Yale University and George Mason University, Yale Project on Climate Change Communication); available at http://climatecommunication.yale.edu/publications/politics-global-warming-november-2016/</w:t>
      </w:r>
    </w:p>
    <w:p w14:paraId="30319E65" w14:textId="77777777" w:rsidR="00F76B72" w:rsidRPr="00C03F9A" w:rsidRDefault="00F76B72" w:rsidP="00F76B72">
      <w:r w:rsidRPr="00C03F9A">
        <w:t xml:space="preserve">Mundaca, L., &amp; Richter, J. L. Assessing ‘green energy economy’ stimulus packages: Evidence from the U.S. programs targeting renewable energy. </w:t>
      </w:r>
      <w:r w:rsidRPr="006C64C2">
        <w:rPr>
          <w:i/>
        </w:rPr>
        <w:t>Renewable and Sustainable Energy Rev.</w:t>
      </w:r>
      <w:r w:rsidRPr="00C03F9A">
        <w:t xml:space="preserve"> </w:t>
      </w:r>
      <w:r w:rsidRPr="006C64C2">
        <w:rPr>
          <w:b/>
        </w:rPr>
        <w:t>42</w:t>
      </w:r>
      <w:r w:rsidRPr="00C03F9A">
        <w:t>, 1174-1186 (2015).</w:t>
      </w:r>
    </w:p>
    <w:p w14:paraId="7A964D66" w14:textId="77777777" w:rsidR="00F76B72" w:rsidRPr="00C03F9A" w:rsidRDefault="00F76B72" w:rsidP="00F76B72">
      <w:r w:rsidRPr="00C03F9A">
        <w:t>Park, T., Loomis, J. B. &amp; Creel, M. Confidence intervals for evaluating benefit estimates from dichotomous choice contingent valuation.</w:t>
      </w:r>
      <w:r w:rsidRPr="006C64C2">
        <w:rPr>
          <w:i/>
        </w:rPr>
        <w:t xml:space="preserve"> Land Econom.</w:t>
      </w:r>
      <w:r w:rsidRPr="00C03F9A">
        <w:t xml:space="preserve"> </w:t>
      </w:r>
      <w:r w:rsidRPr="006C64C2">
        <w:rPr>
          <w:b/>
        </w:rPr>
        <w:t>67</w:t>
      </w:r>
      <w:r w:rsidRPr="00C03F9A">
        <w:t>, 64-73 (1991).</w:t>
      </w:r>
    </w:p>
    <w:p w14:paraId="73243D0C" w14:textId="77777777" w:rsidR="00F76B72" w:rsidRPr="00C03F9A" w:rsidRDefault="00F76B72" w:rsidP="00F76B72">
      <w:r w:rsidRPr="00C03F9A">
        <w:t xml:space="preserve">U.S. Department of Energy </w:t>
      </w:r>
      <w:r w:rsidRPr="006C64C2">
        <w:rPr>
          <w:i/>
        </w:rPr>
        <w:t>Energy Department Announces $150 Million in Tax Credits to Invest in U.S. Clean Energy Manufacturing</w:t>
      </w:r>
      <w:r w:rsidRPr="00C03F9A">
        <w:t>; available at https://energy.gov/articles/energy-department-announces-150-million-tax-credits-invest-us-clean-energy-manufacturing</w:t>
      </w:r>
    </w:p>
    <w:p w14:paraId="5046E8AC" w14:textId="77777777" w:rsidR="00F76B72" w:rsidRDefault="00F76B72" w:rsidP="00F76B72">
      <w:r w:rsidRPr="00C03F9A">
        <w:t xml:space="preserve">US Census Bureau </w:t>
      </w:r>
      <w:r w:rsidRPr="006C64C2">
        <w:rPr>
          <w:i/>
        </w:rPr>
        <w:t>March 2016 Annual Social and Economic Supplement (ASEC)</w:t>
      </w:r>
      <w:r w:rsidRPr="00C03F9A">
        <w:t>; available at https://www.census.gov/programs-surveys/cps/technical-documentation/complete.html</w:t>
      </w:r>
    </w:p>
    <w:p w14:paraId="4B58FD4E" w14:textId="77777777" w:rsidR="00F76B72" w:rsidRDefault="00F76B72" w:rsidP="0052424D">
      <w:pPr>
        <w:pStyle w:val="Heading1"/>
        <w:spacing w:line="360" w:lineRule="auto"/>
      </w:pPr>
      <w:bookmarkStart w:id="18" w:name="_Toc479624360"/>
      <w:bookmarkStart w:id="19" w:name="_Toc482127034"/>
      <w:bookmarkStart w:id="20" w:name="_Toc482187984"/>
      <w:r>
        <w:t>Appendix A: Coefficient estimates from multinomial regressions</w:t>
      </w:r>
      <w:bookmarkEnd w:id="18"/>
      <w:bookmarkEnd w:id="19"/>
      <w:bookmarkEnd w:id="20"/>
    </w:p>
    <w:p w14:paraId="2FFA659D" w14:textId="77777777" w:rsidR="00F76B72" w:rsidRDefault="00F76B72" w:rsidP="0052424D">
      <w:pPr>
        <w:spacing w:line="360" w:lineRule="auto"/>
      </w:pPr>
      <w:r>
        <w:t xml:space="preserve">Table </w:t>
      </w:r>
      <w:r w:rsidR="00D50042">
        <w:t>4</w:t>
      </w:r>
      <w:r>
        <w:t xml:space="preserve"> reports the marginal effects of the variables included in the model,</w:t>
      </w:r>
      <w:r w:rsidR="00D50042">
        <w:t xml:space="preserve"> however</w:t>
      </w:r>
      <w:r>
        <w:t xml:space="preserve"> the</w:t>
      </w:r>
      <w:r w:rsidR="00D50042">
        <w:t xml:space="preserve"> model</w:t>
      </w:r>
      <w:r>
        <w:t xml:space="preserve"> coefficients are need to compute mean WTP.  These coefficient results are included </w:t>
      </w:r>
      <w:r w:rsidR="00D50042">
        <w:t>in this section and their use along with the Table 1 summary statistics allows replication</w:t>
      </w:r>
      <w:r>
        <w:t xml:space="preserve">. </w:t>
      </w:r>
    </w:p>
    <w:tbl>
      <w:tblPr>
        <w:tblW w:w="5000" w:type="pct"/>
        <w:tblLayout w:type="fixed"/>
        <w:tblLook w:val="04A0" w:firstRow="1" w:lastRow="0" w:firstColumn="1" w:lastColumn="0" w:noHBand="0" w:noVBand="1"/>
      </w:tblPr>
      <w:tblGrid>
        <w:gridCol w:w="3867"/>
        <w:gridCol w:w="1352"/>
        <w:gridCol w:w="1501"/>
        <w:gridCol w:w="1348"/>
        <w:gridCol w:w="1292"/>
      </w:tblGrid>
      <w:tr w:rsidR="00F76B72" w:rsidRPr="003E5D9C" w14:paraId="404B55FF" w14:textId="77777777" w:rsidTr="00F76B72">
        <w:trPr>
          <w:trHeight w:val="300"/>
        </w:trPr>
        <w:tc>
          <w:tcPr>
            <w:tcW w:w="5000" w:type="pct"/>
            <w:gridSpan w:val="5"/>
            <w:tcBorders>
              <w:top w:val="nil"/>
              <w:left w:val="nil"/>
              <w:bottom w:val="single" w:sz="4" w:space="0" w:color="auto"/>
              <w:right w:val="nil"/>
            </w:tcBorders>
            <w:shd w:val="clear" w:color="auto" w:fill="E7E6E6" w:themeFill="background2"/>
            <w:noWrap/>
            <w:vAlign w:val="bottom"/>
            <w:hideMark/>
          </w:tcPr>
          <w:p w14:paraId="34190E6E" w14:textId="77777777" w:rsidR="00F76B72" w:rsidRPr="00582D88" w:rsidRDefault="00F76B72" w:rsidP="00F76B72">
            <w:pPr>
              <w:keepNext/>
              <w:spacing w:after="0" w:line="240" w:lineRule="auto"/>
              <w:rPr>
                <w:rFonts w:eastAsia="Times New Roman"/>
                <w:b/>
                <w:bCs/>
              </w:rPr>
            </w:pPr>
            <w:r w:rsidRPr="00582D88">
              <w:rPr>
                <w:rFonts w:eastAsia="Times New Roman"/>
                <w:b/>
                <w:bCs/>
              </w:rPr>
              <w:lastRenderedPageBreak/>
              <w:t xml:space="preserve">Table </w:t>
            </w:r>
            <w:r>
              <w:rPr>
                <w:rFonts w:eastAsia="Times New Roman"/>
                <w:b/>
                <w:bCs/>
              </w:rPr>
              <w:t>A1</w:t>
            </w:r>
            <w:r w:rsidRPr="00582D88">
              <w:rPr>
                <w:rFonts w:eastAsia="Times New Roman"/>
                <w:b/>
                <w:bCs/>
              </w:rPr>
              <w:t xml:space="preserve"> | </w:t>
            </w:r>
            <w:r>
              <w:rPr>
                <w:rFonts w:eastAsia="Times New Roman"/>
                <w:b/>
                <w:bCs/>
              </w:rPr>
              <w:t>Coefficient estimates for the logit model</w:t>
            </w:r>
            <w:r w:rsidRPr="00582D88">
              <w:rPr>
                <w:rFonts w:eastAsia="Times New Roman"/>
                <w:b/>
                <w:bCs/>
              </w:rPr>
              <w:t xml:space="preserve"> </w:t>
            </w:r>
            <w:r>
              <w:rPr>
                <w:rFonts w:eastAsia="Times New Roman"/>
                <w:b/>
                <w:bCs/>
              </w:rPr>
              <w:t>results in Table 3</w:t>
            </w:r>
            <w:r w:rsidRPr="00582D88">
              <w:rPr>
                <w:rFonts w:eastAsia="Times New Roman"/>
                <w:b/>
                <w:bCs/>
              </w:rPr>
              <w:t>.</w:t>
            </w:r>
          </w:p>
        </w:tc>
      </w:tr>
      <w:tr w:rsidR="00F76B72" w:rsidRPr="003E5D9C" w14:paraId="2FB1B252" w14:textId="77777777" w:rsidTr="00F76B72">
        <w:trPr>
          <w:trHeight w:val="300"/>
        </w:trPr>
        <w:tc>
          <w:tcPr>
            <w:tcW w:w="2066" w:type="pct"/>
            <w:tcBorders>
              <w:top w:val="single" w:sz="4" w:space="0" w:color="auto"/>
              <w:left w:val="nil"/>
              <w:bottom w:val="single" w:sz="4" w:space="0" w:color="auto"/>
              <w:right w:val="nil"/>
            </w:tcBorders>
            <w:shd w:val="clear" w:color="000000" w:fill="F2F2F2"/>
            <w:noWrap/>
            <w:vAlign w:val="bottom"/>
            <w:hideMark/>
          </w:tcPr>
          <w:p w14:paraId="252EEEC8" w14:textId="77777777" w:rsidR="00F76B72" w:rsidRPr="003E5D9C" w:rsidRDefault="00F76B72" w:rsidP="00F76B72">
            <w:pPr>
              <w:keepNext/>
              <w:spacing w:after="0" w:line="240" w:lineRule="auto"/>
              <w:rPr>
                <w:rFonts w:eastAsia="Times New Roman"/>
              </w:rPr>
            </w:pPr>
            <w:r w:rsidRPr="003E5D9C">
              <w:rPr>
                <w:rFonts w:eastAsia="Times New Roman"/>
              </w:rPr>
              <w:t> </w:t>
            </w:r>
          </w:p>
        </w:tc>
        <w:tc>
          <w:tcPr>
            <w:tcW w:w="722" w:type="pct"/>
            <w:tcBorders>
              <w:top w:val="single" w:sz="4" w:space="0" w:color="auto"/>
              <w:left w:val="nil"/>
              <w:bottom w:val="single" w:sz="4" w:space="0" w:color="auto"/>
              <w:right w:val="nil"/>
            </w:tcBorders>
            <w:shd w:val="clear" w:color="000000" w:fill="F2F2F2"/>
            <w:noWrap/>
            <w:vAlign w:val="bottom"/>
            <w:hideMark/>
          </w:tcPr>
          <w:p w14:paraId="148B2BA7" w14:textId="77777777" w:rsidR="00F76B72" w:rsidRPr="003E5D9C" w:rsidRDefault="00F76B72" w:rsidP="00F76B72">
            <w:pPr>
              <w:keepNext/>
              <w:spacing w:after="0" w:line="240" w:lineRule="auto"/>
              <w:jc w:val="center"/>
              <w:rPr>
                <w:rFonts w:eastAsia="Times New Roman"/>
              </w:rPr>
            </w:pPr>
            <w:r w:rsidRPr="003E5D9C">
              <w:rPr>
                <w:rFonts w:eastAsia="Times New Roman"/>
              </w:rPr>
              <w:t>(1)</w:t>
            </w:r>
          </w:p>
        </w:tc>
        <w:tc>
          <w:tcPr>
            <w:tcW w:w="802" w:type="pct"/>
            <w:tcBorders>
              <w:top w:val="single" w:sz="4" w:space="0" w:color="auto"/>
              <w:left w:val="nil"/>
              <w:bottom w:val="single" w:sz="4" w:space="0" w:color="auto"/>
              <w:right w:val="nil"/>
            </w:tcBorders>
            <w:shd w:val="clear" w:color="000000" w:fill="F2F2F2"/>
            <w:noWrap/>
            <w:vAlign w:val="bottom"/>
            <w:hideMark/>
          </w:tcPr>
          <w:p w14:paraId="3A16539A" w14:textId="77777777" w:rsidR="00F76B72" w:rsidRPr="003E5D9C" w:rsidRDefault="00F76B72" w:rsidP="00F76B72">
            <w:pPr>
              <w:keepNext/>
              <w:spacing w:after="0" w:line="240" w:lineRule="auto"/>
              <w:jc w:val="center"/>
              <w:rPr>
                <w:rFonts w:eastAsia="Times New Roman"/>
              </w:rPr>
            </w:pPr>
            <w:r w:rsidRPr="003E5D9C">
              <w:rPr>
                <w:rFonts w:eastAsia="Times New Roman"/>
              </w:rPr>
              <w:t>(2)</w:t>
            </w:r>
          </w:p>
        </w:tc>
        <w:tc>
          <w:tcPr>
            <w:tcW w:w="720" w:type="pct"/>
            <w:tcBorders>
              <w:top w:val="single" w:sz="4" w:space="0" w:color="auto"/>
              <w:left w:val="nil"/>
              <w:bottom w:val="single" w:sz="4" w:space="0" w:color="auto"/>
            </w:tcBorders>
            <w:shd w:val="clear" w:color="000000" w:fill="F2F2F2"/>
            <w:noWrap/>
            <w:vAlign w:val="bottom"/>
            <w:hideMark/>
          </w:tcPr>
          <w:p w14:paraId="0591FBB0" w14:textId="77777777" w:rsidR="00F76B72" w:rsidRPr="003E5D9C" w:rsidRDefault="00F76B72" w:rsidP="00F76B72">
            <w:pPr>
              <w:keepNext/>
              <w:spacing w:after="0" w:line="240" w:lineRule="auto"/>
              <w:jc w:val="center"/>
              <w:rPr>
                <w:rFonts w:eastAsia="Times New Roman"/>
              </w:rPr>
            </w:pPr>
            <w:r w:rsidRPr="003E5D9C">
              <w:rPr>
                <w:rFonts w:eastAsia="Times New Roman"/>
              </w:rPr>
              <w:t>(3)</w:t>
            </w:r>
          </w:p>
        </w:tc>
        <w:tc>
          <w:tcPr>
            <w:tcW w:w="690" w:type="pct"/>
            <w:tcBorders>
              <w:top w:val="single" w:sz="4" w:space="0" w:color="auto"/>
              <w:bottom w:val="single" w:sz="4" w:space="0" w:color="auto"/>
              <w:right w:val="nil"/>
            </w:tcBorders>
            <w:shd w:val="clear" w:color="000000" w:fill="F2F2F2"/>
            <w:noWrap/>
            <w:vAlign w:val="bottom"/>
            <w:hideMark/>
          </w:tcPr>
          <w:p w14:paraId="4C714004" w14:textId="77777777" w:rsidR="00F76B72" w:rsidRPr="003E5D9C" w:rsidRDefault="00F76B72" w:rsidP="00F76B72">
            <w:pPr>
              <w:keepNext/>
              <w:spacing w:after="0" w:line="240" w:lineRule="auto"/>
              <w:jc w:val="center"/>
              <w:rPr>
                <w:rFonts w:eastAsia="Times New Roman"/>
              </w:rPr>
            </w:pPr>
            <w:r>
              <w:rPr>
                <w:rFonts w:eastAsia="Times New Roman"/>
              </w:rPr>
              <w:t>(4</w:t>
            </w:r>
            <w:r w:rsidRPr="003E5D9C">
              <w:rPr>
                <w:rFonts w:eastAsia="Times New Roman"/>
              </w:rPr>
              <w:t>)</w:t>
            </w:r>
          </w:p>
        </w:tc>
      </w:tr>
      <w:tr w:rsidR="00F76B72" w:rsidRPr="003E5D9C" w14:paraId="5FC3B88F" w14:textId="77777777" w:rsidTr="00F76B72">
        <w:trPr>
          <w:trHeight w:val="300"/>
        </w:trPr>
        <w:tc>
          <w:tcPr>
            <w:tcW w:w="2066" w:type="pct"/>
            <w:tcBorders>
              <w:top w:val="single" w:sz="4" w:space="0" w:color="auto"/>
              <w:left w:val="nil"/>
              <w:bottom w:val="nil"/>
              <w:right w:val="nil"/>
            </w:tcBorders>
            <w:shd w:val="clear" w:color="000000" w:fill="F2F2F2"/>
            <w:noWrap/>
            <w:vAlign w:val="center"/>
            <w:hideMark/>
          </w:tcPr>
          <w:p w14:paraId="4F12B799" w14:textId="77777777" w:rsidR="00F76B72" w:rsidRDefault="00F76B72" w:rsidP="00F76B72">
            <w:pPr>
              <w:keepNext/>
              <w:spacing w:after="0"/>
            </w:pPr>
            <w:r>
              <w:t>Bid amount</w:t>
            </w:r>
          </w:p>
        </w:tc>
        <w:tc>
          <w:tcPr>
            <w:tcW w:w="722" w:type="pct"/>
            <w:tcBorders>
              <w:top w:val="single" w:sz="4" w:space="0" w:color="auto"/>
              <w:left w:val="nil"/>
              <w:bottom w:val="nil"/>
              <w:right w:val="nil"/>
            </w:tcBorders>
            <w:shd w:val="clear" w:color="000000" w:fill="F2F2F2"/>
            <w:noWrap/>
            <w:vAlign w:val="bottom"/>
            <w:hideMark/>
          </w:tcPr>
          <w:p w14:paraId="1C1A512F" w14:textId="77777777" w:rsidR="00F76B72" w:rsidRDefault="00F76B72" w:rsidP="00F76B72">
            <w:pPr>
              <w:keepNext/>
              <w:spacing w:after="0"/>
              <w:jc w:val="center"/>
            </w:pPr>
            <w:r>
              <w:t>-0.00291*</w:t>
            </w:r>
          </w:p>
        </w:tc>
        <w:tc>
          <w:tcPr>
            <w:tcW w:w="802" w:type="pct"/>
            <w:tcBorders>
              <w:top w:val="single" w:sz="4" w:space="0" w:color="auto"/>
              <w:left w:val="nil"/>
              <w:bottom w:val="nil"/>
              <w:right w:val="nil"/>
            </w:tcBorders>
            <w:shd w:val="clear" w:color="000000" w:fill="F2F2F2"/>
            <w:noWrap/>
            <w:vAlign w:val="bottom"/>
            <w:hideMark/>
          </w:tcPr>
          <w:p w14:paraId="38A9416E" w14:textId="77777777" w:rsidR="00F76B72" w:rsidRDefault="00F76B72" w:rsidP="00F76B72">
            <w:pPr>
              <w:keepNext/>
              <w:spacing w:after="0"/>
              <w:jc w:val="center"/>
            </w:pPr>
            <w:r>
              <w:t>-0.00348**</w:t>
            </w:r>
          </w:p>
        </w:tc>
        <w:tc>
          <w:tcPr>
            <w:tcW w:w="720" w:type="pct"/>
            <w:tcBorders>
              <w:top w:val="single" w:sz="4" w:space="0" w:color="auto"/>
              <w:left w:val="nil"/>
              <w:bottom w:val="nil"/>
              <w:right w:val="nil"/>
            </w:tcBorders>
            <w:shd w:val="clear" w:color="000000" w:fill="F2F2F2"/>
            <w:noWrap/>
            <w:vAlign w:val="bottom"/>
            <w:hideMark/>
          </w:tcPr>
          <w:p w14:paraId="503FEC21" w14:textId="77777777" w:rsidR="00F76B72" w:rsidRDefault="00F76B72" w:rsidP="00F76B72">
            <w:pPr>
              <w:keepNext/>
              <w:spacing w:after="0"/>
              <w:jc w:val="center"/>
            </w:pPr>
            <w:r>
              <w:t>-0.00399**</w:t>
            </w:r>
          </w:p>
        </w:tc>
        <w:tc>
          <w:tcPr>
            <w:tcW w:w="690" w:type="pct"/>
            <w:tcBorders>
              <w:top w:val="single" w:sz="4" w:space="0" w:color="auto"/>
              <w:left w:val="nil"/>
              <w:bottom w:val="nil"/>
              <w:right w:val="nil"/>
            </w:tcBorders>
            <w:shd w:val="clear" w:color="000000" w:fill="F2F2F2"/>
            <w:noWrap/>
            <w:vAlign w:val="bottom"/>
            <w:hideMark/>
          </w:tcPr>
          <w:p w14:paraId="3F529FA8" w14:textId="77777777" w:rsidR="00F76B72" w:rsidRDefault="00F76B72" w:rsidP="00F76B72">
            <w:pPr>
              <w:keepNext/>
              <w:spacing w:after="0"/>
              <w:jc w:val="center"/>
            </w:pPr>
            <w:r>
              <w:t>-0.0405*</w:t>
            </w:r>
          </w:p>
        </w:tc>
      </w:tr>
      <w:tr w:rsidR="00F76B72" w:rsidRPr="003E5D9C" w14:paraId="25B12BC0" w14:textId="77777777" w:rsidTr="00F76B72">
        <w:trPr>
          <w:trHeight w:val="300"/>
        </w:trPr>
        <w:tc>
          <w:tcPr>
            <w:tcW w:w="2066" w:type="pct"/>
            <w:tcBorders>
              <w:top w:val="nil"/>
              <w:left w:val="nil"/>
              <w:bottom w:val="nil"/>
              <w:right w:val="nil"/>
            </w:tcBorders>
            <w:shd w:val="clear" w:color="000000" w:fill="F2F2F2"/>
            <w:noWrap/>
            <w:vAlign w:val="center"/>
            <w:hideMark/>
          </w:tcPr>
          <w:p w14:paraId="728C3F8E"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096F2339" w14:textId="77777777" w:rsidR="00F76B72" w:rsidRDefault="00F76B72" w:rsidP="00F76B72">
            <w:pPr>
              <w:keepNext/>
              <w:spacing w:after="0"/>
              <w:jc w:val="center"/>
            </w:pPr>
            <w:r>
              <w:t>(0.00157)</w:t>
            </w:r>
          </w:p>
        </w:tc>
        <w:tc>
          <w:tcPr>
            <w:tcW w:w="802" w:type="pct"/>
            <w:tcBorders>
              <w:top w:val="nil"/>
              <w:left w:val="nil"/>
              <w:bottom w:val="nil"/>
              <w:right w:val="nil"/>
            </w:tcBorders>
            <w:shd w:val="clear" w:color="000000" w:fill="F2F2F2"/>
            <w:noWrap/>
            <w:vAlign w:val="bottom"/>
            <w:hideMark/>
          </w:tcPr>
          <w:p w14:paraId="07A70645" w14:textId="77777777" w:rsidR="00F76B72" w:rsidRDefault="00F76B72" w:rsidP="00F76B72">
            <w:pPr>
              <w:keepNext/>
              <w:spacing w:after="0"/>
              <w:jc w:val="center"/>
            </w:pPr>
            <w:r>
              <w:t>(0.00174)</w:t>
            </w:r>
          </w:p>
        </w:tc>
        <w:tc>
          <w:tcPr>
            <w:tcW w:w="720" w:type="pct"/>
            <w:tcBorders>
              <w:top w:val="nil"/>
              <w:left w:val="nil"/>
              <w:bottom w:val="nil"/>
              <w:right w:val="nil"/>
            </w:tcBorders>
            <w:shd w:val="clear" w:color="000000" w:fill="F2F2F2"/>
            <w:noWrap/>
            <w:vAlign w:val="bottom"/>
            <w:hideMark/>
          </w:tcPr>
          <w:p w14:paraId="2DA84043" w14:textId="77777777" w:rsidR="00F76B72" w:rsidRDefault="00F76B72" w:rsidP="00F76B72">
            <w:pPr>
              <w:keepNext/>
              <w:spacing w:after="0"/>
              <w:jc w:val="center"/>
            </w:pPr>
            <w:r>
              <w:t>(0.00177)</w:t>
            </w:r>
          </w:p>
        </w:tc>
        <w:tc>
          <w:tcPr>
            <w:tcW w:w="690" w:type="pct"/>
            <w:tcBorders>
              <w:top w:val="nil"/>
              <w:left w:val="nil"/>
              <w:bottom w:val="nil"/>
              <w:right w:val="nil"/>
            </w:tcBorders>
            <w:shd w:val="clear" w:color="000000" w:fill="F2F2F2"/>
            <w:noWrap/>
            <w:vAlign w:val="bottom"/>
            <w:hideMark/>
          </w:tcPr>
          <w:p w14:paraId="2AB610D9" w14:textId="77777777" w:rsidR="00F76B72" w:rsidRDefault="00F76B72" w:rsidP="00F76B72">
            <w:pPr>
              <w:keepNext/>
              <w:spacing w:after="0"/>
              <w:jc w:val="center"/>
            </w:pPr>
            <w:r>
              <w:t>(0.0221)</w:t>
            </w:r>
          </w:p>
        </w:tc>
      </w:tr>
      <w:tr w:rsidR="00F76B72" w:rsidRPr="003E5D9C" w14:paraId="5F3F1118" w14:textId="77777777" w:rsidTr="00F76B72">
        <w:trPr>
          <w:trHeight w:val="300"/>
        </w:trPr>
        <w:tc>
          <w:tcPr>
            <w:tcW w:w="2066" w:type="pct"/>
            <w:tcBorders>
              <w:top w:val="nil"/>
              <w:left w:val="nil"/>
              <w:bottom w:val="nil"/>
              <w:right w:val="nil"/>
            </w:tcBorders>
            <w:shd w:val="clear" w:color="000000" w:fill="F2F2F2"/>
            <w:noWrap/>
            <w:vAlign w:val="center"/>
            <w:hideMark/>
          </w:tcPr>
          <w:p w14:paraId="18E83334" w14:textId="77777777" w:rsidR="00F76B72" w:rsidRDefault="00F76B72" w:rsidP="00F76B72">
            <w:pPr>
              <w:keepNext/>
              <w:spacing w:after="0"/>
            </w:pPr>
            <w:r>
              <w:t>Education (years)</w:t>
            </w:r>
          </w:p>
        </w:tc>
        <w:tc>
          <w:tcPr>
            <w:tcW w:w="722" w:type="pct"/>
            <w:tcBorders>
              <w:top w:val="nil"/>
              <w:left w:val="nil"/>
              <w:bottom w:val="nil"/>
              <w:right w:val="nil"/>
            </w:tcBorders>
            <w:shd w:val="clear" w:color="000000" w:fill="F2F2F2"/>
            <w:noWrap/>
            <w:vAlign w:val="bottom"/>
            <w:hideMark/>
          </w:tcPr>
          <w:p w14:paraId="1F010C30" w14:textId="77777777" w:rsidR="00F76B72" w:rsidRDefault="00F76B72" w:rsidP="00F76B72">
            <w:pPr>
              <w:keepNext/>
              <w:spacing w:after="0"/>
              <w:jc w:val="center"/>
            </w:pPr>
            <w:r>
              <w:t>0.0566**</w:t>
            </w:r>
          </w:p>
        </w:tc>
        <w:tc>
          <w:tcPr>
            <w:tcW w:w="802" w:type="pct"/>
            <w:tcBorders>
              <w:top w:val="nil"/>
              <w:left w:val="nil"/>
              <w:bottom w:val="nil"/>
              <w:right w:val="nil"/>
            </w:tcBorders>
            <w:shd w:val="clear" w:color="000000" w:fill="F2F2F2"/>
            <w:noWrap/>
            <w:vAlign w:val="bottom"/>
            <w:hideMark/>
          </w:tcPr>
          <w:p w14:paraId="063D4D0E" w14:textId="77777777" w:rsidR="00F76B72" w:rsidRDefault="00F76B72" w:rsidP="00F76B72">
            <w:pPr>
              <w:keepNext/>
              <w:spacing w:after="0"/>
              <w:jc w:val="center"/>
            </w:pPr>
            <w:r>
              <w:t>0.0418</w:t>
            </w:r>
          </w:p>
        </w:tc>
        <w:tc>
          <w:tcPr>
            <w:tcW w:w="720" w:type="pct"/>
            <w:tcBorders>
              <w:top w:val="nil"/>
              <w:left w:val="nil"/>
              <w:bottom w:val="nil"/>
              <w:right w:val="nil"/>
            </w:tcBorders>
            <w:shd w:val="clear" w:color="000000" w:fill="F2F2F2"/>
            <w:noWrap/>
            <w:vAlign w:val="bottom"/>
            <w:hideMark/>
          </w:tcPr>
          <w:p w14:paraId="78C1CDBA" w14:textId="77777777" w:rsidR="00F76B72" w:rsidRDefault="00F76B72" w:rsidP="00F76B72">
            <w:pPr>
              <w:keepNext/>
              <w:spacing w:after="0"/>
              <w:jc w:val="center"/>
            </w:pPr>
            <w:r>
              <w:t>0.0331</w:t>
            </w:r>
          </w:p>
        </w:tc>
        <w:tc>
          <w:tcPr>
            <w:tcW w:w="690" w:type="pct"/>
            <w:tcBorders>
              <w:top w:val="nil"/>
              <w:left w:val="nil"/>
              <w:bottom w:val="nil"/>
              <w:right w:val="nil"/>
            </w:tcBorders>
            <w:shd w:val="clear" w:color="000000" w:fill="F2F2F2"/>
            <w:noWrap/>
            <w:vAlign w:val="bottom"/>
            <w:hideMark/>
          </w:tcPr>
          <w:p w14:paraId="3DFE48E3" w14:textId="77777777" w:rsidR="00F76B72" w:rsidRDefault="00F76B72" w:rsidP="00F76B72">
            <w:pPr>
              <w:keepNext/>
              <w:spacing w:after="0"/>
              <w:jc w:val="center"/>
            </w:pPr>
            <w:r>
              <w:t>0.0419</w:t>
            </w:r>
          </w:p>
        </w:tc>
      </w:tr>
      <w:tr w:rsidR="00F76B72" w:rsidRPr="003E5D9C" w14:paraId="584C1C1A" w14:textId="77777777" w:rsidTr="00F76B72">
        <w:trPr>
          <w:trHeight w:val="300"/>
        </w:trPr>
        <w:tc>
          <w:tcPr>
            <w:tcW w:w="2066" w:type="pct"/>
            <w:tcBorders>
              <w:top w:val="nil"/>
              <w:left w:val="nil"/>
              <w:bottom w:val="nil"/>
              <w:right w:val="nil"/>
            </w:tcBorders>
            <w:shd w:val="clear" w:color="000000" w:fill="F2F2F2"/>
            <w:noWrap/>
            <w:vAlign w:val="center"/>
            <w:hideMark/>
          </w:tcPr>
          <w:p w14:paraId="117F9D63"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67C5A65F" w14:textId="77777777" w:rsidR="00F76B72" w:rsidRDefault="00F76B72" w:rsidP="00F76B72">
            <w:pPr>
              <w:keepNext/>
              <w:spacing w:after="0"/>
              <w:jc w:val="center"/>
            </w:pPr>
            <w:r>
              <w:t>(0.0265)</w:t>
            </w:r>
          </w:p>
        </w:tc>
        <w:tc>
          <w:tcPr>
            <w:tcW w:w="802" w:type="pct"/>
            <w:tcBorders>
              <w:top w:val="nil"/>
              <w:left w:val="nil"/>
              <w:bottom w:val="nil"/>
              <w:right w:val="nil"/>
            </w:tcBorders>
            <w:shd w:val="clear" w:color="000000" w:fill="F2F2F2"/>
            <w:noWrap/>
            <w:vAlign w:val="bottom"/>
            <w:hideMark/>
          </w:tcPr>
          <w:p w14:paraId="248C6853" w14:textId="77777777" w:rsidR="00F76B72" w:rsidRDefault="00F76B72" w:rsidP="00F76B72">
            <w:pPr>
              <w:keepNext/>
              <w:spacing w:after="0"/>
              <w:jc w:val="center"/>
            </w:pPr>
            <w:r>
              <w:t>(0.0279)</w:t>
            </w:r>
          </w:p>
        </w:tc>
        <w:tc>
          <w:tcPr>
            <w:tcW w:w="720" w:type="pct"/>
            <w:tcBorders>
              <w:top w:val="nil"/>
              <w:left w:val="nil"/>
              <w:bottom w:val="nil"/>
              <w:right w:val="nil"/>
            </w:tcBorders>
            <w:shd w:val="clear" w:color="000000" w:fill="F2F2F2"/>
            <w:noWrap/>
            <w:vAlign w:val="bottom"/>
            <w:hideMark/>
          </w:tcPr>
          <w:p w14:paraId="398AFB83" w14:textId="77777777" w:rsidR="00F76B72" w:rsidRDefault="00F76B72" w:rsidP="00F76B72">
            <w:pPr>
              <w:keepNext/>
              <w:spacing w:after="0"/>
              <w:jc w:val="center"/>
            </w:pPr>
            <w:r>
              <w:t>(0.0282)</w:t>
            </w:r>
          </w:p>
        </w:tc>
        <w:tc>
          <w:tcPr>
            <w:tcW w:w="690" w:type="pct"/>
            <w:tcBorders>
              <w:top w:val="nil"/>
              <w:left w:val="nil"/>
              <w:bottom w:val="nil"/>
              <w:right w:val="nil"/>
            </w:tcBorders>
            <w:shd w:val="clear" w:color="000000" w:fill="F2F2F2"/>
            <w:noWrap/>
            <w:vAlign w:val="bottom"/>
            <w:hideMark/>
          </w:tcPr>
          <w:p w14:paraId="23DFB5BF" w14:textId="77777777" w:rsidR="00F76B72" w:rsidRDefault="00F76B72" w:rsidP="00F76B72">
            <w:pPr>
              <w:keepNext/>
              <w:spacing w:after="0"/>
              <w:jc w:val="center"/>
            </w:pPr>
            <w:r>
              <w:t>(0.0280)</w:t>
            </w:r>
          </w:p>
        </w:tc>
      </w:tr>
      <w:tr w:rsidR="00F76B72" w:rsidRPr="003E5D9C" w14:paraId="6F6C6A05" w14:textId="77777777" w:rsidTr="00F76B72">
        <w:trPr>
          <w:trHeight w:val="300"/>
        </w:trPr>
        <w:tc>
          <w:tcPr>
            <w:tcW w:w="2066" w:type="pct"/>
            <w:tcBorders>
              <w:top w:val="nil"/>
              <w:left w:val="nil"/>
              <w:bottom w:val="nil"/>
              <w:right w:val="nil"/>
            </w:tcBorders>
            <w:shd w:val="clear" w:color="000000" w:fill="F2F2F2"/>
            <w:noWrap/>
            <w:vAlign w:val="center"/>
            <w:hideMark/>
          </w:tcPr>
          <w:p w14:paraId="7ADF08BA" w14:textId="77777777" w:rsidR="00F76B72" w:rsidRDefault="00F76B72" w:rsidP="00F76B72">
            <w:pPr>
              <w:keepNext/>
              <w:spacing w:after="0"/>
            </w:pPr>
            <w:r>
              <w:t>Male (1=yes)</w:t>
            </w:r>
          </w:p>
        </w:tc>
        <w:tc>
          <w:tcPr>
            <w:tcW w:w="722" w:type="pct"/>
            <w:tcBorders>
              <w:top w:val="nil"/>
              <w:left w:val="nil"/>
              <w:bottom w:val="nil"/>
              <w:right w:val="nil"/>
            </w:tcBorders>
            <w:shd w:val="clear" w:color="000000" w:fill="F2F2F2"/>
            <w:noWrap/>
            <w:vAlign w:val="bottom"/>
            <w:hideMark/>
          </w:tcPr>
          <w:p w14:paraId="595ECE5D" w14:textId="77777777" w:rsidR="00F76B72" w:rsidRDefault="00F76B72" w:rsidP="00F76B72">
            <w:pPr>
              <w:keepNext/>
              <w:spacing w:after="0"/>
              <w:jc w:val="center"/>
            </w:pPr>
            <w:r>
              <w:t>-0.100</w:t>
            </w:r>
          </w:p>
        </w:tc>
        <w:tc>
          <w:tcPr>
            <w:tcW w:w="802" w:type="pct"/>
            <w:tcBorders>
              <w:top w:val="nil"/>
              <w:left w:val="nil"/>
              <w:bottom w:val="nil"/>
              <w:right w:val="nil"/>
            </w:tcBorders>
            <w:shd w:val="clear" w:color="000000" w:fill="F2F2F2"/>
            <w:noWrap/>
            <w:vAlign w:val="bottom"/>
            <w:hideMark/>
          </w:tcPr>
          <w:p w14:paraId="251FBD4C" w14:textId="77777777" w:rsidR="00F76B72" w:rsidRDefault="00F76B72" w:rsidP="00F76B72">
            <w:pPr>
              <w:keepNext/>
              <w:spacing w:after="0"/>
              <w:jc w:val="center"/>
            </w:pPr>
            <w:r>
              <w:t>-0.136</w:t>
            </w:r>
          </w:p>
        </w:tc>
        <w:tc>
          <w:tcPr>
            <w:tcW w:w="720" w:type="pct"/>
            <w:tcBorders>
              <w:top w:val="nil"/>
              <w:left w:val="nil"/>
              <w:bottom w:val="nil"/>
              <w:right w:val="nil"/>
            </w:tcBorders>
            <w:shd w:val="clear" w:color="000000" w:fill="F2F2F2"/>
            <w:noWrap/>
            <w:vAlign w:val="bottom"/>
            <w:hideMark/>
          </w:tcPr>
          <w:p w14:paraId="4DADDB95" w14:textId="77777777" w:rsidR="00F76B72" w:rsidRDefault="00F76B72" w:rsidP="00F76B72">
            <w:pPr>
              <w:keepNext/>
              <w:spacing w:after="0"/>
              <w:jc w:val="center"/>
            </w:pPr>
            <w:r>
              <w:t>-0.146</w:t>
            </w:r>
          </w:p>
        </w:tc>
        <w:tc>
          <w:tcPr>
            <w:tcW w:w="690" w:type="pct"/>
            <w:tcBorders>
              <w:top w:val="nil"/>
              <w:left w:val="nil"/>
              <w:bottom w:val="nil"/>
              <w:right w:val="nil"/>
            </w:tcBorders>
            <w:shd w:val="clear" w:color="000000" w:fill="F2F2F2"/>
            <w:noWrap/>
            <w:vAlign w:val="bottom"/>
            <w:hideMark/>
          </w:tcPr>
          <w:p w14:paraId="21CDCE34" w14:textId="77777777" w:rsidR="00F76B72" w:rsidRDefault="00F76B72" w:rsidP="00F76B72">
            <w:pPr>
              <w:keepNext/>
              <w:spacing w:after="0"/>
              <w:jc w:val="center"/>
            </w:pPr>
            <w:r>
              <w:t>-0.132</w:t>
            </w:r>
          </w:p>
        </w:tc>
      </w:tr>
      <w:tr w:rsidR="00F76B72" w:rsidRPr="003E5D9C" w14:paraId="47D7696F" w14:textId="77777777" w:rsidTr="00F76B72">
        <w:trPr>
          <w:trHeight w:val="300"/>
        </w:trPr>
        <w:tc>
          <w:tcPr>
            <w:tcW w:w="2066" w:type="pct"/>
            <w:tcBorders>
              <w:top w:val="nil"/>
              <w:left w:val="nil"/>
              <w:bottom w:val="nil"/>
              <w:right w:val="nil"/>
            </w:tcBorders>
            <w:shd w:val="clear" w:color="000000" w:fill="F2F2F2"/>
            <w:noWrap/>
            <w:vAlign w:val="center"/>
            <w:hideMark/>
          </w:tcPr>
          <w:p w14:paraId="2D2C2672"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11CBBB29" w14:textId="77777777" w:rsidR="00F76B72" w:rsidRDefault="00F76B72" w:rsidP="00F76B72">
            <w:pPr>
              <w:keepNext/>
              <w:spacing w:after="0"/>
              <w:jc w:val="center"/>
            </w:pPr>
            <w:r>
              <w:t>(0.137)</w:t>
            </w:r>
          </w:p>
        </w:tc>
        <w:tc>
          <w:tcPr>
            <w:tcW w:w="802" w:type="pct"/>
            <w:tcBorders>
              <w:top w:val="nil"/>
              <w:left w:val="nil"/>
              <w:bottom w:val="nil"/>
              <w:right w:val="nil"/>
            </w:tcBorders>
            <w:shd w:val="clear" w:color="000000" w:fill="F2F2F2"/>
            <w:noWrap/>
            <w:vAlign w:val="bottom"/>
            <w:hideMark/>
          </w:tcPr>
          <w:p w14:paraId="4FD7BBE8" w14:textId="77777777" w:rsidR="00F76B72" w:rsidRDefault="00F76B72" w:rsidP="00F76B72">
            <w:pPr>
              <w:keepNext/>
              <w:spacing w:after="0"/>
              <w:jc w:val="center"/>
            </w:pPr>
            <w:r>
              <w:t>(0.147)</w:t>
            </w:r>
          </w:p>
        </w:tc>
        <w:tc>
          <w:tcPr>
            <w:tcW w:w="720" w:type="pct"/>
            <w:tcBorders>
              <w:top w:val="nil"/>
              <w:left w:val="nil"/>
              <w:bottom w:val="nil"/>
              <w:right w:val="nil"/>
            </w:tcBorders>
            <w:shd w:val="clear" w:color="000000" w:fill="F2F2F2"/>
            <w:noWrap/>
            <w:vAlign w:val="bottom"/>
            <w:hideMark/>
          </w:tcPr>
          <w:p w14:paraId="22508CF9" w14:textId="77777777" w:rsidR="00F76B72" w:rsidRDefault="00F76B72" w:rsidP="00F76B72">
            <w:pPr>
              <w:keepNext/>
              <w:spacing w:after="0"/>
              <w:jc w:val="center"/>
            </w:pPr>
            <w:r>
              <w:t>(0.150)</w:t>
            </w:r>
          </w:p>
        </w:tc>
        <w:tc>
          <w:tcPr>
            <w:tcW w:w="690" w:type="pct"/>
            <w:tcBorders>
              <w:top w:val="nil"/>
              <w:left w:val="nil"/>
              <w:bottom w:val="nil"/>
              <w:right w:val="nil"/>
            </w:tcBorders>
            <w:shd w:val="clear" w:color="000000" w:fill="F2F2F2"/>
            <w:noWrap/>
            <w:vAlign w:val="bottom"/>
            <w:hideMark/>
          </w:tcPr>
          <w:p w14:paraId="073CF032" w14:textId="77777777" w:rsidR="00F76B72" w:rsidRDefault="00F76B72" w:rsidP="00F76B72">
            <w:pPr>
              <w:keepNext/>
              <w:spacing w:after="0"/>
              <w:jc w:val="center"/>
            </w:pPr>
            <w:r>
              <w:t>(0.147)</w:t>
            </w:r>
          </w:p>
        </w:tc>
      </w:tr>
      <w:tr w:rsidR="00F76B72" w:rsidRPr="003E5D9C" w14:paraId="19D2F852" w14:textId="77777777" w:rsidTr="00F76B72">
        <w:trPr>
          <w:trHeight w:val="300"/>
        </w:trPr>
        <w:tc>
          <w:tcPr>
            <w:tcW w:w="2066" w:type="pct"/>
            <w:tcBorders>
              <w:top w:val="nil"/>
              <w:left w:val="nil"/>
              <w:bottom w:val="nil"/>
              <w:right w:val="nil"/>
            </w:tcBorders>
            <w:shd w:val="clear" w:color="000000" w:fill="F2F2F2"/>
            <w:noWrap/>
            <w:vAlign w:val="center"/>
            <w:hideMark/>
          </w:tcPr>
          <w:p w14:paraId="2DF494CD" w14:textId="77777777" w:rsidR="00F76B72" w:rsidRDefault="00F76B72" w:rsidP="00F76B72">
            <w:pPr>
              <w:keepNext/>
              <w:spacing w:after="0"/>
            </w:pPr>
            <w:r>
              <w:t>Household size (# people)</w:t>
            </w:r>
          </w:p>
        </w:tc>
        <w:tc>
          <w:tcPr>
            <w:tcW w:w="722" w:type="pct"/>
            <w:tcBorders>
              <w:top w:val="nil"/>
              <w:left w:val="nil"/>
              <w:bottom w:val="nil"/>
              <w:right w:val="nil"/>
            </w:tcBorders>
            <w:shd w:val="clear" w:color="000000" w:fill="F2F2F2"/>
            <w:noWrap/>
            <w:vAlign w:val="bottom"/>
            <w:hideMark/>
          </w:tcPr>
          <w:p w14:paraId="1AFD4F45" w14:textId="77777777" w:rsidR="00F76B72" w:rsidRDefault="00F76B72" w:rsidP="00F76B72">
            <w:pPr>
              <w:keepNext/>
              <w:spacing w:after="0"/>
              <w:jc w:val="center"/>
            </w:pPr>
            <w:r>
              <w:t>-0.0380</w:t>
            </w:r>
          </w:p>
        </w:tc>
        <w:tc>
          <w:tcPr>
            <w:tcW w:w="802" w:type="pct"/>
            <w:tcBorders>
              <w:top w:val="nil"/>
              <w:left w:val="nil"/>
              <w:bottom w:val="nil"/>
              <w:right w:val="nil"/>
            </w:tcBorders>
            <w:shd w:val="clear" w:color="000000" w:fill="F2F2F2"/>
            <w:noWrap/>
            <w:vAlign w:val="bottom"/>
            <w:hideMark/>
          </w:tcPr>
          <w:p w14:paraId="02D6D8E5" w14:textId="77777777" w:rsidR="00F76B72" w:rsidRDefault="00F76B72" w:rsidP="00F76B72">
            <w:pPr>
              <w:keepNext/>
              <w:spacing w:after="0"/>
              <w:jc w:val="center"/>
            </w:pPr>
            <w:r>
              <w:t>-0.0405</w:t>
            </w:r>
          </w:p>
        </w:tc>
        <w:tc>
          <w:tcPr>
            <w:tcW w:w="720" w:type="pct"/>
            <w:tcBorders>
              <w:top w:val="nil"/>
              <w:left w:val="nil"/>
              <w:bottom w:val="nil"/>
              <w:right w:val="nil"/>
            </w:tcBorders>
            <w:shd w:val="clear" w:color="000000" w:fill="F2F2F2"/>
            <w:noWrap/>
            <w:vAlign w:val="bottom"/>
            <w:hideMark/>
          </w:tcPr>
          <w:p w14:paraId="074B7FF8" w14:textId="77777777" w:rsidR="00F76B72" w:rsidRDefault="00F76B72" w:rsidP="00F76B72">
            <w:pPr>
              <w:keepNext/>
              <w:spacing w:after="0"/>
              <w:jc w:val="center"/>
            </w:pPr>
            <w:r>
              <w:t>-0.0266</w:t>
            </w:r>
          </w:p>
        </w:tc>
        <w:tc>
          <w:tcPr>
            <w:tcW w:w="690" w:type="pct"/>
            <w:tcBorders>
              <w:top w:val="nil"/>
              <w:left w:val="nil"/>
              <w:bottom w:val="nil"/>
              <w:right w:val="nil"/>
            </w:tcBorders>
            <w:shd w:val="clear" w:color="000000" w:fill="F2F2F2"/>
            <w:noWrap/>
            <w:vAlign w:val="bottom"/>
            <w:hideMark/>
          </w:tcPr>
          <w:p w14:paraId="7678F81A" w14:textId="77777777" w:rsidR="00F76B72" w:rsidRDefault="00F76B72" w:rsidP="00F76B72">
            <w:pPr>
              <w:keepNext/>
              <w:spacing w:after="0"/>
              <w:jc w:val="center"/>
            </w:pPr>
            <w:r>
              <w:t>-0.0415</w:t>
            </w:r>
          </w:p>
        </w:tc>
      </w:tr>
      <w:tr w:rsidR="00F76B72" w:rsidRPr="003E5D9C" w14:paraId="524AB6EF" w14:textId="77777777" w:rsidTr="00F76B72">
        <w:trPr>
          <w:trHeight w:val="300"/>
        </w:trPr>
        <w:tc>
          <w:tcPr>
            <w:tcW w:w="2066" w:type="pct"/>
            <w:tcBorders>
              <w:top w:val="nil"/>
              <w:left w:val="nil"/>
              <w:bottom w:val="nil"/>
              <w:right w:val="nil"/>
            </w:tcBorders>
            <w:shd w:val="clear" w:color="000000" w:fill="F2F2F2"/>
            <w:noWrap/>
            <w:vAlign w:val="center"/>
            <w:hideMark/>
          </w:tcPr>
          <w:p w14:paraId="4D8D284C"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3B4FC287" w14:textId="77777777" w:rsidR="00F76B72" w:rsidRDefault="00F76B72" w:rsidP="00F76B72">
            <w:pPr>
              <w:keepNext/>
              <w:spacing w:after="0"/>
              <w:jc w:val="center"/>
            </w:pPr>
            <w:r>
              <w:t>(0.0512)</w:t>
            </w:r>
          </w:p>
        </w:tc>
        <w:tc>
          <w:tcPr>
            <w:tcW w:w="802" w:type="pct"/>
            <w:tcBorders>
              <w:top w:val="nil"/>
              <w:left w:val="nil"/>
              <w:bottom w:val="nil"/>
              <w:right w:val="nil"/>
            </w:tcBorders>
            <w:shd w:val="clear" w:color="000000" w:fill="F2F2F2"/>
            <w:noWrap/>
            <w:vAlign w:val="bottom"/>
            <w:hideMark/>
          </w:tcPr>
          <w:p w14:paraId="7DE6837D" w14:textId="77777777" w:rsidR="00F76B72" w:rsidRDefault="00F76B72" w:rsidP="00F76B72">
            <w:pPr>
              <w:keepNext/>
              <w:spacing w:after="0"/>
              <w:jc w:val="center"/>
            </w:pPr>
            <w:r>
              <w:t>(0.0550)</w:t>
            </w:r>
          </w:p>
        </w:tc>
        <w:tc>
          <w:tcPr>
            <w:tcW w:w="720" w:type="pct"/>
            <w:tcBorders>
              <w:top w:val="nil"/>
              <w:left w:val="nil"/>
              <w:bottom w:val="nil"/>
              <w:right w:val="nil"/>
            </w:tcBorders>
            <w:shd w:val="clear" w:color="000000" w:fill="F2F2F2"/>
            <w:noWrap/>
            <w:vAlign w:val="bottom"/>
            <w:hideMark/>
          </w:tcPr>
          <w:p w14:paraId="0F4F596F" w14:textId="77777777" w:rsidR="00F76B72" w:rsidRDefault="00F76B72" w:rsidP="00F76B72">
            <w:pPr>
              <w:keepNext/>
              <w:spacing w:after="0"/>
              <w:jc w:val="center"/>
            </w:pPr>
            <w:r>
              <w:t>(0.0565)</w:t>
            </w:r>
          </w:p>
        </w:tc>
        <w:tc>
          <w:tcPr>
            <w:tcW w:w="690" w:type="pct"/>
            <w:tcBorders>
              <w:top w:val="nil"/>
              <w:left w:val="nil"/>
              <w:bottom w:val="nil"/>
              <w:right w:val="nil"/>
            </w:tcBorders>
            <w:shd w:val="clear" w:color="000000" w:fill="F2F2F2"/>
            <w:noWrap/>
            <w:vAlign w:val="bottom"/>
            <w:hideMark/>
          </w:tcPr>
          <w:p w14:paraId="7226B716" w14:textId="77777777" w:rsidR="00F76B72" w:rsidRDefault="00F76B72" w:rsidP="00F76B72">
            <w:pPr>
              <w:keepNext/>
              <w:spacing w:after="0"/>
              <w:jc w:val="center"/>
            </w:pPr>
            <w:r>
              <w:t>(0.0549)</w:t>
            </w:r>
          </w:p>
        </w:tc>
      </w:tr>
      <w:tr w:rsidR="00F76B72" w:rsidRPr="003E5D9C" w14:paraId="0828C081" w14:textId="77777777" w:rsidTr="00F76B72">
        <w:trPr>
          <w:trHeight w:val="300"/>
        </w:trPr>
        <w:tc>
          <w:tcPr>
            <w:tcW w:w="2066" w:type="pct"/>
            <w:tcBorders>
              <w:top w:val="nil"/>
              <w:left w:val="nil"/>
              <w:bottom w:val="nil"/>
              <w:right w:val="nil"/>
            </w:tcBorders>
            <w:shd w:val="clear" w:color="000000" w:fill="F2F2F2"/>
            <w:noWrap/>
            <w:vAlign w:val="center"/>
            <w:hideMark/>
          </w:tcPr>
          <w:p w14:paraId="1758D70D" w14:textId="77777777" w:rsidR="00F76B72" w:rsidRDefault="00F76B72" w:rsidP="00F76B72">
            <w:pPr>
              <w:keepNext/>
              <w:spacing w:after="0"/>
            </w:pPr>
            <w:r>
              <w:t>Income ($10,000's)</w:t>
            </w:r>
          </w:p>
        </w:tc>
        <w:tc>
          <w:tcPr>
            <w:tcW w:w="722" w:type="pct"/>
            <w:tcBorders>
              <w:top w:val="nil"/>
              <w:left w:val="nil"/>
              <w:bottom w:val="nil"/>
              <w:right w:val="nil"/>
            </w:tcBorders>
            <w:shd w:val="clear" w:color="000000" w:fill="F2F2F2"/>
            <w:noWrap/>
            <w:vAlign w:val="bottom"/>
            <w:hideMark/>
          </w:tcPr>
          <w:p w14:paraId="463EDA99" w14:textId="77777777" w:rsidR="00F76B72" w:rsidRDefault="00F76B72" w:rsidP="00F76B72">
            <w:pPr>
              <w:keepNext/>
              <w:spacing w:after="0"/>
              <w:jc w:val="center"/>
            </w:pPr>
            <w:r>
              <w:t>0.0382***</w:t>
            </w:r>
          </w:p>
        </w:tc>
        <w:tc>
          <w:tcPr>
            <w:tcW w:w="802" w:type="pct"/>
            <w:tcBorders>
              <w:top w:val="nil"/>
              <w:left w:val="nil"/>
              <w:bottom w:val="nil"/>
              <w:right w:val="nil"/>
            </w:tcBorders>
            <w:shd w:val="clear" w:color="000000" w:fill="F2F2F2"/>
            <w:noWrap/>
            <w:vAlign w:val="bottom"/>
            <w:hideMark/>
          </w:tcPr>
          <w:p w14:paraId="7455075B" w14:textId="77777777" w:rsidR="00F76B72" w:rsidRDefault="00F76B72" w:rsidP="00F76B72">
            <w:pPr>
              <w:keepNext/>
              <w:spacing w:after="0"/>
              <w:jc w:val="center"/>
            </w:pPr>
            <w:r>
              <w:t>0.0357**</w:t>
            </w:r>
          </w:p>
        </w:tc>
        <w:tc>
          <w:tcPr>
            <w:tcW w:w="720" w:type="pct"/>
            <w:tcBorders>
              <w:top w:val="nil"/>
              <w:left w:val="nil"/>
              <w:bottom w:val="nil"/>
              <w:right w:val="nil"/>
            </w:tcBorders>
            <w:shd w:val="clear" w:color="000000" w:fill="F2F2F2"/>
            <w:noWrap/>
            <w:vAlign w:val="bottom"/>
            <w:hideMark/>
          </w:tcPr>
          <w:p w14:paraId="7D081DD9" w14:textId="77777777" w:rsidR="00F76B72" w:rsidRDefault="00F76B72" w:rsidP="00F76B72">
            <w:pPr>
              <w:keepNext/>
              <w:spacing w:after="0"/>
              <w:jc w:val="center"/>
            </w:pPr>
            <w:r>
              <w:t>0.0331**</w:t>
            </w:r>
          </w:p>
        </w:tc>
        <w:tc>
          <w:tcPr>
            <w:tcW w:w="690" w:type="pct"/>
            <w:tcBorders>
              <w:top w:val="nil"/>
              <w:left w:val="nil"/>
              <w:bottom w:val="nil"/>
              <w:right w:val="nil"/>
            </w:tcBorders>
            <w:shd w:val="clear" w:color="000000" w:fill="F2F2F2"/>
            <w:noWrap/>
            <w:vAlign w:val="bottom"/>
            <w:hideMark/>
          </w:tcPr>
          <w:p w14:paraId="3B6E0E56" w14:textId="77777777" w:rsidR="00F76B72" w:rsidRDefault="00F76B72" w:rsidP="00F76B72">
            <w:pPr>
              <w:keepNext/>
              <w:spacing w:after="0"/>
              <w:jc w:val="center"/>
            </w:pPr>
            <w:r>
              <w:t>0.0362**</w:t>
            </w:r>
          </w:p>
        </w:tc>
      </w:tr>
      <w:tr w:rsidR="00F76B72" w:rsidRPr="003E5D9C" w14:paraId="4D1F8EFE" w14:textId="77777777" w:rsidTr="00F76B72">
        <w:trPr>
          <w:trHeight w:val="300"/>
        </w:trPr>
        <w:tc>
          <w:tcPr>
            <w:tcW w:w="2066" w:type="pct"/>
            <w:tcBorders>
              <w:top w:val="nil"/>
              <w:left w:val="nil"/>
              <w:bottom w:val="nil"/>
              <w:right w:val="nil"/>
            </w:tcBorders>
            <w:shd w:val="clear" w:color="000000" w:fill="F2F2F2"/>
            <w:noWrap/>
            <w:vAlign w:val="center"/>
            <w:hideMark/>
          </w:tcPr>
          <w:p w14:paraId="1E6DBE60"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732D347A" w14:textId="77777777" w:rsidR="00F76B72" w:rsidRDefault="00F76B72" w:rsidP="00F76B72">
            <w:pPr>
              <w:keepNext/>
              <w:spacing w:after="0"/>
              <w:jc w:val="center"/>
            </w:pPr>
            <w:r>
              <w:t>(0.0137)</w:t>
            </w:r>
          </w:p>
        </w:tc>
        <w:tc>
          <w:tcPr>
            <w:tcW w:w="802" w:type="pct"/>
            <w:tcBorders>
              <w:top w:val="nil"/>
              <w:left w:val="nil"/>
              <w:bottom w:val="nil"/>
              <w:right w:val="nil"/>
            </w:tcBorders>
            <w:shd w:val="clear" w:color="000000" w:fill="F2F2F2"/>
            <w:noWrap/>
            <w:vAlign w:val="bottom"/>
            <w:hideMark/>
          </w:tcPr>
          <w:p w14:paraId="284310BA" w14:textId="77777777" w:rsidR="00F76B72" w:rsidRDefault="00F76B72" w:rsidP="00F76B72">
            <w:pPr>
              <w:keepNext/>
              <w:spacing w:after="0"/>
              <w:jc w:val="center"/>
            </w:pPr>
            <w:r>
              <w:t>(0.0145)</w:t>
            </w:r>
          </w:p>
        </w:tc>
        <w:tc>
          <w:tcPr>
            <w:tcW w:w="720" w:type="pct"/>
            <w:tcBorders>
              <w:top w:val="nil"/>
              <w:left w:val="nil"/>
              <w:bottom w:val="nil"/>
              <w:right w:val="nil"/>
            </w:tcBorders>
            <w:shd w:val="clear" w:color="000000" w:fill="F2F2F2"/>
            <w:noWrap/>
            <w:vAlign w:val="bottom"/>
            <w:hideMark/>
          </w:tcPr>
          <w:p w14:paraId="2FE57255" w14:textId="77777777" w:rsidR="00F76B72" w:rsidRDefault="00F76B72" w:rsidP="00F76B72">
            <w:pPr>
              <w:keepNext/>
              <w:spacing w:after="0"/>
              <w:jc w:val="center"/>
            </w:pPr>
            <w:r>
              <w:t>(0.0153)</w:t>
            </w:r>
          </w:p>
        </w:tc>
        <w:tc>
          <w:tcPr>
            <w:tcW w:w="690" w:type="pct"/>
            <w:tcBorders>
              <w:top w:val="nil"/>
              <w:left w:val="nil"/>
              <w:bottom w:val="nil"/>
              <w:right w:val="nil"/>
            </w:tcBorders>
            <w:shd w:val="clear" w:color="000000" w:fill="F2F2F2"/>
            <w:noWrap/>
            <w:vAlign w:val="bottom"/>
            <w:hideMark/>
          </w:tcPr>
          <w:p w14:paraId="105FFAA7" w14:textId="77777777" w:rsidR="00F76B72" w:rsidRDefault="00F76B72" w:rsidP="00F76B72">
            <w:pPr>
              <w:keepNext/>
              <w:spacing w:after="0"/>
              <w:jc w:val="center"/>
            </w:pPr>
            <w:r>
              <w:t>(0.0145)</w:t>
            </w:r>
          </w:p>
        </w:tc>
      </w:tr>
      <w:tr w:rsidR="00F76B72" w:rsidRPr="003E5D9C" w14:paraId="66134DBA" w14:textId="77777777" w:rsidTr="00F76B72">
        <w:trPr>
          <w:trHeight w:val="300"/>
        </w:trPr>
        <w:tc>
          <w:tcPr>
            <w:tcW w:w="2066" w:type="pct"/>
            <w:tcBorders>
              <w:top w:val="nil"/>
              <w:left w:val="nil"/>
              <w:bottom w:val="nil"/>
              <w:right w:val="nil"/>
            </w:tcBorders>
            <w:shd w:val="clear" w:color="000000" w:fill="F2F2F2"/>
            <w:noWrap/>
            <w:vAlign w:val="center"/>
            <w:hideMark/>
          </w:tcPr>
          <w:p w14:paraId="4EBD7433" w14:textId="77777777" w:rsidR="00F76B72" w:rsidRDefault="00F76B72" w:rsidP="00F76B72">
            <w:pPr>
              <w:keepNext/>
              <w:spacing w:after="0"/>
            </w:pPr>
            <w:r>
              <w:t>Age (years)</w:t>
            </w:r>
          </w:p>
        </w:tc>
        <w:tc>
          <w:tcPr>
            <w:tcW w:w="722" w:type="pct"/>
            <w:tcBorders>
              <w:top w:val="nil"/>
              <w:left w:val="nil"/>
              <w:bottom w:val="nil"/>
              <w:right w:val="nil"/>
            </w:tcBorders>
            <w:shd w:val="clear" w:color="000000" w:fill="F2F2F2"/>
            <w:noWrap/>
            <w:vAlign w:val="bottom"/>
            <w:hideMark/>
          </w:tcPr>
          <w:p w14:paraId="551F9EC5" w14:textId="77777777" w:rsidR="00F76B72" w:rsidRDefault="00F76B72" w:rsidP="00F76B72">
            <w:pPr>
              <w:keepNext/>
              <w:spacing w:after="0"/>
              <w:jc w:val="center"/>
            </w:pPr>
            <w:r>
              <w:t>-0.00374</w:t>
            </w:r>
          </w:p>
        </w:tc>
        <w:tc>
          <w:tcPr>
            <w:tcW w:w="802" w:type="pct"/>
            <w:tcBorders>
              <w:top w:val="nil"/>
              <w:left w:val="nil"/>
              <w:bottom w:val="nil"/>
              <w:right w:val="nil"/>
            </w:tcBorders>
            <w:shd w:val="clear" w:color="000000" w:fill="F2F2F2"/>
            <w:noWrap/>
            <w:vAlign w:val="bottom"/>
            <w:hideMark/>
          </w:tcPr>
          <w:p w14:paraId="391AC807" w14:textId="77777777" w:rsidR="00F76B72" w:rsidRDefault="00F76B72" w:rsidP="00F76B72">
            <w:pPr>
              <w:keepNext/>
              <w:spacing w:after="0"/>
              <w:jc w:val="center"/>
            </w:pPr>
            <w:r>
              <w:t>-0.00441</w:t>
            </w:r>
          </w:p>
        </w:tc>
        <w:tc>
          <w:tcPr>
            <w:tcW w:w="720" w:type="pct"/>
            <w:tcBorders>
              <w:top w:val="nil"/>
              <w:left w:val="nil"/>
              <w:bottom w:val="nil"/>
              <w:right w:val="nil"/>
            </w:tcBorders>
            <w:shd w:val="clear" w:color="000000" w:fill="F2F2F2"/>
            <w:noWrap/>
            <w:vAlign w:val="bottom"/>
            <w:hideMark/>
          </w:tcPr>
          <w:p w14:paraId="537893ED" w14:textId="77777777" w:rsidR="00F76B72" w:rsidRDefault="00F76B72" w:rsidP="00F76B72">
            <w:pPr>
              <w:keepNext/>
              <w:spacing w:after="0"/>
              <w:jc w:val="center"/>
            </w:pPr>
            <w:r>
              <w:t>-0.00311</w:t>
            </w:r>
          </w:p>
        </w:tc>
        <w:tc>
          <w:tcPr>
            <w:tcW w:w="690" w:type="pct"/>
            <w:tcBorders>
              <w:top w:val="nil"/>
              <w:left w:val="nil"/>
              <w:bottom w:val="nil"/>
              <w:right w:val="nil"/>
            </w:tcBorders>
            <w:shd w:val="clear" w:color="000000" w:fill="F2F2F2"/>
            <w:noWrap/>
            <w:vAlign w:val="bottom"/>
            <w:hideMark/>
          </w:tcPr>
          <w:p w14:paraId="53CFCDB4" w14:textId="77777777" w:rsidR="00F76B72" w:rsidRDefault="00F76B72" w:rsidP="00F76B72">
            <w:pPr>
              <w:keepNext/>
              <w:spacing w:after="0"/>
              <w:jc w:val="center"/>
            </w:pPr>
            <w:r>
              <w:t>-0.00452</w:t>
            </w:r>
          </w:p>
        </w:tc>
      </w:tr>
      <w:tr w:rsidR="00F76B72" w:rsidRPr="003E5D9C" w14:paraId="0DEB6D40" w14:textId="77777777" w:rsidTr="00F76B72">
        <w:trPr>
          <w:trHeight w:val="300"/>
        </w:trPr>
        <w:tc>
          <w:tcPr>
            <w:tcW w:w="2066" w:type="pct"/>
            <w:tcBorders>
              <w:top w:val="nil"/>
              <w:left w:val="nil"/>
              <w:bottom w:val="nil"/>
              <w:right w:val="nil"/>
            </w:tcBorders>
            <w:shd w:val="clear" w:color="000000" w:fill="F2F2F2"/>
            <w:noWrap/>
            <w:vAlign w:val="center"/>
            <w:hideMark/>
          </w:tcPr>
          <w:p w14:paraId="0D99C286"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5EC83C02" w14:textId="77777777" w:rsidR="00F76B72" w:rsidRDefault="00F76B72" w:rsidP="00F76B72">
            <w:pPr>
              <w:keepNext/>
              <w:spacing w:after="0"/>
              <w:jc w:val="center"/>
            </w:pPr>
            <w:r>
              <w:t>(0.00423)</w:t>
            </w:r>
          </w:p>
        </w:tc>
        <w:tc>
          <w:tcPr>
            <w:tcW w:w="802" w:type="pct"/>
            <w:tcBorders>
              <w:top w:val="nil"/>
              <w:left w:val="nil"/>
              <w:bottom w:val="nil"/>
              <w:right w:val="nil"/>
            </w:tcBorders>
            <w:shd w:val="clear" w:color="000000" w:fill="F2F2F2"/>
            <w:noWrap/>
            <w:vAlign w:val="bottom"/>
            <w:hideMark/>
          </w:tcPr>
          <w:p w14:paraId="42B314CF" w14:textId="77777777" w:rsidR="00F76B72" w:rsidRDefault="00F76B72" w:rsidP="00F76B72">
            <w:pPr>
              <w:keepNext/>
              <w:spacing w:after="0"/>
              <w:jc w:val="center"/>
            </w:pPr>
            <w:r>
              <w:t>(0.00452)</w:t>
            </w:r>
          </w:p>
        </w:tc>
        <w:tc>
          <w:tcPr>
            <w:tcW w:w="720" w:type="pct"/>
            <w:tcBorders>
              <w:top w:val="nil"/>
              <w:left w:val="nil"/>
              <w:bottom w:val="nil"/>
              <w:right w:val="nil"/>
            </w:tcBorders>
            <w:shd w:val="clear" w:color="000000" w:fill="F2F2F2"/>
            <w:noWrap/>
            <w:vAlign w:val="bottom"/>
            <w:hideMark/>
          </w:tcPr>
          <w:p w14:paraId="6B321B3E" w14:textId="77777777" w:rsidR="00F76B72" w:rsidRDefault="00F76B72" w:rsidP="00F76B72">
            <w:pPr>
              <w:keepNext/>
              <w:spacing w:after="0"/>
              <w:jc w:val="center"/>
            </w:pPr>
            <w:r>
              <w:t>(0.00459)</w:t>
            </w:r>
          </w:p>
        </w:tc>
        <w:tc>
          <w:tcPr>
            <w:tcW w:w="690" w:type="pct"/>
            <w:tcBorders>
              <w:top w:val="nil"/>
              <w:left w:val="nil"/>
              <w:bottom w:val="nil"/>
              <w:right w:val="nil"/>
            </w:tcBorders>
            <w:shd w:val="clear" w:color="000000" w:fill="F2F2F2"/>
            <w:noWrap/>
            <w:vAlign w:val="bottom"/>
            <w:hideMark/>
          </w:tcPr>
          <w:p w14:paraId="7C4C15C0" w14:textId="77777777" w:rsidR="00F76B72" w:rsidRDefault="00F76B72" w:rsidP="00F76B72">
            <w:pPr>
              <w:keepNext/>
              <w:spacing w:after="0"/>
              <w:jc w:val="center"/>
            </w:pPr>
            <w:r>
              <w:t>(0.00451)</w:t>
            </w:r>
          </w:p>
        </w:tc>
      </w:tr>
      <w:tr w:rsidR="00F76B72" w:rsidRPr="003E5D9C" w14:paraId="636FA5F4" w14:textId="77777777" w:rsidTr="00F76B72">
        <w:trPr>
          <w:trHeight w:val="300"/>
        </w:trPr>
        <w:tc>
          <w:tcPr>
            <w:tcW w:w="2066" w:type="pct"/>
            <w:tcBorders>
              <w:top w:val="nil"/>
              <w:left w:val="nil"/>
              <w:bottom w:val="nil"/>
              <w:right w:val="nil"/>
            </w:tcBorders>
            <w:shd w:val="clear" w:color="000000" w:fill="F2F2F2"/>
            <w:noWrap/>
            <w:vAlign w:val="center"/>
            <w:hideMark/>
          </w:tcPr>
          <w:p w14:paraId="1BCAE587" w14:textId="77777777" w:rsidR="00F76B72" w:rsidRDefault="00F76B72" w:rsidP="00F76B72">
            <w:pPr>
              <w:keepNext/>
              <w:spacing w:after="0"/>
            </w:pPr>
            <w:r>
              <w:t>White (1=yes)</w:t>
            </w:r>
          </w:p>
        </w:tc>
        <w:tc>
          <w:tcPr>
            <w:tcW w:w="722" w:type="pct"/>
            <w:tcBorders>
              <w:top w:val="nil"/>
              <w:left w:val="nil"/>
              <w:bottom w:val="nil"/>
              <w:right w:val="nil"/>
            </w:tcBorders>
            <w:shd w:val="clear" w:color="000000" w:fill="F2F2F2"/>
            <w:noWrap/>
            <w:vAlign w:val="bottom"/>
            <w:hideMark/>
          </w:tcPr>
          <w:p w14:paraId="51D42523" w14:textId="77777777" w:rsidR="00F76B72" w:rsidRDefault="00F76B72" w:rsidP="00F76B72">
            <w:pPr>
              <w:keepNext/>
              <w:spacing w:after="0"/>
              <w:jc w:val="center"/>
            </w:pPr>
            <w:r>
              <w:t>0.325**</w:t>
            </w:r>
          </w:p>
        </w:tc>
        <w:tc>
          <w:tcPr>
            <w:tcW w:w="802" w:type="pct"/>
            <w:tcBorders>
              <w:top w:val="nil"/>
              <w:left w:val="nil"/>
              <w:bottom w:val="nil"/>
              <w:right w:val="nil"/>
            </w:tcBorders>
            <w:shd w:val="clear" w:color="000000" w:fill="F2F2F2"/>
            <w:noWrap/>
            <w:vAlign w:val="bottom"/>
            <w:hideMark/>
          </w:tcPr>
          <w:p w14:paraId="52A1994A" w14:textId="77777777" w:rsidR="00F76B72" w:rsidRDefault="00F76B72" w:rsidP="00F76B72">
            <w:pPr>
              <w:keepNext/>
              <w:spacing w:after="0"/>
              <w:jc w:val="center"/>
            </w:pPr>
            <w:r>
              <w:t>0.303*</w:t>
            </w:r>
          </w:p>
        </w:tc>
        <w:tc>
          <w:tcPr>
            <w:tcW w:w="720" w:type="pct"/>
            <w:tcBorders>
              <w:top w:val="nil"/>
              <w:left w:val="nil"/>
              <w:bottom w:val="nil"/>
              <w:right w:val="nil"/>
            </w:tcBorders>
            <w:shd w:val="clear" w:color="000000" w:fill="F2F2F2"/>
            <w:noWrap/>
            <w:vAlign w:val="bottom"/>
            <w:hideMark/>
          </w:tcPr>
          <w:p w14:paraId="1C82831A" w14:textId="77777777" w:rsidR="00F76B72" w:rsidRDefault="00F76B72" w:rsidP="00F76B72">
            <w:pPr>
              <w:keepNext/>
              <w:spacing w:after="0"/>
              <w:jc w:val="center"/>
            </w:pPr>
            <w:r>
              <w:t>0.209</w:t>
            </w:r>
          </w:p>
        </w:tc>
        <w:tc>
          <w:tcPr>
            <w:tcW w:w="690" w:type="pct"/>
            <w:tcBorders>
              <w:top w:val="nil"/>
              <w:left w:val="nil"/>
              <w:bottom w:val="nil"/>
              <w:right w:val="nil"/>
            </w:tcBorders>
            <w:shd w:val="clear" w:color="000000" w:fill="F2F2F2"/>
            <w:noWrap/>
            <w:vAlign w:val="bottom"/>
            <w:hideMark/>
          </w:tcPr>
          <w:p w14:paraId="55EC4067" w14:textId="77777777" w:rsidR="00F76B72" w:rsidRDefault="00F76B72" w:rsidP="00F76B72">
            <w:pPr>
              <w:keepNext/>
              <w:spacing w:after="0"/>
              <w:jc w:val="center"/>
            </w:pPr>
            <w:r>
              <w:t>0.302*</w:t>
            </w:r>
          </w:p>
        </w:tc>
      </w:tr>
      <w:tr w:rsidR="00F76B72" w:rsidRPr="003E5D9C" w14:paraId="7AD8F4BC" w14:textId="77777777" w:rsidTr="00F76B72">
        <w:trPr>
          <w:trHeight w:val="300"/>
        </w:trPr>
        <w:tc>
          <w:tcPr>
            <w:tcW w:w="2066" w:type="pct"/>
            <w:tcBorders>
              <w:top w:val="nil"/>
              <w:left w:val="nil"/>
              <w:bottom w:val="nil"/>
              <w:right w:val="nil"/>
            </w:tcBorders>
            <w:shd w:val="clear" w:color="000000" w:fill="F2F2F2"/>
            <w:noWrap/>
            <w:vAlign w:val="center"/>
            <w:hideMark/>
          </w:tcPr>
          <w:p w14:paraId="4D3E691E"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6E5377D1" w14:textId="77777777" w:rsidR="00F76B72" w:rsidRDefault="00F76B72" w:rsidP="00F76B72">
            <w:pPr>
              <w:keepNext/>
              <w:spacing w:after="0"/>
              <w:jc w:val="center"/>
            </w:pPr>
            <w:r>
              <w:t>(0.162)</w:t>
            </w:r>
          </w:p>
        </w:tc>
        <w:tc>
          <w:tcPr>
            <w:tcW w:w="802" w:type="pct"/>
            <w:tcBorders>
              <w:top w:val="nil"/>
              <w:left w:val="nil"/>
              <w:bottom w:val="nil"/>
              <w:right w:val="nil"/>
            </w:tcBorders>
            <w:shd w:val="clear" w:color="000000" w:fill="F2F2F2"/>
            <w:noWrap/>
            <w:vAlign w:val="bottom"/>
            <w:hideMark/>
          </w:tcPr>
          <w:p w14:paraId="1328778D" w14:textId="77777777" w:rsidR="00F76B72" w:rsidRDefault="00F76B72" w:rsidP="00F76B72">
            <w:pPr>
              <w:keepNext/>
              <w:spacing w:after="0"/>
              <w:jc w:val="center"/>
            </w:pPr>
            <w:r>
              <w:t>(0.170)</w:t>
            </w:r>
          </w:p>
        </w:tc>
        <w:tc>
          <w:tcPr>
            <w:tcW w:w="720" w:type="pct"/>
            <w:tcBorders>
              <w:top w:val="nil"/>
              <w:left w:val="nil"/>
              <w:bottom w:val="nil"/>
              <w:right w:val="nil"/>
            </w:tcBorders>
            <w:shd w:val="clear" w:color="000000" w:fill="F2F2F2"/>
            <w:noWrap/>
            <w:vAlign w:val="bottom"/>
            <w:hideMark/>
          </w:tcPr>
          <w:p w14:paraId="127F21FC" w14:textId="77777777" w:rsidR="00F76B72" w:rsidRDefault="00F76B72" w:rsidP="00F76B72">
            <w:pPr>
              <w:keepNext/>
              <w:spacing w:after="0"/>
              <w:jc w:val="center"/>
            </w:pPr>
            <w:r>
              <w:t>(0.176)</w:t>
            </w:r>
          </w:p>
        </w:tc>
        <w:tc>
          <w:tcPr>
            <w:tcW w:w="690" w:type="pct"/>
            <w:tcBorders>
              <w:top w:val="nil"/>
              <w:left w:val="nil"/>
              <w:bottom w:val="nil"/>
              <w:right w:val="nil"/>
            </w:tcBorders>
            <w:shd w:val="clear" w:color="000000" w:fill="F2F2F2"/>
            <w:noWrap/>
            <w:vAlign w:val="bottom"/>
            <w:hideMark/>
          </w:tcPr>
          <w:p w14:paraId="32477825" w14:textId="77777777" w:rsidR="00F76B72" w:rsidRDefault="00F76B72" w:rsidP="00F76B72">
            <w:pPr>
              <w:keepNext/>
              <w:spacing w:after="0"/>
              <w:jc w:val="center"/>
            </w:pPr>
            <w:r>
              <w:t>(0.171)</w:t>
            </w:r>
          </w:p>
        </w:tc>
      </w:tr>
      <w:tr w:rsidR="00F76B72" w:rsidRPr="003E5D9C" w14:paraId="234AC29D" w14:textId="77777777" w:rsidTr="00F76B72">
        <w:trPr>
          <w:trHeight w:val="300"/>
        </w:trPr>
        <w:tc>
          <w:tcPr>
            <w:tcW w:w="2066" w:type="pct"/>
            <w:tcBorders>
              <w:top w:val="nil"/>
              <w:left w:val="nil"/>
              <w:bottom w:val="nil"/>
              <w:right w:val="nil"/>
            </w:tcBorders>
            <w:shd w:val="clear" w:color="000000" w:fill="F2F2F2"/>
            <w:noWrap/>
            <w:vAlign w:val="center"/>
            <w:hideMark/>
          </w:tcPr>
          <w:p w14:paraId="7031D392" w14:textId="77777777" w:rsidR="00F76B72" w:rsidRDefault="00F76B72" w:rsidP="00F76B72">
            <w:pPr>
              <w:keepNext/>
              <w:spacing w:after="0"/>
            </w:pPr>
            <w:r>
              <w:t>Republican (1=yes)</w:t>
            </w:r>
          </w:p>
        </w:tc>
        <w:tc>
          <w:tcPr>
            <w:tcW w:w="722" w:type="pct"/>
            <w:tcBorders>
              <w:top w:val="nil"/>
              <w:left w:val="nil"/>
              <w:bottom w:val="nil"/>
              <w:right w:val="nil"/>
            </w:tcBorders>
            <w:shd w:val="clear" w:color="000000" w:fill="F2F2F2"/>
            <w:noWrap/>
            <w:vAlign w:val="bottom"/>
            <w:hideMark/>
          </w:tcPr>
          <w:p w14:paraId="428E6ADF" w14:textId="77777777" w:rsidR="00F76B72" w:rsidRDefault="00F76B72" w:rsidP="00F76B72">
            <w:pPr>
              <w:keepNext/>
              <w:spacing w:after="0"/>
              <w:jc w:val="center"/>
            </w:pPr>
            <w:r>
              <w:t>-1.110***</w:t>
            </w:r>
          </w:p>
        </w:tc>
        <w:tc>
          <w:tcPr>
            <w:tcW w:w="802" w:type="pct"/>
            <w:tcBorders>
              <w:top w:val="nil"/>
              <w:left w:val="nil"/>
              <w:bottom w:val="nil"/>
              <w:right w:val="nil"/>
            </w:tcBorders>
            <w:shd w:val="clear" w:color="000000" w:fill="F2F2F2"/>
            <w:noWrap/>
            <w:vAlign w:val="bottom"/>
            <w:hideMark/>
          </w:tcPr>
          <w:p w14:paraId="6CA6B6F7" w14:textId="77777777" w:rsidR="00F76B72" w:rsidRDefault="00F76B72" w:rsidP="00F76B72">
            <w:pPr>
              <w:keepNext/>
              <w:spacing w:after="0"/>
              <w:jc w:val="center"/>
            </w:pPr>
            <w:r>
              <w:t>-0.461**</w:t>
            </w:r>
          </w:p>
        </w:tc>
        <w:tc>
          <w:tcPr>
            <w:tcW w:w="720" w:type="pct"/>
            <w:tcBorders>
              <w:top w:val="nil"/>
              <w:left w:val="nil"/>
              <w:bottom w:val="nil"/>
              <w:right w:val="nil"/>
            </w:tcBorders>
            <w:shd w:val="clear" w:color="000000" w:fill="F2F2F2"/>
            <w:noWrap/>
            <w:vAlign w:val="bottom"/>
            <w:hideMark/>
          </w:tcPr>
          <w:p w14:paraId="52C60649" w14:textId="77777777" w:rsidR="00F76B72" w:rsidRDefault="00F76B72" w:rsidP="00F76B72">
            <w:pPr>
              <w:keepNext/>
              <w:spacing w:after="0"/>
              <w:jc w:val="center"/>
            </w:pPr>
            <w:r>
              <w:t>-0.267</w:t>
            </w:r>
          </w:p>
        </w:tc>
        <w:tc>
          <w:tcPr>
            <w:tcW w:w="690" w:type="pct"/>
            <w:tcBorders>
              <w:top w:val="nil"/>
              <w:left w:val="nil"/>
              <w:bottom w:val="nil"/>
              <w:right w:val="nil"/>
            </w:tcBorders>
            <w:shd w:val="clear" w:color="000000" w:fill="F2F2F2"/>
            <w:noWrap/>
            <w:vAlign w:val="bottom"/>
            <w:hideMark/>
          </w:tcPr>
          <w:p w14:paraId="11EBEF5F" w14:textId="77777777" w:rsidR="00F76B72" w:rsidRDefault="00F76B72" w:rsidP="00F76B72">
            <w:pPr>
              <w:keepNext/>
              <w:spacing w:after="0"/>
              <w:jc w:val="center"/>
            </w:pPr>
            <w:r>
              <w:t>-0.460**</w:t>
            </w:r>
          </w:p>
        </w:tc>
      </w:tr>
      <w:tr w:rsidR="00F76B72" w:rsidRPr="003E5D9C" w14:paraId="620C3A6C" w14:textId="77777777" w:rsidTr="00F76B72">
        <w:trPr>
          <w:trHeight w:val="300"/>
        </w:trPr>
        <w:tc>
          <w:tcPr>
            <w:tcW w:w="2066" w:type="pct"/>
            <w:tcBorders>
              <w:top w:val="nil"/>
              <w:left w:val="nil"/>
              <w:bottom w:val="nil"/>
              <w:right w:val="nil"/>
            </w:tcBorders>
            <w:shd w:val="clear" w:color="000000" w:fill="F2F2F2"/>
            <w:noWrap/>
            <w:vAlign w:val="center"/>
            <w:hideMark/>
          </w:tcPr>
          <w:p w14:paraId="0618D63C"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01DF5D12" w14:textId="77777777" w:rsidR="00F76B72" w:rsidRDefault="00F76B72" w:rsidP="00F76B72">
            <w:pPr>
              <w:keepNext/>
              <w:spacing w:after="0"/>
              <w:jc w:val="center"/>
            </w:pPr>
            <w:r>
              <w:t>(0.158)</w:t>
            </w:r>
          </w:p>
        </w:tc>
        <w:tc>
          <w:tcPr>
            <w:tcW w:w="802" w:type="pct"/>
            <w:tcBorders>
              <w:top w:val="nil"/>
              <w:left w:val="nil"/>
              <w:bottom w:val="nil"/>
              <w:right w:val="nil"/>
            </w:tcBorders>
            <w:shd w:val="clear" w:color="000000" w:fill="F2F2F2"/>
            <w:noWrap/>
            <w:vAlign w:val="bottom"/>
            <w:hideMark/>
          </w:tcPr>
          <w:p w14:paraId="71022186" w14:textId="77777777" w:rsidR="00F76B72" w:rsidRDefault="00F76B72" w:rsidP="00F76B72">
            <w:pPr>
              <w:keepNext/>
              <w:spacing w:after="0"/>
              <w:jc w:val="center"/>
            </w:pPr>
            <w:r>
              <w:t>(0.179)</w:t>
            </w:r>
          </w:p>
        </w:tc>
        <w:tc>
          <w:tcPr>
            <w:tcW w:w="720" w:type="pct"/>
            <w:tcBorders>
              <w:top w:val="nil"/>
              <w:left w:val="nil"/>
              <w:bottom w:val="nil"/>
              <w:right w:val="nil"/>
            </w:tcBorders>
            <w:shd w:val="clear" w:color="000000" w:fill="F2F2F2"/>
            <w:noWrap/>
            <w:vAlign w:val="bottom"/>
            <w:hideMark/>
          </w:tcPr>
          <w:p w14:paraId="79CD1567" w14:textId="77777777" w:rsidR="00F76B72" w:rsidRDefault="00F76B72" w:rsidP="00F76B72">
            <w:pPr>
              <w:keepNext/>
              <w:spacing w:after="0"/>
              <w:jc w:val="center"/>
            </w:pPr>
            <w:r>
              <w:t>(0.185)</w:t>
            </w:r>
          </w:p>
        </w:tc>
        <w:tc>
          <w:tcPr>
            <w:tcW w:w="690" w:type="pct"/>
            <w:tcBorders>
              <w:top w:val="nil"/>
              <w:left w:val="nil"/>
              <w:bottom w:val="nil"/>
              <w:right w:val="nil"/>
            </w:tcBorders>
            <w:shd w:val="clear" w:color="000000" w:fill="F2F2F2"/>
            <w:noWrap/>
            <w:vAlign w:val="bottom"/>
            <w:hideMark/>
          </w:tcPr>
          <w:p w14:paraId="4BBB0DC6" w14:textId="77777777" w:rsidR="00F76B72" w:rsidRDefault="00F76B72" w:rsidP="00F76B72">
            <w:pPr>
              <w:keepNext/>
              <w:spacing w:after="0"/>
              <w:jc w:val="center"/>
            </w:pPr>
            <w:r>
              <w:t>(0.179)</w:t>
            </w:r>
          </w:p>
        </w:tc>
      </w:tr>
      <w:tr w:rsidR="00F76B72" w:rsidRPr="003E5D9C" w14:paraId="67AAB086" w14:textId="77777777" w:rsidTr="00F76B72">
        <w:trPr>
          <w:trHeight w:val="300"/>
        </w:trPr>
        <w:tc>
          <w:tcPr>
            <w:tcW w:w="2066" w:type="pct"/>
            <w:tcBorders>
              <w:top w:val="nil"/>
              <w:left w:val="nil"/>
              <w:bottom w:val="nil"/>
              <w:right w:val="nil"/>
            </w:tcBorders>
            <w:shd w:val="clear" w:color="000000" w:fill="F2F2F2"/>
            <w:noWrap/>
            <w:vAlign w:val="center"/>
            <w:hideMark/>
          </w:tcPr>
          <w:p w14:paraId="0A2A24BE" w14:textId="77777777" w:rsidR="00F76B72" w:rsidRDefault="00F76B72" w:rsidP="00F76B72">
            <w:pPr>
              <w:keepNext/>
              <w:spacing w:after="0"/>
            </w:pPr>
            <w:r>
              <w:t>Independent (1=yes)</w:t>
            </w:r>
          </w:p>
        </w:tc>
        <w:tc>
          <w:tcPr>
            <w:tcW w:w="722" w:type="pct"/>
            <w:tcBorders>
              <w:top w:val="nil"/>
              <w:left w:val="nil"/>
              <w:bottom w:val="nil"/>
              <w:right w:val="nil"/>
            </w:tcBorders>
            <w:shd w:val="clear" w:color="000000" w:fill="F2F2F2"/>
            <w:noWrap/>
            <w:vAlign w:val="bottom"/>
            <w:hideMark/>
          </w:tcPr>
          <w:p w14:paraId="0DD048E5" w14:textId="77777777" w:rsidR="00F76B72" w:rsidRDefault="00F76B72" w:rsidP="00F76B72">
            <w:pPr>
              <w:keepNext/>
              <w:spacing w:after="0"/>
              <w:jc w:val="center"/>
            </w:pPr>
            <w:r>
              <w:t>-1.257***</w:t>
            </w:r>
          </w:p>
        </w:tc>
        <w:tc>
          <w:tcPr>
            <w:tcW w:w="802" w:type="pct"/>
            <w:tcBorders>
              <w:top w:val="nil"/>
              <w:left w:val="nil"/>
              <w:bottom w:val="nil"/>
              <w:right w:val="nil"/>
            </w:tcBorders>
            <w:shd w:val="clear" w:color="000000" w:fill="F2F2F2"/>
            <w:noWrap/>
            <w:vAlign w:val="bottom"/>
            <w:hideMark/>
          </w:tcPr>
          <w:p w14:paraId="0A8931B1" w14:textId="77777777" w:rsidR="00F76B72" w:rsidRDefault="00F76B72" w:rsidP="00F76B72">
            <w:pPr>
              <w:keepNext/>
              <w:spacing w:after="0"/>
              <w:jc w:val="center"/>
            </w:pPr>
            <w:r>
              <w:t>-0.813***</w:t>
            </w:r>
          </w:p>
        </w:tc>
        <w:tc>
          <w:tcPr>
            <w:tcW w:w="720" w:type="pct"/>
            <w:tcBorders>
              <w:top w:val="nil"/>
              <w:left w:val="nil"/>
              <w:bottom w:val="nil"/>
              <w:right w:val="nil"/>
            </w:tcBorders>
            <w:shd w:val="clear" w:color="000000" w:fill="F2F2F2"/>
            <w:noWrap/>
            <w:vAlign w:val="bottom"/>
            <w:hideMark/>
          </w:tcPr>
          <w:p w14:paraId="4C440521" w14:textId="77777777" w:rsidR="00F76B72" w:rsidRDefault="00F76B72" w:rsidP="00F76B72">
            <w:pPr>
              <w:keepNext/>
              <w:spacing w:after="0"/>
              <w:jc w:val="center"/>
            </w:pPr>
            <w:r>
              <w:t>-0.755***</w:t>
            </w:r>
          </w:p>
        </w:tc>
        <w:tc>
          <w:tcPr>
            <w:tcW w:w="690" w:type="pct"/>
            <w:tcBorders>
              <w:top w:val="nil"/>
              <w:left w:val="nil"/>
              <w:bottom w:val="nil"/>
              <w:right w:val="nil"/>
            </w:tcBorders>
            <w:shd w:val="clear" w:color="000000" w:fill="F2F2F2"/>
            <w:noWrap/>
            <w:vAlign w:val="bottom"/>
            <w:hideMark/>
          </w:tcPr>
          <w:p w14:paraId="688594CF" w14:textId="77777777" w:rsidR="00F76B72" w:rsidRDefault="00F76B72" w:rsidP="00F76B72">
            <w:pPr>
              <w:keepNext/>
              <w:spacing w:after="0"/>
              <w:jc w:val="center"/>
            </w:pPr>
            <w:r>
              <w:t>-0.814***</w:t>
            </w:r>
          </w:p>
        </w:tc>
      </w:tr>
      <w:tr w:rsidR="00F76B72" w:rsidRPr="003E5D9C" w14:paraId="26BE3007" w14:textId="77777777" w:rsidTr="00F76B72">
        <w:trPr>
          <w:trHeight w:val="300"/>
        </w:trPr>
        <w:tc>
          <w:tcPr>
            <w:tcW w:w="2066" w:type="pct"/>
            <w:tcBorders>
              <w:top w:val="nil"/>
              <w:left w:val="nil"/>
              <w:bottom w:val="nil"/>
              <w:right w:val="nil"/>
            </w:tcBorders>
            <w:shd w:val="clear" w:color="000000" w:fill="F2F2F2"/>
            <w:noWrap/>
            <w:vAlign w:val="center"/>
            <w:hideMark/>
          </w:tcPr>
          <w:p w14:paraId="1A42F107"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1525660C" w14:textId="77777777" w:rsidR="00F76B72" w:rsidRDefault="00F76B72" w:rsidP="00F76B72">
            <w:pPr>
              <w:keepNext/>
              <w:spacing w:after="0"/>
              <w:jc w:val="center"/>
            </w:pPr>
            <w:r>
              <w:t>(0.243)</w:t>
            </w:r>
          </w:p>
        </w:tc>
        <w:tc>
          <w:tcPr>
            <w:tcW w:w="802" w:type="pct"/>
            <w:tcBorders>
              <w:top w:val="nil"/>
              <w:left w:val="nil"/>
              <w:bottom w:val="nil"/>
              <w:right w:val="nil"/>
            </w:tcBorders>
            <w:shd w:val="clear" w:color="000000" w:fill="F2F2F2"/>
            <w:noWrap/>
            <w:vAlign w:val="bottom"/>
            <w:hideMark/>
          </w:tcPr>
          <w:p w14:paraId="56C89F4B" w14:textId="77777777" w:rsidR="00F76B72" w:rsidRDefault="00F76B72" w:rsidP="00F76B72">
            <w:pPr>
              <w:keepNext/>
              <w:spacing w:after="0"/>
              <w:jc w:val="center"/>
            </w:pPr>
            <w:r>
              <w:t>(0.239)</w:t>
            </w:r>
          </w:p>
        </w:tc>
        <w:tc>
          <w:tcPr>
            <w:tcW w:w="720" w:type="pct"/>
            <w:tcBorders>
              <w:top w:val="nil"/>
              <w:left w:val="nil"/>
              <w:bottom w:val="nil"/>
              <w:right w:val="nil"/>
            </w:tcBorders>
            <w:shd w:val="clear" w:color="000000" w:fill="F2F2F2"/>
            <w:noWrap/>
            <w:vAlign w:val="bottom"/>
            <w:hideMark/>
          </w:tcPr>
          <w:p w14:paraId="6993DE47" w14:textId="77777777" w:rsidR="00F76B72" w:rsidRDefault="00F76B72" w:rsidP="00F76B72">
            <w:pPr>
              <w:keepNext/>
              <w:spacing w:after="0"/>
              <w:jc w:val="center"/>
            </w:pPr>
            <w:r>
              <w:t>(0.242)</w:t>
            </w:r>
          </w:p>
        </w:tc>
        <w:tc>
          <w:tcPr>
            <w:tcW w:w="690" w:type="pct"/>
            <w:tcBorders>
              <w:top w:val="nil"/>
              <w:left w:val="nil"/>
              <w:bottom w:val="nil"/>
              <w:right w:val="nil"/>
            </w:tcBorders>
            <w:shd w:val="clear" w:color="000000" w:fill="F2F2F2"/>
            <w:noWrap/>
            <w:vAlign w:val="bottom"/>
            <w:hideMark/>
          </w:tcPr>
          <w:p w14:paraId="68C3486B" w14:textId="77777777" w:rsidR="00F76B72" w:rsidRDefault="00F76B72" w:rsidP="00F76B72">
            <w:pPr>
              <w:keepNext/>
              <w:spacing w:after="0"/>
              <w:jc w:val="center"/>
            </w:pPr>
            <w:r>
              <w:t>(0.238)</w:t>
            </w:r>
          </w:p>
        </w:tc>
      </w:tr>
      <w:tr w:rsidR="00F76B72" w:rsidRPr="003E5D9C" w14:paraId="6401C0F0" w14:textId="77777777" w:rsidTr="00F76B72">
        <w:trPr>
          <w:trHeight w:val="300"/>
        </w:trPr>
        <w:tc>
          <w:tcPr>
            <w:tcW w:w="2066" w:type="pct"/>
            <w:tcBorders>
              <w:top w:val="nil"/>
              <w:left w:val="nil"/>
              <w:bottom w:val="nil"/>
              <w:right w:val="nil"/>
            </w:tcBorders>
            <w:shd w:val="clear" w:color="000000" w:fill="F2F2F2"/>
            <w:noWrap/>
            <w:vAlign w:val="center"/>
            <w:hideMark/>
          </w:tcPr>
          <w:p w14:paraId="69453962" w14:textId="77777777" w:rsidR="00F76B72" w:rsidRDefault="00F76B72" w:rsidP="00F76B72">
            <w:pPr>
              <w:keepNext/>
              <w:spacing w:after="0"/>
            </w:pPr>
            <w:r>
              <w:t>No party (1=yes)</w:t>
            </w:r>
          </w:p>
        </w:tc>
        <w:tc>
          <w:tcPr>
            <w:tcW w:w="722" w:type="pct"/>
            <w:tcBorders>
              <w:top w:val="nil"/>
              <w:left w:val="nil"/>
              <w:bottom w:val="nil"/>
              <w:right w:val="nil"/>
            </w:tcBorders>
            <w:shd w:val="clear" w:color="000000" w:fill="F2F2F2"/>
            <w:noWrap/>
            <w:vAlign w:val="bottom"/>
            <w:hideMark/>
          </w:tcPr>
          <w:p w14:paraId="1FB75153" w14:textId="77777777" w:rsidR="00F76B72" w:rsidRDefault="00F76B72" w:rsidP="00F76B72">
            <w:pPr>
              <w:keepNext/>
              <w:spacing w:after="0"/>
              <w:jc w:val="center"/>
            </w:pPr>
            <w:r>
              <w:t>-0.894***</w:t>
            </w:r>
          </w:p>
        </w:tc>
        <w:tc>
          <w:tcPr>
            <w:tcW w:w="802" w:type="pct"/>
            <w:tcBorders>
              <w:top w:val="nil"/>
              <w:left w:val="nil"/>
              <w:bottom w:val="nil"/>
              <w:right w:val="nil"/>
            </w:tcBorders>
            <w:shd w:val="clear" w:color="000000" w:fill="F2F2F2"/>
            <w:noWrap/>
            <w:vAlign w:val="bottom"/>
            <w:hideMark/>
          </w:tcPr>
          <w:p w14:paraId="56B7A622" w14:textId="77777777" w:rsidR="00F76B72" w:rsidRDefault="00F76B72" w:rsidP="00F76B72">
            <w:pPr>
              <w:keepNext/>
              <w:spacing w:after="0"/>
              <w:jc w:val="center"/>
            </w:pPr>
            <w:r>
              <w:t>-0.711***</w:t>
            </w:r>
          </w:p>
        </w:tc>
        <w:tc>
          <w:tcPr>
            <w:tcW w:w="720" w:type="pct"/>
            <w:tcBorders>
              <w:top w:val="nil"/>
              <w:left w:val="nil"/>
              <w:bottom w:val="nil"/>
              <w:right w:val="nil"/>
            </w:tcBorders>
            <w:shd w:val="clear" w:color="000000" w:fill="F2F2F2"/>
            <w:noWrap/>
            <w:vAlign w:val="bottom"/>
            <w:hideMark/>
          </w:tcPr>
          <w:p w14:paraId="5E6D3D0B" w14:textId="77777777" w:rsidR="00F76B72" w:rsidRDefault="00F76B72" w:rsidP="00F76B72">
            <w:pPr>
              <w:keepNext/>
              <w:spacing w:after="0"/>
              <w:jc w:val="center"/>
            </w:pPr>
            <w:r>
              <w:t>-0.615**</w:t>
            </w:r>
          </w:p>
        </w:tc>
        <w:tc>
          <w:tcPr>
            <w:tcW w:w="690" w:type="pct"/>
            <w:tcBorders>
              <w:top w:val="nil"/>
              <w:left w:val="nil"/>
              <w:bottom w:val="nil"/>
              <w:right w:val="nil"/>
            </w:tcBorders>
            <w:shd w:val="clear" w:color="000000" w:fill="F2F2F2"/>
            <w:noWrap/>
            <w:vAlign w:val="bottom"/>
            <w:hideMark/>
          </w:tcPr>
          <w:p w14:paraId="1FCBAEE8" w14:textId="77777777" w:rsidR="00F76B72" w:rsidRDefault="00F76B72" w:rsidP="00F76B72">
            <w:pPr>
              <w:keepNext/>
              <w:spacing w:after="0"/>
              <w:jc w:val="center"/>
            </w:pPr>
            <w:r>
              <w:t>-0.708***</w:t>
            </w:r>
          </w:p>
        </w:tc>
      </w:tr>
      <w:tr w:rsidR="00F76B72" w:rsidRPr="003E5D9C" w14:paraId="3FB4C7BB" w14:textId="77777777" w:rsidTr="00F76B72">
        <w:trPr>
          <w:trHeight w:val="300"/>
        </w:trPr>
        <w:tc>
          <w:tcPr>
            <w:tcW w:w="2066" w:type="pct"/>
            <w:tcBorders>
              <w:top w:val="nil"/>
              <w:left w:val="nil"/>
              <w:bottom w:val="nil"/>
              <w:right w:val="nil"/>
            </w:tcBorders>
            <w:shd w:val="clear" w:color="000000" w:fill="F2F2F2"/>
            <w:noWrap/>
            <w:vAlign w:val="center"/>
            <w:hideMark/>
          </w:tcPr>
          <w:p w14:paraId="32539C0B"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4C961834" w14:textId="77777777" w:rsidR="00F76B72" w:rsidRDefault="00F76B72" w:rsidP="00F76B72">
            <w:pPr>
              <w:keepNext/>
              <w:spacing w:after="0"/>
              <w:jc w:val="center"/>
            </w:pPr>
            <w:r>
              <w:t>(0.246)</w:t>
            </w:r>
          </w:p>
        </w:tc>
        <w:tc>
          <w:tcPr>
            <w:tcW w:w="802" w:type="pct"/>
            <w:tcBorders>
              <w:top w:val="nil"/>
              <w:left w:val="nil"/>
              <w:bottom w:val="nil"/>
              <w:right w:val="nil"/>
            </w:tcBorders>
            <w:shd w:val="clear" w:color="000000" w:fill="F2F2F2"/>
            <w:noWrap/>
            <w:vAlign w:val="bottom"/>
            <w:hideMark/>
          </w:tcPr>
          <w:p w14:paraId="352B644C" w14:textId="77777777" w:rsidR="00F76B72" w:rsidRDefault="00F76B72" w:rsidP="00F76B72">
            <w:pPr>
              <w:keepNext/>
              <w:spacing w:after="0"/>
              <w:jc w:val="center"/>
            </w:pPr>
            <w:r>
              <w:t>(0.270)</w:t>
            </w:r>
          </w:p>
        </w:tc>
        <w:tc>
          <w:tcPr>
            <w:tcW w:w="720" w:type="pct"/>
            <w:tcBorders>
              <w:top w:val="nil"/>
              <w:left w:val="nil"/>
              <w:bottom w:val="nil"/>
              <w:right w:val="nil"/>
            </w:tcBorders>
            <w:shd w:val="clear" w:color="000000" w:fill="F2F2F2"/>
            <w:noWrap/>
            <w:vAlign w:val="bottom"/>
            <w:hideMark/>
          </w:tcPr>
          <w:p w14:paraId="5CB3968B" w14:textId="77777777" w:rsidR="00F76B72" w:rsidRDefault="00F76B72" w:rsidP="00F76B72">
            <w:pPr>
              <w:keepNext/>
              <w:spacing w:after="0"/>
              <w:jc w:val="center"/>
            </w:pPr>
            <w:r>
              <w:t>(0.281)</w:t>
            </w:r>
          </w:p>
        </w:tc>
        <w:tc>
          <w:tcPr>
            <w:tcW w:w="690" w:type="pct"/>
            <w:tcBorders>
              <w:top w:val="nil"/>
              <w:left w:val="nil"/>
              <w:bottom w:val="nil"/>
              <w:right w:val="nil"/>
            </w:tcBorders>
            <w:shd w:val="clear" w:color="000000" w:fill="F2F2F2"/>
            <w:noWrap/>
            <w:vAlign w:val="bottom"/>
            <w:hideMark/>
          </w:tcPr>
          <w:p w14:paraId="70A331A7" w14:textId="77777777" w:rsidR="00F76B72" w:rsidRDefault="00F76B72" w:rsidP="00F76B72">
            <w:pPr>
              <w:keepNext/>
              <w:spacing w:after="0"/>
              <w:jc w:val="center"/>
            </w:pPr>
            <w:r>
              <w:t>(0.270)</w:t>
            </w:r>
          </w:p>
        </w:tc>
      </w:tr>
      <w:tr w:rsidR="00F76B72" w:rsidRPr="003E5D9C" w14:paraId="7E785F1E" w14:textId="77777777" w:rsidTr="00F76B72">
        <w:trPr>
          <w:trHeight w:val="300"/>
        </w:trPr>
        <w:tc>
          <w:tcPr>
            <w:tcW w:w="2066" w:type="pct"/>
            <w:tcBorders>
              <w:top w:val="nil"/>
              <w:left w:val="nil"/>
              <w:bottom w:val="nil"/>
              <w:right w:val="nil"/>
            </w:tcBorders>
            <w:shd w:val="clear" w:color="000000" w:fill="F2F2F2"/>
            <w:noWrap/>
            <w:vAlign w:val="center"/>
            <w:hideMark/>
          </w:tcPr>
          <w:p w14:paraId="155F38B6" w14:textId="77777777" w:rsidR="00F76B72" w:rsidRDefault="00F76B72" w:rsidP="00F76B72">
            <w:pPr>
              <w:keepNext/>
              <w:spacing w:after="0"/>
            </w:pPr>
            <w:r>
              <w:t>Global warming (no=1)</w:t>
            </w:r>
          </w:p>
        </w:tc>
        <w:tc>
          <w:tcPr>
            <w:tcW w:w="722" w:type="pct"/>
            <w:tcBorders>
              <w:top w:val="nil"/>
              <w:left w:val="nil"/>
              <w:bottom w:val="nil"/>
              <w:right w:val="nil"/>
            </w:tcBorders>
            <w:shd w:val="clear" w:color="000000" w:fill="F2F2F2"/>
            <w:noWrap/>
            <w:vAlign w:val="bottom"/>
            <w:hideMark/>
          </w:tcPr>
          <w:p w14:paraId="010F678D" w14:textId="77777777" w:rsidR="00F76B72" w:rsidRDefault="00F76B72" w:rsidP="00F76B72">
            <w:pPr>
              <w:keepNext/>
              <w:spacing w:after="0"/>
            </w:pPr>
          </w:p>
        </w:tc>
        <w:tc>
          <w:tcPr>
            <w:tcW w:w="802" w:type="pct"/>
            <w:tcBorders>
              <w:top w:val="nil"/>
              <w:left w:val="nil"/>
              <w:bottom w:val="nil"/>
              <w:right w:val="nil"/>
            </w:tcBorders>
            <w:shd w:val="clear" w:color="000000" w:fill="F2F2F2"/>
            <w:noWrap/>
            <w:vAlign w:val="bottom"/>
            <w:hideMark/>
          </w:tcPr>
          <w:p w14:paraId="47043FFF" w14:textId="77777777" w:rsidR="00F76B72" w:rsidRDefault="00F76B72" w:rsidP="00F76B72">
            <w:pPr>
              <w:keepNext/>
              <w:spacing w:after="0"/>
              <w:jc w:val="center"/>
            </w:pPr>
            <w:r>
              <w:t>-1.038***</w:t>
            </w:r>
          </w:p>
        </w:tc>
        <w:tc>
          <w:tcPr>
            <w:tcW w:w="720" w:type="pct"/>
            <w:tcBorders>
              <w:top w:val="nil"/>
              <w:left w:val="nil"/>
              <w:bottom w:val="nil"/>
              <w:right w:val="nil"/>
            </w:tcBorders>
            <w:shd w:val="clear" w:color="000000" w:fill="F2F2F2"/>
            <w:noWrap/>
            <w:vAlign w:val="bottom"/>
            <w:hideMark/>
          </w:tcPr>
          <w:p w14:paraId="09180730" w14:textId="77777777" w:rsidR="00F76B72" w:rsidRDefault="00F76B72" w:rsidP="00F76B72">
            <w:pPr>
              <w:keepNext/>
              <w:spacing w:after="0"/>
              <w:jc w:val="center"/>
            </w:pPr>
            <w:r>
              <w:t>-0.623*</w:t>
            </w:r>
          </w:p>
        </w:tc>
        <w:tc>
          <w:tcPr>
            <w:tcW w:w="690" w:type="pct"/>
            <w:tcBorders>
              <w:top w:val="nil"/>
              <w:left w:val="nil"/>
              <w:bottom w:val="nil"/>
              <w:right w:val="nil"/>
            </w:tcBorders>
            <w:shd w:val="clear" w:color="000000" w:fill="F2F2F2"/>
            <w:noWrap/>
            <w:vAlign w:val="bottom"/>
            <w:hideMark/>
          </w:tcPr>
          <w:p w14:paraId="79D86A71" w14:textId="77777777" w:rsidR="00F76B72" w:rsidRDefault="00F76B72" w:rsidP="00F76B72">
            <w:pPr>
              <w:keepNext/>
              <w:spacing w:after="0"/>
              <w:jc w:val="center"/>
            </w:pPr>
            <w:r>
              <w:t>-1.039***</w:t>
            </w:r>
          </w:p>
        </w:tc>
      </w:tr>
      <w:tr w:rsidR="00F76B72" w:rsidRPr="003E5D9C" w14:paraId="7D15ACB0" w14:textId="77777777" w:rsidTr="00F76B72">
        <w:trPr>
          <w:trHeight w:val="300"/>
        </w:trPr>
        <w:tc>
          <w:tcPr>
            <w:tcW w:w="2066" w:type="pct"/>
            <w:tcBorders>
              <w:top w:val="nil"/>
              <w:left w:val="nil"/>
              <w:bottom w:val="nil"/>
              <w:right w:val="nil"/>
            </w:tcBorders>
            <w:shd w:val="clear" w:color="000000" w:fill="F2F2F2"/>
            <w:noWrap/>
            <w:vAlign w:val="center"/>
            <w:hideMark/>
          </w:tcPr>
          <w:p w14:paraId="6AE5FBA8"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13F43C51" w14:textId="77777777" w:rsidR="00F76B72" w:rsidRDefault="00F76B72" w:rsidP="00F76B72">
            <w:pPr>
              <w:keepNext/>
              <w:spacing w:after="0"/>
            </w:pPr>
          </w:p>
        </w:tc>
        <w:tc>
          <w:tcPr>
            <w:tcW w:w="802" w:type="pct"/>
            <w:tcBorders>
              <w:top w:val="nil"/>
              <w:left w:val="nil"/>
              <w:bottom w:val="nil"/>
              <w:right w:val="nil"/>
            </w:tcBorders>
            <w:shd w:val="clear" w:color="000000" w:fill="F2F2F2"/>
            <w:noWrap/>
            <w:vAlign w:val="bottom"/>
            <w:hideMark/>
          </w:tcPr>
          <w:p w14:paraId="1BBAB2A4" w14:textId="77777777" w:rsidR="00F76B72" w:rsidRDefault="00F76B72" w:rsidP="00F76B72">
            <w:pPr>
              <w:keepNext/>
              <w:spacing w:after="0"/>
              <w:jc w:val="center"/>
            </w:pPr>
            <w:r>
              <w:t>(0.298)</w:t>
            </w:r>
          </w:p>
        </w:tc>
        <w:tc>
          <w:tcPr>
            <w:tcW w:w="720" w:type="pct"/>
            <w:tcBorders>
              <w:top w:val="nil"/>
              <w:left w:val="nil"/>
              <w:bottom w:val="nil"/>
              <w:right w:val="nil"/>
            </w:tcBorders>
            <w:shd w:val="clear" w:color="000000" w:fill="F2F2F2"/>
            <w:noWrap/>
            <w:vAlign w:val="bottom"/>
            <w:hideMark/>
          </w:tcPr>
          <w:p w14:paraId="6463EE6E" w14:textId="77777777" w:rsidR="00F76B72" w:rsidRDefault="00F76B72" w:rsidP="00F76B72">
            <w:pPr>
              <w:keepNext/>
              <w:spacing w:after="0"/>
              <w:jc w:val="center"/>
            </w:pPr>
            <w:r>
              <w:t>(0.335)</w:t>
            </w:r>
          </w:p>
        </w:tc>
        <w:tc>
          <w:tcPr>
            <w:tcW w:w="690" w:type="pct"/>
            <w:tcBorders>
              <w:top w:val="nil"/>
              <w:left w:val="nil"/>
              <w:bottom w:val="nil"/>
              <w:right w:val="nil"/>
            </w:tcBorders>
            <w:shd w:val="clear" w:color="000000" w:fill="F2F2F2"/>
            <w:noWrap/>
            <w:vAlign w:val="bottom"/>
            <w:hideMark/>
          </w:tcPr>
          <w:p w14:paraId="68BEDC48" w14:textId="77777777" w:rsidR="00F76B72" w:rsidRDefault="00F76B72" w:rsidP="00F76B72">
            <w:pPr>
              <w:keepNext/>
              <w:spacing w:after="0"/>
              <w:jc w:val="center"/>
            </w:pPr>
            <w:r>
              <w:t>(0.299)</w:t>
            </w:r>
          </w:p>
        </w:tc>
      </w:tr>
      <w:tr w:rsidR="00F76B72" w:rsidRPr="003E5D9C" w14:paraId="16149AAD" w14:textId="77777777" w:rsidTr="00F76B72">
        <w:trPr>
          <w:trHeight w:val="300"/>
        </w:trPr>
        <w:tc>
          <w:tcPr>
            <w:tcW w:w="2066" w:type="pct"/>
            <w:tcBorders>
              <w:top w:val="nil"/>
              <w:left w:val="nil"/>
              <w:bottom w:val="nil"/>
              <w:right w:val="nil"/>
            </w:tcBorders>
            <w:shd w:val="clear" w:color="000000" w:fill="F2F2F2"/>
            <w:noWrap/>
            <w:vAlign w:val="center"/>
          </w:tcPr>
          <w:p w14:paraId="438EE9C7" w14:textId="77777777" w:rsidR="00F76B72" w:rsidRDefault="00F76B72" w:rsidP="00F76B72">
            <w:pPr>
              <w:keepNext/>
              <w:spacing w:after="0"/>
            </w:pPr>
            <w:r>
              <w:t>Global warming (yes=1)</w:t>
            </w:r>
          </w:p>
        </w:tc>
        <w:tc>
          <w:tcPr>
            <w:tcW w:w="722" w:type="pct"/>
            <w:tcBorders>
              <w:top w:val="nil"/>
              <w:left w:val="nil"/>
              <w:bottom w:val="nil"/>
              <w:right w:val="nil"/>
            </w:tcBorders>
            <w:shd w:val="clear" w:color="000000" w:fill="F2F2F2"/>
            <w:noWrap/>
            <w:vAlign w:val="bottom"/>
          </w:tcPr>
          <w:p w14:paraId="5CAB4B49" w14:textId="77777777" w:rsidR="00F76B72" w:rsidRDefault="00F76B72" w:rsidP="00F76B72">
            <w:pPr>
              <w:keepNext/>
              <w:spacing w:after="0"/>
            </w:pPr>
          </w:p>
        </w:tc>
        <w:tc>
          <w:tcPr>
            <w:tcW w:w="802" w:type="pct"/>
            <w:tcBorders>
              <w:top w:val="nil"/>
              <w:left w:val="nil"/>
              <w:bottom w:val="nil"/>
              <w:right w:val="nil"/>
            </w:tcBorders>
            <w:shd w:val="clear" w:color="000000" w:fill="F2F2F2"/>
            <w:noWrap/>
            <w:vAlign w:val="bottom"/>
          </w:tcPr>
          <w:p w14:paraId="3274211D" w14:textId="77777777" w:rsidR="00F76B72" w:rsidRDefault="00F76B72" w:rsidP="00F76B72">
            <w:pPr>
              <w:keepNext/>
              <w:spacing w:after="0"/>
              <w:jc w:val="center"/>
            </w:pPr>
            <w:r>
              <w:t>1.473***</w:t>
            </w:r>
          </w:p>
        </w:tc>
        <w:tc>
          <w:tcPr>
            <w:tcW w:w="720" w:type="pct"/>
            <w:tcBorders>
              <w:top w:val="nil"/>
              <w:left w:val="nil"/>
              <w:bottom w:val="nil"/>
              <w:right w:val="nil"/>
            </w:tcBorders>
            <w:shd w:val="clear" w:color="000000" w:fill="F2F2F2"/>
            <w:noWrap/>
            <w:vAlign w:val="bottom"/>
          </w:tcPr>
          <w:p w14:paraId="2C271719" w14:textId="77777777" w:rsidR="00F76B72" w:rsidRDefault="00F76B72" w:rsidP="00F76B72">
            <w:pPr>
              <w:keepNext/>
              <w:spacing w:after="0"/>
              <w:jc w:val="center"/>
            </w:pPr>
            <w:r>
              <w:t>1.014***</w:t>
            </w:r>
          </w:p>
        </w:tc>
        <w:tc>
          <w:tcPr>
            <w:tcW w:w="690" w:type="pct"/>
            <w:tcBorders>
              <w:top w:val="nil"/>
              <w:left w:val="nil"/>
              <w:bottom w:val="nil"/>
              <w:right w:val="nil"/>
            </w:tcBorders>
            <w:shd w:val="clear" w:color="000000" w:fill="F2F2F2"/>
            <w:noWrap/>
            <w:vAlign w:val="bottom"/>
          </w:tcPr>
          <w:p w14:paraId="72ADF172" w14:textId="77777777" w:rsidR="00F76B72" w:rsidRDefault="00F76B72" w:rsidP="00F76B72">
            <w:pPr>
              <w:keepNext/>
              <w:spacing w:after="0"/>
              <w:jc w:val="center"/>
            </w:pPr>
            <w:r>
              <w:t>1.472***</w:t>
            </w:r>
          </w:p>
        </w:tc>
      </w:tr>
      <w:tr w:rsidR="00F76B72" w:rsidRPr="003E5D9C" w14:paraId="4DDBFC35" w14:textId="77777777" w:rsidTr="00F76B72">
        <w:trPr>
          <w:trHeight w:val="300"/>
        </w:trPr>
        <w:tc>
          <w:tcPr>
            <w:tcW w:w="2066" w:type="pct"/>
            <w:tcBorders>
              <w:top w:val="nil"/>
              <w:left w:val="nil"/>
              <w:bottom w:val="nil"/>
              <w:right w:val="nil"/>
            </w:tcBorders>
            <w:shd w:val="clear" w:color="000000" w:fill="F2F2F2"/>
            <w:noWrap/>
            <w:vAlign w:val="center"/>
          </w:tcPr>
          <w:p w14:paraId="2F7EA6DB"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tcPr>
          <w:p w14:paraId="28D3E864" w14:textId="77777777" w:rsidR="00F76B72" w:rsidRDefault="00F76B72" w:rsidP="00F76B72">
            <w:pPr>
              <w:keepNext/>
              <w:spacing w:after="0"/>
            </w:pPr>
          </w:p>
        </w:tc>
        <w:tc>
          <w:tcPr>
            <w:tcW w:w="802" w:type="pct"/>
            <w:tcBorders>
              <w:top w:val="nil"/>
              <w:left w:val="nil"/>
              <w:bottom w:val="nil"/>
              <w:right w:val="nil"/>
            </w:tcBorders>
            <w:shd w:val="clear" w:color="000000" w:fill="F2F2F2"/>
            <w:noWrap/>
            <w:vAlign w:val="bottom"/>
          </w:tcPr>
          <w:p w14:paraId="64870D15" w14:textId="77777777" w:rsidR="00F76B72" w:rsidRDefault="00F76B72" w:rsidP="00F76B72">
            <w:pPr>
              <w:keepNext/>
              <w:spacing w:after="0"/>
              <w:jc w:val="center"/>
            </w:pPr>
            <w:r>
              <w:t>(0.200)</w:t>
            </w:r>
          </w:p>
        </w:tc>
        <w:tc>
          <w:tcPr>
            <w:tcW w:w="720" w:type="pct"/>
            <w:tcBorders>
              <w:top w:val="nil"/>
              <w:left w:val="nil"/>
              <w:bottom w:val="nil"/>
              <w:right w:val="nil"/>
            </w:tcBorders>
            <w:shd w:val="clear" w:color="000000" w:fill="F2F2F2"/>
            <w:noWrap/>
            <w:vAlign w:val="bottom"/>
          </w:tcPr>
          <w:p w14:paraId="2C0DC6C8" w14:textId="77777777" w:rsidR="00F76B72" w:rsidRDefault="00F76B72" w:rsidP="00F76B72">
            <w:pPr>
              <w:keepNext/>
              <w:spacing w:after="0"/>
              <w:jc w:val="center"/>
            </w:pPr>
            <w:r>
              <w:t>(0.220)</w:t>
            </w:r>
          </w:p>
        </w:tc>
        <w:tc>
          <w:tcPr>
            <w:tcW w:w="690" w:type="pct"/>
            <w:tcBorders>
              <w:top w:val="nil"/>
              <w:left w:val="nil"/>
              <w:bottom w:val="nil"/>
              <w:right w:val="nil"/>
            </w:tcBorders>
            <w:shd w:val="clear" w:color="000000" w:fill="F2F2F2"/>
            <w:noWrap/>
            <w:vAlign w:val="bottom"/>
          </w:tcPr>
          <w:p w14:paraId="278FAC91" w14:textId="77777777" w:rsidR="00F76B72" w:rsidRDefault="00F76B72" w:rsidP="00F76B72">
            <w:pPr>
              <w:keepNext/>
              <w:spacing w:after="0"/>
              <w:jc w:val="center"/>
            </w:pPr>
            <w:r>
              <w:t>(0.199)</w:t>
            </w:r>
          </w:p>
        </w:tc>
      </w:tr>
      <w:tr w:rsidR="00F76B72" w:rsidRPr="003E5D9C" w14:paraId="0D587B48" w14:textId="77777777" w:rsidTr="00F76B72">
        <w:trPr>
          <w:trHeight w:val="300"/>
        </w:trPr>
        <w:tc>
          <w:tcPr>
            <w:tcW w:w="2066" w:type="pct"/>
            <w:tcBorders>
              <w:top w:val="nil"/>
              <w:left w:val="nil"/>
              <w:bottom w:val="nil"/>
              <w:right w:val="nil"/>
            </w:tcBorders>
            <w:shd w:val="clear" w:color="000000" w:fill="F2F2F2"/>
            <w:noWrap/>
            <w:vAlign w:val="center"/>
            <w:hideMark/>
          </w:tcPr>
          <w:p w14:paraId="0B676CAD" w14:textId="77777777" w:rsidR="00F76B72" w:rsidRDefault="00F76B72" w:rsidP="00F76B72">
            <w:pPr>
              <w:keepNext/>
              <w:spacing w:after="0"/>
            </w:pPr>
            <w:r>
              <w:t>Global warming (no, very sure=1)</w:t>
            </w:r>
          </w:p>
        </w:tc>
        <w:tc>
          <w:tcPr>
            <w:tcW w:w="722" w:type="pct"/>
            <w:tcBorders>
              <w:top w:val="nil"/>
              <w:left w:val="nil"/>
              <w:bottom w:val="nil"/>
              <w:right w:val="nil"/>
            </w:tcBorders>
            <w:shd w:val="clear" w:color="000000" w:fill="F2F2F2"/>
            <w:noWrap/>
            <w:vAlign w:val="bottom"/>
            <w:hideMark/>
          </w:tcPr>
          <w:p w14:paraId="19C0E026" w14:textId="77777777" w:rsidR="00F76B72" w:rsidRDefault="00F76B72" w:rsidP="00F76B72">
            <w:pPr>
              <w:keepNext/>
              <w:spacing w:after="0"/>
            </w:pPr>
          </w:p>
        </w:tc>
        <w:tc>
          <w:tcPr>
            <w:tcW w:w="802" w:type="pct"/>
            <w:tcBorders>
              <w:top w:val="nil"/>
              <w:left w:val="nil"/>
              <w:bottom w:val="nil"/>
              <w:right w:val="nil"/>
            </w:tcBorders>
            <w:shd w:val="clear" w:color="000000" w:fill="F2F2F2"/>
            <w:noWrap/>
            <w:vAlign w:val="bottom"/>
            <w:hideMark/>
          </w:tcPr>
          <w:p w14:paraId="1763C73B" w14:textId="77777777" w:rsidR="00F76B72" w:rsidRDefault="00F76B72" w:rsidP="00F76B72">
            <w:pPr>
              <w:keepNext/>
              <w:spacing w:after="0"/>
              <w:jc w:val="center"/>
              <w:rPr>
                <w:sz w:val="20"/>
                <w:szCs w:val="20"/>
              </w:rPr>
            </w:pPr>
          </w:p>
        </w:tc>
        <w:tc>
          <w:tcPr>
            <w:tcW w:w="720" w:type="pct"/>
            <w:tcBorders>
              <w:top w:val="nil"/>
              <w:left w:val="nil"/>
              <w:bottom w:val="nil"/>
              <w:right w:val="nil"/>
            </w:tcBorders>
            <w:shd w:val="clear" w:color="000000" w:fill="F2F2F2"/>
            <w:noWrap/>
            <w:vAlign w:val="bottom"/>
            <w:hideMark/>
          </w:tcPr>
          <w:p w14:paraId="69DEE977" w14:textId="77777777" w:rsidR="00F76B72" w:rsidRDefault="00F76B72" w:rsidP="00F76B72">
            <w:pPr>
              <w:keepNext/>
              <w:spacing w:after="0"/>
              <w:jc w:val="center"/>
            </w:pPr>
            <w:r>
              <w:t>-1.001*</w:t>
            </w:r>
          </w:p>
        </w:tc>
        <w:tc>
          <w:tcPr>
            <w:tcW w:w="690" w:type="pct"/>
            <w:tcBorders>
              <w:top w:val="nil"/>
              <w:left w:val="nil"/>
              <w:bottom w:val="nil"/>
              <w:right w:val="nil"/>
            </w:tcBorders>
            <w:shd w:val="clear" w:color="000000" w:fill="F2F2F2"/>
            <w:noWrap/>
            <w:vAlign w:val="bottom"/>
            <w:hideMark/>
          </w:tcPr>
          <w:p w14:paraId="27AF5B90" w14:textId="77777777" w:rsidR="00F76B72" w:rsidRDefault="00F76B72" w:rsidP="00F76B72">
            <w:pPr>
              <w:keepNext/>
              <w:spacing w:after="0"/>
              <w:jc w:val="center"/>
            </w:pPr>
          </w:p>
        </w:tc>
      </w:tr>
      <w:tr w:rsidR="00F76B72" w:rsidRPr="003E5D9C" w14:paraId="76D5A57D" w14:textId="77777777" w:rsidTr="00F76B72">
        <w:trPr>
          <w:trHeight w:val="300"/>
        </w:trPr>
        <w:tc>
          <w:tcPr>
            <w:tcW w:w="2066" w:type="pct"/>
            <w:tcBorders>
              <w:top w:val="nil"/>
              <w:left w:val="nil"/>
              <w:bottom w:val="nil"/>
              <w:right w:val="nil"/>
            </w:tcBorders>
            <w:shd w:val="clear" w:color="000000" w:fill="F2F2F2"/>
            <w:noWrap/>
            <w:vAlign w:val="center"/>
            <w:hideMark/>
          </w:tcPr>
          <w:p w14:paraId="167E3613"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02ED443B" w14:textId="77777777" w:rsidR="00F76B72" w:rsidRDefault="00F76B72" w:rsidP="00F76B72">
            <w:pPr>
              <w:keepNext/>
              <w:spacing w:after="0"/>
            </w:pPr>
          </w:p>
        </w:tc>
        <w:tc>
          <w:tcPr>
            <w:tcW w:w="802" w:type="pct"/>
            <w:tcBorders>
              <w:top w:val="nil"/>
              <w:left w:val="nil"/>
              <w:bottom w:val="nil"/>
              <w:right w:val="nil"/>
            </w:tcBorders>
            <w:shd w:val="clear" w:color="000000" w:fill="F2F2F2"/>
            <w:noWrap/>
            <w:vAlign w:val="bottom"/>
            <w:hideMark/>
          </w:tcPr>
          <w:p w14:paraId="635F504A" w14:textId="77777777" w:rsidR="00F76B72" w:rsidRDefault="00F76B72" w:rsidP="00F76B72">
            <w:pPr>
              <w:keepNext/>
              <w:spacing w:after="0"/>
              <w:jc w:val="center"/>
              <w:rPr>
                <w:sz w:val="20"/>
                <w:szCs w:val="20"/>
              </w:rPr>
            </w:pPr>
          </w:p>
        </w:tc>
        <w:tc>
          <w:tcPr>
            <w:tcW w:w="720" w:type="pct"/>
            <w:tcBorders>
              <w:top w:val="nil"/>
              <w:left w:val="nil"/>
              <w:bottom w:val="nil"/>
              <w:right w:val="nil"/>
            </w:tcBorders>
            <w:shd w:val="clear" w:color="000000" w:fill="F2F2F2"/>
            <w:noWrap/>
            <w:vAlign w:val="bottom"/>
            <w:hideMark/>
          </w:tcPr>
          <w:p w14:paraId="5A982450" w14:textId="77777777" w:rsidR="00F76B72" w:rsidRDefault="00F76B72" w:rsidP="00F76B72">
            <w:pPr>
              <w:keepNext/>
              <w:spacing w:after="0"/>
              <w:jc w:val="center"/>
            </w:pPr>
            <w:r>
              <w:t>(0.520)</w:t>
            </w:r>
          </w:p>
        </w:tc>
        <w:tc>
          <w:tcPr>
            <w:tcW w:w="690" w:type="pct"/>
            <w:tcBorders>
              <w:top w:val="nil"/>
              <w:left w:val="nil"/>
              <w:bottom w:val="nil"/>
              <w:right w:val="nil"/>
            </w:tcBorders>
            <w:shd w:val="clear" w:color="000000" w:fill="F2F2F2"/>
            <w:noWrap/>
            <w:vAlign w:val="bottom"/>
            <w:hideMark/>
          </w:tcPr>
          <w:p w14:paraId="19B60474" w14:textId="77777777" w:rsidR="00F76B72" w:rsidRDefault="00F76B72" w:rsidP="00F76B72">
            <w:pPr>
              <w:keepNext/>
              <w:spacing w:after="0"/>
              <w:jc w:val="center"/>
            </w:pPr>
          </w:p>
        </w:tc>
      </w:tr>
      <w:tr w:rsidR="00F76B72" w:rsidRPr="003E5D9C" w14:paraId="18491114" w14:textId="77777777" w:rsidTr="00F76B72">
        <w:trPr>
          <w:trHeight w:val="300"/>
        </w:trPr>
        <w:tc>
          <w:tcPr>
            <w:tcW w:w="2066" w:type="pct"/>
            <w:tcBorders>
              <w:top w:val="nil"/>
              <w:left w:val="nil"/>
              <w:bottom w:val="nil"/>
              <w:right w:val="nil"/>
            </w:tcBorders>
            <w:shd w:val="clear" w:color="000000" w:fill="F2F2F2"/>
            <w:noWrap/>
            <w:vAlign w:val="center"/>
            <w:hideMark/>
          </w:tcPr>
          <w:p w14:paraId="7D3A93F5" w14:textId="77777777" w:rsidR="00F76B72" w:rsidRDefault="00F76B72" w:rsidP="00F76B72">
            <w:pPr>
              <w:keepNext/>
              <w:spacing w:after="0"/>
            </w:pPr>
            <w:r>
              <w:t>Global warming (yes, very sure=1)</w:t>
            </w:r>
          </w:p>
        </w:tc>
        <w:tc>
          <w:tcPr>
            <w:tcW w:w="722" w:type="pct"/>
            <w:tcBorders>
              <w:top w:val="nil"/>
              <w:left w:val="nil"/>
              <w:bottom w:val="nil"/>
              <w:right w:val="nil"/>
            </w:tcBorders>
            <w:shd w:val="clear" w:color="000000" w:fill="F2F2F2"/>
            <w:noWrap/>
            <w:vAlign w:val="bottom"/>
            <w:hideMark/>
          </w:tcPr>
          <w:p w14:paraId="4B4B1F68" w14:textId="77777777" w:rsidR="00F76B72" w:rsidRDefault="00F76B72" w:rsidP="00F76B72">
            <w:pPr>
              <w:keepNext/>
              <w:spacing w:after="0"/>
            </w:pPr>
          </w:p>
        </w:tc>
        <w:tc>
          <w:tcPr>
            <w:tcW w:w="802" w:type="pct"/>
            <w:tcBorders>
              <w:top w:val="nil"/>
              <w:left w:val="nil"/>
              <w:bottom w:val="nil"/>
              <w:right w:val="nil"/>
            </w:tcBorders>
            <w:shd w:val="clear" w:color="000000" w:fill="F2F2F2"/>
            <w:noWrap/>
            <w:vAlign w:val="bottom"/>
            <w:hideMark/>
          </w:tcPr>
          <w:p w14:paraId="1C00A6EF" w14:textId="77777777" w:rsidR="00F76B72" w:rsidRDefault="00F76B72" w:rsidP="00F76B72">
            <w:pPr>
              <w:keepNext/>
              <w:spacing w:after="0"/>
              <w:jc w:val="center"/>
              <w:rPr>
                <w:sz w:val="20"/>
                <w:szCs w:val="20"/>
              </w:rPr>
            </w:pPr>
          </w:p>
        </w:tc>
        <w:tc>
          <w:tcPr>
            <w:tcW w:w="720" w:type="pct"/>
            <w:tcBorders>
              <w:top w:val="nil"/>
              <w:left w:val="nil"/>
              <w:bottom w:val="nil"/>
              <w:right w:val="nil"/>
            </w:tcBorders>
            <w:shd w:val="clear" w:color="000000" w:fill="F2F2F2"/>
            <w:noWrap/>
            <w:vAlign w:val="bottom"/>
            <w:hideMark/>
          </w:tcPr>
          <w:p w14:paraId="6010E39B" w14:textId="77777777" w:rsidR="00F76B72" w:rsidRDefault="00F76B72" w:rsidP="00F76B72">
            <w:pPr>
              <w:keepNext/>
              <w:spacing w:after="0"/>
              <w:jc w:val="center"/>
            </w:pPr>
            <w:r>
              <w:t>0.843***</w:t>
            </w:r>
          </w:p>
        </w:tc>
        <w:tc>
          <w:tcPr>
            <w:tcW w:w="690" w:type="pct"/>
            <w:tcBorders>
              <w:top w:val="nil"/>
              <w:left w:val="nil"/>
              <w:bottom w:val="nil"/>
              <w:right w:val="nil"/>
            </w:tcBorders>
            <w:shd w:val="clear" w:color="000000" w:fill="F2F2F2"/>
            <w:noWrap/>
            <w:vAlign w:val="bottom"/>
            <w:hideMark/>
          </w:tcPr>
          <w:p w14:paraId="02F8A7C6" w14:textId="77777777" w:rsidR="00F76B72" w:rsidRDefault="00F76B72" w:rsidP="00F76B72">
            <w:pPr>
              <w:keepNext/>
              <w:spacing w:after="0"/>
              <w:jc w:val="center"/>
            </w:pPr>
          </w:p>
        </w:tc>
      </w:tr>
      <w:tr w:rsidR="00F76B72" w:rsidRPr="003E5D9C" w14:paraId="688D804C" w14:textId="77777777" w:rsidTr="00F76B72">
        <w:trPr>
          <w:trHeight w:val="300"/>
        </w:trPr>
        <w:tc>
          <w:tcPr>
            <w:tcW w:w="2066" w:type="pct"/>
            <w:tcBorders>
              <w:top w:val="nil"/>
              <w:left w:val="nil"/>
              <w:bottom w:val="nil"/>
              <w:right w:val="nil"/>
            </w:tcBorders>
            <w:shd w:val="clear" w:color="000000" w:fill="F2F2F2"/>
            <w:noWrap/>
            <w:vAlign w:val="center"/>
            <w:hideMark/>
          </w:tcPr>
          <w:p w14:paraId="4620DDF2" w14:textId="77777777" w:rsidR="00F76B72" w:rsidRDefault="00F76B72" w:rsidP="00F76B72">
            <w:pPr>
              <w:keepNext/>
              <w:spacing w:after="0"/>
            </w:pPr>
            <w:r>
              <w:t> </w:t>
            </w:r>
          </w:p>
        </w:tc>
        <w:tc>
          <w:tcPr>
            <w:tcW w:w="722" w:type="pct"/>
            <w:tcBorders>
              <w:top w:val="nil"/>
              <w:left w:val="nil"/>
              <w:bottom w:val="nil"/>
              <w:right w:val="nil"/>
            </w:tcBorders>
            <w:shd w:val="clear" w:color="000000" w:fill="F2F2F2"/>
            <w:noWrap/>
            <w:vAlign w:val="bottom"/>
            <w:hideMark/>
          </w:tcPr>
          <w:p w14:paraId="75EF67CD" w14:textId="77777777" w:rsidR="00F76B72" w:rsidRDefault="00F76B72" w:rsidP="00F76B72">
            <w:pPr>
              <w:keepNext/>
              <w:spacing w:after="0"/>
            </w:pPr>
          </w:p>
        </w:tc>
        <w:tc>
          <w:tcPr>
            <w:tcW w:w="802" w:type="pct"/>
            <w:tcBorders>
              <w:top w:val="nil"/>
              <w:left w:val="nil"/>
              <w:bottom w:val="nil"/>
              <w:right w:val="nil"/>
            </w:tcBorders>
            <w:shd w:val="clear" w:color="000000" w:fill="F2F2F2"/>
            <w:noWrap/>
            <w:vAlign w:val="bottom"/>
            <w:hideMark/>
          </w:tcPr>
          <w:p w14:paraId="7C6E09F9" w14:textId="77777777" w:rsidR="00F76B72" w:rsidRDefault="00F76B72" w:rsidP="00F76B72">
            <w:pPr>
              <w:keepNext/>
              <w:spacing w:after="0"/>
              <w:jc w:val="center"/>
              <w:rPr>
                <w:sz w:val="20"/>
                <w:szCs w:val="20"/>
              </w:rPr>
            </w:pPr>
          </w:p>
        </w:tc>
        <w:tc>
          <w:tcPr>
            <w:tcW w:w="720" w:type="pct"/>
            <w:tcBorders>
              <w:top w:val="nil"/>
              <w:left w:val="nil"/>
              <w:bottom w:val="nil"/>
              <w:right w:val="nil"/>
            </w:tcBorders>
            <w:shd w:val="clear" w:color="000000" w:fill="F2F2F2"/>
            <w:noWrap/>
            <w:vAlign w:val="bottom"/>
            <w:hideMark/>
          </w:tcPr>
          <w:p w14:paraId="248181E1" w14:textId="77777777" w:rsidR="00F76B72" w:rsidRDefault="00F76B72" w:rsidP="00F76B72">
            <w:pPr>
              <w:keepNext/>
              <w:spacing w:after="0"/>
              <w:jc w:val="center"/>
            </w:pPr>
            <w:r>
              <w:t>(0.186)</w:t>
            </w:r>
          </w:p>
        </w:tc>
        <w:tc>
          <w:tcPr>
            <w:tcW w:w="690" w:type="pct"/>
            <w:tcBorders>
              <w:top w:val="nil"/>
              <w:left w:val="nil"/>
              <w:bottom w:val="nil"/>
              <w:right w:val="nil"/>
            </w:tcBorders>
            <w:shd w:val="clear" w:color="000000" w:fill="F2F2F2"/>
            <w:noWrap/>
            <w:vAlign w:val="bottom"/>
            <w:hideMark/>
          </w:tcPr>
          <w:p w14:paraId="17606849" w14:textId="77777777" w:rsidR="00F76B72" w:rsidRDefault="00F76B72" w:rsidP="00F76B72">
            <w:pPr>
              <w:keepNext/>
              <w:spacing w:after="0"/>
              <w:jc w:val="center"/>
            </w:pPr>
          </w:p>
        </w:tc>
      </w:tr>
      <w:tr w:rsidR="00F76B72" w:rsidRPr="003E5D9C" w14:paraId="63D42E01" w14:textId="77777777" w:rsidTr="00F76B72">
        <w:trPr>
          <w:trHeight w:val="300"/>
        </w:trPr>
        <w:tc>
          <w:tcPr>
            <w:tcW w:w="2066" w:type="pct"/>
            <w:tcBorders>
              <w:top w:val="nil"/>
              <w:left w:val="nil"/>
              <w:bottom w:val="nil"/>
              <w:right w:val="nil"/>
            </w:tcBorders>
            <w:shd w:val="clear" w:color="000000" w:fill="F2F2F2"/>
            <w:noWrap/>
            <w:vAlign w:val="center"/>
            <w:hideMark/>
          </w:tcPr>
          <w:p w14:paraId="177FE444" w14:textId="77777777" w:rsidR="00F76B72" w:rsidRDefault="00F76B72" w:rsidP="00F76B72">
            <w:pPr>
              <w:keepNext/>
              <w:spacing w:after="0"/>
            </w:pPr>
            <w:r>
              <w:t>Constant</w:t>
            </w:r>
          </w:p>
        </w:tc>
        <w:tc>
          <w:tcPr>
            <w:tcW w:w="722" w:type="pct"/>
            <w:tcBorders>
              <w:top w:val="nil"/>
              <w:left w:val="nil"/>
              <w:bottom w:val="nil"/>
              <w:right w:val="nil"/>
            </w:tcBorders>
            <w:shd w:val="clear" w:color="000000" w:fill="F2F2F2"/>
            <w:noWrap/>
            <w:vAlign w:val="bottom"/>
            <w:hideMark/>
          </w:tcPr>
          <w:p w14:paraId="2064B376" w14:textId="77777777" w:rsidR="00F76B72" w:rsidRDefault="00F76B72" w:rsidP="00F76B72">
            <w:pPr>
              <w:keepNext/>
              <w:spacing w:after="0"/>
              <w:jc w:val="center"/>
            </w:pPr>
            <w:r>
              <w:t>0.271</w:t>
            </w:r>
          </w:p>
        </w:tc>
        <w:tc>
          <w:tcPr>
            <w:tcW w:w="802" w:type="pct"/>
            <w:tcBorders>
              <w:top w:val="nil"/>
              <w:left w:val="nil"/>
              <w:bottom w:val="nil"/>
              <w:right w:val="nil"/>
            </w:tcBorders>
            <w:shd w:val="clear" w:color="000000" w:fill="F2F2F2"/>
            <w:noWrap/>
            <w:vAlign w:val="bottom"/>
            <w:hideMark/>
          </w:tcPr>
          <w:p w14:paraId="52457688" w14:textId="77777777" w:rsidR="00F76B72" w:rsidRDefault="00F76B72" w:rsidP="00F76B72">
            <w:pPr>
              <w:keepNext/>
              <w:spacing w:after="0"/>
              <w:jc w:val="center"/>
            </w:pPr>
            <w:r>
              <w:t>-0.610</w:t>
            </w:r>
          </w:p>
        </w:tc>
        <w:tc>
          <w:tcPr>
            <w:tcW w:w="720" w:type="pct"/>
            <w:tcBorders>
              <w:top w:val="nil"/>
              <w:left w:val="nil"/>
              <w:bottom w:val="nil"/>
              <w:right w:val="nil"/>
            </w:tcBorders>
            <w:shd w:val="clear" w:color="000000" w:fill="F2F2F2"/>
            <w:noWrap/>
            <w:vAlign w:val="bottom"/>
            <w:hideMark/>
          </w:tcPr>
          <w:p w14:paraId="4DE10FE1" w14:textId="77777777" w:rsidR="00F76B72" w:rsidRDefault="00F76B72" w:rsidP="00F76B72">
            <w:pPr>
              <w:keepNext/>
              <w:spacing w:after="0"/>
              <w:jc w:val="center"/>
            </w:pPr>
            <w:r>
              <w:t>-0.587</w:t>
            </w:r>
          </w:p>
        </w:tc>
        <w:tc>
          <w:tcPr>
            <w:tcW w:w="690" w:type="pct"/>
            <w:tcBorders>
              <w:top w:val="nil"/>
              <w:left w:val="nil"/>
              <w:bottom w:val="nil"/>
              <w:right w:val="nil"/>
            </w:tcBorders>
            <w:shd w:val="clear" w:color="000000" w:fill="F2F2F2"/>
            <w:noWrap/>
            <w:vAlign w:val="bottom"/>
            <w:hideMark/>
          </w:tcPr>
          <w:p w14:paraId="4E2B07B9" w14:textId="77777777" w:rsidR="00F76B72" w:rsidRDefault="00F76B72" w:rsidP="00F76B72">
            <w:pPr>
              <w:keepNext/>
              <w:spacing w:after="0"/>
              <w:jc w:val="center"/>
            </w:pPr>
            <w:r>
              <w:t>-0.646</w:t>
            </w:r>
          </w:p>
        </w:tc>
      </w:tr>
      <w:tr w:rsidR="00F76B72" w:rsidRPr="003E5D9C" w14:paraId="58739851" w14:textId="77777777" w:rsidTr="00F76B72">
        <w:trPr>
          <w:trHeight w:val="300"/>
        </w:trPr>
        <w:tc>
          <w:tcPr>
            <w:tcW w:w="2066" w:type="pct"/>
            <w:tcBorders>
              <w:top w:val="nil"/>
              <w:left w:val="nil"/>
              <w:bottom w:val="single" w:sz="4" w:space="0" w:color="auto"/>
              <w:right w:val="nil"/>
            </w:tcBorders>
            <w:shd w:val="clear" w:color="000000" w:fill="F2F2F2"/>
            <w:noWrap/>
            <w:vAlign w:val="center"/>
            <w:hideMark/>
          </w:tcPr>
          <w:p w14:paraId="5DF5C87C" w14:textId="77777777" w:rsidR="00F76B72" w:rsidRDefault="00F76B72" w:rsidP="00F76B72">
            <w:pPr>
              <w:keepNext/>
              <w:spacing w:after="0"/>
            </w:pPr>
            <w:r>
              <w:t> </w:t>
            </w:r>
          </w:p>
        </w:tc>
        <w:tc>
          <w:tcPr>
            <w:tcW w:w="722" w:type="pct"/>
            <w:tcBorders>
              <w:top w:val="nil"/>
              <w:left w:val="nil"/>
              <w:bottom w:val="single" w:sz="4" w:space="0" w:color="auto"/>
              <w:right w:val="nil"/>
            </w:tcBorders>
            <w:shd w:val="clear" w:color="000000" w:fill="F2F2F2"/>
            <w:noWrap/>
            <w:vAlign w:val="bottom"/>
            <w:hideMark/>
          </w:tcPr>
          <w:p w14:paraId="39191B02" w14:textId="77777777" w:rsidR="00F76B72" w:rsidRDefault="00F76B72" w:rsidP="00F76B72">
            <w:pPr>
              <w:keepNext/>
              <w:spacing w:after="0"/>
              <w:jc w:val="center"/>
            </w:pPr>
            <w:r>
              <w:t>(0.511)</w:t>
            </w:r>
          </w:p>
        </w:tc>
        <w:tc>
          <w:tcPr>
            <w:tcW w:w="802" w:type="pct"/>
            <w:tcBorders>
              <w:top w:val="nil"/>
              <w:left w:val="nil"/>
              <w:bottom w:val="single" w:sz="4" w:space="0" w:color="auto"/>
              <w:right w:val="nil"/>
            </w:tcBorders>
            <w:shd w:val="clear" w:color="000000" w:fill="F2F2F2"/>
            <w:noWrap/>
            <w:vAlign w:val="bottom"/>
            <w:hideMark/>
          </w:tcPr>
          <w:p w14:paraId="132DED07" w14:textId="77777777" w:rsidR="00F76B72" w:rsidRDefault="00F76B72" w:rsidP="00F76B72">
            <w:pPr>
              <w:keepNext/>
              <w:spacing w:after="0"/>
              <w:jc w:val="center"/>
            </w:pPr>
            <w:r>
              <w:t>(0.548)</w:t>
            </w:r>
          </w:p>
        </w:tc>
        <w:tc>
          <w:tcPr>
            <w:tcW w:w="720" w:type="pct"/>
            <w:tcBorders>
              <w:top w:val="nil"/>
              <w:left w:val="nil"/>
              <w:bottom w:val="single" w:sz="4" w:space="0" w:color="auto"/>
              <w:right w:val="nil"/>
            </w:tcBorders>
            <w:shd w:val="clear" w:color="000000" w:fill="F2F2F2"/>
            <w:noWrap/>
            <w:vAlign w:val="bottom"/>
            <w:hideMark/>
          </w:tcPr>
          <w:p w14:paraId="63EADC17" w14:textId="77777777" w:rsidR="00F76B72" w:rsidRDefault="00F76B72" w:rsidP="00F76B72">
            <w:pPr>
              <w:keepNext/>
              <w:spacing w:after="0"/>
              <w:jc w:val="center"/>
            </w:pPr>
            <w:r>
              <w:t>(0.555)</w:t>
            </w:r>
          </w:p>
        </w:tc>
        <w:tc>
          <w:tcPr>
            <w:tcW w:w="690" w:type="pct"/>
            <w:tcBorders>
              <w:top w:val="nil"/>
              <w:left w:val="nil"/>
              <w:bottom w:val="single" w:sz="4" w:space="0" w:color="auto"/>
              <w:right w:val="nil"/>
            </w:tcBorders>
            <w:shd w:val="clear" w:color="000000" w:fill="F2F2F2"/>
            <w:noWrap/>
            <w:vAlign w:val="bottom"/>
            <w:hideMark/>
          </w:tcPr>
          <w:p w14:paraId="440A4130" w14:textId="77777777" w:rsidR="00F76B72" w:rsidRDefault="00F76B72" w:rsidP="00F76B72">
            <w:pPr>
              <w:keepNext/>
              <w:spacing w:after="0"/>
              <w:jc w:val="center"/>
            </w:pPr>
            <w:r>
              <w:t>(0.547)</w:t>
            </w:r>
          </w:p>
        </w:tc>
      </w:tr>
      <w:tr w:rsidR="00F76B72" w:rsidRPr="003E5D9C" w14:paraId="60774647" w14:textId="77777777" w:rsidTr="00F76B72">
        <w:trPr>
          <w:trHeight w:val="300"/>
        </w:trPr>
        <w:tc>
          <w:tcPr>
            <w:tcW w:w="2066" w:type="pct"/>
            <w:tcBorders>
              <w:top w:val="single" w:sz="4" w:space="0" w:color="auto"/>
              <w:left w:val="nil"/>
              <w:bottom w:val="nil"/>
              <w:right w:val="nil"/>
            </w:tcBorders>
            <w:shd w:val="clear" w:color="000000" w:fill="F2F2F2"/>
            <w:noWrap/>
            <w:vAlign w:val="center"/>
          </w:tcPr>
          <w:p w14:paraId="65A73902" w14:textId="77777777" w:rsidR="00F76B72" w:rsidRDefault="00F76B72" w:rsidP="00F76B72">
            <w:pPr>
              <w:keepNext/>
              <w:spacing w:after="0"/>
            </w:pPr>
            <w:r>
              <w:t>F-statistic</w:t>
            </w:r>
          </w:p>
        </w:tc>
        <w:tc>
          <w:tcPr>
            <w:tcW w:w="722" w:type="pct"/>
            <w:tcBorders>
              <w:top w:val="single" w:sz="4" w:space="0" w:color="auto"/>
              <w:left w:val="nil"/>
              <w:bottom w:val="nil"/>
              <w:right w:val="nil"/>
            </w:tcBorders>
            <w:shd w:val="clear" w:color="000000" w:fill="F2F2F2"/>
            <w:noWrap/>
            <w:vAlign w:val="bottom"/>
          </w:tcPr>
          <w:p w14:paraId="5B42FCE8" w14:textId="77777777" w:rsidR="00F76B72" w:rsidRDefault="00F76B72" w:rsidP="00F76B72">
            <w:pPr>
              <w:keepNext/>
              <w:spacing w:after="0"/>
              <w:jc w:val="center"/>
            </w:pPr>
            <w:r>
              <w:t>8.87</w:t>
            </w:r>
          </w:p>
        </w:tc>
        <w:tc>
          <w:tcPr>
            <w:tcW w:w="802" w:type="pct"/>
            <w:tcBorders>
              <w:top w:val="single" w:sz="4" w:space="0" w:color="auto"/>
              <w:left w:val="nil"/>
              <w:bottom w:val="nil"/>
              <w:right w:val="nil"/>
            </w:tcBorders>
            <w:shd w:val="clear" w:color="000000" w:fill="F2F2F2"/>
            <w:noWrap/>
            <w:vAlign w:val="bottom"/>
          </w:tcPr>
          <w:p w14:paraId="33ED41CC" w14:textId="77777777" w:rsidR="00F76B72" w:rsidRDefault="00F76B72" w:rsidP="00F76B72">
            <w:pPr>
              <w:keepNext/>
              <w:spacing w:after="0"/>
              <w:jc w:val="center"/>
            </w:pPr>
            <w:r>
              <w:t>15.93</w:t>
            </w:r>
          </w:p>
        </w:tc>
        <w:tc>
          <w:tcPr>
            <w:tcW w:w="720" w:type="pct"/>
            <w:tcBorders>
              <w:top w:val="single" w:sz="4" w:space="0" w:color="auto"/>
              <w:left w:val="nil"/>
              <w:bottom w:val="nil"/>
              <w:right w:val="nil"/>
            </w:tcBorders>
            <w:shd w:val="clear" w:color="000000" w:fill="F2F2F2"/>
            <w:noWrap/>
            <w:vAlign w:val="bottom"/>
          </w:tcPr>
          <w:p w14:paraId="30021011" w14:textId="77777777" w:rsidR="00F76B72" w:rsidRDefault="00F76B72" w:rsidP="00F76B72">
            <w:pPr>
              <w:keepNext/>
              <w:spacing w:after="0"/>
              <w:jc w:val="center"/>
            </w:pPr>
            <w:r>
              <w:t>13.97</w:t>
            </w:r>
          </w:p>
        </w:tc>
        <w:tc>
          <w:tcPr>
            <w:tcW w:w="690" w:type="pct"/>
            <w:tcBorders>
              <w:top w:val="single" w:sz="4" w:space="0" w:color="auto"/>
              <w:left w:val="nil"/>
              <w:bottom w:val="nil"/>
              <w:right w:val="nil"/>
            </w:tcBorders>
            <w:shd w:val="clear" w:color="000000" w:fill="F2F2F2"/>
            <w:noWrap/>
            <w:vAlign w:val="bottom"/>
          </w:tcPr>
          <w:p w14:paraId="5A2F37A9" w14:textId="77777777" w:rsidR="00F76B72" w:rsidRDefault="00F76B72" w:rsidP="00F76B72">
            <w:pPr>
              <w:keepNext/>
              <w:spacing w:after="0"/>
              <w:jc w:val="center"/>
            </w:pPr>
            <w:r>
              <w:t>15.84</w:t>
            </w:r>
          </w:p>
        </w:tc>
      </w:tr>
      <w:tr w:rsidR="00F76B72" w:rsidRPr="003E5D9C" w14:paraId="79274E23" w14:textId="77777777" w:rsidTr="00F76B72">
        <w:trPr>
          <w:trHeight w:val="1350"/>
        </w:trPr>
        <w:tc>
          <w:tcPr>
            <w:tcW w:w="5000" w:type="pct"/>
            <w:gridSpan w:val="5"/>
            <w:tcBorders>
              <w:top w:val="single" w:sz="4" w:space="0" w:color="000000"/>
              <w:left w:val="nil"/>
              <w:bottom w:val="nil"/>
              <w:right w:val="nil"/>
            </w:tcBorders>
            <w:shd w:val="clear" w:color="000000" w:fill="F2F2F2"/>
            <w:hideMark/>
          </w:tcPr>
          <w:p w14:paraId="5AD0039C" w14:textId="77777777" w:rsidR="00F76B72" w:rsidRPr="003E5D9C" w:rsidRDefault="00F76B72" w:rsidP="00F76B72">
            <w:pPr>
              <w:keepNext/>
              <w:spacing w:after="0" w:line="240" w:lineRule="auto"/>
              <w:rPr>
                <w:rFonts w:eastAsia="Times New Roman"/>
                <w:sz w:val="18"/>
                <w:szCs w:val="18"/>
              </w:rPr>
            </w:pPr>
            <w:r w:rsidRPr="003E5D9C">
              <w:rPr>
                <w:rFonts w:eastAsia="Times New Roman"/>
                <w:sz w:val="18"/>
                <w:szCs w:val="18"/>
              </w:rPr>
              <w:t>The dependent variable indicates whether the respondent supports a tax on fossil fuels at the randomized bid amount presented.</w:t>
            </w:r>
            <w:r>
              <w:rPr>
                <w:rFonts w:eastAsia="Times New Roman"/>
                <w:sz w:val="18"/>
                <w:szCs w:val="18"/>
              </w:rPr>
              <w:t xml:space="preserve">  The bid amount is in dollars in models 1-3 and as a percentage increase in average household energy bills in the respondent’s state in model 4.</w:t>
            </w:r>
            <w:r w:rsidRPr="003E5D9C">
              <w:rPr>
                <w:rFonts w:eastAsia="Times New Roman"/>
                <w:sz w:val="18"/>
                <w:szCs w:val="18"/>
              </w:rPr>
              <w:t xml:space="preserve">  Each model includes 1,220 observations which excludes six respondents who refused political affiliation or other questions and are weighted for survey representativeness.  Democrat and global warming 'don't know' are the omitted categories for their respective contributions. Global warming 'no, very sure' and 'yes, very sure' include responses indicating either 'very sure' or 'extremely sure'.  </w:t>
            </w:r>
            <w:r>
              <w:rPr>
                <w:rFonts w:eastAsia="Times New Roman"/>
                <w:sz w:val="18"/>
                <w:szCs w:val="18"/>
              </w:rPr>
              <w:t xml:space="preserve">F-statistics reported rather than R-squared because the conditions necessary to calculate the latter are violated with survey data.  </w:t>
            </w:r>
            <w:r w:rsidRPr="003E5D9C">
              <w:rPr>
                <w:rFonts w:eastAsia="Times New Roman"/>
                <w:sz w:val="18"/>
                <w:szCs w:val="18"/>
              </w:rPr>
              <w:t>Standard errors are in parentheses and follow conventional notation: *** p&lt;0.01, ** p&lt;0.05, * p&lt;0.1</w:t>
            </w:r>
          </w:p>
        </w:tc>
      </w:tr>
    </w:tbl>
    <w:p w14:paraId="73ED8614" w14:textId="77777777" w:rsidR="00F76B72" w:rsidRPr="006C64C2" w:rsidRDefault="00F76B72" w:rsidP="00F76B72"/>
    <w:p w14:paraId="7A3DA6B9" w14:textId="77777777" w:rsidR="00F76B72" w:rsidRDefault="00F76B72" w:rsidP="0052424D">
      <w:pPr>
        <w:pStyle w:val="Heading1"/>
        <w:spacing w:before="0" w:line="360" w:lineRule="auto"/>
      </w:pPr>
      <w:bookmarkStart w:id="21" w:name="_Toc479624361"/>
      <w:bookmarkStart w:id="22" w:name="_Toc482127035"/>
      <w:bookmarkStart w:id="23" w:name="_Toc482187985"/>
      <w:r>
        <w:lastRenderedPageBreak/>
        <w:t>Appendix B: Multinomial logit regression on policy preferences</w:t>
      </w:r>
      <w:bookmarkEnd w:id="21"/>
      <w:bookmarkEnd w:id="22"/>
      <w:bookmarkEnd w:id="23"/>
    </w:p>
    <w:p w14:paraId="2A31F1FB" w14:textId="77777777" w:rsidR="00F76B72" w:rsidRPr="00865BA3" w:rsidRDefault="00F76B72" w:rsidP="0052424D">
      <w:pPr>
        <w:spacing w:line="360" w:lineRule="auto"/>
        <w:rPr>
          <w:rFonts w:eastAsia="Times New Roman"/>
        </w:rPr>
      </w:pPr>
      <w:r>
        <w:rPr>
          <w:rFonts w:eastAsia="Times New Roman"/>
        </w:rPr>
        <w:t>As an additional contribution, a survey prompt querying policy instrument preference- whether respondents prefer a tax to regulation, both, or neither is used to explore policy tool preference.  A multinomial regression on respondent’s categorical preference is used where the base case is</w:t>
      </w:r>
      <w:r w:rsidR="00D75070">
        <w:rPr>
          <w:rFonts w:eastAsia="Times New Roman"/>
        </w:rPr>
        <w:t xml:space="preserve"> first</w:t>
      </w:r>
      <w:r>
        <w:rPr>
          <w:rFonts w:eastAsia="Times New Roman"/>
        </w:rPr>
        <w:t xml:space="preserve"> the reply “don’t know”.  The results in Table B1 suggest characteristics related to either support or opposition of different policy tools used to regulate energy sector emissions.  </w:t>
      </w:r>
      <w:r w:rsidR="00D75070">
        <w:t>T</w:t>
      </w:r>
      <w:r>
        <w:t xml:space="preserve">he dependent variable </w:t>
      </w:r>
      <w:r w:rsidR="00D75070">
        <w:t xml:space="preserve">is specified </w:t>
      </w:r>
      <w:r>
        <w:t xml:space="preserve">as the respondent’s stated policy preference to reduce global warming </w:t>
      </w:r>
      <w:r w:rsidR="00D75070">
        <w:t xml:space="preserve">and was </w:t>
      </w:r>
      <w:r>
        <w:t xml:space="preserve">collected with the prompt: </w:t>
      </w:r>
    </w:p>
    <w:p w14:paraId="591CFDE1" w14:textId="77777777" w:rsidR="00F76B72" w:rsidRPr="00B008F2" w:rsidRDefault="00F76B72" w:rsidP="00F76B72">
      <w:pPr>
        <w:pStyle w:val="basicquestion"/>
        <w:ind w:left="360" w:firstLine="0"/>
        <w:rPr>
          <w:rFonts w:ascii="Times New Roman" w:hAnsi="Times New Roman" w:cs="Times New Roman"/>
          <w:i/>
          <w:szCs w:val="22"/>
        </w:rPr>
      </w:pPr>
      <w:r w:rsidRPr="00B008F2">
        <w:rPr>
          <w:rFonts w:ascii="Times New Roman" w:hAnsi="Times New Roman" w:cs="Times New Roman"/>
          <w:i/>
          <w:szCs w:val="22"/>
        </w:rPr>
        <w:t>Governments can reduce the pollution that causes global warming in two main ways:</w:t>
      </w:r>
    </w:p>
    <w:p w14:paraId="48447675" w14:textId="77777777" w:rsidR="00F76B72" w:rsidRPr="00B008F2" w:rsidRDefault="00F76B72" w:rsidP="00F76B72">
      <w:pPr>
        <w:pStyle w:val="basicquestion"/>
        <w:numPr>
          <w:ilvl w:val="0"/>
          <w:numId w:val="2"/>
        </w:numPr>
        <w:ind w:left="360" w:firstLine="0"/>
        <w:rPr>
          <w:rFonts w:ascii="Times New Roman" w:hAnsi="Times New Roman" w:cs="Times New Roman"/>
          <w:i/>
          <w:szCs w:val="22"/>
        </w:rPr>
      </w:pPr>
      <w:r w:rsidRPr="00B008F2">
        <w:rPr>
          <w:rFonts w:ascii="Times New Roman" w:hAnsi="Times New Roman" w:cs="Times New Roman"/>
          <w:i/>
          <w:szCs w:val="22"/>
          <w:u w:val="single"/>
        </w:rPr>
        <w:t>Regulate pollution</w:t>
      </w:r>
      <w:r w:rsidRPr="00B008F2">
        <w:rPr>
          <w:rFonts w:ascii="Times New Roman" w:hAnsi="Times New Roman" w:cs="Times New Roman"/>
          <w:i/>
          <w:szCs w:val="22"/>
        </w:rPr>
        <w:t xml:space="preserve"> (legally require companies to limit the amount of pollution they emit)</w:t>
      </w:r>
    </w:p>
    <w:p w14:paraId="0581388E" w14:textId="77777777" w:rsidR="00F76B72" w:rsidRPr="00B008F2" w:rsidRDefault="00F76B72" w:rsidP="0052424D">
      <w:pPr>
        <w:pStyle w:val="basicquestion"/>
        <w:numPr>
          <w:ilvl w:val="0"/>
          <w:numId w:val="2"/>
        </w:numPr>
        <w:ind w:left="360" w:firstLine="0"/>
        <w:rPr>
          <w:rFonts w:ascii="Times New Roman" w:hAnsi="Times New Roman" w:cs="Times New Roman"/>
          <w:i/>
          <w:szCs w:val="22"/>
        </w:rPr>
      </w:pPr>
      <w:r w:rsidRPr="00B008F2">
        <w:rPr>
          <w:rFonts w:ascii="Times New Roman" w:hAnsi="Times New Roman" w:cs="Times New Roman"/>
          <w:i/>
          <w:szCs w:val="22"/>
          <w:u w:val="single"/>
        </w:rPr>
        <w:t>Tax pollution</w:t>
      </w:r>
      <w:r w:rsidRPr="00B008F2">
        <w:rPr>
          <w:rFonts w:ascii="Times New Roman" w:hAnsi="Times New Roman" w:cs="Times New Roman"/>
          <w:i/>
          <w:szCs w:val="22"/>
        </w:rPr>
        <w:t xml:space="preserve"> (require companies to pay a tax on the pollution they emit, which encourages them to reduce their emissions)</w:t>
      </w:r>
    </w:p>
    <w:p w14:paraId="49634F17" w14:textId="77777777" w:rsidR="00F76B72" w:rsidRPr="00B008F2" w:rsidRDefault="00F76B72" w:rsidP="0052424D">
      <w:pPr>
        <w:pStyle w:val="basicquestion"/>
        <w:spacing w:before="0" w:after="240"/>
        <w:ind w:left="360" w:firstLine="0"/>
        <w:rPr>
          <w:rFonts w:ascii="Times New Roman" w:hAnsi="Times New Roman" w:cs="Times New Roman"/>
          <w:i/>
          <w:szCs w:val="22"/>
        </w:rPr>
      </w:pPr>
      <w:r w:rsidRPr="00B008F2">
        <w:rPr>
          <w:rFonts w:ascii="Times New Roman" w:hAnsi="Times New Roman" w:cs="Times New Roman"/>
          <w:i/>
          <w:szCs w:val="22"/>
        </w:rPr>
        <w:t>In general, which of these two approaches to reducing the pollution that causes global warming do you prefer, if either?</w:t>
      </w:r>
    </w:p>
    <w:p w14:paraId="01DE0558" w14:textId="77777777" w:rsidR="00F76B72" w:rsidRDefault="00F76B72" w:rsidP="0052424D">
      <w:pPr>
        <w:spacing w:line="360" w:lineRule="auto"/>
      </w:pPr>
      <w:r>
        <w:t xml:space="preserve">The respondent is then presented options to control pollution levels by regulating, taxing, doing both, neither, or opting that they don’t know.  In both the prompt and reply options the order of whether “regulate pollution” or “tax pollution” appears first </w:t>
      </w:r>
      <w:r w:rsidR="00D75070">
        <w:t xml:space="preserve">and </w:t>
      </w:r>
      <w:r>
        <w:t>is randomized.  The results in Table B1 suggest education and male contribute to a higher probability of having a policy preference, either for or against the policy tools.  Political affiliation also behaves as expected- republicans</w:t>
      </w:r>
      <w:r w:rsidR="00D75070">
        <w:t>,</w:t>
      </w:r>
      <w:r>
        <w:t xml:space="preserve"> independents</w:t>
      </w:r>
      <w:r w:rsidR="00D75070">
        <w:t>, and those claiming no party affiliation or leaning</w:t>
      </w:r>
      <w:r>
        <w:t xml:space="preserve"> are more likely to prefer taking no </w:t>
      </w:r>
      <w:r w:rsidR="00D75070">
        <w:t>action</w:t>
      </w:r>
      <w:r>
        <w:t>.  Global warming beliefs</w:t>
      </w:r>
      <w:r w:rsidR="00D75070">
        <w:t>, in contrast,</w:t>
      </w:r>
      <w:r>
        <w:t xml:space="preserve"> </w:t>
      </w:r>
      <w:r w:rsidR="00D75070">
        <w:t>result in a higher preference for any sort of action</w:t>
      </w:r>
      <w:r>
        <w:t>.</w:t>
      </w:r>
    </w:p>
    <w:tbl>
      <w:tblPr>
        <w:tblW w:w="9360" w:type="dxa"/>
        <w:tblLayout w:type="fixed"/>
        <w:tblLook w:val="04A0" w:firstRow="1" w:lastRow="0" w:firstColumn="1" w:lastColumn="0" w:noHBand="0" w:noVBand="1"/>
      </w:tblPr>
      <w:tblGrid>
        <w:gridCol w:w="3330"/>
        <w:gridCol w:w="1260"/>
        <w:gridCol w:w="1890"/>
        <w:gridCol w:w="1530"/>
        <w:gridCol w:w="1350"/>
      </w:tblGrid>
      <w:tr w:rsidR="00F76B72" w:rsidRPr="00294862" w14:paraId="6565C02B" w14:textId="77777777" w:rsidTr="00F76B72">
        <w:trPr>
          <w:trHeight w:val="300"/>
        </w:trPr>
        <w:tc>
          <w:tcPr>
            <w:tcW w:w="9360" w:type="dxa"/>
            <w:gridSpan w:val="5"/>
            <w:tcBorders>
              <w:top w:val="nil"/>
              <w:left w:val="nil"/>
              <w:bottom w:val="single" w:sz="4" w:space="0" w:color="000000"/>
              <w:right w:val="nil"/>
            </w:tcBorders>
            <w:shd w:val="clear" w:color="000000" w:fill="E7E6E6"/>
            <w:noWrap/>
            <w:vAlign w:val="bottom"/>
            <w:hideMark/>
          </w:tcPr>
          <w:p w14:paraId="3D7FA83B" w14:textId="77777777" w:rsidR="00F76B72" w:rsidRPr="00294862" w:rsidRDefault="00F76B72" w:rsidP="00F76B72">
            <w:pPr>
              <w:keepNext/>
              <w:spacing w:after="0" w:line="240" w:lineRule="auto"/>
              <w:rPr>
                <w:rFonts w:eastAsia="Times New Roman"/>
                <w:b/>
                <w:bCs/>
              </w:rPr>
            </w:pPr>
            <w:r w:rsidRPr="00294862">
              <w:rPr>
                <w:rFonts w:eastAsia="Times New Roman"/>
                <w:b/>
                <w:bCs/>
              </w:rPr>
              <w:lastRenderedPageBreak/>
              <w:t xml:space="preserve">Table </w:t>
            </w:r>
            <w:r>
              <w:rPr>
                <w:rFonts w:eastAsia="Times New Roman"/>
                <w:b/>
                <w:bCs/>
              </w:rPr>
              <w:t>B1</w:t>
            </w:r>
            <w:r w:rsidRPr="00294862">
              <w:rPr>
                <w:rFonts w:eastAsia="Times New Roman"/>
                <w:b/>
                <w:bCs/>
              </w:rPr>
              <w:t xml:space="preserve"> | Multinomial logistic model of regulation preference.</w:t>
            </w:r>
          </w:p>
        </w:tc>
      </w:tr>
      <w:tr w:rsidR="00F76B72" w:rsidRPr="00294862" w14:paraId="50C04A91" w14:textId="77777777" w:rsidTr="00F76B72">
        <w:trPr>
          <w:trHeight w:val="300"/>
        </w:trPr>
        <w:tc>
          <w:tcPr>
            <w:tcW w:w="3330" w:type="dxa"/>
            <w:tcBorders>
              <w:top w:val="nil"/>
              <w:left w:val="nil"/>
              <w:bottom w:val="nil"/>
              <w:right w:val="nil"/>
            </w:tcBorders>
            <w:shd w:val="clear" w:color="000000" w:fill="F2F2F2"/>
            <w:noWrap/>
            <w:vAlign w:val="bottom"/>
            <w:hideMark/>
          </w:tcPr>
          <w:p w14:paraId="0B8A0F36"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4A763913" w14:textId="77777777" w:rsidR="00F76B72" w:rsidRDefault="00F76B72" w:rsidP="00F76B72">
            <w:pPr>
              <w:spacing w:after="0"/>
              <w:jc w:val="center"/>
            </w:pPr>
            <w:r>
              <w:t>(1)</w:t>
            </w:r>
          </w:p>
        </w:tc>
        <w:tc>
          <w:tcPr>
            <w:tcW w:w="1890" w:type="dxa"/>
            <w:tcBorders>
              <w:top w:val="nil"/>
              <w:left w:val="nil"/>
              <w:bottom w:val="nil"/>
              <w:right w:val="nil"/>
            </w:tcBorders>
            <w:shd w:val="clear" w:color="000000" w:fill="F2F2F2"/>
            <w:noWrap/>
            <w:vAlign w:val="bottom"/>
            <w:hideMark/>
          </w:tcPr>
          <w:p w14:paraId="3478590E" w14:textId="77777777" w:rsidR="00F76B72" w:rsidRDefault="00F76B72" w:rsidP="00F76B72">
            <w:pPr>
              <w:spacing w:after="0"/>
              <w:jc w:val="center"/>
            </w:pPr>
            <w:r>
              <w:t>(2)</w:t>
            </w:r>
          </w:p>
        </w:tc>
        <w:tc>
          <w:tcPr>
            <w:tcW w:w="1530" w:type="dxa"/>
            <w:tcBorders>
              <w:top w:val="nil"/>
              <w:left w:val="nil"/>
              <w:bottom w:val="nil"/>
              <w:right w:val="nil"/>
            </w:tcBorders>
            <w:shd w:val="clear" w:color="000000" w:fill="F2F2F2"/>
            <w:noWrap/>
            <w:vAlign w:val="bottom"/>
            <w:hideMark/>
          </w:tcPr>
          <w:p w14:paraId="07FD4F0C" w14:textId="77777777" w:rsidR="00F76B72" w:rsidRDefault="00F76B72" w:rsidP="00F76B72">
            <w:pPr>
              <w:spacing w:after="0"/>
              <w:jc w:val="center"/>
            </w:pPr>
            <w:r>
              <w:t>(3)</w:t>
            </w:r>
          </w:p>
        </w:tc>
        <w:tc>
          <w:tcPr>
            <w:tcW w:w="1350" w:type="dxa"/>
            <w:tcBorders>
              <w:top w:val="nil"/>
              <w:left w:val="nil"/>
              <w:bottom w:val="nil"/>
              <w:right w:val="nil"/>
            </w:tcBorders>
            <w:shd w:val="clear" w:color="000000" w:fill="F2F2F2"/>
            <w:noWrap/>
            <w:vAlign w:val="bottom"/>
            <w:hideMark/>
          </w:tcPr>
          <w:p w14:paraId="1BCE347C" w14:textId="77777777" w:rsidR="00F76B72" w:rsidRDefault="00F76B72" w:rsidP="00F76B72">
            <w:pPr>
              <w:spacing w:after="0"/>
              <w:jc w:val="center"/>
            </w:pPr>
            <w:r>
              <w:t>(4)</w:t>
            </w:r>
          </w:p>
        </w:tc>
      </w:tr>
      <w:tr w:rsidR="00F76B72" w:rsidRPr="00294862" w14:paraId="6E7BDFAC" w14:textId="77777777" w:rsidTr="00F76B72">
        <w:trPr>
          <w:trHeight w:val="300"/>
        </w:trPr>
        <w:tc>
          <w:tcPr>
            <w:tcW w:w="3330" w:type="dxa"/>
            <w:tcBorders>
              <w:top w:val="nil"/>
              <w:left w:val="nil"/>
              <w:bottom w:val="single" w:sz="4" w:space="0" w:color="auto"/>
              <w:right w:val="nil"/>
            </w:tcBorders>
            <w:shd w:val="clear" w:color="000000" w:fill="F2F2F2"/>
            <w:noWrap/>
            <w:vAlign w:val="bottom"/>
            <w:hideMark/>
          </w:tcPr>
          <w:p w14:paraId="7BF98E7D" w14:textId="77777777" w:rsidR="00F76B72" w:rsidRPr="00294862" w:rsidRDefault="00F76B72" w:rsidP="00F76B72">
            <w:pPr>
              <w:keepNext/>
              <w:spacing w:after="0" w:line="240" w:lineRule="auto"/>
              <w:rPr>
                <w:rFonts w:eastAsia="Times New Roman"/>
              </w:rPr>
            </w:pPr>
          </w:p>
        </w:tc>
        <w:tc>
          <w:tcPr>
            <w:tcW w:w="1260" w:type="dxa"/>
            <w:tcBorders>
              <w:top w:val="nil"/>
              <w:left w:val="nil"/>
              <w:bottom w:val="single" w:sz="4" w:space="0" w:color="auto"/>
              <w:right w:val="nil"/>
            </w:tcBorders>
            <w:shd w:val="clear" w:color="000000" w:fill="F2F2F2"/>
            <w:noWrap/>
            <w:hideMark/>
          </w:tcPr>
          <w:p w14:paraId="2FDC4E3E" w14:textId="77777777" w:rsidR="00F76B72" w:rsidRDefault="00F76B72" w:rsidP="00F76B72">
            <w:pPr>
              <w:spacing w:after="0"/>
              <w:jc w:val="center"/>
            </w:pPr>
            <w:r>
              <w:t>Do neither</w:t>
            </w:r>
          </w:p>
        </w:tc>
        <w:tc>
          <w:tcPr>
            <w:tcW w:w="1890" w:type="dxa"/>
            <w:tcBorders>
              <w:top w:val="nil"/>
              <w:left w:val="nil"/>
              <w:bottom w:val="single" w:sz="4" w:space="0" w:color="auto"/>
              <w:right w:val="nil"/>
            </w:tcBorders>
            <w:shd w:val="clear" w:color="000000" w:fill="F2F2F2"/>
            <w:noWrap/>
            <w:hideMark/>
          </w:tcPr>
          <w:p w14:paraId="31B26BAD" w14:textId="77777777" w:rsidR="00F76B72" w:rsidRDefault="00F76B72" w:rsidP="00F76B72">
            <w:pPr>
              <w:spacing w:after="0"/>
              <w:jc w:val="center"/>
            </w:pPr>
            <w:r>
              <w:t>Regulate pollution</w:t>
            </w:r>
          </w:p>
        </w:tc>
        <w:tc>
          <w:tcPr>
            <w:tcW w:w="1530" w:type="dxa"/>
            <w:tcBorders>
              <w:top w:val="nil"/>
              <w:left w:val="nil"/>
              <w:bottom w:val="single" w:sz="4" w:space="0" w:color="auto"/>
              <w:right w:val="nil"/>
            </w:tcBorders>
            <w:shd w:val="clear" w:color="000000" w:fill="F2F2F2"/>
            <w:noWrap/>
            <w:hideMark/>
          </w:tcPr>
          <w:p w14:paraId="24D9ACCF" w14:textId="77777777" w:rsidR="00F76B72" w:rsidRDefault="00F76B72" w:rsidP="00F76B72">
            <w:pPr>
              <w:spacing w:after="0"/>
              <w:jc w:val="center"/>
            </w:pPr>
            <w:r>
              <w:t>Tax pollution</w:t>
            </w:r>
          </w:p>
        </w:tc>
        <w:tc>
          <w:tcPr>
            <w:tcW w:w="1350" w:type="dxa"/>
            <w:tcBorders>
              <w:top w:val="nil"/>
              <w:left w:val="nil"/>
              <w:bottom w:val="single" w:sz="4" w:space="0" w:color="auto"/>
              <w:right w:val="nil"/>
            </w:tcBorders>
            <w:shd w:val="clear" w:color="000000" w:fill="F2F2F2"/>
            <w:noWrap/>
            <w:hideMark/>
          </w:tcPr>
          <w:p w14:paraId="4DC73653" w14:textId="77777777" w:rsidR="00F76B72" w:rsidRDefault="00F76B72" w:rsidP="00F76B72">
            <w:pPr>
              <w:spacing w:after="0"/>
              <w:jc w:val="center"/>
            </w:pPr>
            <w:r>
              <w:t>Do both</w:t>
            </w:r>
          </w:p>
        </w:tc>
      </w:tr>
      <w:tr w:rsidR="00F76B72" w:rsidRPr="00294862" w14:paraId="3A057625" w14:textId="77777777" w:rsidTr="00F76B72">
        <w:trPr>
          <w:trHeight w:val="300"/>
        </w:trPr>
        <w:tc>
          <w:tcPr>
            <w:tcW w:w="3330" w:type="dxa"/>
            <w:tcBorders>
              <w:top w:val="nil"/>
              <w:left w:val="nil"/>
              <w:bottom w:val="nil"/>
              <w:right w:val="nil"/>
            </w:tcBorders>
            <w:shd w:val="clear" w:color="000000" w:fill="F2F2F2"/>
            <w:noWrap/>
            <w:vAlign w:val="bottom"/>
            <w:hideMark/>
          </w:tcPr>
          <w:p w14:paraId="2140BB4D" w14:textId="77777777" w:rsidR="00F76B72" w:rsidRPr="00294862" w:rsidRDefault="00F76B72" w:rsidP="00F76B72">
            <w:pPr>
              <w:keepNext/>
              <w:spacing w:after="0" w:line="240" w:lineRule="auto"/>
              <w:rPr>
                <w:rFonts w:eastAsia="Times New Roman"/>
              </w:rPr>
            </w:pPr>
            <w:r w:rsidRPr="00294862">
              <w:rPr>
                <w:rFonts w:eastAsia="Times New Roman"/>
              </w:rPr>
              <w:t>Education (years)</w:t>
            </w:r>
          </w:p>
        </w:tc>
        <w:tc>
          <w:tcPr>
            <w:tcW w:w="1260" w:type="dxa"/>
            <w:tcBorders>
              <w:top w:val="nil"/>
              <w:left w:val="nil"/>
              <w:bottom w:val="nil"/>
              <w:right w:val="nil"/>
            </w:tcBorders>
            <w:shd w:val="clear" w:color="000000" w:fill="F2F2F2"/>
            <w:noWrap/>
            <w:vAlign w:val="bottom"/>
            <w:hideMark/>
          </w:tcPr>
          <w:p w14:paraId="4B5E4F84" w14:textId="77777777" w:rsidR="00F76B72" w:rsidRDefault="00F76B72" w:rsidP="00F76B72">
            <w:pPr>
              <w:spacing w:after="0"/>
              <w:jc w:val="center"/>
            </w:pPr>
            <w:r>
              <w:t>0.230***</w:t>
            </w:r>
          </w:p>
        </w:tc>
        <w:tc>
          <w:tcPr>
            <w:tcW w:w="1890" w:type="dxa"/>
            <w:tcBorders>
              <w:top w:val="nil"/>
              <w:left w:val="nil"/>
              <w:bottom w:val="nil"/>
              <w:right w:val="nil"/>
            </w:tcBorders>
            <w:shd w:val="clear" w:color="000000" w:fill="F2F2F2"/>
            <w:noWrap/>
            <w:vAlign w:val="bottom"/>
            <w:hideMark/>
          </w:tcPr>
          <w:p w14:paraId="7C1D4CEC" w14:textId="77777777" w:rsidR="00F76B72" w:rsidRDefault="00F76B72" w:rsidP="00F76B72">
            <w:pPr>
              <w:spacing w:after="0"/>
              <w:jc w:val="center"/>
            </w:pPr>
            <w:r>
              <w:t>0.160***</w:t>
            </w:r>
          </w:p>
        </w:tc>
        <w:tc>
          <w:tcPr>
            <w:tcW w:w="1530" w:type="dxa"/>
            <w:tcBorders>
              <w:top w:val="nil"/>
              <w:left w:val="nil"/>
              <w:bottom w:val="nil"/>
              <w:right w:val="nil"/>
            </w:tcBorders>
            <w:shd w:val="clear" w:color="000000" w:fill="F2F2F2"/>
            <w:noWrap/>
            <w:vAlign w:val="bottom"/>
            <w:hideMark/>
          </w:tcPr>
          <w:p w14:paraId="0B1CEF00" w14:textId="77777777" w:rsidR="00F76B72" w:rsidRDefault="00F76B72" w:rsidP="00F76B72">
            <w:pPr>
              <w:spacing w:after="0"/>
              <w:jc w:val="center"/>
            </w:pPr>
            <w:r>
              <w:t>0.171***</w:t>
            </w:r>
          </w:p>
        </w:tc>
        <w:tc>
          <w:tcPr>
            <w:tcW w:w="1350" w:type="dxa"/>
            <w:tcBorders>
              <w:top w:val="nil"/>
              <w:left w:val="nil"/>
              <w:bottom w:val="nil"/>
              <w:right w:val="nil"/>
            </w:tcBorders>
            <w:shd w:val="clear" w:color="000000" w:fill="F2F2F2"/>
            <w:noWrap/>
            <w:vAlign w:val="bottom"/>
            <w:hideMark/>
          </w:tcPr>
          <w:p w14:paraId="700990D0" w14:textId="77777777" w:rsidR="00F76B72" w:rsidRDefault="00F76B72" w:rsidP="00F76B72">
            <w:pPr>
              <w:spacing w:after="0"/>
              <w:jc w:val="center"/>
            </w:pPr>
            <w:r>
              <w:t>0.128***</w:t>
            </w:r>
          </w:p>
        </w:tc>
      </w:tr>
      <w:tr w:rsidR="00F76B72" w:rsidRPr="00294862" w14:paraId="3F497306" w14:textId="77777777" w:rsidTr="00F76B72">
        <w:trPr>
          <w:trHeight w:val="300"/>
        </w:trPr>
        <w:tc>
          <w:tcPr>
            <w:tcW w:w="3330" w:type="dxa"/>
            <w:tcBorders>
              <w:top w:val="nil"/>
              <w:left w:val="nil"/>
              <w:bottom w:val="nil"/>
              <w:right w:val="nil"/>
            </w:tcBorders>
            <w:shd w:val="clear" w:color="000000" w:fill="F2F2F2"/>
            <w:noWrap/>
            <w:vAlign w:val="bottom"/>
            <w:hideMark/>
          </w:tcPr>
          <w:p w14:paraId="7E924992"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4D1D67F7" w14:textId="77777777" w:rsidR="00F76B72" w:rsidRDefault="00F76B72" w:rsidP="00F76B72">
            <w:pPr>
              <w:spacing w:after="0"/>
              <w:jc w:val="center"/>
            </w:pPr>
            <w:r>
              <w:t>(0.0616)</w:t>
            </w:r>
          </w:p>
        </w:tc>
        <w:tc>
          <w:tcPr>
            <w:tcW w:w="1890" w:type="dxa"/>
            <w:tcBorders>
              <w:top w:val="nil"/>
              <w:left w:val="nil"/>
              <w:bottom w:val="nil"/>
              <w:right w:val="nil"/>
            </w:tcBorders>
            <w:shd w:val="clear" w:color="000000" w:fill="F2F2F2"/>
            <w:noWrap/>
            <w:vAlign w:val="bottom"/>
            <w:hideMark/>
          </w:tcPr>
          <w:p w14:paraId="7C2A475E" w14:textId="77777777" w:rsidR="00F76B72" w:rsidRDefault="00F76B72" w:rsidP="00F76B72">
            <w:pPr>
              <w:spacing w:after="0"/>
              <w:jc w:val="center"/>
            </w:pPr>
            <w:r>
              <w:t>(0.0536)</w:t>
            </w:r>
          </w:p>
        </w:tc>
        <w:tc>
          <w:tcPr>
            <w:tcW w:w="1530" w:type="dxa"/>
            <w:tcBorders>
              <w:top w:val="nil"/>
              <w:left w:val="nil"/>
              <w:bottom w:val="nil"/>
              <w:right w:val="nil"/>
            </w:tcBorders>
            <w:shd w:val="clear" w:color="000000" w:fill="F2F2F2"/>
            <w:noWrap/>
            <w:vAlign w:val="bottom"/>
            <w:hideMark/>
          </w:tcPr>
          <w:p w14:paraId="7D00DCC7" w14:textId="77777777" w:rsidR="00F76B72" w:rsidRDefault="00F76B72" w:rsidP="00F76B72">
            <w:pPr>
              <w:spacing w:after="0"/>
              <w:jc w:val="center"/>
            </w:pPr>
            <w:r>
              <w:t>(0.0589)</w:t>
            </w:r>
          </w:p>
        </w:tc>
        <w:tc>
          <w:tcPr>
            <w:tcW w:w="1350" w:type="dxa"/>
            <w:tcBorders>
              <w:top w:val="nil"/>
              <w:left w:val="nil"/>
              <w:bottom w:val="nil"/>
              <w:right w:val="nil"/>
            </w:tcBorders>
            <w:shd w:val="clear" w:color="000000" w:fill="F2F2F2"/>
            <w:noWrap/>
            <w:vAlign w:val="bottom"/>
            <w:hideMark/>
          </w:tcPr>
          <w:p w14:paraId="2522B368" w14:textId="77777777" w:rsidR="00F76B72" w:rsidRDefault="00F76B72" w:rsidP="00F76B72">
            <w:pPr>
              <w:spacing w:after="0"/>
              <w:jc w:val="center"/>
            </w:pPr>
            <w:r>
              <w:t>(0.0481)</w:t>
            </w:r>
          </w:p>
        </w:tc>
      </w:tr>
      <w:tr w:rsidR="00F76B72" w:rsidRPr="00294862" w14:paraId="4E641690" w14:textId="77777777" w:rsidTr="00F76B72">
        <w:trPr>
          <w:trHeight w:val="300"/>
        </w:trPr>
        <w:tc>
          <w:tcPr>
            <w:tcW w:w="3330" w:type="dxa"/>
            <w:tcBorders>
              <w:top w:val="nil"/>
              <w:left w:val="nil"/>
              <w:bottom w:val="nil"/>
              <w:right w:val="nil"/>
            </w:tcBorders>
            <w:shd w:val="clear" w:color="000000" w:fill="F2F2F2"/>
            <w:noWrap/>
            <w:vAlign w:val="bottom"/>
            <w:hideMark/>
          </w:tcPr>
          <w:p w14:paraId="7FCE89A3" w14:textId="77777777" w:rsidR="00F76B72" w:rsidRPr="00294862" w:rsidRDefault="00F76B72" w:rsidP="00F76B72">
            <w:pPr>
              <w:keepNext/>
              <w:spacing w:after="0" w:line="240" w:lineRule="auto"/>
              <w:rPr>
                <w:rFonts w:eastAsia="Times New Roman"/>
              </w:rPr>
            </w:pPr>
            <w:r w:rsidRPr="00294862">
              <w:rPr>
                <w:rFonts w:eastAsia="Times New Roman"/>
              </w:rPr>
              <w:t>Male (1=yes)</w:t>
            </w:r>
          </w:p>
        </w:tc>
        <w:tc>
          <w:tcPr>
            <w:tcW w:w="1260" w:type="dxa"/>
            <w:tcBorders>
              <w:top w:val="nil"/>
              <w:left w:val="nil"/>
              <w:bottom w:val="nil"/>
              <w:right w:val="nil"/>
            </w:tcBorders>
            <w:shd w:val="clear" w:color="000000" w:fill="F2F2F2"/>
            <w:noWrap/>
            <w:vAlign w:val="bottom"/>
            <w:hideMark/>
          </w:tcPr>
          <w:p w14:paraId="318337F7" w14:textId="77777777" w:rsidR="00F76B72" w:rsidRDefault="00F76B72" w:rsidP="00F76B72">
            <w:pPr>
              <w:spacing w:after="0"/>
              <w:jc w:val="center"/>
            </w:pPr>
            <w:r>
              <w:t>1.225***</w:t>
            </w:r>
          </w:p>
        </w:tc>
        <w:tc>
          <w:tcPr>
            <w:tcW w:w="1890" w:type="dxa"/>
            <w:tcBorders>
              <w:top w:val="nil"/>
              <w:left w:val="nil"/>
              <w:bottom w:val="nil"/>
              <w:right w:val="nil"/>
            </w:tcBorders>
            <w:shd w:val="clear" w:color="000000" w:fill="F2F2F2"/>
            <w:noWrap/>
            <w:vAlign w:val="bottom"/>
            <w:hideMark/>
          </w:tcPr>
          <w:p w14:paraId="1206BB0D" w14:textId="77777777" w:rsidR="00F76B72" w:rsidRDefault="00F76B72" w:rsidP="00F76B72">
            <w:pPr>
              <w:spacing w:after="0"/>
              <w:jc w:val="center"/>
            </w:pPr>
            <w:r>
              <w:t>0.602**</w:t>
            </w:r>
          </w:p>
        </w:tc>
        <w:tc>
          <w:tcPr>
            <w:tcW w:w="1530" w:type="dxa"/>
            <w:tcBorders>
              <w:top w:val="nil"/>
              <w:left w:val="nil"/>
              <w:bottom w:val="nil"/>
              <w:right w:val="nil"/>
            </w:tcBorders>
            <w:shd w:val="clear" w:color="000000" w:fill="F2F2F2"/>
            <w:noWrap/>
            <w:vAlign w:val="bottom"/>
            <w:hideMark/>
          </w:tcPr>
          <w:p w14:paraId="27429DAB" w14:textId="77777777" w:rsidR="00F76B72" w:rsidRDefault="00F76B72" w:rsidP="00F76B72">
            <w:pPr>
              <w:spacing w:after="0"/>
              <w:jc w:val="center"/>
            </w:pPr>
            <w:r>
              <w:t>0.642**</w:t>
            </w:r>
          </w:p>
        </w:tc>
        <w:tc>
          <w:tcPr>
            <w:tcW w:w="1350" w:type="dxa"/>
            <w:tcBorders>
              <w:top w:val="nil"/>
              <w:left w:val="nil"/>
              <w:bottom w:val="nil"/>
              <w:right w:val="nil"/>
            </w:tcBorders>
            <w:shd w:val="clear" w:color="000000" w:fill="F2F2F2"/>
            <w:noWrap/>
            <w:vAlign w:val="bottom"/>
            <w:hideMark/>
          </w:tcPr>
          <w:p w14:paraId="41A76896" w14:textId="77777777" w:rsidR="00F76B72" w:rsidRDefault="00F76B72" w:rsidP="00F76B72">
            <w:pPr>
              <w:spacing w:after="0"/>
              <w:jc w:val="center"/>
            </w:pPr>
            <w:r>
              <w:t>0.588***</w:t>
            </w:r>
          </w:p>
        </w:tc>
      </w:tr>
      <w:tr w:rsidR="00F76B72" w:rsidRPr="00294862" w14:paraId="07D35A6B" w14:textId="77777777" w:rsidTr="00F76B72">
        <w:trPr>
          <w:trHeight w:val="300"/>
        </w:trPr>
        <w:tc>
          <w:tcPr>
            <w:tcW w:w="3330" w:type="dxa"/>
            <w:tcBorders>
              <w:top w:val="nil"/>
              <w:left w:val="nil"/>
              <w:bottom w:val="nil"/>
              <w:right w:val="nil"/>
            </w:tcBorders>
            <w:shd w:val="clear" w:color="000000" w:fill="F2F2F2"/>
            <w:noWrap/>
            <w:vAlign w:val="bottom"/>
            <w:hideMark/>
          </w:tcPr>
          <w:p w14:paraId="70C26482"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6C96B307" w14:textId="77777777" w:rsidR="00F76B72" w:rsidRDefault="00F76B72" w:rsidP="00F76B72">
            <w:pPr>
              <w:spacing w:after="0"/>
              <w:jc w:val="center"/>
            </w:pPr>
            <w:r>
              <w:t>(0.325)</w:t>
            </w:r>
          </w:p>
        </w:tc>
        <w:tc>
          <w:tcPr>
            <w:tcW w:w="1890" w:type="dxa"/>
            <w:tcBorders>
              <w:top w:val="nil"/>
              <w:left w:val="nil"/>
              <w:bottom w:val="nil"/>
              <w:right w:val="nil"/>
            </w:tcBorders>
            <w:shd w:val="clear" w:color="000000" w:fill="F2F2F2"/>
            <w:noWrap/>
            <w:vAlign w:val="bottom"/>
            <w:hideMark/>
          </w:tcPr>
          <w:p w14:paraId="6C5F11A5" w14:textId="77777777" w:rsidR="00F76B72" w:rsidRDefault="00F76B72" w:rsidP="00F76B72">
            <w:pPr>
              <w:spacing w:after="0"/>
              <w:jc w:val="center"/>
            </w:pPr>
            <w:r>
              <w:t>(0.249)</w:t>
            </w:r>
          </w:p>
        </w:tc>
        <w:tc>
          <w:tcPr>
            <w:tcW w:w="1530" w:type="dxa"/>
            <w:tcBorders>
              <w:top w:val="nil"/>
              <w:left w:val="nil"/>
              <w:bottom w:val="nil"/>
              <w:right w:val="nil"/>
            </w:tcBorders>
            <w:shd w:val="clear" w:color="000000" w:fill="F2F2F2"/>
            <w:noWrap/>
            <w:vAlign w:val="bottom"/>
            <w:hideMark/>
          </w:tcPr>
          <w:p w14:paraId="1634DBC2" w14:textId="77777777" w:rsidR="00F76B72" w:rsidRDefault="00F76B72" w:rsidP="00F76B72">
            <w:pPr>
              <w:spacing w:after="0"/>
              <w:jc w:val="center"/>
            </w:pPr>
            <w:r>
              <w:t>(0.278)</w:t>
            </w:r>
          </w:p>
        </w:tc>
        <w:tc>
          <w:tcPr>
            <w:tcW w:w="1350" w:type="dxa"/>
            <w:tcBorders>
              <w:top w:val="nil"/>
              <w:left w:val="nil"/>
              <w:bottom w:val="nil"/>
              <w:right w:val="nil"/>
            </w:tcBorders>
            <w:shd w:val="clear" w:color="000000" w:fill="F2F2F2"/>
            <w:noWrap/>
            <w:vAlign w:val="bottom"/>
            <w:hideMark/>
          </w:tcPr>
          <w:p w14:paraId="04DF5BDA" w14:textId="77777777" w:rsidR="00F76B72" w:rsidRDefault="00F76B72" w:rsidP="00F76B72">
            <w:pPr>
              <w:spacing w:after="0"/>
              <w:jc w:val="center"/>
            </w:pPr>
            <w:r>
              <w:t>(0.223)</w:t>
            </w:r>
          </w:p>
        </w:tc>
      </w:tr>
      <w:tr w:rsidR="00F76B72" w:rsidRPr="00294862" w14:paraId="331B9659" w14:textId="77777777" w:rsidTr="00F76B72">
        <w:trPr>
          <w:trHeight w:val="300"/>
        </w:trPr>
        <w:tc>
          <w:tcPr>
            <w:tcW w:w="3330" w:type="dxa"/>
            <w:tcBorders>
              <w:top w:val="nil"/>
              <w:left w:val="nil"/>
              <w:bottom w:val="nil"/>
              <w:right w:val="nil"/>
            </w:tcBorders>
            <w:shd w:val="clear" w:color="000000" w:fill="F2F2F2"/>
            <w:noWrap/>
            <w:vAlign w:val="bottom"/>
            <w:hideMark/>
          </w:tcPr>
          <w:p w14:paraId="52407264" w14:textId="77777777" w:rsidR="00F76B72" w:rsidRPr="00294862" w:rsidRDefault="00F76B72" w:rsidP="00F76B72">
            <w:pPr>
              <w:keepNext/>
              <w:spacing w:after="0" w:line="240" w:lineRule="auto"/>
              <w:rPr>
                <w:rFonts w:eastAsia="Times New Roman"/>
              </w:rPr>
            </w:pPr>
            <w:r w:rsidRPr="00294862">
              <w:rPr>
                <w:rFonts w:eastAsia="Times New Roman"/>
              </w:rPr>
              <w:t>Household size (# people)</w:t>
            </w:r>
          </w:p>
        </w:tc>
        <w:tc>
          <w:tcPr>
            <w:tcW w:w="1260" w:type="dxa"/>
            <w:tcBorders>
              <w:top w:val="nil"/>
              <w:left w:val="nil"/>
              <w:bottom w:val="nil"/>
              <w:right w:val="nil"/>
            </w:tcBorders>
            <w:shd w:val="clear" w:color="000000" w:fill="F2F2F2"/>
            <w:noWrap/>
            <w:vAlign w:val="bottom"/>
            <w:hideMark/>
          </w:tcPr>
          <w:p w14:paraId="0D715706" w14:textId="77777777" w:rsidR="00F76B72" w:rsidRDefault="00F76B72" w:rsidP="00F76B72">
            <w:pPr>
              <w:spacing w:after="0"/>
              <w:jc w:val="center"/>
            </w:pPr>
            <w:r>
              <w:t>0.0528</w:t>
            </w:r>
          </w:p>
        </w:tc>
        <w:tc>
          <w:tcPr>
            <w:tcW w:w="1890" w:type="dxa"/>
            <w:tcBorders>
              <w:top w:val="nil"/>
              <w:left w:val="nil"/>
              <w:bottom w:val="nil"/>
              <w:right w:val="nil"/>
            </w:tcBorders>
            <w:shd w:val="clear" w:color="000000" w:fill="F2F2F2"/>
            <w:noWrap/>
            <w:vAlign w:val="bottom"/>
            <w:hideMark/>
          </w:tcPr>
          <w:p w14:paraId="50243BD9" w14:textId="77777777" w:rsidR="00F76B72" w:rsidRDefault="00F76B72" w:rsidP="00F76B72">
            <w:pPr>
              <w:spacing w:after="0"/>
              <w:jc w:val="center"/>
            </w:pPr>
            <w:r>
              <w:t>-0.0228</w:t>
            </w:r>
          </w:p>
        </w:tc>
        <w:tc>
          <w:tcPr>
            <w:tcW w:w="1530" w:type="dxa"/>
            <w:tcBorders>
              <w:top w:val="nil"/>
              <w:left w:val="nil"/>
              <w:bottom w:val="nil"/>
              <w:right w:val="nil"/>
            </w:tcBorders>
            <w:shd w:val="clear" w:color="000000" w:fill="F2F2F2"/>
            <w:noWrap/>
            <w:vAlign w:val="bottom"/>
            <w:hideMark/>
          </w:tcPr>
          <w:p w14:paraId="1918D64A" w14:textId="77777777" w:rsidR="00F76B72" w:rsidRDefault="00F76B72" w:rsidP="00F76B72">
            <w:pPr>
              <w:spacing w:after="0"/>
              <w:jc w:val="center"/>
            </w:pPr>
            <w:r>
              <w:t>0.0384</w:t>
            </w:r>
          </w:p>
        </w:tc>
        <w:tc>
          <w:tcPr>
            <w:tcW w:w="1350" w:type="dxa"/>
            <w:tcBorders>
              <w:top w:val="nil"/>
              <w:left w:val="nil"/>
              <w:bottom w:val="nil"/>
              <w:right w:val="nil"/>
            </w:tcBorders>
            <w:shd w:val="clear" w:color="000000" w:fill="F2F2F2"/>
            <w:noWrap/>
            <w:vAlign w:val="bottom"/>
            <w:hideMark/>
          </w:tcPr>
          <w:p w14:paraId="68E1A248" w14:textId="77777777" w:rsidR="00F76B72" w:rsidRDefault="00F76B72" w:rsidP="00F76B72">
            <w:pPr>
              <w:spacing w:after="0"/>
              <w:jc w:val="center"/>
            </w:pPr>
            <w:r>
              <w:t>0.0765</w:t>
            </w:r>
          </w:p>
        </w:tc>
      </w:tr>
      <w:tr w:rsidR="00F76B72" w:rsidRPr="00294862" w14:paraId="6AB4786B" w14:textId="77777777" w:rsidTr="00F76B72">
        <w:trPr>
          <w:trHeight w:val="300"/>
        </w:trPr>
        <w:tc>
          <w:tcPr>
            <w:tcW w:w="3330" w:type="dxa"/>
            <w:tcBorders>
              <w:top w:val="nil"/>
              <w:left w:val="nil"/>
              <w:bottom w:val="nil"/>
              <w:right w:val="nil"/>
            </w:tcBorders>
            <w:shd w:val="clear" w:color="000000" w:fill="F2F2F2"/>
            <w:noWrap/>
            <w:vAlign w:val="bottom"/>
            <w:hideMark/>
          </w:tcPr>
          <w:p w14:paraId="4463A747"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3E152B8E" w14:textId="77777777" w:rsidR="00F76B72" w:rsidRDefault="00F76B72" w:rsidP="00F76B72">
            <w:pPr>
              <w:spacing w:after="0"/>
              <w:jc w:val="center"/>
            </w:pPr>
            <w:r>
              <w:t>(0.115)</w:t>
            </w:r>
          </w:p>
        </w:tc>
        <w:tc>
          <w:tcPr>
            <w:tcW w:w="1890" w:type="dxa"/>
            <w:tcBorders>
              <w:top w:val="nil"/>
              <w:left w:val="nil"/>
              <w:bottom w:val="nil"/>
              <w:right w:val="nil"/>
            </w:tcBorders>
            <w:shd w:val="clear" w:color="000000" w:fill="F2F2F2"/>
            <w:noWrap/>
            <w:vAlign w:val="bottom"/>
            <w:hideMark/>
          </w:tcPr>
          <w:p w14:paraId="4D34BB7B" w14:textId="77777777" w:rsidR="00F76B72" w:rsidRDefault="00F76B72" w:rsidP="00F76B72">
            <w:pPr>
              <w:spacing w:after="0"/>
              <w:jc w:val="center"/>
            </w:pPr>
            <w:r>
              <w:t>(0.0924)</w:t>
            </w:r>
          </w:p>
        </w:tc>
        <w:tc>
          <w:tcPr>
            <w:tcW w:w="1530" w:type="dxa"/>
            <w:tcBorders>
              <w:top w:val="nil"/>
              <w:left w:val="nil"/>
              <w:bottom w:val="nil"/>
              <w:right w:val="nil"/>
            </w:tcBorders>
            <w:shd w:val="clear" w:color="000000" w:fill="F2F2F2"/>
            <w:noWrap/>
            <w:vAlign w:val="bottom"/>
            <w:hideMark/>
          </w:tcPr>
          <w:p w14:paraId="7B092FCD" w14:textId="77777777" w:rsidR="00F76B72" w:rsidRDefault="00F76B72" w:rsidP="00F76B72">
            <w:pPr>
              <w:spacing w:after="0"/>
              <w:jc w:val="center"/>
            </w:pPr>
            <w:r>
              <w:t>(0.100)</w:t>
            </w:r>
          </w:p>
        </w:tc>
        <w:tc>
          <w:tcPr>
            <w:tcW w:w="1350" w:type="dxa"/>
            <w:tcBorders>
              <w:top w:val="nil"/>
              <w:left w:val="nil"/>
              <w:bottom w:val="nil"/>
              <w:right w:val="nil"/>
            </w:tcBorders>
            <w:shd w:val="clear" w:color="000000" w:fill="F2F2F2"/>
            <w:noWrap/>
            <w:vAlign w:val="bottom"/>
            <w:hideMark/>
          </w:tcPr>
          <w:p w14:paraId="2A7BCEAC" w14:textId="77777777" w:rsidR="00F76B72" w:rsidRDefault="00F76B72" w:rsidP="00F76B72">
            <w:pPr>
              <w:spacing w:after="0"/>
              <w:jc w:val="center"/>
            </w:pPr>
            <w:r>
              <w:t>(0.0852)</w:t>
            </w:r>
          </w:p>
        </w:tc>
      </w:tr>
      <w:tr w:rsidR="00F76B72" w:rsidRPr="00294862" w14:paraId="4AFA0AAD" w14:textId="77777777" w:rsidTr="00F76B72">
        <w:trPr>
          <w:trHeight w:val="300"/>
        </w:trPr>
        <w:tc>
          <w:tcPr>
            <w:tcW w:w="3330" w:type="dxa"/>
            <w:tcBorders>
              <w:top w:val="nil"/>
              <w:left w:val="nil"/>
              <w:bottom w:val="nil"/>
              <w:right w:val="nil"/>
            </w:tcBorders>
            <w:shd w:val="clear" w:color="000000" w:fill="F2F2F2"/>
            <w:noWrap/>
            <w:vAlign w:val="bottom"/>
            <w:hideMark/>
          </w:tcPr>
          <w:p w14:paraId="287C9C34" w14:textId="77777777" w:rsidR="00F76B72" w:rsidRPr="00294862" w:rsidRDefault="00F76B72" w:rsidP="00F76B72">
            <w:pPr>
              <w:keepNext/>
              <w:spacing w:after="0" w:line="240" w:lineRule="auto"/>
              <w:rPr>
                <w:rFonts w:eastAsia="Times New Roman"/>
              </w:rPr>
            </w:pPr>
            <w:r w:rsidRPr="00294862">
              <w:rPr>
                <w:rFonts w:eastAsia="Times New Roman"/>
              </w:rPr>
              <w:t>Income ($10,000's)</w:t>
            </w:r>
          </w:p>
        </w:tc>
        <w:tc>
          <w:tcPr>
            <w:tcW w:w="1260" w:type="dxa"/>
            <w:tcBorders>
              <w:top w:val="nil"/>
              <w:left w:val="nil"/>
              <w:bottom w:val="nil"/>
              <w:right w:val="nil"/>
            </w:tcBorders>
            <w:shd w:val="clear" w:color="000000" w:fill="F2F2F2"/>
            <w:noWrap/>
            <w:vAlign w:val="bottom"/>
            <w:hideMark/>
          </w:tcPr>
          <w:p w14:paraId="4F814FFB" w14:textId="77777777" w:rsidR="00F76B72" w:rsidRDefault="00F76B72" w:rsidP="00F76B72">
            <w:pPr>
              <w:spacing w:after="0"/>
              <w:jc w:val="center"/>
            </w:pPr>
            <w:r>
              <w:t>0.0310</w:t>
            </w:r>
          </w:p>
        </w:tc>
        <w:tc>
          <w:tcPr>
            <w:tcW w:w="1890" w:type="dxa"/>
            <w:tcBorders>
              <w:top w:val="nil"/>
              <w:left w:val="nil"/>
              <w:bottom w:val="nil"/>
              <w:right w:val="nil"/>
            </w:tcBorders>
            <w:shd w:val="clear" w:color="000000" w:fill="F2F2F2"/>
            <w:noWrap/>
            <w:vAlign w:val="bottom"/>
            <w:hideMark/>
          </w:tcPr>
          <w:p w14:paraId="2EE628E6" w14:textId="77777777" w:rsidR="00F76B72" w:rsidRDefault="00F76B72" w:rsidP="00F76B72">
            <w:pPr>
              <w:spacing w:after="0"/>
              <w:jc w:val="center"/>
            </w:pPr>
            <w:r>
              <w:t>0.0195</w:t>
            </w:r>
          </w:p>
        </w:tc>
        <w:tc>
          <w:tcPr>
            <w:tcW w:w="1530" w:type="dxa"/>
            <w:tcBorders>
              <w:top w:val="nil"/>
              <w:left w:val="nil"/>
              <w:bottom w:val="nil"/>
              <w:right w:val="nil"/>
            </w:tcBorders>
            <w:shd w:val="clear" w:color="000000" w:fill="F2F2F2"/>
            <w:noWrap/>
            <w:vAlign w:val="bottom"/>
            <w:hideMark/>
          </w:tcPr>
          <w:p w14:paraId="4EBBDBCA" w14:textId="77777777" w:rsidR="00F76B72" w:rsidRDefault="00F76B72" w:rsidP="00F76B72">
            <w:pPr>
              <w:spacing w:after="0"/>
              <w:jc w:val="center"/>
            </w:pPr>
            <w:r>
              <w:t>-0.00414</w:t>
            </w:r>
          </w:p>
        </w:tc>
        <w:tc>
          <w:tcPr>
            <w:tcW w:w="1350" w:type="dxa"/>
            <w:tcBorders>
              <w:top w:val="nil"/>
              <w:left w:val="nil"/>
              <w:bottom w:val="nil"/>
              <w:right w:val="nil"/>
            </w:tcBorders>
            <w:shd w:val="clear" w:color="000000" w:fill="F2F2F2"/>
            <w:noWrap/>
            <w:vAlign w:val="bottom"/>
            <w:hideMark/>
          </w:tcPr>
          <w:p w14:paraId="17EBC53A" w14:textId="77777777" w:rsidR="00F76B72" w:rsidRDefault="00F76B72" w:rsidP="00F76B72">
            <w:pPr>
              <w:spacing w:after="0"/>
              <w:jc w:val="center"/>
            </w:pPr>
            <w:r>
              <w:t>-0.0186</w:t>
            </w:r>
          </w:p>
        </w:tc>
      </w:tr>
      <w:tr w:rsidR="00F76B72" w:rsidRPr="00294862" w14:paraId="4FA1BEAD" w14:textId="77777777" w:rsidTr="00F76B72">
        <w:trPr>
          <w:trHeight w:val="300"/>
        </w:trPr>
        <w:tc>
          <w:tcPr>
            <w:tcW w:w="3330" w:type="dxa"/>
            <w:tcBorders>
              <w:top w:val="nil"/>
              <w:left w:val="nil"/>
              <w:bottom w:val="nil"/>
              <w:right w:val="nil"/>
            </w:tcBorders>
            <w:shd w:val="clear" w:color="000000" w:fill="F2F2F2"/>
            <w:noWrap/>
            <w:vAlign w:val="bottom"/>
            <w:hideMark/>
          </w:tcPr>
          <w:p w14:paraId="7578690F"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276358F7" w14:textId="77777777" w:rsidR="00F76B72" w:rsidRDefault="00F76B72" w:rsidP="00F76B72">
            <w:pPr>
              <w:spacing w:after="0"/>
              <w:jc w:val="center"/>
            </w:pPr>
            <w:r>
              <w:t>(0.0332)</w:t>
            </w:r>
          </w:p>
        </w:tc>
        <w:tc>
          <w:tcPr>
            <w:tcW w:w="1890" w:type="dxa"/>
            <w:tcBorders>
              <w:top w:val="nil"/>
              <w:left w:val="nil"/>
              <w:bottom w:val="nil"/>
              <w:right w:val="nil"/>
            </w:tcBorders>
            <w:shd w:val="clear" w:color="000000" w:fill="F2F2F2"/>
            <w:noWrap/>
            <w:vAlign w:val="bottom"/>
            <w:hideMark/>
          </w:tcPr>
          <w:p w14:paraId="2958C097" w14:textId="77777777" w:rsidR="00F76B72" w:rsidRDefault="00F76B72" w:rsidP="00F76B72">
            <w:pPr>
              <w:spacing w:after="0"/>
              <w:jc w:val="center"/>
            </w:pPr>
            <w:r>
              <w:t>(0.0261)</w:t>
            </w:r>
          </w:p>
        </w:tc>
        <w:tc>
          <w:tcPr>
            <w:tcW w:w="1530" w:type="dxa"/>
            <w:tcBorders>
              <w:top w:val="nil"/>
              <w:left w:val="nil"/>
              <w:bottom w:val="nil"/>
              <w:right w:val="nil"/>
            </w:tcBorders>
            <w:shd w:val="clear" w:color="000000" w:fill="F2F2F2"/>
            <w:noWrap/>
            <w:vAlign w:val="bottom"/>
            <w:hideMark/>
          </w:tcPr>
          <w:p w14:paraId="4CE137EC" w14:textId="77777777" w:rsidR="00F76B72" w:rsidRDefault="00F76B72" w:rsidP="00F76B72">
            <w:pPr>
              <w:spacing w:after="0"/>
              <w:jc w:val="center"/>
            </w:pPr>
            <w:r>
              <w:t>(0.0272)</w:t>
            </w:r>
          </w:p>
        </w:tc>
        <w:tc>
          <w:tcPr>
            <w:tcW w:w="1350" w:type="dxa"/>
            <w:tcBorders>
              <w:top w:val="nil"/>
              <w:left w:val="nil"/>
              <w:bottom w:val="nil"/>
              <w:right w:val="nil"/>
            </w:tcBorders>
            <w:shd w:val="clear" w:color="000000" w:fill="F2F2F2"/>
            <w:noWrap/>
            <w:vAlign w:val="bottom"/>
            <w:hideMark/>
          </w:tcPr>
          <w:p w14:paraId="772B351E" w14:textId="77777777" w:rsidR="00F76B72" w:rsidRDefault="00F76B72" w:rsidP="00F76B72">
            <w:pPr>
              <w:spacing w:after="0"/>
              <w:jc w:val="center"/>
            </w:pPr>
            <w:r>
              <w:t>(0.0237)</w:t>
            </w:r>
          </w:p>
        </w:tc>
      </w:tr>
      <w:tr w:rsidR="00F76B72" w:rsidRPr="00294862" w14:paraId="2FF211BE" w14:textId="77777777" w:rsidTr="00F76B72">
        <w:trPr>
          <w:trHeight w:val="300"/>
        </w:trPr>
        <w:tc>
          <w:tcPr>
            <w:tcW w:w="3330" w:type="dxa"/>
            <w:tcBorders>
              <w:top w:val="nil"/>
              <w:left w:val="nil"/>
              <w:bottom w:val="nil"/>
              <w:right w:val="nil"/>
            </w:tcBorders>
            <w:shd w:val="clear" w:color="000000" w:fill="F2F2F2"/>
            <w:noWrap/>
            <w:vAlign w:val="bottom"/>
            <w:hideMark/>
          </w:tcPr>
          <w:p w14:paraId="0B1CD994" w14:textId="77777777" w:rsidR="00F76B72" w:rsidRPr="00294862" w:rsidRDefault="00F76B72" w:rsidP="00F76B72">
            <w:pPr>
              <w:keepNext/>
              <w:spacing w:after="0" w:line="240" w:lineRule="auto"/>
              <w:rPr>
                <w:rFonts w:eastAsia="Times New Roman"/>
              </w:rPr>
            </w:pPr>
            <w:r w:rsidRPr="00294862">
              <w:rPr>
                <w:rFonts w:eastAsia="Times New Roman"/>
              </w:rPr>
              <w:t>Age (years)</w:t>
            </w:r>
          </w:p>
        </w:tc>
        <w:tc>
          <w:tcPr>
            <w:tcW w:w="1260" w:type="dxa"/>
            <w:tcBorders>
              <w:top w:val="nil"/>
              <w:left w:val="nil"/>
              <w:bottom w:val="nil"/>
              <w:right w:val="nil"/>
            </w:tcBorders>
            <w:shd w:val="clear" w:color="000000" w:fill="F2F2F2"/>
            <w:noWrap/>
            <w:vAlign w:val="bottom"/>
            <w:hideMark/>
          </w:tcPr>
          <w:p w14:paraId="6CD3B75D" w14:textId="77777777" w:rsidR="00F76B72" w:rsidRDefault="00F76B72" w:rsidP="00F76B72">
            <w:pPr>
              <w:spacing w:after="0"/>
              <w:jc w:val="center"/>
            </w:pPr>
            <w:r>
              <w:t>0.0292***</w:t>
            </w:r>
          </w:p>
        </w:tc>
        <w:tc>
          <w:tcPr>
            <w:tcW w:w="1890" w:type="dxa"/>
            <w:tcBorders>
              <w:top w:val="nil"/>
              <w:left w:val="nil"/>
              <w:bottom w:val="nil"/>
              <w:right w:val="nil"/>
            </w:tcBorders>
            <w:shd w:val="clear" w:color="000000" w:fill="F2F2F2"/>
            <w:noWrap/>
            <w:vAlign w:val="bottom"/>
            <w:hideMark/>
          </w:tcPr>
          <w:p w14:paraId="112E5842" w14:textId="77777777" w:rsidR="00F76B72" w:rsidRDefault="00F76B72" w:rsidP="00F76B72">
            <w:pPr>
              <w:spacing w:after="0"/>
              <w:jc w:val="center"/>
            </w:pPr>
            <w:r>
              <w:t>0.0112</w:t>
            </w:r>
          </w:p>
        </w:tc>
        <w:tc>
          <w:tcPr>
            <w:tcW w:w="1530" w:type="dxa"/>
            <w:tcBorders>
              <w:top w:val="nil"/>
              <w:left w:val="nil"/>
              <w:bottom w:val="nil"/>
              <w:right w:val="nil"/>
            </w:tcBorders>
            <w:shd w:val="clear" w:color="000000" w:fill="F2F2F2"/>
            <w:noWrap/>
            <w:vAlign w:val="bottom"/>
            <w:hideMark/>
          </w:tcPr>
          <w:p w14:paraId="39FC9DFD" w14:textId="77777777" w:rsidR="00F76B72" w:rsidRDefault="00F76B72" w:rsidP="00F76B72">
            <w:pPr>
              <w:spacing w:after="0"/>
              <w:jc w:val="center"/>
            </w:pPr>
            <w:r>
              <w:t>0.00935</w:t>
            </w:r>
          </w:p>
        </w:tc>
        <w:tc>
          <w:tcPr>
            <w:tcW w:w="1350" w:type="dxa"/>
            <w:tcBorders>
              <w:top w:val="nil"/>
              <w:left w:val="nil"/>
              <w:bottom w:val="nil"/>
              <w:right w:val="nil"/>
            </w:tcBorders>
            <w:shd w:val="clear" w:color="000000" w:fill="F2F2F2"/>
            <w:noWrap/>
            <w:vAlign w:val="bottom"/>
            <w:hideMark/>
          </w:tcPr>
          <w:p w14:paraId="2B45CDBA" w14:textId="77777777" w:rsidR="00F76B72" w:rsidRDefault="00F76B72" w:rsidP="00F76B72">
            <w:pPr>
              <w:spacing w:after="0"/>
              <w:jc w:val="center"/>
            </w:pPr>
            <w:r>
              <w:t>0.0169**</w:t>
            </w:r>
          </w:p>
        </w:tc>
      </w:tr>
      <w:tr w:rsidR="00F76B72" w:rsidRPr="00294862" w14:paraId="63F1515B" w14:textId="77777777" w:rsidTr="00F76B72">
        <w:trPr>
          <w:trHeight w:val="300"/>
        </w:trPr>
        <w:tc>
          <w:tcPr>
            <w:tcW w:w="3330" w:type="dxa"/>
            <w:tcBorders>
              <w:top w:val="nil"/>
              <w:left w:val="nil"/>
              <w:bottom w:val="nil"/>
              <w:right w:val="nil"/>
            </w:tcBorders>
            <w:shd w:val="clear" w:color="000000" w:fill="F2F2F2"/>
            <w:noWrap/>
            <w:vAlign w:val="bottom"/>
            <w:hideMark/>
          </w:tcPr>
          <w:p w14:paraId="749F7033"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23A04DFD" w14:textId="77777777" w:rsidR="00F76B72" w:rsidRDefault="00F76B72" w:rsidP="00F76B72">
            <w:pPr>
              <w:spacing w:after="0"/>
              <w:jc w:val="center"/>
            </w:pPr>
            <w:r>
              <w:t>(0.00969)</w:t>
            </w:r>
          </w:p>
        </w:tc>
        <w:tc>
          <w:tcPr>
            <w:tcW w:w="1890" w:type="dxa"/>
            <w:tcBorders>
              <w:top w:val="nil"/>
              <w:left w:val="nil"/>
              <w:bottom w:val="nil"/>
              <w:right w:val="nil"/>
            </w:tcBorders>
            <w:shd w:val="clear" w:color="000000" w:fill="F2F2F2"/>
            <w:noWrap/>
            <w:vAlign w:val="bottom"/>
            <w:hideMark/>
          </w:tcPr>
          <w:p w14:paraId="57DCA752" w14:textId="77777777" w:rsidR="00F76B72" w:rsidRDefault="00F76B72" w:rsidP="00F76B72">
            <w:pPr>
              <w:spacing w:after="0"/>
              <w:jc w:val="center"/>
            </w:pPr>
            <w:r>
              <w:t>(0.00807)</w:t>
            </w:r>
          </w:p>
        </w:tc>
        <w:tc>
          <w:tcPr>
            <w:tcW w:w="1530" w:type="dxa"/>
            <w:tcBorders>
              <w:top w:val="nil"/>
              <w:left w:val="nil"/>
              <w:bottom w:val="nil"/>
              <w:right w:val="nil"/>
            </w:tcBorders>
            <w:shd w:val="clear" w:color="000000" w:fill="F2F2F2"/>
            <w:noWrap/>
            <w:vAlign w:val="bottom"/>
            <w:hideMark/>
          </w:tcPr>
          <w:p w14:paraId="470BC869" w14:textId="77777777" w:rsidR="00F76B72" w:rsidRDefault="00F76B72" w:rsidP="00F76B72">
            <w:pPr>
              <w:spacing w:after="0"/>
              <w:jc w:val="center"/>
            </w:pPr>
            <w:r>
              <w:t>(0.00858)</w:t>
            </w:r>
          </w:p>
        </w:tc>
        <w:tc>
          <w:tcPr>
            <w:tcW w:w="1350" w:type="dxa"/>
            <w:tcBorders>
              <w:top w:val="nil"/>
              <w:left w:val="nil"/>
              <w:bottom w:val="nil"/>
              <w:right w:val="nil"/>
            </w:tcBorders>
            <w:shd w:val="clear" w:color="000000" w:fill="F2F2F2"/>
            <w:noWrap/>
            <w:vAlign w:val="bottom"/>
            <w:hideMark/>
          </w:tcPr>
          <w:p w14:paraId="2A1432E5" w14:textId="77777777" w:rsidR="00F76B72" w:rsidRDefault="00F76B72" w:rsidP="00F76B72">
            <w:pPr>
              <w:spacing w:after="0"/>
              <w:jc w:val="center"/>
            </w:pPr>
            <w:r>
              <w:t>(0.00723)</w:t>
            </w:r>
          </w:p>
        </w:tc>
      </w:tr>
      <w:tr w:rsidR="00F76B72" w:rsidRPr="00294862" w14:paraId="6FF0787F" w14:textId="77777777" w:rsidTr="00F76B72">
        <w:trPr>
          <w:trHeight w:val="300"/>
        </w:trPr>
        <w:tc>
          <w:tcPr>
            <w:tcW w:w="3330" w:type="dxa"/>
            <w:tcBorders>
              <w:top w:val="nil"/>
              <w:left w:val="nil"/>
              <w:bottom w:val="nil"/>
              <w:right w:val="nil"/>
            </w:tcBorders>
            <w:shd w:val="clear" w:color="000000" w:fill="F2F2F2"/>
            <w:noWrap/>
            <w:vAlign w:val="bottom"/>
            <w:hideMark/>
          </w:tcPr>
          <w:p w14:paraId="3BCB0BEA" w14:textId="77777777" w:rsidR="00F76B72" w:rsidRPr="00294862" w:rsidRDefault="00F76B72" w:rsidP="00F76B72">
            <w:pPr>
              <w:keepNext/>
              <w:spacing w:after="0" w:line="240" w:lineRule="auto"/>
              <w:rPr>
                <w:rFonts w:eastAsia="Times New Roman"/>
              </w:rPr>
            </w:pPr>
            <w:r w:rsidRPr="00294862">
              <w:rPr>
                <w:rFonts w:eastAsia="Times New Roman"/>
              </w:rPr>
              <w:t>White (1=yes)</w:t>
            </w:r>
          </w:p>
        </w:tc>
        <w:tc>
          <w:tcPr>
            <w:tcW w:w="1260" w:type="dxa"/>
            <w:tcBorders>
              <w:top w:val="nil"/>
              <w:left w:val="nil"/>
              <w:bottom w:val="nil"/>
              <w:right w:val="nil"/>
            </w:tcBorders>
            <w:shd w:val="clear" w:color="000000" w:fill="F2F2F2"/>
            <w:noWrap/>
            <w:vAlign w:val="bottom"/>
            <w:hideMark/>
          </w:tcPr>
          <w:p w14:paraId="7794F382" w14:textId="77777777" w:rsidR="00F76B72" w:rsidRDefault="00F76B72" w:rsidP="00F76B72">
            <w:pPr>
              <w:spacing w:after="0"/>
              <w:jc w:val="center"/>
            </w:pPr>
            <w:r>
              <w:t>0.876**</w:t>
            </w:r>
          </w:p>
        </w:tc>
        <w:tc>
          <w:tcPr>
            <w:tcW w:w="1890" w:type="dxa"/>
            <w:tcBorders>
              <w:top w:val="nil"/>
              <w:left w:val="nil"/>
              <w:bottom w:val="nil"/>
              <w:right w:val="nil"/>
            </w:tcBorders>
            <w:shd w:val="clear" w:color="000000" w:fill="F2F2F2"/>
            <w:noWrap/>
            <w:vAlign w:val="bottom"/>
            <w:hideMark/>
          </w:tcPr>
          <w:p w14:paraId="284ECAD3" w14:textId="77777777" w:rsidR="00F76B72" w:rsidRDefault="00F76B72" w:rsidP="00F76B72">
            <w:pPr>
              <w:spacing w:after="0"/>
              <w:jc w:val="center"/>
            </w:pPr>
            <w:r>
              <w:t>0.700**</w:t>
            </w:r>
          </w:p>
        </w:tc>
        <w:tc>
          <w:tcPr>
            <w:tcW w:w="1530" w:type="dxa"/>
            <w:tcBorders>
              <w:top w:val="nil"/>
              <w:left w:val="nil"/>
              <w:bottom w:val="nil"/>
              <w:right w:val="nil"/>
            </w:tcBorders>
            <w:shd w:val="clear" w:color="000000" w:fill="F2F2F2"/>
            <w:noWrap/>
            <w:vAlign w:val="bottom"/>
            <w:hideMark/>
          </w:tcPr>
          <w:p w14:paraId="71C7B938" w14:textId="77777777" w:rsidR="00F76B72" w:rsidRDefault="00F76B72" w:rsidP="00F76B72">
            <w:pPr>
              <w:spacing w:after="0"/>
              <w:jc w:val="center"/>
            </w:pPr>
            <w:r>
              <w:t>0.400</w:t>
            </w:r>
          </w:p>
        </w:tc>
        <w:tc>
          <w:tcPr>
            <w:tcW w:w="1350" w:type="dxa"/>
            <w:tcBorders>
              <w:top w:val="nil"/>
              <w:left w:val="nil"/>
              <w:bottom w:val="nil"/>
              <w:right w:val="nil"/>
            </w:tcBorders>
            <w:shd w:val="clear" w:color="000000" w:fill="F2F2F2"/>
            <w:noWrap/>
            <w:vAlign w:val="bottom"/>
            <w:hideMark/>
          </w:tcPr>
          <w:p w14:paraId="16199EDE" w14:textId="77777777" w:rsidR="00F76B72" w:rsidRDefault="00F76B72" w:rsidP="00F76B72">
            <w:pPr>
              <w:spacing w:after="0"/>
              <w:jc w:val="center"/>
            </w:pPr>
            <w:r>
              <w:t>0.904***</w:t>
            </w:r>
          </w:p>
        </w:tc>
      </w:tr>
      <w:tr w:rsidR="00F76B72" w:rsidRPr="00294862" w14:paraId="1A822E6D" w14:textId="77777777" w:rsidTr="00F76B72">
        <w:trPr>
          <w:trHeight w:val="300"/>
        </w:trPr>
        <w:tc>
          <w:tcPr>
            <w:tcW w:w="3330" w:type="dxa"/>
            <w:tcBorders>
              <w:top w:val="nil"/>
              <w:left w:val="nil"/>
              <w:bottom w:val="nil"/>
              <w:right w:val="nil"/>
            </w:tcBorders>
            <w:shd w:val="clear" w:color="000000" w:fill="F2F2F2"/>
            <w:noWrap/>
            <w:vAlign w:val="bottom"/>
            <w:hideMark/>
          </w:tcPr>
          <w:p w14:paraId="774B95C5"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29BDADAA" w14:textId="77777777" w:rsidR="00F76B72" w:rsidRDefault="00F76B72" w:rsidP="00F76B72">
            <w:pPr>
              <w:spacing w:after="0"/>
              <w:jc w:val="center"/>
            </w:pPr>
            <w:r>
              <w:t>(0.414)</w:t>
            </w:r>
          </w:p>
        </w:tc>
        <w:tc>
          <w:tcPr>
            <w:tcW w:w="1890" w:type="dxa"/>
            <w:tcBorders>
              <w:top w:val="nil"/>
              <w:left w:val="nil"/>
              <w:bottom w:val="nil"/>
              <w:right w:val="nil"/>
            </w:tcBorders>
            <w:shd w:val="clear" w:color="000000" w:fill="F2F2F2"/>
            <w:noWrap/>
            <w:vAlign w:val="bottom"/>
            <w:hideMark/>
          </w:tcPr>
          <w:p w14:paraId="6CBC196A" w14:textId="77777777" w:rsidR="00F76B72" w:rsidRDefault="00F76B72" w:rsidP="00F76B72">
            <w:pPr>
              <w:spacing w:after="0"/>
              <w:jc w:val="center"/>
            </w:pPr>
            <w:r>
              <w:t>(0.278)</w:t>
            </w:r>
          </w:p>
        </w:tc>
        <w:tc>
          <w:tcPr>
            <w:tcW w:w="1530" w:type="dxa"/>
            <w:tcBorders>
              <w:top w:val="nil"/>
              <w:left w:val="nil"/>
              <w:bottom w:val="nil"/>
              <w:right w:val="nil"/>
            </w:tcBorders>
            <w:shd w:val="clear" w:color="000000" w:fill="F2F2F2"/>
            <w:noWrap/>
            <w:vAlign w:val="bottom"/>
            <w:hideMark/>
          </w:tcPr>
          <w:p w14:paraId="0727DC5D" w14:textId="77777777" w:rsidR="00F76B72" w:rsidRDefault="00F76B72" w:rsidP="00F76B72">
            <w:pPr>
              <w:spacing w:after="0"/>
              <w:jc w:val="center"/>
            </w:pPr>
            <w:r>
              <w:t>(0.307)</w:t>
            </w:r>
          </w:p>
        </w:tc>
        <w:tc>
          <w:tcPr>
            <w:tcW w:w="1350" w:type="dxa"/>
            <w:tcBorders>
              <w:top w:val="nil"/>
              <w:left w:val="nil"/>
              <w:bottom w:val="nil"/>
              <w:right w:val="nil"/>
            </w:tcBorders>
            <w:shd w:val="clear" w:color="000000" w:fill="F2F2F2"/>
            <w:noWrap/>
            <w:vAlign w:val="bottom"/>
            <w:hideMark/>
          </w:tcPr>
          <w:p w14:paraId="1F3DA225" w14:textId="77777777" w:rsidR="00F76B72" w:rsidRDefault="00F76B72" w:rsidP="00F76B72">
            <w:pPr>
              <w:spacing w:after="0"/>
              <w:jc w:val="center"/>
            </w:pPr>
            <w:r>
              <w:t>(0.239)</w:t>
            </w:r>
          </w:p>
        </w:tc>
      </w:tr>
      <w:tr w:rsidR="00F76B72" w:rsidRPr="00294862" w14:paraId="2AD89FBD" w14:textId="77777777" w:rsidTr="00F76B72">
        <w:trPr>
          <w:trHeight w:val="300"/>
        </w:trPr>
        <w:tc>
          <w:tcPr>
            <w:tcW w:w="3330" w:type="dxa"/>
            <w:tcBorders>
              <w:top w:val="nil"/>
              <w:left w:val="nil"/>
              <w:bottom w:val="nil"/>
              <w:right w:val="nil"/>
            </w:tcBorders>
            <w:shd w:val="clear" w:color="000000" w:fill="F2F2F2"/>
            <w:noWrap/>
            <w:vAlign w:val="bottom"/>
            <w:hideMark/>
          </w:tcPr>
          <w:p w14:paraId="0F3BBBEE" w14:textId="77777777" w:rsidR="00F76B72" w:rsidRPr="00294862" w:rsidRDefault="00F76B72" w:rsidP="00F76B72">
            <w:pPr>
              <w:keepNext/>
              <w:spacing w:after="0" w:line="240" w:lineRule="auto"/>
              <w:rPr>
                <w:rFonts w:eastAsia="Times New Roman"/>
              </w:rPr>
            </w:pPr>
            <w:r w:rsidRPr="00294862">
              <w:rPr>
                <w:rFonts w:eastAsia="Times New Roman"/>
              </w:rPr>
              <w:t>Republican (1=yes)</w:t>
            </w:r>
          </w:p>
        </w:tc>
        <w:tc>
          <w:tcPr>
            <w:tcW w:w="1260" w:type="dxa"/>
            <w:tcBorders>
              <w:top w:val="nil"/>
              <w:left w:val="nil"/>
              <w:bottom w:val="nil"/>
              <w:right w:val="nil"/>
            </w:tcBorders>
            <w:shd w:val="clear" w:color="000000" w:fill="F2F2F2"/>
            <w:noWrap/>
            <w:vAlign w:val="bottom"/>
            <w:hideMark/>
          </w:tcPr>
          <w:p w14:paraId="01A55303" w14:textId="77777777" w:rsidR="00F76B72" w:rsidRDefault="00F76B72" w:rsidP="00F76B72">
            <w:pPr>
              <w:spacing w:after="0"/>
              <w:jc w:val="center"/>
            </w:pPr>
            <w:r>
              <w:t>1.298**</w:t>
            </w:r>
          </w:p>
        </w:tc>
        <w:tc>
          <w:tcPr>
            <w:tcW w:w="1890" w:type="dxa"/>
            <w:tcBorders>
              <w:top w:val="nil"/>
              <w:left w:val="nil"/>
              <w:bottom w:val="nil"/>
              <w:right w:val="nil"/>
            </w:tcBorders>
            <w:shd w:val="clear" w:color="000000" w:fill="F2F2F2"/>
            <w:noWrap/>
            <w:vAlign w:val="bottom"/>
            <w:hideMark/>
          </w:tcPr>
          <w:p w14:paraId="3E6E3A62" w14:textId="77777777" w:rsidR="00F76B72" w:rsidRDefault="00F76B72" w:rsidP="00F76B72">
            <w:pPr>
              <w:spacing w:after="0"/>
              <w:jc w:val="center"/>
            </w:pPr>
            <w:r>
              <w:t>0.0388</w:t>
            </w:r>
          </w:p>
        </w:tc>
        <w:tc>
          <w:tcPr>
            <w:tcW w:w="1530" w:type="dxa"/>
            <w:tcBorders>
              <w:top w:val="nil"/>
              <w:left w:val="nil"/>
              <w:bottom w:val="nil"/>
              <w:right w:val="nil"/>
            </w:tcBorders>
            <w:shd w:val="clear" w:color="000000" w:fill="F2F2F2"/>
            <w:noWrap/>
            <w:vAlign w:val="bottom"/>
            <w:hideMark/>
          </w:tcPr>
          <w:p w14:paraId="25C2A675" w14:textId="77777777" w:rsidR="00F76B72" w:rsidRDefault="00F76B72" w:rsidP="00F76B72">
            <w:pPr>
              <w:spacing w:after="0"/>
              <w:jc w:val="center"/>
            </w:pPr>
            <w:r>
              <w:t>0.321</w:t>
            </w:r>
          </w:p>
        </w:tc>
        <w:tc>
          <w:tcPr>
            <w:tcW w:w="1350" w:type="dxa"/>
            <w:tcBorders>
              <w:top w:val="nil"/>
              <w:left w:val="nil"/>
              <w:bottom w:val="nil"/>
              <w:right w:val="nil"/>
            </w:tcBorders>
            <w:shd w:val="clear" w:color="000000" w:fill="F2F2F2"/>
            <w:noWrap/>
            <w:vAlign w:val="bottom"/>
            <w:hideMark/>
          </w:tcPr>
          <w:p w14:paraId="3778A82D" w14:textId="77777777" w:rsidR="00F76B72" w:rsidRDefault="00F76B72" w:rsidP="00F76B72">
            <w:pPr>
              <w:spacing w:after="0"/>
              <w:jc w:val="center"/>
            </w:pPr>
            <w:r>
              <w:t>-0.567**</w:t>
            </w:r>
          </w:p>
        </w:tc>
      </w:tr>
      <w:tr w:rsidR="00F76B72" w:rsidRPr="00294862" w14:paraId="73952C01" w14:textId="77777777" w:rsidTr="00F76B72">
        <w:trPr>
          <w:trHeight w:val="300"/>
        </w:trPr>
        <w:tc>
          <w:tcPr>
            <w:tcW w:w="3330" w:type="dxa"/>
            <w:tcBorders>
              <w:top w:val="nil"/>
              <w:left w:val="nil"/>
              <w:bottom w:val="nil"/>
              <w:right w:val="nil"/>
            </w:tcBorders>
            <w:shd w:val="clear" w:color="000000" w:fill="F2F2F2"/>
            <w:noWrap/>
            <w:vAlign w:val="bottom"/>
            <w:hideMark/>
          </w:tcPr>
          <w:p w14:paraId="5374E3E2"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46574738" w14:textId="77777777" w:rsidR="00F76B72" w:rsidRDefault="00F76B72" w:rsidP="00F76B72">
            <w:pPr>
              <w:spacing w:after="0"/>
              <w:jc w:val="center"/>
            </w:pPr>
            <w:r>
              <w:t>(0.534)</w:t>
            </w:r>
          </w:p>
        </w:tc>
        <w:tc>
          <w:tcPr>
            <w:tcW w:w="1890" w:type="dxa"/>
            <w:tcBorders>
              <w:top w:val="nil"/>
              <w:left w:val="nil"/>
              <w:bottom w:val="nil"/>
              <w:right w:val="nil"/>
            </w:tcBorders>
            <w:shd w:val="clear" w:color="000000" w:fill="F2F2F2"/>
            <w:noWrap/>
            <w:vAlign w:val="bottom"/>
            <w:hideMark/>
          </w:tcPr>
          <w:p w14:paraId="1D53FB53" w14:textId="77777777" w:rsidR="00F76B72" w:rsidRDefault="00F76B72" w:rsidP="00F76B72">
            <w:pPr>
              <w:spacing w:after="0"/>
              <w:jc w:val="center"/>
            </w:pPr>
            <w:r>
              <w:t>(0.309)</w:t>
            </w:r>
          </w:p>
        </w:tc>
        <w:tc>
          <w:tcPr>
            <w:tcW w:w="1530" w:type="dxa"/>
            <w:tcBorders>
              <w:top w:val="nil"/>
              <w:left w:val="nil"/>
              <w:bottom w:val="nil"/>
              <w:right w:val="nil"/>
            </w:tcBorders>
            <w:shd w:val="clear" w:color="000000" w:fill="F2F2F2"/>
            <w:noWrap/>
            <w:vAlign w:val="bottom"/>
            <w:hideMark/>
          </w:tcPr>
          <w:p w14:paraId="39DD59AC" w14:textId="77777777" w:rsidR="00F76B72" w:rsidRDefault="00F76B72" w:rsidP="00F76B72">
            <w:pPr>
              <w:spacing w:after="0"/>
              <w:jc w:val="center"/>
            </w:pPr>
            <w:r>
              <w:t>(0.353)</w:t>
            </w:r>
          </w:p>
        </w:tc>
        <w:tc>
          <w:tcPr>
            <w:tcW w:w="1350" w:type="dxa"/>
            <w:tcBorders>
              <w:top w:val="nil"/>
              <w:left w:val="nil"/>
              <w:bottom w:val="nil"/>
              <w:right w:val="nil"/>
            </w:tcBorders>
            <w:shd w:val="clear" w:color="000000" w:fill="F2F2F2"/>
            <w:noWrap/>
            <w:vAlign w:val="bottom"/>
            <w:hideMark/>
          </w:tcPr>
          <w:p w14:paraId="7BC5F000" w14:textId="77777777" w:rsidR="00F76B72" w:rsidRDefault="00F76B72" w:rsidP="00F76B72">
            <w:pPr>
              <w:spacing w:after="0"/>
              <w:jc w:val="center"/>
            </w:pPr>
            <w:r>
              <w:t>(0.273)</w:t>
            </w:r>
          </w:p>
        </w:tc>
      </w:tr>
      <w:tr w:rsidR="00F76B72" w:rsidRPr="00294862" w14:paraId="0A100EF5" w14:textId="77777777" w:rsidTr="00F76B72">
        <w:trPr>
          <w:trHeight w:val="300"/>
        </w:trPr>
        <w:tc>
          <w:tcPr>
            <w:tcW w:w="3330" w:type="dxa"/>
            <w:tcBorders>
              <w:top w:val="nil"/>
              <w:left w:val="nil"/>
              <w:bottom w:val="nil"/>
              <w:right w:val="nil"/>
            </w:tcBorders>
            <w:shd w:val="clear" w:color="000000" w:fill="F2F2F2"/>
            <w:noWrap/>
            <w:vAlign w:val="bottom"/>
            <w:hideMark/>
          </w:tcPr>
          <w:p w14:paraId="3CC613E1" w14:textId="77777777" w:rsidR="00F76B72" w:rsidRPr="00294862" w:rsidRDefault="00F76B72" w:rsidP="00F76B72">
            <w:pPr>
              <w:keepNext/>
              <w:spacing w:after="0" w:line="240" w:lineRule="auto"/>
              <w:rPr>
                <w:rFonts w:eastAsia="Times New Roman"/>
              </w:rPr>
            </w:pPr>
            <w:r w:rsidRPr="00294862">
              <w:rPr>
                <w:rFonts w:eastAsia="Times New Roman"/>
              </w:rPr>
              <w:t>Independent (1=yes)</w:t>
            </w:r>
          </w:p>
        </w:tc>
        <w:tc>
          <w:tcPr>
            <w:tcW w:w="1260" w:type="dxa"/>
            <w:tcBorders>
              <w:top w:val="nil"/>
              <w:left w:val="nil"/>
              <w:bottom w:val="nil"/>
              <w:right w:val="nil"/>
            </w:tcBorders>
            <w:shd w:val="clear" w:color="000000" w:fill="F2F2F2"/>
            <w:noWrap/>
            <w:vAlign w:val="bottom"/>
            <w:hideMark/>
          </w:tcPr>
          <w:p w14:paraId="15F57FC6" w14:textId="77777777" w:rsidR="00F76B72" w:rsidRDefault="00F76B72" w:rsidP="00F76B72">
            <w:pPr>
              <w:spacing w:after="0"/>
              <w:jc w:val="center"/>
            </w:pPr>
            <w:r>
              <w:t>1.084*</w:t>
            </w:r>
          </w:p>
        </w:tc>
        <w:tc>
          <w:tcPr>
            <w:tcW w:w="1890" w:type="dxa"/>
            <w:tcBorders>
              <w:top w:val="nil"/>
              <w:left w:val="nil"/>
              <w:bottom w:val="nil"/>
              <w:right w:val="nil"/>
            </w:tcBorders>
            <w:shd w:val="clear" w:color="000000" w:fill="F2F2F2"/>
            <w:noWrap/>
            <w:vAlign w:val="bottom"/>
            <w:hideMark/>
          </w:tcPr>
          <w:p w14:paraId="06338B07" w14:textId="77777777" w:rsidR="00F76B72" w:rsidRDefault="00F76B72" w:rsidP="00F76B72">
            <w:pPr>
              <w:spacing w:after="0"/>
              <w:jc w:val="center"/>
            </w:pPr>
            <w:r>
              <w:t>-0.454</w:t>
            </w:r>
          </w:p>
        </w:tc>
        <w:tc>
          <w:tcPr>
            <w:tcW w:w="1530" w:type="dxa"/>
            <w:tcBorders>
              <w:top w:val="nil"/>
              <w:left w:val="nil"/>
              <w:bottom w:val="nil"/>
              <w:right w:val="nil"/>
            </w:tcBorders>
            <w:shd w:val="clear" w:color="000000" w:fill="F2F2F2"/>
            <w:noWrap/>
            <w:vAlign w:val="bottom"/>
            <w:hideMark/>
          </w:tcPr>
          <w:p w14:paraId="02693296" w14:textId="77777777" w:rsidR="00F76B72" w:rsidRDefault="00F76B72" w:rsidP="00F76B72">
            <w:pPr>
              <w:spacing w:after="0"/>
              <w:jc w:val="center"/>
            </w:pPr>
            <w:r>
              <w:t>-0.625</w:t>
            </w:r>
          </w:p>
        </w:tc>
        <w:tc>
          <w:tcPr>
            <w:tcW w:w="1350" w:type="dxa"/>
            <w:tcBorders>
              <w:top w:val="nil"/>
              <w:left w:val="nil"/>
              <w:bottom w:val="nil"/>
              <w:right w:val="nil"/>
            </w:tcBorders>
            <w:shd w:val="clear" w:color="000000" w:fill="F2F2F2"/>
            <w:noWrap/>
            <w:vAlign w:val="bottom"/>
            <w:hideMark/>
          </w:tcPr>
          <w:p w14:paraId="18C649F6" w14:textId="77777777" w:rsidR="00F76B72" w:rsidRDefault="00F76B72" w:rsidP="00F76B72">
            <w:pPr>
              <w:spacing w:after="0"/>
              <w:jc w:val="center"/>
            </w:pPr>
            <w:r>
              <w:t>-0.578</w:t>
            </w:r>
          </w:p>
        </w:tc>
      </w:tr>
      <w:tr w:rsidR="00F76B72" w:rsidRPr="00294862" w14:paraId="4CFC50B4" w14:textId="77777777" w:rsidTr="00F76B72">
        <w:trPr>
          <w:trHeight w:val="300"/>
        </w:trPr>
        <w:tc>
          <w:tcPr>
            <w:tcW w:w="3330" w:type="dxa"/>
            <w:tcBorders>
              <w:top w:val="nil"/>
              <w:left w:val="nil"/>
              <w:bottom w:val="nil"/>
              <w:right w:val="nil"/>
            </w:tcBorders>
            <w:shd w:val="clear" w:color="000000" w:fill="F2F2F2"/>
            <w:noWrap/>
            <w:vAlign w:val="bottom"/>
            <w:hideMark/>
          </w:tcPr>
          <w:p w14:paraId="251A740B"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02E295D4" w14:textId="77777777" w:rsidR="00F76B72" w:rsidRDefault="00F76B72" w:rsidP="00F76B72">
            <w:pPr>
              <w:spacing w:after="0"/>
              <w:jc w:val="center"/>
            </w:pPr>
            <w:r>
              <w:t>(0.637)</w:t>
            </w:r>
          </w:p>
        </w:tc>
        <w:tc>
          <w:tcPr>
            <w:tcW w:w="1890" w:type="dxa"/>
            <w:tcBorders>
              <w:top w:val="nil"/>
              <w:left w:val="nil"/>
              <w:bottom w:val="nil"/>
              <w:right w:val="nil"/>
            </w:tcBorders>
            <w:shd w:val="clear" w:color="000000" w:fill="F2F2F2"/>
            <w:noWrap/>
            <w:vAlign w:val="bottom"/>
            <w:hideMark/>
          </w:tcPr>
          <w:p w14:paraId="499A9299" w14:textId="77777777" w:rsidR="00F76B72" w:rsidRDefault="00F76B72" w:rsidP="00F76B72">
            <w:pPr>
              <w:spacing w:after="0"/>
              <w:jc w:val="center"/>
            </w:pPr>
            <w:r>
              <w:t>(0.435)</w:t>
            </w:r>
          </w:p>
        </w:tc>
        <w:tc>
          <w:tcPr>
            <w:tcW w:w="1530" w:type="dxa"/>
            <w:tcBorders>
              <w:top w:val="nil"/>
              <w:left w:val="nil"/>
              <w:bottom w:val="nil"/>
              <w:right w:val="nil"/>
            </w:tcBorders>
            <w:shd w:val="clear" w:color="000000" w:fill="F2F2F2"/>
            <w:noWrap/>
            <w:vAlign w:val="bottom"/>
            <w:hideMark/>
          </w:tcPr>
          <w:p w14:paraId="49F6D458" w14:textId="77777777" w:rsidR="00F76B72" w:rsidRDefault="00F76B72" w:rsidP="00F76B72">
            <w:pPr>
              <w:spacing w:after="0"/>
              <w:jc w:val="center"/>
            </w:pPr>
            <w:r>
              <w:t>(0.545)</w:t>
            </w:r>
          </w:p>
        </w:tc>
        <w:tc>
          <w:tcPr>
            <w:tcW w:w="1350" w:type="dxa"/>
            <w:tcBorders>
              <w:top w:val="nil"/>
              <w:left w:val="nil"/>
              <w:bottom w:val="nil"/>
              <w:right w:val="nil"/>
            </w:tcBorders>
            <w:shd w:val="clear" w:color="000000" w:fill="F2F2F2"/>
            <w:noWrap/>
            <w:vAlign w:val="bottom"/>
            <w:hideMark/>
          </w:tcPr>
          <w:p w14:paraId="1D3D1FDE" w14:textId="77777777" w:rsidR="00F76B72" w:rsidRDefault="00F76B72" w:rsidP="00F76B72">
            <w:pPr>
              <w:spacing w:after="0"/>
              <w:jc w:val="center"/>
            </w:pPr>
            <w:r>
              <w:t>(0.383)</w:t>
            </w:r>
          </w:p>
        </w:tc>
      </w:tr>
      <w:tr w:rsidR="00F76B72" w:rsidRPr="00294862" w14:paraId="4F76FADB" w14:textId="77777777" w:rsidTr="00F76B72">
        <w:trPr>
          <w:trHeight w:val="300"/>
        </w:trPr>
        <w:tc>
          <w:tcPr>
            <w:tcW w:w="3330" w:type="dxa"/>
            <w:tcBorders>
              <w:top w:val="nil"/>
              <w:left w:val="nil"/>
              <w:bottom w:val="nil"/>
              <w:right w:val="nil"/>
            </w:tcBorders>
            <w:shd w:val="clear" w:color="000000" w:fill="F2F2F2"/>
            <w:noWrap/>
            <w:vAlign w:val="bottom"/>
            <w:hideMark/>
          </w:tcPr>
          <w:p w14:paraId="06B0E70E" w14:textId="77777777" w:rsidR="00F76B72" w:rsidRPr="00294862" w:rsidRDefault="00F76B72" w:rsidP="00F76B72">
            <w:pPr>
              <w:keepNext/>
              <w:spacing w:after="0" w:line="240" w:lineRule="auto"/>
              <w:rPr>
                <w:rFonts w:eastAsia="Times New Roman"/>
              </w:rPr>
            </w:pPr>
            <w:r w:rsidRPr="00294862">
              <w:rPr>
                <w:rFonts w:eastAsia="Times New Roman"/>
              </w:rPr>
              <w:t>No party (1=yes)</w:t>
            </w:r>
          </w:p>
        </w:tc>
        <w:tc>
          <w:tcPr>
            <w:tcW w:w="1260" w:type="dxa"/>
            <w:tcBorders>
              <w:top w:val="nil"/>
              <w:left w:val="nil"/>
              <w:bottom w:val="nil"/>
              <w:right w:val="nil"/>
            </w:tcBorders>
            <w:shd w:val="clear" w:color="000000" w:fill="F2F2F2"/>
            <w:noWrap/>
            <w:vAlign w:val="bottom"/>
            <w:hideMark/>
          </w:tcPr>
          <w:p w14:paraId="4B9CB982" w14:textId="77777777" w:rsidR="00F76B72" w:rsidRDefault="00F76B72" w:rsidP="00F76B72">
            <w:pPr>
              <w:spacing w:after="0"/>
              <w:jc w:val="center"/>
            </w:pPr>
            <w:r>
              <w:t>0.647</w:t>
            </w:r>
          </w:p>
        </w:tc>
        <w:tc>
          <w:tcPr>
            <w:tcW w:w="1890" w:type="dxa"/>
            <w:tcBorders>
              <w:top w:val="nil"/>
              <w:left w:val="nil"/>
              <w:bottom w:val="nil"/>
              <w:right w:val="nil"/>
            </w:tcBorders>
            <w:shd w:val="clear" w:color="000000" w:fill="F2F2F2"/>
            <w:noWrap/>
            <w:vAlign w:val="bottom"/>
            <w:hideMark/>
          </w:tcPr>
          <w:p w14:paraId="56859D9F" w14:textId="77777777" w:rsidR="00F76B72" w:rsidRDefault="00F76B72" w:rsidP="00F76B72">
            <w:pPr>
              <w:spacing w:after="0"/>
              <w:jc w:val="center"/>
            </w:pPr>
            <w:r>
              <w:t>-0.986**</w:t>
            </w:r>
          </w:p>
        </w:tc>
        <w:tc>
          <w:tcPr>
            <w:tcW w:w="1530" w:type="dxa"/>
            <w:tcBorders>
              <w:top w:val="nil"/>
              <w:left w:val="nil"/>
              <w:bottom w:val="nil"/>
              <w:right w:val="nil"/>
            </w:tcBorders>
            <w:shd w:val="clear" w:color="000000" w:fill="F2F2F2"/>
            <w:noWrap/>
            <w:vAlign w:val="bottom"/>
            <w:hideMark/>
          </w:tcPr>
          <w:p w14:paraId="5EFCBE18" w14:textId="77777777" w:rsidR="00F76B72" w:rsidRDefault="00F76B72" w:rsidP="00F76B72">
            <w:pPr>
              <w:spacing w:after="0"/>
              <w:jc w:val="center"/>
            </w:pPr>
            <w:r>
              <w:t>-1.185**</w:t>
            </w:r>
          </w:p>
        </w:tc>
        <w:tc>
          <w:tcPr>
            <w:tcW w:w="1350" w:type="dxa"/>
            <w:tcBorders>
              <w:top w:val="nil"/>
              <w:left w:val="nil"/>
              <w:bottom w:val="nil"/>
              <w:right w:val="nil"/>
            </w:tcBorders>
            <w:shd w:val="clear" w:color="000000" w:fill="F2F2F2"/>
            <w:noWrap/>
            <w:vAlign w:val="bottom"/>
            <w:hideMark/>
          </w:tcPr>
          <w:p w14:paraId="211576B0" w14:textId="77777777" w:rsidR="00F76B72" w:rsidRDefault="00F76B72" w:rsidP="00F76B72">
            <w:pPr>
              <w:spacing w:after="0"/>
              <w:jc w:val="center"/>
            </w:pPr>
            <w:r>
              <w:t>-1.080***</w:t>
            </w:r>
          </w:p>
        </w:tc>
      </w:tr>
      <w:tr w:rsidR="00F76B72" w:rsidRPr="00294862" w14:paraId="0C971B5A" w14:textId="77777777" w:rsidTr="00F76B72">
        <w:trPr>
          <w:trHeight w:val="300"/>
        </w:trPr>
        <w:tc>
          <w:tcPr>
            <w:tcW w:w="3330" w:type="dxa"/>
            <w:tcBorders>
              <w:top w:val="nil"/>
              <w:left w:val="nil"/>
              <w:bottom w:val="nil"/>
              <w:right w:val="nil"/>
            </w:tcBorders>
            <w:shd w:val="clear" w:color="000000" w:fill="F2F2F2"/>
            <w:noWrap/>
            <w:vAlign w:val="bottom"/>
            <w:hideMark/>
          </w:tcPr>
          <w:p w14:paraId="228270E3"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01317954" w14:textId="77777777" w:rsidR="00F76B72" w:rsidRDefault="00F76B72" w:rsidP="00F76B72">
            <w:pPr>
              <w:spacing w:after="0"/>
              <w:jc w:val="center"/>
            </w:pPr>
            <w:r>
              <w:t>(0.803)</w:t>
            </w:r>
          </w:p>
        </w:tc>
        <w:tc>
          <w:tcPr>
            <w:tcW w:w="1890" w:type="dxa"/>
            <w:tcBorders>
              <w:top w:val="nil"/>
              <w:left w:val="nil"/>
              <w:bottom w:val="nil"/>
              <w:right w:val="nil"/>
            </w:tcBorders>
            <w:shd w:val="clear" w:color="000000" w:fill="F2F2F2"/>
            <w:noWrap/>
            <w:vAlign w:val="bottom"/>
            <w:hideMark/>
          </w:tcPr>
          <w:p w14:paraId="62083C38" w14:textId="77777777" w:rsidR="00F76B72" w:rsidRDefault="00F76B72" w:rsidP="00F76B72">
            <w:pPr>
              <w:spacing w:after="0"/>
              <w:jc w:val="center"/>
            </w:pPr>
            <w:r>
              <w:t>(0.441)</w:t>
            </w:r>
          </w:p>
        </w:tc>
        <w:tc>
          <w:tcPr>
            <w:tcW w:w="1530" w:type="dxa"/>
            <w:tcBorders>
              <w:top w:val="nil"/>
              <w:left w:val="nil"/>
              <w:bottom w:val="nil"/>
              <w:right w:val="nil"/>
            </w:tcBorders>
            <w:shd w:val="clear" w:color="000000" w:fill="F2F2F2"/>
            <w:noWrap/>
            <w:vAlign w:val="bottom"/>
            <w:hideMark/>
          </w:tcPr>
          <w:p w14:paraId="70FB0CBB" w14:textId="77777777" w:rsidR="00F76B72" w:rsidRDefault="00F76B72" w:rsidP="00F76B72">
            <w:pPr>
              <w:spacing w:after="0"/>
              <w:jc w:val="center"/>
            </w:pPr>
            <w:r>
              <w:t>(0.551)</w:t>
            </w:r>
          </w:p>
        </w:tc>
        <w:tc>
          <w:tcPr>
            <w:tcW w:w="1350" w:type="dxa"/>
            <w:tcBorders>
              <w:top w:val="nil"/>
              <w:left w:val="nil"/>
              <w:bottom w:val="nil"/>
              <w:right w:val="nil"/>
            </w:tcBorders>
            <w:shd w:val="clear" w:color="000000" w:fill="F2F2F2"/>
            <w:noWrap/>
            <w:vAlign w:val="bottom"/>
            <w:hideMark/>
          </w:tcPr>
          <w:p w14:paraId="6A2445D0" w14:textId="77777777" w:rsidR="00F76B72" w:rsidRDefault="00F76B72" w:rsidP="00F76B72">
            <w:pPr>
              <w:spacing w:after="0"/>
              <w:jc w:val="center"/>
            </w:pPr>
            <w:r>
              <w:t>(0.353)</w:t>
            </w:r>
          </w:p>
        </w:tc>
      </w:tr>
      <w:tr w:rsidR="00F76B72" w:rsidRPr="00294862" w14:paraId="78314647" w14:textId="77777777" w:rsidTr="00F76B72">
        <w:trPr>
          <w:trHeight w:val="300"/>
        </w:trPr>
        <w:tc>
          <w:tcPr>
            <w:tcW w:w="3330" w:type="dxa"/>
            <w:tcBorders>
              <w:top w:val="nil"/>
              <w:left w:val="nil"/>
              <w:bottom w:val="nil"/>
              <w:right w:val="nil"/>
            </w:tcBorders>
            <w:shd w:val="clear" w:color="000000" w:fill="F2F2F2"/>
            <w:noWrap/>
            <w:vAlign w:val="bottom"/>
            <w:hideMark/>
          </w:tcPr>
          <w:p w14:paraId="1C00F68F" w14:textId="77777777" w:rsidR="00F76B72" w:rsidRPr="00294862" w:rsidRDefault="00F76B72" w:rsidP="00F76B72">
            <w:pPr>
              <w:keepNext/>
              <w:spacing w:after="0" w:line="240" w:lineRule="auto"/>
              <w:rPr>
                <w:rFonts w:eastAsia="Times New Roman"/>
              </w:rPr>
            </w:pPr>
            <w:r w:rsidRPr="00294862">
              <w:rPr>
                <w:rFonts w:eastAsia="Times New Roman"/>
              </w:rPr>
              <w:t>Global warming (no=1)</w:t>
            </w:r>
          </w:p>
        </w:tc>
        <w:tc>
          <w:tcPr>
            <w:tcW w:w="1260" w:type="dxa"/>
            <w:tcBorders>
              <w:top w:val="nil"/>
              <w:left w:val="nil"/>
              <w:bottom w:val="nil"/>
              <w:right w:val="nil"/>
            </w:tcBorders>
            <w:shd w:val="clear" w:color="000000" w:fill="F2F2F2"/>
            <w:noWrap/>
            <w:vAlign w:val="bottom"/>
            <w:hideMark/>
          </w:tcPr>
          <w:p w14:paraId="6BFF7B87" w14:textId="77777777" w:rsidR="00F76B72" w:rsidRDefault="00F76B72" w:rsidP="00F76B72">
            <w:pPr>
              <w:spacing w:after="0"/>
              <w:jc w:val="center"/>
            </w:pPr>
            <w:r>
              <w:t>1.415***</w:t>
            </w:r>
          </w:p>
        </w:tc>
        <w:tc>
          <w:tcPr>
            <w:tcW w:w="1890" w:type="dxa"/>
            <w:tcBorders>
              <w:top w:val="nil"/>
              <w:left w:val="nil"/>
              <w:bottom w:val="nil"/>
              <w:right w:val="nil"/>
            </w:tcBorders>
            <w:shd w:val="clear" w:color="000000" w:fill="F2F2F2"/>
            <w:noWrap/>
            <w:vAlign w:val="bottom"/>
            <w:hideMark/>
          </w:tcPr>
          <w:p w14:paraId="4332D0FF" w14:textId="77777777" w:rsidR="00F76B72" w:rsidRDefault="00F76B72" w:rsidP="00F76B72">
            <w:pPr>
              <w:spacing w:after="0"/>
              <w:jc w:val="center"/>
            </w:pPr>
            <w:r>
              <w:t>0.0346</w:t>
            </w:r>
          </w:p>
        </w:tc>
        <w:tc>
          <w:tcPr>
            <w:tcW w:w="1530" w:type="dxa"/>
            <w:tcBorders>
              <w:top w:val="nil"/>
              <w:left w:val="nil"/>
              <w:bottom w:val="nil"/>
              <w:right w:val="nil"/>
            </w:tcBorders>
            <w:shd w:val="clear" w:color="000000" w:fill="F2F2F2"/>
            <w:noWrap/>
            <w:vAlign w:val="bottom"/>
            <w:hideMark/>
          </w:tcPr>
          <w:p w14:paraId="0F88904B" w14:textId="77777777" w:rsidR="00F76B72" w:rsidRDefault="00F76B72" w:rsidP="00F76B72">
            <w:pPr>
              <w:spacing w:after="0"/>
              <w:jc w:val="center"/>
            </w:pPr>
            <w:r>
              <w:t>0.207</w:t>
            </w:r>
          </w:p>
        </w:tc>
        <w:tc>
          <w:tcPr>
            <w:tcW w:w="1350" w:type="dxa"/>
            <w:tcBorders>
              <w:top w:val="nil"/>
              <w:left w:val="nil"/>
              <w:bottom w:val="nil"/>
              <w:right w:val="nil"/>
            </w:tcBorders>
            <w:shd w:val="clear" w:color="000000" w:fill="F2F2F2"/>
            <w:noWrap/>
            <w:vAlign w:val="bottom"/>
            <w:hideMark/>
          </w:tcPr>
          <w:p w14:paraId="051455EE" w14:textId="77777777" w:rsidR="00F76B72" w:rsidRDefault="00F76B72" w:rsidP="00F76B72">
            <w:pPr>
              <w:spacing w:after="0"/>
              <w:jc w:val="center"/>
            </w:pPr>
            <w:r>
              <w:t>-0.118</w:t>
            </w:r>
          </w:p>
        </w:tc>
      </w:tr>
      <w:tr w:rsidR="00F76B72" w:rsidRPr="00294862" w14:paraId="58F390C0" w14:textId="77777777" w:rsidTr="00F76B72">
        <w:trPr>
          <w:trHeight w:val="300"/>
        </w:trPr>
        <w:tc>
          <w:tcPr>
            <w:tcW w:w="3330" w:type="dxa"/>
            <w:tcBorders>
              <w:top w:val="nil"/>
              <w:left w:val="nil"/>
              <w:bottom w:val="nil"/>
              <w:right w:val="nil"/>
            </w:tcBorders>
            <w:shd w:val="clear" w:color="000000" w:fill="F2F2F2"/>
            <w:noWrap/>
            <w:vAlign w:val="bottom"/>
            <w:hideMark/>
          </w:tcPr>
          <w:p w14:paraId="15620230"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6BFAB098" w14:textId="77777777" w:rsidR="00F76B72" w:rsidRDefault="00F76B72" w:rsidP="00F76B72">
            <w:pPr>
              <w:spacing w:after="0"/>
              <w:jc w:val="center"/>
            </w:pPr>
            <w:r>
              <w:t>(0.490)</w:t>
            </w:r>
          </w:p>
        </w:tc>
        <w:tc>
          <w:tcPr>
            <w:tcW w:w="1890" w:type="dxa"/>
            <w:tcBorders>
              <w:top w:val="nil"/>
              <w:left w:val="nil"/>
              <w:bottom w:val="nil"/>
              <w:right w:val="nil"/>
            </w:tcBorders>
            <w:shd w:val="clear" w:color="000000" w:fill="F2F2F2"/>
            <w:noWrap/>
            <w:vAlign w:val="bottom"/>
            <w:hideMark/>
          </w:tcPr>
          <w:p w14:paraId="0B55AA2A" w14:textId="77777777" w:rsidR="00F76B72" w:rsidRDefault="00F76B72" w:rsidP="00F76B72">
            <w:pPr>
              <w:spacing w:after="0"/>
              <w:jc w:val="center"/>
            </w:pPr>
            <w:r>
              <w:t>(0.464)</w:t>
            </w:r>
          </w:p>
        </w:tc>
        <w:tc>
          <w:tcPr>
            <w:tcW w:w="1530" w:type="dxa"/>
            <w:tcBorders>
              <w:top w:val="nil"/>
              <w:left w:val="nil"/>
              <w:bottom w:val="nil"/>
              <w:right w:val="nil"/>
            </w:tcBorders>
            <w:shd w:val="clear" w:color="000000" w:fill="F2F2F2"/>
            <w:noWrap/>
            <w:vAlign w:val="bottom"/>
            <w:hideMark/>
          </w:tcPr>
          <w:p w14:paraId="706DB2F2" w14:textId="77777777" w:rsidR="00F76B72" w:rsidRDefault="00F76B72" w:rsidP="00F76B72">
            <w:pPr>
              <w:spacing w:after="0"/>
              <w:jc w:val="center"/>
            </w:pPr>
            <w:r>
              <w:t>(0.519)</w:t>
            </w:r>
          </w:p>
        </w:tc>
        <w:tc>
          <w:tcPr>
            <w:tcW w:w="1350" w:type="dxa"/>
            <w:tcBorders>
              <w:top w:val="nil"/>
              <w:left w:val="nil"/>
              <w:bottom w:val="nil"/>
              <w:right w:val="nil"/>
            </w:tcBorders>
            <w:shd w:val="clear" w:color="000000" w:fill="F2F2F2"/>
            <w:noWrap/>
            <w:vAlign w:val="bottom"/>
            <w:hideMark/>
          </w:tcPr>
          <w:p w14:paraId="3B76D5C4" w14:textId="77777777" w:rsidR="00F76B72" w:rsidRDefault="00F76B72" w:rsidP="00F76B72">
            <w:pPr>
              <w:spacing w:after="0"/>
              <w:jc w:val="center"/>
            </w:pPr>
            <w:r>
              <w:t>(0.446)</w:t>
            </w:r>
          </w:p>
        </w:tc>
      </w:tr>
      <w:tr w:rsidR="00F76B72" w:rsidRPr="00294862" w14:paraId="766FF02A" w14:textId="77777777" w:rsidTr="00F76B72">
        <w:trPr>
          <w:trHeight w:val="300"/>
        </w:trPr>
        <w:tc>
          <w:tcPr>
            <w:tcW w:w="3330" w:type="dxa"/>
            <w:tcBorders>
              <w:top w:val="nil"/>
              <w:left w:val="nil"/>
              <w:bottom w:val="nil"/>
              <w:right w:val="nil"/>
            </w:tcBorders>
            <w:shd w:val="clear" w:color="000000" w:fill="F2F2F2"/>
            <w:noWrap/>
            <w:vAlign w:val="bottom"/>
            <w:hideMark/>
          </w:tcPr>
          <w:p w14:paraId="1304F9B5" w14:textId="77777777" w:rsidR="00F76B72" w:rsidRPr="00294862" w:rsidRDefault="00F76B72" w:rsidP="00F76B72">
            <w:pPr>
              <w:keepNext/>
              <w:spacing w:after="0" w:line="240" w:lineRule="auto"/>
              <w:rPr>
                <w:rFonts w:eastAsia="Times New Roman"/>
              </w:rPr>
            </w:pPr>
            <w:r w:rsidRPr="00294862">
              <w:rPr>
                <w:rFonts w:eastAsia="Times New Roman"/>
              </w:rPr>
              <w:t>Global warming (no, very sure=1)</w:t>
            </w:r>
          </w:p>
        </w:tc>
        <w:tc>
          <w:tcPr>
            <w:tcW w:w="1260" w:type="dxa"/>
            <w:tcBorders>
              <w:top w:val="nil"/>
              <w:left w:val="nil"/>
              <w:bottom w:val="nil"/>
              <w:right w:val="nil"/>
            </w:tcBorders>
            <w:shd w:val="clear" w:color="000000" w:fill="F2F2F2"/>
            <w:noWrap/>
            <w:vAlign w:val="bottom"/>
            <w:hideMark/>
          </w:tcPr>
          <w:p w14:paraId="40EC5412" w14:textId="77777777" w:rsidR="00F76B72" w:rsidRDefault="00F76B72" w:rsidP="00F76B72">
            <w:pPr>
              <w:spacing w:after="0"/>
              <w:jc w:val="center"/>
            </w:pPr>
            <w:r>
              <w:t>1.303**</w:t>
            </w:r>
          </w:p>
        </w:tc>
        <w:tc>
          <w:tcPr>
            <w:tcW w:w="1890" w:type="dxa"/>
            <w:tcBorders>
              <w:top w:val="nil"/>
              <w:left w:val="nil"/>
              <w:bottom w:val="nil"/>
              <w:right w:val="nil"/>
            </w:tcBorders>
            <w:shd w:val="clear" w:color="000000" w:fill="F2F2F2"/>
            <w:noWrap/>
            <w:vAlign w:val="bottom"/>
            <w:hideMark/>
          </w:tcPr>
          <w:p w14:paraId="4561FCAC" w14:textId="77777777" w:rsidR="00F76B72" w:rsidRDefault="00F76B72" w:rsidP="00F76B72">
            <w:pPr>
              <w:spacing w:after="0"/>
              <w:jc w:val="center"/>
            </w:pPr>
            <w:r>
              <w:t>-0.533</w:t>
            </w:r>
          </w:p>
        </w:tc>
        <w:tc>
          <w:tcPr>
            <w:tcW w:w="1530" w:type="dxa"/>
            <w:tcBorders>
              <w:top w:val="nil"/>
              <w:left w:val="nil"/>
              <w:bottom w:val="nil"/>
              <w:right w:val="nil"/>
            </w:tcBorders>
            <w:shd w:val="clear" w:color="000000" w:fill="F2F2F2"/>
            <w:noWrap/>
            <w:vAlign w:val="bottom"/>
            <w:hideMark/>
          </w:tcPr>
          <w:p w14:paraId="5B272CEC" w14:textId="77777777" w:rsidR="00F76B72" w:rsidRDefault="00F76B72" w:rsidP="00F76B72">
            <w:pPr>
              <w:spacing w:after="0"/>
              <w:jc w:val="center"/>
            </w:pPr>
            <w:r>
              <w:t>-0.234</w:t>
            </w:r>
          </w:p>
        </w:tc>
        <w:tc>
          <w:tcPr>
            <w:tcW w:w="1350" w:type="dxa"/>
            <w:tcBorders>
              <w:top w:val="nil"/>
              <w:left w:val="nil"/>
              <w:bottom w:val="nil"/>
              <w:right w:val="nil"/>
            </w:tcBorders>
            <w:shd w:val="clear" w:color="000000" w:fill="F2F2F2"/>
            <w:noWrap/>
            <w:vAlign w:val="bottom"/>
            <w:hideMark/>
          </w:tcPr>
          <w:p w14:paraId="08F33CCB" w14:textId="77777777" w:rsidR="00F76B72" w:rsidRDefault="00F76B72" w:rsidP="00F76B72">
            <w:pPr>
              <w:spacing w:after="0"/>
              <w:jc w:val="center"/>
            </w:pPr>
            <w:r>
              <w:t>0.322</w:t>
            </w:r>
          </w:p>
        </w:tc>
      </w:tr>
      <w:tr w:rsidR="00F76B72" w:rsidRPr="00294862" w14:paraId="64658EA8" w14:textId="77777777" w:rsidTr="00F76B72">
        <w:trPr>
          <w:trHeight w:val="300"/>
        </w:trPr>
        <w:tc>
          <w:tcPr>
            <w:tcW w:w="3330" w:type="dxa"/>
            <w:tcBorders>
              <w:top w:val="nil"/>
              <w:left w:val="nil"/>
              <w:bottom w:val="nil"/>
              <w:right w:val="nil"/>
            </w:tcBorders>
            <w:shd w:val="clear" w:color="000000" w:fill="F2F2F2"/>
            <w:noWrap/>
            <w:vAlign w:val="bottom"/>
            <w:hideMark/>
          </w:tcPr>
          <w:p w14:paraId="3F5D72D8"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7F0B9E68" w14:textId="77777777" w:rsidR="00F76B72" w:rsidRDefault="00F76B72" w:rsidP="00F76B72">
            <w:pPr>
              <w:spacing w:after="0"/>
              <w:jc w:val="center"/>
            </w:pPr>
            <w:r>
              <w:t>(0.588)</w:t>
            </w:r>
          </w:p>
        </w:tc>
        <w:tc>
          <w:tcPr>
            <w:tcW w:w="1890" w:type="dxa"/>
            <w:tcBorders>
              <w:top w:val="nil"/>
              <w:left w:val="nil"/>
              <w:bottom w:val="nil"/>
              <w:right w:val="nil"/>
            </w:tcBorders>
            <w:shd w:val="clear" w:color="000000" w:fill="F2F2F2"/>
            <w:noWrap/>
            <w:vAlign w:val="bottom"/>
            <w:hideMark/>
          </w:tcPr>
          <w:p w14:paraId="7BC90918" w14:textId="77777777" w:rsidR="00F76B72" w:rsidRDefault="00F76B72" w:rsidP="00F76B72">
            <w:pPr>
              <w:spacing w:after="0"/>
              <w:jc w:val="center"/>
            </w:pPr>
            <w:r>
              <w:t>(0.702)</w:t>
            </w:r>
          </w:p>
        </w:tc>
        <w:tc>
          <w:tcPr>
            <w:tcW w:w="1530" w:type="dxa"/>
            <w:tcBorders>
              <w:top w:val="nil"/>
              <w:left w:val="nil"/>
              <w:bottom w:val="nil"/>
              <w:right w:val="nil"/>
            </w:tcBorders>
            <w:shd w:val="clear" w:color="000000" w:fill="F2F2F2"/>
            <w:noWrap/>
            <w:vAlign w:val="bottom"/>
            <w:hideMark/>
          </w:tcPr>
          <w:p w14:paraId="6A6ECDBC" w14:textId="77777777" w:rsidR="00F76B72" w:rsidRDefault="00F76B72" w:rsidP="00F76B72">
            <w:pPr>
              <w:spacing w:after="0"/>
              <w:jc w:val="center"/>
            </w:pPr>
            <w:r>
              <w:t>(0.919)</w:t>
            </w:r>
          </w:p>
        </w:tc>
        <w:tc>
          <w:tcPr>
            <w:tcW w:w="1350" w:type="dxa"/>
            <w:tcBorders>
              <w:top w:val="nil"/>
              <w:left w:val="nil"/>
              <w:bottom w:val="nil"/>
              <w:right w:val="nil"/>
            </w:tcBorders>
            <w:shd w:val="clear" w:color="000000" w:fill="F2F2F2"/>
            <w:noWrap/>
            <w:vAlign w:val="bottom"/>
            <w:hideMark/>
          </w:tcPr>
          <w:p w14:paraId="37D7946B" w14:textId="77777777" w:rsidR="00F76B72" w:rsidRDefault="00F76B72" w:rsidP="00F76B72">
            <w:pPr>
              <w:spacing w:after="0"/>
              <w:jc w:val="center"/>
            </w:pPr>
            <w:r>
              <w:t>(0.675)</w:t>
            </w:r>
          </w:p>
        </w:tc>
      </w:tr>
      <w:tr w:rsidR="00F76B72" w:rsidRPr="00294862" w14:paraId="60BD3E83" w14:textId="77777777" w:rsidTr="00F76B72">
        <w:trPr>
          <w:trHeight w:val="300"/>
        </w:trPr>
        <w:tc>
          <w:tcPr>
            <w:tcW w:w="3330" w:type="dxa"/>
            <w:tcBorders>
              <w:top w:val="nil"/>
              <w:left w:val="nil"/>
              <w:bottom w:val="nil"/>
              <w:right w:val="nil"/>
            </w:tcBorders>
            <w:shd w:val="clear" w:color="000000" w:fill="F2F2F2"/>
            <w:noWrap/>
            <w:vAlign w:val="bottom"/>
            <w:hideMark/>
          </w:tcPr>
          <w:p w14:paraId="271EAF4E" w14:textId="77777777" w:rsidR="00F76B72" w:rsidRPr="00294862" w:rsidRDefault="00F76B72" w:rsidP="00F76B72">
            <w:pPr>
              <w:keepNext/>
              <w:spacing w:after="0" w:line="240" w:lineRule="auto"/>
              <w:rPr>
                <w:rFonts w:eastAsia="Times New Roman"/>
              </w:rPr>
            </w:pPr>
            <w:r w:rsidRPr="00294862">
              <w:rPr>
                <w:rFonts w:eastAsia="Times New Roman"/>
              </w:rPr>
              <w:t>Global warming (yes=1)</w:t>
            </w:r>
          </w:p>
        </w:tc>
        <w:tc>
          <w:tcPr>
            <w:tcW w:w="1260" w:type="dxa"/>
            <w:tcBorders>
              <w:top w:val="nil"/>
              <w:left w:val="nil"/>
              <w:bottom w:val="nil"/>
              <w:right w:val="nil"/>
            </w:tcBorders>
            <w:shd w:val="clear" w:color="000000" w:fill="F2F2F2"/>
            <w:noWrap/>
            <w:vAlign w:val="bottom"/>
            <w:hideMark/>
          </w:tcPr>
          <w:p w14:paraId="5F3808DE" w14:textId="77777777" w:rsidR="00F76B72" w:rsidRDefault="00F76B72" w:rsidP="00F76B72">
            <w:pPr>
              <w:spacing w:after="0"/>
              <w:jc w:val="center"/>
            </w:pPr>
            <w:r>
              <w:t>1.010**</w:t>
            </w:r>
          </w:p>
        </w:tc>
        <w:tc>
          <w:tcPr>
            <w:tcW w:w="1890" w:type="dxa"/>
            <w:tcBorders>
              <w:top w:val="nil"/>
              <w:left w:val="nil"/>
              <w:bottom w:val="nil"/>
              <w:right w:val="nil"/>
            </w:tcBorders>
            <w:shd w:val="clear" w:color="000000" w:fill="F2F2F2"/>
            <w:noWrap/>
            <w:vAlign w:val="bottom"/>
            <w:hideMark/>
          </w:tcPr>
          <w:p w14:paraId="03B91C12" w14:textId="77777777" w:rsidR="00F76B72" w:rsidRDefault="00F76B72" w:rsidP="00F76B72">
            <w:pPr>
              <w:spacing w:after="0"/>
              <w:jc w:val="center"/>
            </w:pPr>
            <w:r>
              <w:t>1.124***</w:t>
            </w:r>
          </w:p>
        </w:tc>
        <w:tc>
          <w:tcPr>
            <w:tcW w:w="1530" w:type="dxa"/>
            <w:tcBorders>
              <w:top w:val="nil"/>
              <w:left w:val="nil"/>
              <w:bottom w:val="nil"/>
              <w:right w:val="nil"/>
            </w:tcBorders>
            <w:shd w:val="clear" w:color="000000" w:fill="F2F2F2"/>
            <w:noWrap/>
            <w:vAlign w:val="bottom"/>
            <w:hideMark/>
          </w:tcPr>
          <w:p w14:paraId="6F7695D5" w14:textId="77777777" w:rsidR="00F76B72" w:rsidRDefault="00F76B72" w:rsidP="00F76B72">
            <w:pPr>
              <w:spacing w:after="0"/>
              <w:jc w:val="center"/>
            </w:pPr>
            <w:r>
              <w:t>1.323***</w:t>
            </w:r>
          </w:p>
        </w:tc>
        <w:tc>
          <w:tcPr>
            <w:tcW w:w="1350" w:type="dxa"/>
            <w:tcBorders>
              <w:top w:val="nil"/>
              <w:left w:val="nil"/>
              <w:bottom w:val="nil"/>
              <w:right w:val="nil"/>
            </w:tcBorders>
            <w:shd w:val="clear" w:color="000000" w:fill="F2F2F2"/>
            <w:noWrap/>
            <w:vAlign w:val="bottom"/>
            <w:hideMark/>
          </w:tcPr>
          <w:p w14:paraId="335F0E88" w14:textId="77777777" w:rsidR="00F76B72" w:rsidRDefault="00F76B72" w:rsidP="00F76B72">
            <w:pPr>
              <w:spacing w:after="0"/>
              <w:jc w:val="center"/>
            </w:pPr>
            <w:r>
              <w:t>1.447***</w:t>
            </w:r>
          </w:p>
        </w:tc>
      </w:tr>
      <w:tr w:rsidR="00F76B72" w:rsidRPr="00294862" w14:paraId="27CA80C9" w14:textId="77777777" w:rsidTr="00F76B72">
        <w:trPr>
          <w:trHeight w:val="300"/>
        </w:trPr>
        <w:tc>
          <w:tcPr>
            <w:tcW w:w="3330" w:type="dxa"/>
            <w:tcBorders>
              <w:top w:val="nil"/>
              <w:left w:val="nil"/>
              <w:bottom w:val="nil"/>
              <w:right w:val="nil"/>
            </w:tcBorders>
            <w:shd w:val="clear" w:color="000000" w:fill="F2F2F2"/>
            <w:noWrap/>
            <w:vAlign w:val="bottom"/>
            <w:hideMark/>
          </w:tcPr>
          <w:p w14:paraId="57140FE4"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37B271AC" w14:textId="77777777" w:rsidR="00F76B72" w:rsidRDefault="00F76B72" w:rsidP="00F76B72">
            <w:pPr>
              <w:spacing w:after="0"/>
              <w:jc w:val="center"/>
            </w:pPr>
            <w:r>
              <w:t>(0.446)</w:t>
            </w:r>
          </w:p>
        </w:tc>
        <w:tc>
          <w:tcPr>
            <w:tcW w:w="1890" w:type="dxa"/>
            <w:tcBorders>
              <w:top w:val="nil"/>
              <w:left w:val="nil"/>
              <w:bottom w:val="nil"/>
              <w:right w:val="nil"/>
            </w:tcBorders>
            <w:shd w:val="clear" w:color="000000" w:fill="F2F2F2"/>
            <w:noWrap/>
            <w:vAlign w:val="bottom"/>
            <w:hideMark/>
          </w:tcPr>
          <w:p w14:paraId="53BFB723" w14:textId="77777777" w:rsidR="00F76B72" w:rsidRDefault="00F76B72" w:rsidP="00F76B72">
            <w:pPr>
              <w:spacing w:after="0"/>
              <w:jc w:val="center"/>
            </w:pPr>
            <w:r>
              <w:t>(0.336)</w:t>
            </w:r>
          </w:p>
        </w:tc>
        <w:tc>
          <w:tcPr>
            <w:tcW w:w="1530" w:type="dxa"/>
            <w:tcBorders>
              <w:top w:val="nil"/>
              <w:left w:val="nil"/>
              <w:bottom w:val="nil"/>
              <w:right w:val="nil"/>
            </w:tcBorders>
            <w:shd w:val="clear" w:color="000000" w:fill="F2F2F2"/>
            <w:noWrap/>
            <w:vAlign w:val="bottom"/>
            <w:hideMark/>
          </w:tcPr>
          <w:p w14:paraId="7CE1A9E1" w14:textId="77777777" w:rsidR="00F76B72" w:rsidRDefault="00F76B72" w:rsidP="00F76B72">
            <w:pPr>
              <w:spacing w:after="0"/>
              <w:jc w:val="center"/>
            </w:pPr>
            <w:r>
              <w:t>(0.396)</w:t>
            </w:r>
          </w:p>
        </w:tc>
        <w:tc>
          <w:tcPr>
            <w:tcW w:w="1350" w:type="dxa"/>
            <w:tcBorders>
              <w:top w:val="nil"/>
              <w:left w:val="nil"/>
              <w:bottom w:val="nil"/>
              <w:right w:val="nil"/>
            </w:tcBorders>
            <w:shd w:val="clear" w:color="000000" w:fill="F2F2F2"/>
            <w:noWrap/>
            <w:vAlign w:val="bottom"/>
            <w:hideMark/>
          </w:tcPr>
          <w:p w14:paraId="783F19B7" w14:textId="77777777" w:rsidR="00F76B72" w:rsidRDefault="00F76B72" w:rsidP="00F76B72">
            <w:pPr>
              <w:spacing w:after="0"/>
              <w:jc w:val="center"/>
            </w:pPr>
            <w:r>
              <w:t>(0.293)</w:t>
            </w:r>
          </w:p>
        </w:tc>
      </w:tr>
      <w:tr w:rsidR="00F76B72" w:rsidRPr="00294862" w14:paraId="6F502363" w14:textId="77777777" w:rsidTr="00F76B72">
        <w:trPr>
          <w:trHeight w:val="300"/>
        </w:trPr>
        <w:tc>
          <w:tcPr>
            <w:tcW w:w="3330" w:type="dxa"/>
            <w:tcBorders>
              <w:top w:val="nil"/>
              <w:left w:val="nil"/>
              <w:bottom w:val="nil"/>
              <w:right w:val="nil"/>
            </w:tcBorders>
            <w:shd w:val="clear" w:color="000000" w:fill="F2F2F2"/>
            <w:noWrap/>
            <w:vAlign w:val="bottom"/>
            <w:hideMark/>
          </w:tcPr>
          <w:p w14:paraId="1EBB69E0" w14:textId="77777777" w:rsidR="00F76B72" w:rsidRPr="00294862" w:rsidRDefault="00F76B72" w:rsidP="00F76B72">
            <w:pPr>
              <w:keepNext/>
              <w:spacing w:after="0" w:line="240" w:lineRule="auto"/>
              <w:rPr>
                <w:rFonts w:eastAsia="Times New Roman"/>
              </w:rPr>
            </w:pPr>
            <w:r w:rsidRPr="00294862">
              <w:rPr>
                <w:rFonts w:eastAsia="Times New Roman"/>
              </w:rPr>
              <w:t>Global warming (yes, very sure=1)</w:t>
            </w:r>
          </w:p>
        </w:tc>
        <w:tc>
          <w:tcPr>
            <w:tcW w:w="1260" w:type="dxa"/>
            <w:tcBorders>
              <w:top w:val="nil"/>
              <w:left w:val="nil"/>
              <w:bottom w:val="nil"/>
              <w:right w:val="nil"/>
            </w:tcBorders>
            <w:shd w:val="clear" w:color="000000" w:fill="F2F2F2"/>
            <w:noWrap/>
            <w:vAlign w:val="bottom"/>
            <w:hideMark/>
          </w:tcPr>
          <w:p w14:paraId="16D97B76" w14:textId="77777777" w:rsidR="00F76B72" w:rsidRDefault="00F76B72" w:rsidP="00F76B72">
            <w:pPr>
              <w:spacing w:after="0"/>
              <w:jc w:val="center"/>
            </w:pPr>
            <w:r>
              <w:t>-0.341</w:t>
            </w:r>
          </w:p>
        </w:tc>
        <w:tc>
          <w:tcPr>
            <w:tcW w:w="1890" w:type="dxa"/>
            <w:tcBorders>
              <w:top w:val="nil"/>
              <w:left w:val="nil"/>
              <w:bottom w:val="nil"/>
              <w:right w:val="nil"/>
            </w:tcBorders>
            <w:shd w:val="clear" w:color="000000" w:fill="F2F2F2"/>
            <w:noWrap/>
            <w:vAlign w:val="bottom"/>
            <w:hideMark/>
          </w:tcPr>
          <w:p w14:paraId="3062237A" w14:textId="77777777" w:rsidR="00F76B72" w:rsidRDefault="00F76B72" w:rsidP="00F76B72">
            <w:pPr>
              <w:spacing w:after="0"/>
              <w:jc w:val="center"/>
            </w:pPr>
            <w:r>
              <w:t>0.508</w:t>
            </w:r>
          </w:p>
        </w:tc>
        <w:tc>
          <w:tcPr>
            <w:tcW w:w="1530" w:type="dxa"/>
            <w:tcBorders>
              <w:top w:val="nil"/>
              <w:left w:val="nil"/>
              <w:bottom w:val="nil"/>
              <w:right w:val="nil"/>
            </w:tcBorders>
            <w:shd w:val="clear" w:color="000000" w:fill="F2F2F2"/>
            <w:noWrap/>
            <w:vAlign w:val="bottom"/>
            <w:hideMark/>
          </w:tcPr>
          <w:p w14:paraId="3FF7CF58" w14:textId="77777777" w:rsidR="00F76B72" w:rsidRDefault="00F76B72" w:rsidP="00F76B72">
            <w:pPr>
              <w:spacing w:after="0"/>
              <w:jc w:val="center"/>
            </w:pPr>
            <w:r>
              <w:t>0.576</w:t>
            </w:r>
          </w:p>
        </w:tc>
        <w:tc>
          <w:tcPr>
            <w:tcW w:w="1350" w:type="dxa"/>
            <w:tcBorders>
              <w:top w:val="nil"/>
              <w:left w:val="nil"/>
              <w:bottom w:val="nil"/>
              <w:right w:val="nil"/>
            </w:tcBorders>
            <w:shd w:val="clear" w:color="000000" w:fill="F2F2F2"/>
            <w:noWrap/>
            <w:vAlign w:val="bottom"/>
            <w:hideMark/>
          </w:tcPr>
          <w:p w14:paraId="20DA3C83" w14:textId="77777777" w:rsidR="00F76B72" w:rsidRDefault="00F76B72" w:rsidP="00F76B72">
            <w:pPr>
              <w:spacing w:after="0"/>
              <w:jc w:val="center"/>
            </w:pPr>
            <w:r>
              <w:t>1.101***</w:t>
            </w:r>
          </w:p>
        </w:tc>
      </w:tr>
      <w:tr w:rsidR="00F76B72" w:rsidRPr="00294862" w14:paraId="50C97F44" w14:textId="77777777" w:rsidTr="00F76B72">
        <w:trPr>
          <w:trHeight w:val="300"/>
        </w:trPr>
        <w:tc>
          <w:tcPr>
            <w:tcW w:w="3330" w:type="dxa"/>
            <w:tcBorders>
              <w:top w:val="nil"/>
              <w:left w:val="nil"/>
              <w:bottom w:val="nil"/>
              <w:right w:val="nil"/>
            </w:tcBorders>
            <w:shd w:val="clear" w:color="000000" w:fill="F2F2F2"/>
            <w:noWrap/>
            <w:vAlign w:val="bottom"/>
            <w:hideMark/>
          </w:tcPr>
          <w:p w14:paraId="706A76D6"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3F5DE2E8" w14:textId="77777777" w:rsidR="00F76B72" w:rsidRDefault="00F76B72" w:rsidP="00F76B72">
            <w:pPr>
              <w:spacing w:after="0"/>
              <w:jc w:val="center"/>
            </w:pPr>
            <w:r>
              <w:t>(0.533)</w:t>
            </w:r>
          </w:p>
        </w:tc>
        <w:tc>
          <w:tcPr>
            <w:tcW w:w="1890" w:type="dxa"/>
            <w:tcBorders>
              <w:top w:val="nil"/>
              <w:left w:val="nil"/>
              <w:bottom w:val="nil"/>
              <w:right w:val="nil"/>
            </w:tcBorders>
            <w:shd w:val="clear" w:color="000000" w:fill="F2F2F2"/>
            <w:noWrap/>
            <w:vAlign w:val="bottom"/>
            <w:hideMark/>
          </w:tcPr>
          <w:p w14:paraId="0FD6BF2B" w14:textId="77777777" w:rsidR="00F76B72" w:rsidRDefault="00F76B72" w:rsidP="00F76B72">
            <w:pPr>
              <w:spacing w:after="0"/>
              <w:jc w:val="center"/>
            </w:pPr>
            <w:r>
              <w:t>(0.346)</w:t>
            </w:r>
          </w:p>
        </w:tc>
        <w:tc>
          <w:tcPr>
            <w:tcW w:w="1530" w:type="dxa"/>
            <w:tcBorders>
              <w:top w:val="nil"/>
              <w:left w:val="nil"/>
              <w:bottom w:val="nil"/>
              <w:right w:val="nil"/>
            </w:tcBorders>
            <w:shd w:val="clear" w:color="000000" w:fill="F2F2F2"/>
            <w:noWrap/>
            <w:vAlign w:val="bottom"/>
            <w:hideMark/>
          </w:tcPr>
          <w:p w14:paraId="3C7082C7" w14:textId="77777777" w:rsidR="00F76B72" w:rsidRDefault="00F76B72" w:rsidP="00F76B72">
            <w:pPr>
              <w:spacing w:after="0"/>
              <w:jc w:val="center"/>
            </w:pPr>
            <w:r>
              <w:t>(0.368)</w:t>
            </w:r>
          </w:p>
        </w:tc>
        <w:tc>
          <w:tcPr>
            <w:tcW w:w="1350" w:type="dxa"/>
            <w:tcBorders>
              <w:top w:val="nil"/>
              <w:left w:val="nil"/>
              <w:bottom w:val="nil"/>
              <w:right w:val="nil"/>
            </w:tcBorders>
            <w:shd w:val="clear" w:color="000000" w:fill="F2F2F2"/>
            <w:noWrap/>
            <w:vAlign w:val="bottom"/>
            <w:hideMark/>
          </w:tcPr>
          <w:p w14:paraId="4355E1F0" w14:textId="77777777" w:rsidR="00F76B72" w:rsidRDefault="00F76B72" w:rsidP="00F76B72">
            <w:pPr>
              <w:spacing w:after="0"/>
              <w:jc w:val="center"/>
            </w:pPr>
            <w:r>
              <w:t>(0.312)</w:t>
            </w:r>
          </w:p>
        </w:tc>
      </w:tr>
      <w:tr w:rsidR="00F76B72" w:rsidRPr="00294862" w14:paraId="7992B893" w14:textId="77777777" w:rsidTr="00F76B72">
        <w:trPr>
          <w:trHeight w:val="300"/>
        </w:trPr>
        <w:tc>
          <w:tcPr>
            <w:tcW w:w="3330" w:type="dxa"/>
            <w:tcBorders>
              <w:top w:val="nil"/>
              <w:left w:val="nil"/>
              <w:bottom w:val="nil"/>
              <w:right w:val="nil"/>
            </w:tcBorders>
            <w:shd w:val="clear" w:color="000000" w:fill="F2F2F2"/>
            <w:noWrap/>
            <w:vAlign w:val="bottom"/>
            <w:hideMark/>
          </w:tcPr>
          <w:p w14:paraId="5D242DB1" w14:textId="77777777" w:rsidR="00F76B72" w:rsidRPr="00294862" w:rsidRDefault="00F76B72" w:rsidP="00F76B72">
            <w:pPr>
              <w:keepNext/>
              <w:spacing w:after="0" w:line="240" w:lineRule="auto"/>
              <w:rPr>
                <w:rFonts w:eastAsia="Times New Roman"/>
              </w:rPr>
            </w:pPr>
            <w:r w:rsidRPr="00294862">
              <w:rPr>
                <w:rFonts w:eastAsia="Times New Roman"/>
              </w:rPr>
              <w:t>Constant</w:t>
            </w:r>
          </w:p>
        </w:tc>
        <w:tc>
          <w:tcPr>
            <w:tcW w:w="1260" w:type="dxa"/>
            <w:tcBorders>
              <w:top w:val="nil"/>
              <w:left w:val="nil"/>
              <w:bottom w:val="nil"/>
              <w:right w:val="nil"/>
            </w:tcBorders>
            <w:shd w:val="clear" w:color="000000" w:fill="F2F2F2"/>
            <w:noWrap/>
            <w:vAlign w:val="bottom"/>
            <w:hideMark/>
          </w:tcPr>
          <w:p w14:paraId="4FF9BEE9" w14:textId="77777777" w:rsidR="00F76B72" w:rsidRDefault="00F76B72" w:rsidP="00F76B72">
            <w:pPr>
              <w:spacing w:after="0"/>
              <w:jc w:val="center"/>
            </w:pPr>
            <w:r>
              <w:t>-8.779***</w:t>
            </w:r>
          </w:p>
        </w:tc>
        <w:tc>
          <w:tcPr>
            <w:tcW w:w="1890" w:type="dxa"/>
            <w:tcBorders>
              <w:top w:val="nil"/>
              <w:left w:val="nil"/>
              <w:bottom w:val="nil"/>
              <w:right w:val="nil"/>
            </w:tcBorders>
            <w:shd w:val="clear" w:color="000000" w:fill="F2F2F2"/>
            <w:noWrap/>
            <w:vAlign w:val="bottom"/>
            <w:hideMark/>
          </w:tcPr>
          <w:p w14:paraId="3B1DC1CB" w14:textId="77777777" w:rsidR="00F76B72" w:rsidRDefault="00F76B72" w:rsidP="00F76B72">
            <w:pPr>
              <w:spacing w:after="0"/>
              <w:jc w:val="center"/>
            </w:pPr>
            <w:r>
              <w:t>-3.948***</w:t>
            </w:r>
          </w:p>
        </w:tc>
        <w:tc>
          <w:tcPr>
            <w:tcW w:w="1530" w:type="dxa"/>
            <w:tcBorders>
              <w:top w:val="nil"/>
              <w:left w:val="nil"/>
              <w:bottom w:val="nil"/>
              <w:right w:val="nil"/>
            </w:tcBorders>
            <w:shd w:val="clear" w:color="000000" w:fill="F2F2F2"/>
            <w:noWrap/>
            <w:vAlign w:val="bottom"/>
            <w:hideMark/>
          </w:tcPr>
          <w:p w14:paraId="7FA057B8" w14:textId="77777777" w:rsidR="00F76B72" w:rsidRDefault="00F76B72" w:rsidP="00F76B72">
            <w:pPr>
              <w:spacing w:after="0"/>
              <w:jc w:val="center"/>
            </w:pPr>
            <w:r>
              <w:t>-4.490***</w:t>
            </w:r>
          </w:p>
        </w:tc>
        <w:tc>
          <w:tcPr>
            <w:tcW w:w="1350" w:type="dxa"/>
            <w:tcBorders>
              <w:top w:val="nil"/>
              <w:left w:val="nil"/>
              <w:bottom w:val="nil"/>
              <w:right w:val="nil"/>
            </w:tcBorders>
            <w:shd w:val="clear" w:color="000000" w:fill="F2F2F2"/>
            <w:noWrap/>
            <w:vAlign w:val="bottom"/>
            <w:hideMark/>
          </w:tcPr>
          <w:p w14:paraId="455218EB" w14:textId="77777777" w:rsidR="00F76B72" w:rsidRDefault="00F76B72" w:rsidP="00F76B72">
            <w:pPr>
              <w:spacing w:after="0"/>
              <w:jc w:val="center"/>
            </w:pPr>
            <w:r>
              <w:t>-3.171***</w:t>
            </w:r>
          </w:p>
        </w:tc>
      </w:tr>
      <w:tr w:rsidR="00F76B72" w:rsidRPr="00294862" w14:paraId="23B3EC3C" w14:textId="77777777" w:rsidTr="00F76B72">
        <w:trPr>
          <w:trHeight w:val="300"/>
        </w:trPr>
        <w:tc>
          <w:tcPr>
            <w:tcW w:w="3330" w:type="dxa"/>
            <w:tcBorders>
              <w:top w:val="nil"/>
              <w:left w:val="nil"/>
              <w:bottom w:val="nil"/>
              <w:right w:val="nil"/>
            </w:tcBorders>
            <w:shd w:val="clear" w:color="000000" w:fill="F2F2F2"/>
            <w:noWrap/>
            <w:vAlign w:val="bottom"/>
            <w:hideMark/>
          </w:tcPr>
          <w:p w14:paraId="0CBFCB01" w14:textId="77777777" w:rsidR="00F76B72" w:rsidRPr="00294862" w:rsidRDefault="00F76B72" w:rsidP="00F76B72">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14:paraId="34DB928C" w14:textId="77777777" w:rsidR="00F76B72" w:rsidRDefault="00F76B72" w:rsidP="00F76B72">
            <w:pPr>
              <w:spacing w:after="0"/>
              <w:jc w:val="center"/>
            </w:pPr>
            <w:r>
              <w:t>(1.357)</w:t>
            </w:r>
          </w:p>
        </w:tc>
        <w:tc>
          <w:tcPr>
            <w:tcW w:w="1890" w:type="dxa"/>
            <w:tcBorders>
              <w:top w:val="nil"/>
              <w:left w:val="nil"/>
              <w:bottom w:val="nil"/>
              <w:right w:val="nil"/>
            </w:tcBorders>
            <w:shd w:val="clear" w:color="000000" w:fill="F2F2F2"/>
            <w:noWrap/>
            <w:vAlign w:val="bottom"/>
            <w:hideMark/>
          </w:tcPr>
          <w:p w14:paraId="6691CCA3" w14:textId="77777777" w:rsidR="00F76B72" w:rsidRDefault="00F76B72" w:rsidP="00F76B72">
            <w:pPr>
              <w:spacing w:after="0"/>
              <w:jc w:val="center"/>
            </w:pPr>
            <w:r>
              <w:t>(1.052)</w:t>
            </w:r>
          </w:p>
        </w:tc>
        <w:tc>
          <w:tcPr>
            <w:tcW w:w="1530" w:type="dxa"/>
            <w:tcBorders>
              <w:top w:val="nil"/>
              <w:left w:val="nil"/>
              <w:bottom w:val="nil"/>
              <w:right w:val="nil"/>
            </w:tcBorders>
            <w:shd w:val="clear" w:color="000000" w:fill="F2F2F2"/>
            <w:noWrap/>
            <w:vAlign w:val="bottom"/>
            <w:hideMark/>
          </w:tcPr>
          <w:p w14:paraId="026489DF" w14:textId="77777777" w:rsidR="00F76B72" w:rsidRDefault="00F76B72" w:rsidP="00F76B72">
            <w:pPr>
              <w:spacing w:after="0"/>
              <w:jc w:val="center"/>
            </w:pPr>
            <w:r>
              <w:t>(1.123)</w:t>
            </w:r>
          </w:p>
        </w:tc>
        <w:tc>
          <w:tcPr>
            <w:tcW w:w="1350" w:type="dxa"/>
            <w:tcBorders>
              <w:top w:val="nil"/>
              <w:left w:val="nil"/>
              <w:bottom w:val="nil"/>
              <w:right w:val="nil"/>
            </w:tcBorders>
            <w:shd w:val="clear" w:color="000000" w:fill="F2F2F2"/>
            <w:noWrap/>
            <w:vAlign w:val="bottom"/>
            <w:hideMark/>
          </w:tcPr>
          <w:p w14:paraId="6609DEC4" w14:textId="77777777" w:rsidR="00F76B72" w:rsidRDefault="00F76B72" w:rsidP="00F76B72">
            <w:pPr>
              <w:spacing w:after="0"/>
              <w:jc w:val="center"/>
            </w:pPr>
            <w:r>
              <w:t>(0.843)</w:t>
            </w:r>
          </w:p>
        </w:tc>
      </w:tr>
      <w:tr w:rsidR="00F76B72" w:rsidRPr="00294862" w14:paraId="633FD785" w14:textId="77777777" w:rsidTr="00F76B72">
        <w:trPr>
          <w:trHeight w:val="300"/>
        </w:trPr>
        <w:tc>
          <w:tcPr>
            <w:tcW w:w="3330" w:type="dxa"/>
            <w:tcBorders>
              <w:top w:val="nil"/>
              <w:left w:val="nil"/>
              <w:bottom w:val="single" w:sz="4" w:space="0" w:color="000000"/>
              <w:right w:val="nil"/>
            </w:tcBorders>
            <w:shd w:val="clear" w:color="000000" w:fill="F2F2F2"/>
            <w:noWrap/>
            <w:vAlign w:val="bottom"/>
            <w:hideMark/>
          </w:tcPr>
          <w:p w14:paraId="487A7AE9" w14:textId="77777777" w:rsidR="00F76B72" w:rsidRPr="00294862" w:rsidRDefault="00F76B72" w:rsidP="00F76B72">
            <w:pPr>
              <w:keepNext/>
              <w:spacing w:after="0" w:line="240" w:lineRule="auto"/>
              <w:rPr>
                <w:rFonts w:eastAsia="Times New Roman"/>
              </w:rPr>
            </w:pPr>
            <w:r w:rsidRPr="00294862">
              <w:rPr>
                <w:rFonts w:eastAsia="Times New Roman"/>
              </w:rPr>
              <w:t>Observations</w:t>
            </w:r>
          </w:p>
        </w:tc>
        <w:tc>
          <w:tcPr>
            <w:tcW w:w="1260" w:type="dxa"/>
            <w:tcBorders>
              <w:top w:val="nil"/>
              <w:left w:val="nil"/>
              <w:bottom w:val="single" w:sz="4" w:space="0" w:color="000000"/>
              <w:right w:val="nil"/>
            </w:tcBorders>
            <w:shd w:val="clear" w:color="000000" w:fill="F2F2F2"/>
            <w:noWrap/>
            <w:vAlign w:val="bottom"/>
            <w:hideMark/>
          </w:tcPr>
          <w:p w14:paraId="1DCA1091" w14:textId="77777777" w:rsidR="00F76B72" w:rsidRDefault="00F76B72" w:rsidP="00F76B72">
            <w:pPr>
              <w:spacing w:after="0"/>
              <w:jc w:val="center"/>
            </w:pPr>
            <w:r>
              <w:t>10.4%</w:t>
            </w:r>
          </w:p>
        </w:tc>
        <w:tc>
          <w:tcPr>
            <w:tcW w:w="1890" w:type="dxa"/>
            <w:tcBorders>
              <w:top w:val="nil"/>
              <w:left w:val="nil"/>
              <w:bottom w:val="single" w:sz="4" w:space="0" w:color="000000"/>
              <w:right w:val="nil"/>
            </w:tcBorders>
            <w:shd w:val="clear" w:color="000000" w:fill="F2F2F2"/>
            <w:noWrap/>
            <w:vAlign w:val="bottom"/>
            <w:hideMark/>
          </w:tcPr>
          <w:p w14:paraId="6BEA4EEF" w14:textId="77777777" w:rsidR="00F76B72" w:rsidRDefault="00F76B72" w:rsidP="00F76B72">
            <w:pPr>
              <w:spacing w:after="0"/>
              <w:jc w:val="center"/>
            </w:pPr>
            <w:r>
              <w:t>16.7%</w:t>
            </w:r>
          </w:p>
        </w:tc>
        <w:tc>
          <w:tcPr>
            <w:tcW w:w="1530" w:type="dxa"/>
            <w:tcBorders>
              <w:top w:val="nil"/>
              <w:left w:val="nil"/>
              <w:bottom w:val="single" w:sz="4" w:space="0" w:color="000000"/>
              <w:right w:val="nil"/>
            </w:tcBorders>
            <w:shd w:val="clear" w:color="000000" w:fill="F2F2F2"/>
            <w:noWrap/>
            <w:vAlign w:val="bottom"/>
            <w:hideMark/>
          </w:tcPr>
          <w:p w14:paraId="16E312E0" w14:textId="77777777" w:rsidR="00F76B72" w:rsidRDefault="00F76B72" w:rsidP="00F76B72">
            <w:pPr>
              <w:spacing w:after="0"/>
              <w:jc w:val="center"/>
            </w:pPr>
            <w:r>
              <w:t>10.8%</w:t>
            </w:r>
          </w:p>
        </w:tc>
        <w:tc>
          <w:tcPr>
            <w:tcW w:w="1350" w:type="dxa"/>
            <w:tcBorders>
              <w:top w:val="nil"/>
              <w:left w:val="nil"/>
              <w:bottom w:val="single" w:sz="4" w:space="0" w:color="000000"/>
              <w:right w:val="nil"/>
            </w:tcBorders>
            <w:shd w:val="clear" w:color="000000" w:fill="F2F2F2"/>
            <w:noWrap/>
            <w:vAlign w:val="bottom"/>
            <w:hideMark/>
          </w:tcPr>
          <w:p w14:paraId="2057CC28" w14:textId="77777777" w:rsidR="00F76B72" w:rsidRDefault="00F76B72" w:rsidP="00F76B72">
            <w:pPr>
              <w:spacing w:after="0"/>
              <w:jc w:val="center"/>
            </w:pPr>
            <w:r>
              <w:t>48.5%</w:t>
            </w:r>
          </w:p>
        </w:tc>
      </w:tr>
      <w:tr w:rsidR="00F76B72" w:rsidRPr="00294862" w14:paraId="50714E8F" w14:textId="77777777" w:rsidTr="00F76B72">
        <w:trPr>
          <w:trHeight w:val="300"/>
        </w:trPr>
        <w:tc>
          <w:tcPr>
            <w:tcW w:w="9360" w:type="dxa"/>
            <w:gridSpan w:val="5"/>
            <w:tcBorders>
              <w:top w:val="single" w:sz="4" w:space="0" w:color="000000"/>
              <w:left w:val="nil"/>
              <w:bottom w:val="nil"/>
              <w:right w:val="nil"/>
            </w:tcBorders>
            <w:shd w:val="clear" w:color="000000" w:fill="F2F2F2"/>
            <w:hideMark/>
          </w:tcPr>
          <w:p w14:paraId="233C03FA" w14:textId="77777777" w:rsidR="00F76B72" w:rsidRPr="00294862" w:rsidRDefault="00F76B72" w:rsidP="00F76B72">
            <w:pPr>
              <w:keepNext/>
              <w:spacing w:after="0" w:line="240" w:lineRule="auto"/>
              <w:rPr>
                <w:rFonts w:eastAsia="Times New Roman"/>
                <w:sz w:val="18"/>
                <w:szCs w:val="18"/>
              </w:rPr>
            </w:pPr>
            <w:r>
              <w:rPr>
                <w:rFonts w:eastAsia="Times New Roman"/>
                <w:sz w:val="18"/>
                <w:szCs w:val="18"/>
              </w:rPr>
              <w:t xml:space="preserve">In the multinomial model, the base case is respondents selecting “don’t know” representing 13.6-percent of responses.  Observations for each column are the percent of respondents selecting the regulation preference out of 1,226 respondents.  </w:t>
            </w:r>
            <w:r w:rsidRPr="00294862">
              <w:rPr>
                <w:rFonts w:eastAsia="Times New Roman"/>
                <w:sz w:val="18"/>
                <w:szCs w:val="18"/>
              </w:rPr>
              <w:t>Standard errors are in parentheses and follow conventional notation: *** p&lt;0.01, ** p&lt;0.05, * p&lt;0.1</w:t>
            </w:r>
          </w:p>
        </w:tc>
      </w:tr>
    </w:tbl>
    <w:p w14:paraId="25DF9B64" w14:textId="77777777" w:rsidR="00F76B72" w:rsidRDefault="00F76B72" w:rsidP="0052424D">
      <w:pPr>
        <w:spacing w:before="240" w:line="360" w:lineRule="auto"/>
      </w:pPr>
      <w:r>
        <w:t xml:space="preserve">Table B2 repeats the process where only respondents who have an opinion- those not selecting “don’t know” as a response, are included in the model.  </w:t>
      </w:r>
      <w:r w:rsidR="00D75070">
        <w:t>This gives another perspective as the base case is now to take no action- those selecting “do neither”</w:t>
      </w:r>
      <w:r>
        <w:t>.</w:t>
      </w:r>
    </w:p>
    <w:tbl>
      <w:tblPr>
        <w:tblW w:w="5000" w:type="pct"/>
        <w:tblLook w:val="04A0" w:firstRow="1" w:lastRow="0" w:firstColumn="1" w:lastColumn="0" w:noHBand="0" w:noVBand="1"/>
      </w:tblPr>
      <w:tblGrid>
        <w:gridCol w:w="3599"/>
        <w:gridCol w:w="1891"/>
        <w:gridCol w:w="2488"/>
        <w:gridCol w:w="1382"/>
      </w:tblGrid>
      <w:tr w:rsidR="00F76B72" w:rsidRPr="00A21400" w14:paraId="0CCE55FA" w14:textId="77777777" w:rsidTr="00F76B72">
        <w:trPr>
          <w:trHeight w:val="300"/>
        </w:trPr>
        <w:tc>
          <w:tcPr>
            <w:tcW w:w="5000" w:type="pct"/>
            <w:gridSpan w:val="4"/>
            <w:tcBorders>
              <w:top w:val="nil"/>
              <w:left w:val="nil"/>
              <w:bottom w:val="single" w:sz="4" w:space="0" w:color="auto"/>
              <w:right w:val="nil"/>
            </w:tcBorders>
            <w:shd w:val="clear" w:color="000000" w:fill="E7E6E6"/>
            <w:noWrap/>
            <w:vAlign w:val="bottom"/>
            <w:hideMark/>
          </w:tcPr>
          <w:p w14:paraId="0E592432" w14:textId="77777777" w:rsidR="00F76B72" w:rsidRPr="00A21400" w:rsidRDefault="00F76B72" w:rsidP="00F76B72">
            <w:pPr>
              <w:keepNext/>
              <w:spacing w:after="0" w:line="240" w:lineRule="auto"/>
              <w:rPr>
                <w:rFonts w:eastAsia="Times New Roman"/>
                <w:b/>
                <w:bCs/>
              </w:rPr>
            </w:pPr>
            <w:r w:rsidRPr="00A21400">
              <w:rPr>
                <w:rFonts w:eastAsia="Times New Roman"/>
                <w:b/>
                <w:bCs/>
              </w:rPr>
              <w:lastRenderedPageBreak/>
              <w:t xml:space="preserve">Table </w:t>
            </w:r>
            <w:r>
              <w:rPr>
                <w:rFonts w:eastAsia="Times New Roman"/>
                <w:b/>
                <w:bCs/>
              </w:rPr>
              <w:t>B2</w:t>
            </w:r>
            <w:r w:rsidRPr="00A21400">
              <w:rPr>
                <w:rFonts w:eastAsia="Times New Roman"/>
                <w:b/>
                <w:bCs/>
              </w:rPr>
              <w:t xml:space="preserve"> | Multinomial logistic model of regulation preference.</w:t>
            </w:r>
          </w:p>
        </w:tc>
      </w:tr>
      <w:tr w:rsidR="00F76B72" w:rsidRPr="00A21400" w14:paraId="5403D770" w14:textId="77777777" w:rsidTr="00F76B72">
        <w:trPr>
          <w:trHeight w:val="300"/>
        </w:trPr>
        <w:tc>
          <w:tcPr>
            <w:tcW w:w="1923" w:type="pct"/>
            <w:tcBorders>
              <w:top w:val="nil"/>
              <w:left w:val="nil"/>
              <w:bottom w:val="nil"/>
              <w:right w:val="nil"/>
            </w:tcBorders>
            <w:shd w:val="clear" w:color="000000" w:fill="F2F2F2"/>
            <w:noWrap/>
            <w:vAlign w:val="bottom"/>
            <w:hideMark/>
          </w:tcPr>
          <w:p w14:paraId="62C51A0E"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3E857ACE" w14:textId="77777777" w:rsidR="00F76B72" w:rsidRPr="00A21400" w:rsidRDefault="00F76B72" w:rsidP="00F76B72">
            <w:pPr>
              <w:keepNext/>
              <w:spacing w:after="0" w:line="240" w:lineRule="auto"/>
              <w:jc w:val="center"/>
              <w:rPr>
                <w:rFonts w:eastAsia="Times New Roman"/>
              </w:rPr>
            </w:pPr>
            <w:r w:rsidRPr="00A21400">
              <w:rPr>
                <w:rFonts w:eastAsia="Times New Roman"/>
              </w:rPr>
              <w:t>(1)</w:t>
            </w:r>
          </w:p>
        </w:tc>
        <w:tc>
          <w:tcPr>
            <w:tcW w:w="1329" w:type="pct"/>
            <w:tcBorders>
              <w:top w:val="nil"/>
              <w:left w:val="nil"/>
              <w:bottom w:val="nil"/>
              <w:right w:val="nil"/>
            </w:tcBorders>
            <w:shd w:val="clear" w:color="000000" w:fill="F2F2F2"/>
            <w:noWrap/>
            <w:vAlign w:val="bottom"/>
            <w:hideMark/>
          </w:tcPr>
          <w:p w14:paraId="21C50402" w14:textId="77777777" w:rsidR="00F76B72" w:rsidRPr="00A21400" w:rsidRDefault="00F76B72" w:rsidP="00F76B72">
            <w:pPr>
              <w:keepNext/>
              <w:spacing w:after="0" w:line="240" w:lineRule="auto"/>
              <w:jc w:val="center"/>
              <w:rPr>
                <w:rFonts w:eastAsia="Times New Roman"/>
              </w:rPr>
            </w:pPr>
            <w:r w:rsidRPr="00A21400">
              <w:rPr>
                <w:rFonts w:eastAsia="Times New Roman"/>
              </w:rPr>
              <w:t>(2)</w:t>
            </w:r>
          </w:p>
        </w:tc>
        <w:tc>
          <w:tcPr>
            <w:tcW w:w="738" w:type="pct"/>
            <w:tcBorders>
              <w:top w:val="nil"/>
              <w:left w:val="nil"/>
              <w:bottom w:val="nil"/>
              <w:right w:val="nil"/>
            </w:tcBorders>
            <w:shd w:val="clear" w:color="000000" w:fill="F2F2F2"/>
            <w:noWrap/>
            <w:vAlign w:val="bottom"/>
            <w:hideMark/>
          </w:tcPr>
          <w:p w14:paraId="1E378C08" w14:textId="77777777" w:rsidR="00F76B72" w:rsidRPr="00A21400" w:rsidRDefault="00F76B72" w:rsidP="00F76B72">
            <w:pPr>
              <w:keepNext/>
              <w:spacing w:after="0" w:line="240" w:lineRule="auto"/>
              <w:jc w:val="center"/>
              <w:rPr>
                <w:rFonts w:eastAsia="Times New Roman"/>
              </w:rPr>
            </w:pPr>
            <w:r w:rsidRPr="00A21400">
              <w:rPr>
                <w:rFonts w:eastAsia="Times New Roman"/>
              </w:rPr>
              <w:t>(3)</w:t>
            </w:r>
          </w:p>
        </w:tc>
      </w:tr>
      <w:tr w:rsidR="00F76B72" w:rsidRPr="00A21400" w14:paraId="60725270" w14:textId="77777777" w:rsidTr="00F76B72">
        <w:trPr>
          <w:trHeight w:val="300"/>
        </w:trPr>
        <w:tc>
          <w:tcPr>
            <w:tcW w:w="1923" w:type="pct"/>
            <w:tcBorders>
              <w:top w:val="nil"/>
              <w:left w:val="nil"/>
              <w:bottom w:val="single" w:sz="4" w:space="0" w:color="auto"/>
              <w:right w:val="nil"/>
            </w:tcBorders>
            <w:shd w:val="clear" w:color="000000" w:fill="F2F2F2"/>
            <w:noWrap/>
            <w:vAlign w:val="bottom"/>
            <w:hideMark/>
          </w:tcPr>
          <w:p w14:paraId="326CB6EF" w14:textId="77777777" w:rsidR="00F76B72" w:rsidRPr="00A21400" w:rsidRDefault="00F76B72" w:rsidP="00F76B72">
            <w:pPr>
              <w:keepNext/>
              <w:spacing w:after="0" w:line="240" w:lineRule="auto"/>
              <w:rPr>
                <w:rFonts w:eastAsia="Times New Roman"/>
              </w:rPr>
            </w:pPr>
          </w:p>
        </w:tc>
        <w:tc>
          <w:tcPr>
            <w:tcW w:w="1010" w:type="pct"/>
            <w:tcBorders>
              <w:top w:val="nil"/>
              <w:left w:val="nil"/>
              <w:bottom w:val="single" w:sz="4" w:space="0" w:color="auto"/>
              <w:right w:val="nil"/>
            </w:tcBorders>
            <w:shd w:val="clear" w:color="000000" w:fill="F2F2F2"/>
            <w:noWrap/>
            <w:vAlign w:val="bottom"/>
            <w:hideMark/>
          </w:tcPr>
          <w:p w14:paraId="0FB2C119" w14:textId="77777777" w:rsidR="00F76B72" w:rsidRPr="00A21400" w:rsidRDefault="00F76B72" w:rsidP="00F76B72">
            <w:pPr>
              <w:keepNext/>
              <w:spacing w:after="0" w:line="240" w:lineRule="auto"/>
              <w:jc w:val="center"/>
              <w:rPr>
                <w:rFonts w:eastAsia="Times New Roman"/>
              </w:rPr>
            </w:pPr>
            <w:r w:rsidRPr="00A21400">
              <w:rPr>
                <w:rFonts w:eastAsia="Times New Roman"/>
              </w:rPr>
              <w:t>Regulate pollution</w:t>
            </w:r>
          </w:p>
        </w:tc>
        <w:tc>
          <w:tcPr>
            <w:tcW w:w="1329" w:type="pct"/>
            <w:tcBorders>
              <w:top w:val="nil"/>
              <w:left w:val="nil"/>
              <w:bottom w:val="single" w:sz="4" w:space="0" w:color="auto"/>
              <w:right w:val="nil"/>
            </w:tcBorders>
            <w:shd w:val="clear" w:color="000000" w:fill="F2F2F2"/>
            <w:noWrap/>
            <w:vAlign w:val="bottom"/>
            <w:hideMark/>
          </w:tcPr>
          <w:p w14:paraId="57A6A07E" w14:textId="77777777" w:rsidR="00F76B72" w:rsidRPr="00A21400" w:rsidRDefault="00F76B72" w:rsidP="00F76B72">
            <w:pPr>
              <w:keepNext/>
              <w:spacing w:after="0" w:line="240" w:lineRule="auto"/>
              <w:jc w:val="center"/>
              <w:rPr>
                <w:rFonts w:eastAsia="Times New Roman"/>
              </w:rPr>
            </w:pPr>
            <w:r w:rsidRPr="00A21400">
              <w:rPr>
                <w:rFonts w:eastAsia="Times New Roman"/>
              </w:rPr>
              <w:t>Tax pollution</w:t>
            </w:r>
          </w:p>
        </w:tc>
        <w:tc>
          <w:tcPr>
            <w:tcW w:w="738" w:type="pct"/>
            <w:tcBorders>
              <w:top w:val="nil"/>
              <w:left w:val="nil"/>
              <w:bottom w:val="single" w:sz="4" w:space="0" w:color="auto"/>
              <w:right w:val="nil"/>
            </w:tcBorders>
            <w:shd w:val="clear" w:color="000000" w:fill="F2F2F2"/>
            <w:noWrap/>
            <w:vAlign w:val="bottom"/>
            <w:hideMark/>
          </w:tcPr>
          <w:p w14:paraId="2E67D565" w14:textId="77777777" w:rsidR="00F76B72" w:rsidRPr="00A21400" w:rsidRDefault="00F76B72" w:rsidP="00F76B72">
            <w:pPr>
              <w:keepNext/>
              <w:spacing w:after="0" w:line="240" w:lineRule="auto"/>
              <w:jc w:val="center"/>
              <w:rPr>
                <w:rFonts w:eastAsia="Times New Roman"/>
              </w:rPr>
            </w:pPr>
            <w:r w:rsidRPr="00A21400">
              <w:rPr>
                <w:rFonts w:eastAsia="Times New Roman"/>
              </w:rPr>
              <w:t>Do both</w:t>
            </w:r>
          </w:p>
        </w:tc>
      </w:tr>
      <w:tr w:rsidR="00F76B72" w:rsidRPr="00A21400" w14:paraId="633DBDC1" w14:textId="77777777" w:rsidTr="00F76B72">
        <w:trPr>
          <w:trHeight w:val="300"/>
        </w:trPr>
        <w:tc>
          <w:tcPr>
            <w:tcW w:w="1923" w:type="pct"/>
            <w:tcBorders>
              <w:top w:val="nil"/>
              <w:left w:val="nil"/>
              <w:bottom w:val="nil"/>
              <w:right w:val="nil"/>
            </w:tcBorders>
            <w:shd w:val="clear" w:color="000000" w:fill="F2F2F2"/>
            <w:noWrap/>
            <w:vAlign w:val="bottom"/>
            <w:hideMark/>
          </w:tcPr>
          <w:p w14:paraId="1CD18F39" w14:textId="77777777" w:rsidR="00F76B72" w:rsidRPr="00A21400" w:rsidRDefault="00F76B72" w:rsidP="00F76B72">
            <w:pPr>
              <w:keepNext/>
              <w:spacing w:after="0" w:line="240" w:lineRule="auto"/>
              <w:rPr>
                <w:rFonts w:eastAsia="Times New Roman"/>
              </w:rPr>
            </w:pPr>
            <w:r w:rsidRPr="00A21400">
              <w:rPr>
                <w:rFonts w:eastAsia="Times New Roman"/>
              </w:rPr>
              <w:t>Education (years)</w:t>
            </w:r>
          </w:p>
        </w:tc>
        <w:tc>
          <w:tcPr>
            <w:tcW w:w="1010" w:type="pct"/>
            <w:tcBorders>
              <w:top w:val="nil"/>
              <w:left w:val="nil"/>
              <w:bottom w:val="nil"/>
              <w:right w:val="nil"/>
            </w:tcBorders>
            <w:shd w:val="clear" w:color="000000" w:fill="F2F2F2"/>
            <w:noWrap/>
            <w:vAlign w:val="bottom"/>
            <w:hideMark/>
          </w:tcPr>
          <w:p w14:paraId="2E702CD7" w14:textId="77777777" w:rsidR="00F76B72" w:rsidRPr="00A21400" w:rsidRDefault="00F76B72" w:rsidP="00F76B72">
            <w:pPr>
              <w:keepNext/>
              <w:spacing w:after="0" w:line="240" w:lineRule="auto"/>
              <w:jc w:val="center"/>
              <w:rPr>
                <w:rFonts w:eastAsia="Times New Roman"/>
              </w:rPr>
            </w:pPr>
            <w:r w:rsidRPr="00A21400">
              <w:rPr>
                <w:rFonts w:eastAsia="Times New Roman"/>
              </w:rPr>
              <w:t>-0.0468</w:t>
            </w:r>
          </w:p>
        </w:tc>
        <w:tc>
          <w:tcPr>
            <w:tcW w:w="1329" w:type="pct"/>
            <w:tcBorders>
              <w:top w:val="nil"/>
              <w:left w:val="nil"/>
              <w:bottom w:val="nil"/>
              <w:right w:val="nil"/>
            </w:tcBorders>
            <w:shd w:val="clear" w:color="000000" w:fill="F2F2F2"/>
            <w:noWrap/>
            <w:vAlign w:val="bottom"/>
            <w:hideMark/>
          </w:tcPr>
          <w:p w14:paraId="2074F140" w14:textId="77777777" w:rsidR="00F76B72" w:rsidRPr="00A21400" w:rsidRDefault="00F76B72" w:rsidP="00F76B72">
            <w:pPr>
              <w:keepNext/>
              <w:spacing w:after="0" w:line="240" w:lineRule="auto"/>
              <w:jc w:val="center"/>
              <w:rPr>
                <w:rFonts w:eastAsia="Times New Roman"/>
              </w:rPr>
            </w:pPr>
            <w:r w:rsidRPr="00A21400">
              <w:rPr>
                <w:rFonts w:eastAsia="Times New Roman"/>
              </w:rPr>
              <w:t>-0.0361</w:t>
            </w:r>
          </w:p>
        </w:tc>
        <w:tc>
          <w:tcPr>
            <w:tcW w:w="738" w:type="pct"/>
            <w:tcBorders>
              <w:top w:val="nil"/>
              <w:left w:val="nil"/>
              <w:bottom w:val="nil"/>
              <w:right w:val="nil"/>
            </w:tcBorders>
            <w:shd w:val="clear" w:color="000000" w:fill="F2F2F2"/>
            <w:noWrap/>
            <w:vAlign w:val="bottom"/>
            <w:hideMark/>
          </w:tcPr>
          <w:p w14:paraId="4157E01E" w14:textId="77777777" w:rsidR="00F76B72" w:rsidRPr="00A21400" w:rsidRDefault="00F76B72" w:rsidP="00F76B72">
            <w:pPr>
              <w:keepNext/>
              <w:spacing w:after="0" w:line="240" w:lineRule="auto"/>
              <w:jc w:val="center"/>
              <w:rPr>
                <w:rFonts w:eastAsia="Times New Roman"/>
              </w:rPr>
            </w:pPr>
            <w:r w:rsidRPr="00A21400">
              <w:rPr>
                <w:rFonts w:eastAsia="Times New Roman"/>
              </w:rPr>
              <w:t>-0.0811</w:t>
            </w:r>
          </w:p>
        </w:tc>
      </w:tr>
      <w:tr w:rsidR="00F76B72" w:rsidRPr="00A21400" w14:paraId="11644ADD" w14:textId="77777777" w:rsidTr="00F76B72">
        <w:trPr>
          <w:trHeight w:val="300"/>
        </w:trPr>
        <w:tc>
          <w:tcPr>
            <w:tcW w:w="1923" w:type="pct"/>
            <w:tcBorders>
              <w:top w:val="nil"/>
              <w:left w:val="nil"/>
              <w:bottom w:val="nil"/>
              <w:right w:val="nil"/>
            </w:tcBorders>
            <w:shd w:val="clear" w:color="000000" w:fill="F2F2F2"/>
            <w:noWrap/>
            <w:vAlign w:val="bottom"/>
            <w:hideMark/>
          </w:tcPr>
          <w:p w14:paraId="52A593AB"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351ED8F2" w14:textId="77777777" w:rsidR="00F76B72" w:rsidRPr="00A21400" w:rsidRDefault="00F76B72" w:rsidP="00F76B72">
            <w:pPr>
              <w:keepNext/>
              <w:spacing w:after="0" w:line="240" w:lineRule="auto"/>
              <w:jc w:val="center"/>
              <w:rPr>
                <w:rFonts w:eastAsia="Times New Roman"/>
              </w:rPr>
            </w:pPr>
            <w:r w:rsidRPr="00A21400">
              <w:rPr>
                <w:rFonts w:eastAsia="Times New Roman"/>
              </w:rPr>
              <w:t>(0.0521)</w:t>
            </w:r>
          </w:p>
        </w:tc>
        <w:tc>
          <w:tcPr>
            <w:tcW w:w="1329" w:type="pct"/>
            <w:tcBorders>
              <w:top w:val="nil"/>
              <w:left w:val="nil"/>
              <w:bottom w:val="nil"/>
              <w:right w:val="nil"/>
            </w:tcBorders>
            <w:shd w:val="clear" w:color="000000" w:fill="F2F2F2"/>
            <w:noWrap/>
            <w:vAlign w:val="bottom"/>
            <w:hideMark/>
          </w:tcPr>
          <w:p w14:paraId="7B757CE0" w14:textId="77777777" w:rsidR="00F76B72" w:rsidRPr="00A21400" w:rsidRDefault="00F76B72" w:rsidP="00F76B72">
            <w:pPr>
              <w:keepNext/>
              <w:spacing w:after="0" w:line="240" w:lineRule="auto"/>
              <w:jc w:val="center"/>
              <w:rPr>
                <w:rFonts w:eastAsia="Times New Roman"/>
              </w:rPr>
            </w:pPr>
            <w:r w:rsidRPr="00A21400">
              <w:rPr>
                <w:rFonts w:eastAsia="Times New Roman"/>
              </w:rPr>
              <w:t>(0.0578)</w:t>
            </w:r>
          </w:p>
        </w:tc>
        <w:tc>
          <w:tcPr>
            <w:tcW w:w="738" w:type="pct"/>
            <w:tcBorders>
              <w:top w:val="nil"/>
              <w:left w:val="nil"/>
              <w:bottom w:val="nil"/>
              <w:right w:val="nil"/>
            </w:tcBorders>
            <w:shd w:val="clear" w:color="000000" w:fill="F2F2F2"/>
            <w:noWrap/>
            <w:vAlign w:val="bottom"/>
            <w:hideMark/>
          </w:tcPr>
          <w:p w14:paraId="654489B8" w14:textId="77777777" w:rsidR="00F76B72" w:rsidRPr="00A21400" w:rsidRDefault="00F76B72" w:rsidP="00F76B72">
            <w:pPr>
              <w:keepNext/>
              <w:spacing w:after="0" w:line="240" w:lineRule="auto"/>
              <w:jc w:val="center"/>
              <w:rPr>
                <w:rFonts w:eastAsia="Times New Roman"/>
              </w:rPr>
            </w:pPr>
            <w:r w:rsidRPr="00A21400">
              <w:rPr>
                <w:rFonts w:eastAsia="Times New Roman"/>
              </w:rPr>
              <w:t>(0.0495)</w:t>
            </w:r>
          </w:p>
        </w:tc>
      </w:tr>
      <w:tr w:rsidR="00F76B72" w:rsidRPr="00A21400" w14:paraId="45C448A8" w14:textId="77777777" w:rsidTr="00F76B72">
        <w:trPr>
          <w:trHeight w:val="300"/>
        </w:trPr>
        <w:tc>
          <w:tcPr>
            <w:tcW w:w="1923" w:type="pct"/>
            <w:tcBorders>
              <w:top w:val="nil"/>
              <w:left w:val="nil"/>
              <w:bottom w:val="nil"/>
              <w:right w:val="nil"/>
            </w:tcBorders>
            <w:shd w:val="clear" w:color="000000" w:fill="F2F2F2"/>
            <w:noWrap/>
            <w:vAlign w:val="bottom"/>
            <w:hideMark/>
          </w:tcPr>
          <w:p w14:paraId="4F98ACCB" w14:textId="77777777" w:rsidR="00F76B72" w:rsidRPr="00A21400" w:rsidRDefault="00F76B72" w:rsidP="00F76B72">
            <w:pPr>
              <w:keepNext/>
              <w:spacing w:after="0" w:line="240" w:lineRule="auto"/>
              <w:rPr>
                <w:rFonts w:eastAsia="Times New Roman"/>
              </w:rPr>
            </w:pPr>
            <w:r w:rsidRPr="00A21400">
              <w:rPr>
                <w:rFonts w:eastAsia="Times New Roman"/>
              </w:rPr>
              <w:t>Male (1=yes)</w:t>
            </w:r>
          </w:p>
        </w:tc>
        <w:tc>
          <w:tcPr>
            <w:tcW w:w="1010" w:type="pct"/>
            <w:tcBorders>
              <w:top w:val="nil"/>
              <w:left w:val="nil"/>
              <w:bottom w:val="nil"/>
              <w:right w:val="nil"/>
            </w:tcBorders>
            <w:shd w:val="clear" w:color="000000" w:fill="F2F2F2"/>
            <w:noWrap/>
            <w:vAlign w:val="bottom"/>
            <w:hideMark/>
          </w:tcPr>
          <w:p w14:paraId="2F29BD8A" w14:textId="77777777" w:rsidR="00F76B72" w:rsidRPr="00A21400" w:rsidRDefault="00F76B72" w:rsidP="00F76B72">
            <w:pPr>
              <w:keepNext/>
              <w:spacing w:after="0" w:line="240" w:lineRule="auto"/>
              <w:jc w:val="center"/>
              <w:rPr>
                <w:rFonts w:eastAsia="Times New Roman"/>
              </w:rPr>
            </w:pPr>
            <w:r w:rsidRPr="00A21400">
              <w:rPr>
                <w:rFonts w:eastAsia="Times New Roman"/>
              </w:rPr>
              <w:t>-0.700**</w:t>
            </w:r>
          </w:p>
        </w:tc>
        <w:tc>
          <w:tcPr>
            <w:tcW w:w="1329" w:type="pct"/>
            <w:tcBorders>
              <w:top w:val="nil"/>
              <w:left w:val="nil"/>
              <w:bottom w:val="nil"/>
              <w:right w:val="nil"/>
            </w:tcBorders>
            <w:shd w:val="clear" w:color="000000" w:fill="F2F2F2"/>
            <w:noWrap/>
            <w:vAlign w:val="bottom"/>
            <w:hideMark/>
          </w:tcPr>
          <w:p w14:paraId="6F593025" w14:textId="77777777" w:rsidR="00F76B72" w:rsidRPr="00A21400" w:rsidRDefault="00F76B72" w:rsidP="00F76B72">
            <w:pPr>
              <w:keepNext/>
              <w:spacing w:after="0" w:line="240" w:lineRule="auto"/>
              <w:jc w:val="center"/>
              <w:rPr>
                <w:rFonts w:eastAsia="Times New Roman"/>
              </w:rPr>
            </w:pPr>
            <w:r w:rsidRPr="00A21400">
              <w:rPr>
                <w:rFonts w:eastAsia="Times New Roman"/>
              </w:rPr>
              <w:t>-0.654**</w:t>
            </w:r>
          </w:p>
        </w:tc>
        <w:tc>
          <w:tcPr>
            <w:tcW w:w="738" w:type="pct"/>
            <w:tcBorders>
              <w:top w:val="nil"/>
              <w:left w:val="nil"/>
              <w:bottom w:val="nil"/>
              <w:right w:val="nil"/>
            </w:tcBorders>
            <w:shd w:val="clear" w:color="000000" w:fill="F2F2F2"/>
            <w:noWrap/>
            <w:vAlign w:val="bottom"/>
            <w:hideMark/>
          </w:tcPr>
          <w:p w14:paraId="4B98F38D" w14:textId="77777777" w:rsidR="00F76B72" w:rsidRPr="00A21400" w:rsidRDefault="00F76B72" w:rsidP="00F76B72">
            <w:pPr>
              <w:keepNext/>
              <w:spacing w:after="0" w:line="240" w:lineRule="auto"/>
              <w:jc w:val="center"/>
              <w:rPr>
                <w:rFonts w:eastAsia="Times New Roman"/>
              </w:rPr>
            </w:pPr>
            <w:r w:rsidRPr="00A21400">
              <w:rPr>
                <w:rFonts w:eastAsia="Times New Roman"/>
              </w:rPr>
              <w:t>-0.722**</w:t>
            </w:r>
          </w:p>
        </w:tc>
      </w:tr>
      <w:tr w:rsidR="00F76B72" w:rsidRPr="00A21400" w14:paraId="6E97DD95" w14:textId="77777777" w:rsidTr="00F76B72">
        <w:trPr>
          <w:trHeight w:val="300"/>
        </w:trPr>
        <w:tc>
          <w:tcPr>
            <w:tcW w:w="1923" w:type="pct"/>
            <w:tcBorders>
              <w:top w:val="nil"/>
              <w:left w:val="nil"/>
              <w:bottom w:val="nil"/>
              <w:right w:val="nil"/>
            </w:tcBorders>
            <w:shd w:val="clear" w:color="000000" w:fill="F2F2F2"/>
            <w:noWrap/>
            <w:vAlign w:val="bottom"/>
            <w:hideMark/>
          </w:tcPr>
          <w:p w14:paraId="1624261B"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03D6A1D2" w14:textId="77777777" w:rsidR="00F76B72" w:rsidRPr="00A21400" w:rsidRDefault="00F76B72" w:rsidP="00F76B72">
            <w:pPr>
              <w:keepNext/>
              <w:spacing w:after="0" w:line="240" w:lineRule="auto"/>
              <w:jc w:val="center"/>
              <w:rPr>
                <w:rFonts w:eastAsia="Times New Roman"/>
              </w:rPr>
            </w:pPr>
            <w:r w:rsidRPr="00A21400">
              <w:rPr>
                <w:rFonts w:eastAsia="Times New Roman"/>
              </w:rPr>
              <w:t>(0.310)</w:t>
            </w:r>
          </w:p>
        </w:tc>
        <w:tc>
          <w:tcPr>
            <w:tcW w:w="1329" w:type="pct"/>
            <w:tcBorders>
              <w:top w:val="nil"/>
              <w:left w:val="nil"/>
              <w:bottom w:val="nil"/>
              <w:right w:val="nil"/>
            </w:tcBorders>
            <w:shd w:val="clear" w:color="000000" w:fill="F2F2F2"/>
            <w:noWrap/>
            <w:vAlign w:val="bottom"/>
            <w:hideMark/>
          </w:tcPr>
          <w:p w14:paraId="5C0A97C1" w14:textId="77777777" w:rsidR="00F76B72" w:rsidRPr="00A21400" w:rsidRDefault="00F76B72" w:rsidP="00F76B72">
            <w:pPr>
              <w:keepNext/>
              <w:spacing w:after="0" w:line="240" w:lineRule="auto"/>
              <w:jc w:val="center"/>
              <w:rPr>
                <w:rFonts w:eastAsia="Times New Roman"/>
              </w:rPr>
            </w:pPr>
            <w:r w:rsidRPr="00A21400">
              <w:rPr>
                <w:rFonts w:eastAsia="Times New Roman"/>
              </w:rPr>
              <w:t>(0.330)</w:t>
            </w:r>
          </w:p>
        </w:tc>
        <w:tc>
          <w:tcPr>
            <w:tcW w:w="738" w:type="pct"/>
            <w:tcBorders>
              <w:top w:val="nil"/>
              <w:left w:val="nil"/>
              <w:bottom w:val="nil"/>
              <w:right w:val="nil"/>
            </w:tcBorders>
            <w:shd w:val="clear" w:color="000000" w:fill="F2F2F2"/>
            <w:noWrap/>
            <w:vAlign w:val="bottom"/>
            <w:hideMark/>
          </w:tcPr>
          <w:p w14:paraId="1D6CB63C" w14:textId="77777777" w:rsidR="00F76B72" w:rsidRPr="00A21400" w:rsidRDefault="00F76B72" w:rsidP="00F76B72">
            <w:pPr>
              <w:keepNext/>
              <w:spacing w:after="0" w:line="240" w:lineRule="auto"/>
              <w:jc w:val="center"/>
              <w:rPr>
                <w:rFonts w:eastAsia="Times New Roman"/>
              </w:rPr>
            </w:pPr>
            <w:r w:rsidRPr="00A21400">
              <w:rPr>
                <w:rFonts w:eastAsia="Times New Roman"/>
              </w:rPr>
              <w:t>(0.294)</w:t>
            </w:r>
          </w:p>
        </w:tc>
      </w:tr>
      <w:tr w:rsidR="00F76B72" w:rsidRPr="00A21400" w14:paraId="6B4A7C24" w14:textId="77777777" w:rsidTr="00F76B72">
        <w:trPr>
          <w:trHeight w:val="300"/>
        </w:trPr>
        <w:tc>
          <w:tcPr>
            <w:tcW w:w="1923" w:type="pct"/>
            <w:tcBorders>
              <w:top w:val="nil"/>
              <w:left w:val="nil"/>
              <w:bottom w:val="nil"/>
              <w:right w:val="nil"/>
            </w:tcBorders>
            <w:shd w:val="clear" w:color="000000" w:fill="F2F2F2"/>
            <w:noWrap/>
            <w:vAlign w:val="bottom"/>
            <w:hideMark/>
          </w:tcPr>
          <w:p w14:paraId="531C8966" w14:textId="77777777" w:rsidR="00F76B72" w:rsidRPr="00A21400" w:rsidRDefault="00F76B72" w:rsidP="00F76B72">
            <w:pPr>
              <w:keepNext/>
              <w:spacing w:after="0" w:line="240" w:lineRule="auto"/>
              <w:rPr>
                <w:rFonts w:eastAsia="Times New Roman"/>
              </w:rPr>
            </w:pPr>
            <w:r w:rsidRPr="00A21400">
              <w:rPr>
                <w:rFonts w:eastAsia="Times New Roman"/>
              </w:rPr>
              <w:t>Household size (# people)</w:t>
            </w:r>
          </w:p>
        </w:tc>
        <w:tc>
          <w:tcPr>
            <w:tcW w:w="1010" w:type="pct"/>
            <w:tcBorders>
              <w:top w:val="nil"/>
              <w:left w:val="nil"/>
              <w:bottom w:val="nil"/>
              <w:right w:val="nil"/>
            </w:tcBorders>
            <w:shd w:val="clear" w:color="000000" w:fill="F2F2F2"/>
            <w:noWrap/>
            <w:vAlign w:val="bottom"/>
            <w:hideMark/>
          </w:tcPr>
          <w:p w14:paraId="08CFFA08" w14:textId="77777777" w:rsidR="00F76B72" w:rsidRPr="00A21400" w:rsidRDefault="00F76B72" w:rsidP="00F76B72">
            <w:pPr>
              <w:keepNext/>
              <w:spacing w:after="0" w:line="240" w:lineRule="auto"/>
              <w:jc w:val="center"/>
              <w:rPr>
                <w:rFonts w:eastAsia="Times New Roman"/>
              </w:rPr>
            </w:pPr>
            <w:r w:rsidRPr="00A21400">
              <w:rPr>
                <w:rFonts w:eastAsia="Times New Roman"/>
              </w:rPr>
              <w:t>-0.119</w:t>
            </w:r>
          </w:p>
        </w:tc>
        <w:tc>
          <w:tcPr>
            <w:tcW w:w="1329" w:type="pct"/>
            <w:tcBorders>
              <w:top w:val="nil"/>
              <w:left w:val="nil"/>
              <w:bottom w:val="nil"/>
              <w:right w:val="nil"/>
            </w:tcBorders>
            <w:shd w:val="clear" w:color="000000" w:fill="F2F2F2"/>
            <w:noWrap/>
            <w:vAlign w:val="bottom"/>
            <w:hideMark/>
          </w:tcPr>
          <w:p w14:paraId="2DB7AE91" w14:textId="77777777" w:rsidR="00F76B72" w:rsidRPr="00A21400" w:rsidRDefault="00F76B72" w:rsidP="00F76B72">
            <w:pPr>
              <w:keepNext/>
              <w:spacing w:after="0" w:line="240" w:lineRule="auto"/>
              <w:jc w:val="center"/>
              <w:rPr>
                <w:rFonts w:eastAsia="Times New Roman"/>
              </w:rPr>
            </w:pPr>
            <w:r w:rsidRPr="00A21400">
              <w:rPr>
                <w:rFonts w:eastAsia="Times New Roman"/>
              </w:rPr>
              <w:t>-0.0542</w:t>
            </w:r>
          </w:p>
        </w:tc>
        <w:tc>
          <w:tcPr>
            <w:tcW w:w="738" w:type="pct"/>
            <w:tcBorders>
              <w:top w:val="nil"/>
              <w:left w:val="nil"/>
              <w:bottom w:val="nil"/>
              <w:right w:val="nil"/>
            </w:tcBorders>
            <w:shd w:val="clear" w:color="000000" w:fill="F2F2F2"/>
            <w:noWrap/>
            <w:vAlign w:val="bottom"/>
            <w:hideMark/>
          </w:tcPr>
          <w:p w14:paraId="7AB0CA36" w14:textId="77777777" w:rsidR="00F76B72" w:rsidRPr="00A21400" w:rsidRDefault="00F76B72" w:rsidP="00F76B72">
            <w:pPr>
              <w:keepNext/>
              <w:spacing w:after="0" w:line="240" w:lineRule="auto"/>
              <w:jc w:val="center"/>
              <w:rPr>
                <w:rFonts w:eastAsia="Times New Roman"/>
              </w:rPr>
            </w:pPr>
            <w:r w:rsidRPr="00A21400">
              <w:rPr>
                <w:rFonts w:eastAsia="Times New Roman"/>
              </w:rPr>
              <w:t>-0.0280</w:t>
            </w:r>
          </w:p>
        </w:tc>
      </w:tr>
      <w:tr w:rsidR="00F76B72" w:rsidRPr="00A21400" w14:paraId="56710D75" w14:textId="77777777" w:rsidTr="00F76B72">
        <w:trPr>
          <w:trHeight w:val="300"/>
        </w:trPr>
        <w:tc>
          <w:tcPr>
            <w:tcW w:w="1923" w:type="pct"/>
            <w:tcBorders>
              <w:top w:val="nil"/>
              <w:left w:val="nil"/>
              <w:bottom w:val="nil"/>
              <w:right w:val="nil"/>
            </w:tcBorders>
            <w:shd w:val="clear" w:color="000000" w:fill="F2F2F2"/>
            <w:noWrap/>
            <w:vAlign w:val="bottom"/>
            <w:hideMark/>
          </w:tcPr>
          <w:p w14:paraId="23895B1B"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6778CF2E" w14:textId="77777777" w:rsidR="00F76B72" w:rsidRPr="00A21400" w:rsidRDefault="00F76B72" w:rsidP="00F76B72">
            <w:pPr>
              <w:keepNext/>
              <w:spacing w:after="0" w:line="240" w:lineRule="auto"/>
              <w:jc w:val="center"/>
              <w:rPr>
                <w:rFonts w:eastAsia="Times New Roman"/>
              </w:rPr>
            </w:pPr>
            <w:r w:rsidRPr="00A21400">
              <w:rPr>
                <w:rFonts w:eastAsia="Times New Roman"/>
              </w:rPr>
              <w:t>(0.118)</w:t>
            </w:r>
          </w:p>
        </w:tc>
        <w:tc>
          <w:tcPr>
            <w:tcW w:w="1329" w:type="pct"/>
            <w:tcBorders>
              <w:top w:val="nil"/>
              <w:left w:val="nil"/>
              <w:bottom w:val="nil"/>
              <w:right w:val="nil"/>
            </w:tcBorders>
            <w:shd w:val="clear" w:color="000000" w:fill="F2F2F2"/>
            <w:noWrap/>
            <w:vAlign w:val="bottom"/>
            <w:hideMark/>
          </w:tcPr>
          <w:p w14:paraId="20B116A4" w14:textId="77777777" w:rsidR="00F76B72" w:rsidRPr="00A21400" w:rsidRDefault="00F76B72" w:rsidP="00F76B72">
            <w:pPr>
              <w:keepNext/>
              <w:spacing w:after="0" w:line="240" w:lineRule="auto"/>
              <w:jc w:val="center"/>
              <w:rPr>
                <w:rFonts w:eastAsia="Times New Roman"/>
              </w:rPr>
            </w:pPr>
            <w:r w:rsidRPr="00A21400">
              <w:rPr>
                <w:rFonts w:eastAsia="Times New Roman"/>
              </w:rPr>
              <w:t>(0.128)</w:t>
            </w:r>
          </w:p>
        </w:tc>
        <w:tc>
          <w:tcPr>
            <w:tcW w:w="738" w:type="pct"/>
            <w:tcBorders>
              <w:top w:val="nil"/>
              <w:left w:val="nil"/>
              <w:bottom w:val="nil"/>
              <w:right w:val="nil"/>
            </w:tcBorders>
            <w:shd w:val="clear" w:color="000000" w:fill="F2F2F2"/>
            <w:noWrap/>
            <w:vAlign w:val="bottom"/>
            <w:hideMark/>
          </w:tcPr>
          <w:p w14:paraId="44BE5FE1" w14:textId="77777777" w:rsidR="00F76B72" w:rsidRPr="00A21400" w:rsidRDefault="00F76B72" w:rsidP="00F76B72">
            <w:pPr>
              <w:keepNext/>
              <w:spacing w:after="0" w:line="240" w:lineRule="auto"/>
              <w:jc w:val="center"/>
              <w:rPr>
                <w:rFonts w:eastAsia="Times New Roman"/>
              </w:rPr>
            </w:pPr>
            <w:r w:rsidRPr="00A21400">
              <w:rPr>
                <w:rFonts w:eastAsia="Times New Roman"/>
              </w:rPr>
              <w:t>(0.110)</w:t>
            </w:r>
          </w:p>
        </w:tc>
      </w:tr>
      <w:tr w:rsidR="00F76B72" w:rsidRPr="00A21400" w14:paraId="21CDF4E7" w14:textId="77777777" w:rsidTr="00F76B72">
        <w:trPr>
          <w:trHeight w:val="300"/>
        </w:trPr>
        <w:tc>
          <w:tcPr>
            <w:tcW w:w="1923" w:type="pct"/>
            <w:tcBorders>
              <w:top w:val="nil"/>
              <w:left w:val="nil"/>
              <w:bottom w:val="nil"/>
              <w:right w:val="nil"/>
            </w:tcBorders>
            <w:shd w:val="clear" w:color="000000" w:fill="F2F2F2"/>
            <w:noWrap/>
            <w:vAlign w:val="bottom"/>
            <w:hideMark/>
          </w:tcPr>
          <w:p w14:paraId="4A1E2FB9" w14:textId="77777777" w:rsidR="00F76B72" w:rsidRPr="00A21400" w:rsidRDefault="00F76B72" w:rsidP="00F76B72">
            <w:pPr>
              <w:keepNext/>
              <w:spacing w:after="0" w:line="240" w:lineRule="auto"/>
              <w:rPr>
                <w:rFonts w:eastAsia="Times New Roman"/>
              </w:rPr>
            </w:pPr>
            <w:r w:rsidRPr="00A21400">
              <w:rPr>
                <w:rFonts w:eastAsia="Times New Roman"/>
              </w:rPr>
              <w:t>Income ($10,000's)</w:t>
            </w:r>
          </w:p>
        </w:tc>
        <w:tc>
          <w:tcPr>
            <w:tcW w:w="1010" w:type="pct"/>
            <w:tcBorders>
              <w:top w:val="nil"/>
              <w:left w:val="nil"/>
              <w:bottom w:val="nil"/>
              <w:right w:val="nil"/>
            </w:tcBorders>
            <w:shd w:val="clear" w:color="000000" w:fill="F2F2F2"/>
            <w:noWrap/>
            <w:vAlign w:val="bottom"/>
            <w:hideMark/>
          </w:tcPr>
          <w:p w14:paraId="0319AD78" w14:textId="77777777" w:rsidR="00F76B72" w:rsidRPr="00A21400" w:rsidRDefault="00F76B72" w:rsidP="00F76B72">
            <w:pPr>
              <w:keepNext/>
              <w:spacing w:after="0" w:line="240" w:lineRule="auto"/>
              <w:jc w:val="center"/>
              <w:rPr>
                <w:rFonts w:eastAsia="Times New Roman"/>
              </w:rPr>
            </w:pPr>
            <w:r w:rsidRPr="00A21400">
              <w:rPr>
                <w:rFonts w:eastAsia="Times New Roman"/>
              </w:rPr>
              <w:t>-0.0284</w:t>
            </w:r>
          </w:p>
        </w:tc>
        <w:tc>
          <w:tcPr>
            <w:tcW w:w="1329" w:type="pct"/>
            <w:tcBorders>
              <w:top w:val="nil"/>
              <w:left w:val="nil"/>
              <w:bottom w:val="nil"/>
              <w:right w:val="nil"/>
            </w:tcBorders>
            <w:shd w:val="clear" w:color="000000" w:fill="F2F2F2"/>
            <w:noWrap/>
            <w:vAlign w:val="bottom"/>
            <w:hideMark/>
          </w:tcPr>
          <w:p w14:paraId="0B207F3B" w14:textId="77777777" w:rsidR="00F76B72" w:rsidRPr="00A21400" w:rsidRDefault="00F76B72" w:rsidP="00F76B72">
            <w:pPr>
              <w:keepNext/>
              <w:spacing w:after="0" w:line="240" w:lineRule="auto"/>
              <w:jc w:val="center"/>
              <w:rPr>
                <w:rFonts w:eastAsia="Times New Roman"/>
              </w:rPr>
            </w:pPr>
            <w:r w:rsidRPr="00A21400">
              <w:rPr>
                <w:rFonts w:eastAsia="Times New Roman"/>
              </w:rPr>
              <w:t>-0.0519*</w:t>
            </w:r>
          </w:p>
        </w:tc>
        <w:tc>
          <w:tcPr>
            <w:tcW w:w="738" w:type="pct"/>
            <w:tcBorders>
              <w:top w:val="nil"/>
              <w:left w:val="nil"/>
              <w:bottom w:val="nil"/>
              <w:right w:val="nil"/>
            </w:tcBorders>
            <w:shd w:val="clear" w:color="000000" w:fill="F2F2F2"/>
            <w:noWrap/>
            <w:vAlign w:val="bottom"/>
            <w:hideMark/>
          </w:tcPr>
          <w:p w14:paraId="78BDBB78" w14:textId="77777777" w:rsidR="00F76B72" w:rsidRPr="00A21400" w:rsidRDefault="00F76B72" w:rsidP="00F76B72">
            <w:pPr>
              <w:keepNext/>
              <w:spacing w:after="0" w:line="240" w:lineRule="auto"/>
              <w:jc w:val="center"/>
              <w:rPr>
                <w:rFonts w:eastAsia="Times New Roman"/>
              </w:rPr>
            </w:pPr>
            <w:r w:rsidRPr="00A21400">
              <w:rPr>
                <w:rFonts w:eastAsia="Times New Roman"/>
              </w:rPr>
              <w:t>-0.0674***</w:t>
            </w:r>
          </w:p>
        </w:tc>
      </w:tr>
      <w:tr w:rsidR="00F76B72" w:rsidRPr="00A21400" w14:paraId="1046D5A1" w14:textId="77777777" w:rsidTr="00F76B72">
        <w:trPr>
          <w:trHeight w:val="300"/>
        </w:trPr>
        <w:tc>
          <w:tcPr>
            <w:tcW w:w="1923" w:type="pct"/>
            <w:tcBorders>
              <w:top w:val="nil"/>
              <w:left w:val="nil"/>
              <w:bottom w:val="nil"/>
              <w:right w:val="nil"/>
            </w:tcBorders>
            <w:shd w:val="clear" w:color="000000" w:fill="F2F2F2"/>
            <w:noWrap/>
            <w:vAlign w:val="bottom"/>
            <w:hideMark/>
          </w:tcPr>
          <w:p w14:paraId="75391875"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2A6C38D7" w14:textId="77777777" w:rsidR="00F76B72" w:rsidRPr="00A21400" w:rsidRDefault="00F76B72" w:rsidP="00F76B72">
            <w:pPr>
              <w:keepNext/>
              <w:spacing w:after="0" w:line="240" w:lineRule="auto"/>
              <w:jc w:val="center"/>
              <w:rPr>
                <w:rFonts w:eastAsia="Times New Roman"/>
              </w:rPr>
            </w:pPr>
            <w:r w:rsidRPr="00A21400">
              <w:rPr>
                <w:rFonts w:eastAsia="Times New Roman"/>
              </w:rPr>
              <w:t>(0.0260)</w:t>
            </w:r>
          </w:p>
        </w:tc>
        <w:tc>
          <w:tcPr>
            <w:tcW w:w="1329" w:type="pct"/>
            <w:tcBorders>
              <w:top w:val="nil"/>
              <w:left w:val="nil"/>
              <w:bottom w:val="nil"/>
              <w:right w:val="nil"/>
            </w:tcBorders>
            <w:shd w:val="clear" w:color="000000" w:fill="F2F2F2"/>
            <w:noWrap/>
            <w:vAlign w:val="bottom"/>
            <w:hideMark/>
          </w:tcPr>
          <w:p w14:paraId="14CD5F28" w14:textId="77777777" w:rsidR="00F76B72" w:rsidRPr="00A21400" w:rsidRDefault="00F76B72" w:rsidP="00F76B72">
            <w:pPr>
              <w:keepNext/>
              <w:spacing w:after="0" w:line="240" w:lineRule="auto"/>
              <w:jc w:val="center"/>
              <w:rPr>
                <w:rFonts w:eastAsia="Times New Roman"/>
              </w:rPr>
            </w:pPr>
            <w:r w:rsidRPr="00A21400">
              <w:rPr>
                <w:rFonts w:eastAsia="Times New Roman"/>
              </w:rPr>
              <w:t>(0.0273)</w:t>
            </w:r>
          </w:p>
        </w:tc>
        <w:tc>
          <w:tcPr>
            <w:tcW w:w="738" w:type="pct"/>
            <w:tcBorders>
              <w:top w:val="nil"/>
              <w:left w:val="nil"/>
              <w:bottom w:val="nil"/>
              <w:right w:val="nil"/>
            </w:tcBorders>
            <w:shd w:val="clear" w:color="000000" w:fill="F2F2F2"/>
            <w:noWrap/>
            <w:vAlign w:val="bottom"/>
            <w:hideMark/>
          </w:tcPr>
          <w:p w14:paraId="25C84D36" w14:textId="77777777" w:rsidR="00F76B72" w:rsidRPr="00A21400" w:rsidRDefault="00F76B72" w:rsidP="00F76B72">
            <w:pPr>
              <w:keepNext/>
              <w:spacing w:after="0" w:line="240" w:lineRule="auto"/>
              <w:jc w:val="center"/>
              <w:rPr>
                <w:rFonts w:eastAsia="Times New Roman"/>
              </w:rPr>
            </w:pPr>
            <w:r w:rsidRPr="00A21400">
              <w:rPr>
                <w:rFonts w:eastAsia="Times New Roman"/>
              </w:rPr>
              <w:t>(0.0234)</w:t>
            </w:r>
          </w:p>
        </w:tc>
      </w:tr>
      <w:tr w:rsidR="00F76B72" w:rsidRPr="00A21400" w14:paraId="74B00712" w14:textId="77777777" w:rsidTr="00F76B72">
        <w:trPr>
          <w:trHeight w:val="300"/>
        </w:trPr>
        <w:tc>
          <w:tcPr>
            <w:tcW w:w="1923" w:type="pct"/>
            <w:tcBorders>
              <w:top w:val="nil"/>
              <w:left w:val="nil"/>
              <w:bottom w:val="nil"/>
              <w:right w:val="nil"/>
            </w:tcBorders>
            <w:shd w:val="clear" w:color="000000" w:fill="F2F2F2"/>
            <w:noWrap/>
            <w:vAlign w:val="bottom"/>
            <w:hideMark/>
          </w:tcPr>
          <w:p w14:paraId="087E4022" w14:textId="77777777" w:rsidR="00F76B72" w:rsidRPr="00A21400" w:rsidRDefault="00F76B72" w:rsidP="00F76B72">
            <w:pPr>
              <w:keepNext/>
              <w:spacing w:after="0" w:line="240" w:lineRule="auto"/>
              <w:rPr>
                <w:rFonts w:eastAsia="Times New Roman"/>
              </w:rPr>
            </w:pPr>
            <w:r w:rsidRPr="00A21400">
              <w:rPr>
                <w:rFonts w:eastAsia="Times New Roman"/>
              </w:rPr>
              <w:t>Age (years)</w:t>
            </w:r>
          </w:p>
        </w:tc>
        <w:tc>
          <w:tcPr>
            <w:tcW w:w="1010" w:type="pct"/>
            <w:tcBorders>
              <w:top w:val="nil"/>
              <w:left w:val="nil"/>
              <w:bottom w:val="nil"/>
              <w:right w:val="nil"/>
            </w:tcBorders>
            <w:shd w:val="clear" w:color="000000" w:fill="F2F2F2"/>
            <w:noWrap/>
            <w:vAlign w:val="bottom"/>
            <w:hideMark/>
          </w:tcPr>
          <w:p w14:paraId="6E6F0621" w14:textId="77777777" w:rsidR="00F76B72" w:rsidRPr="00A21400" w:rsidRDefault="00F76B72" w:rsidP="00F76B72">
            <w:pPr>
              <w:keepNext/>
              <w:spacing w:after="0" w:line="240" w:lineRule="auto"/>
              <w:jc w:val="center"/>
              <w:rPr>
                <w:rFonts w:eastAsia="Times New Roman"/>
              </w:rPr>
            </w:pPr>
            <w:r w:rsidRPr="00A21400">
              <w:rPr>
                <w:rFonts w:eastAsia="Times New Roman"/>
              </w:rPr>
              <w:t>-0.0157*</w:t>
            </w:r>
          </w:p>
        </w:tc>
        <w:tc>
          <w:tcPr>
            <w:tcW w:w="1329" w:type="pct"/>
            <w:tcBorders>
              <w:top w:val="nil"/>
              <w:left w:val="nil"/>
              <w:bottom w:val="nil"/>
              <w:right w:val="nil"/>
            </w:tcBorders>
            <w:shd w:val="clear" w:color="000000" w:fill="F2F2F2"/>
            <w:noWrap/>
            <w:vAlign w:val="bottom"/>
            <w:hideMark/>
          </w:tcPr>
          <w:p w14:paraId="344B1F84" w14:textId="77777777" w:rsidR="00F76B72" w:rsidRPr="00A21400" w:rsidRDefault="00F76B72" w:rsidP="00F76B72">
            <w:pPr>
              <w:keepNext/>
              <w:spacing w:after="0" w:line="240" w:lineRule="auto"/>
              <w:jc w:val="center"/>
              <w:rPr>
                <w:rFonts w:eastAsia="Times New Roman"/>
              </w:rPr>
            </w:pPr>
            <w:r w:rsidRPr="00A21400">
              <w:rPr>
                <w:rFonts w:eastAsia="Times New Roman"/>
              </w:rPr>
              <w:t>-0.0176*</w:t>
            </w:r>
          </w:p>
        </w:tc>
        <w:tc>
          <w:tcPr>
            <w:tcW w:w="738" w:type="pct"/>
            <w:tcBorders>
              <w:top w:val="nil"/>
              <w:left w:val="nil"/>
              <w:bottom w:val="nil"/>
              <w:right w:val="nil"/>
            </w:tcBorders>
            <w:shd w:val="clear" w:color="000000" w:fill="F2F2F2"/>
            <w:noWrap/>
            <w:vAlign w:val="bottom"/>
            <w:hideMark/>
          </w:tcPr>
          <w:p w14:paraId="4104EAC9" w14:textId="77777777" w:rsidR="00F76B72" w:rsidRPr="00A21400" w:rsidRDefault="00F76B72" w:rsidP="00F76B72">
            <w:pPr>
              <w:keepNext/>
              <w:spacing w:after="0" w:line="240" w:lineRule="auto"/>
              <w:jc w:val="center"/>
              <w:rPr>
                <w:rFonts w:eastAsia="Times New Roman"/>
              </w:rPr>
            </w:pPr>
            <w:r w:rsidRPr="00A21400">
              <w:rPr>
                <w:rFonts w:eastAsia="Times New Roman"/>
              </w:rPr>
              <w:t>-0.0101</w:t>
            </w:r>
          </w:p>
        </w:tc>
      </w:tr>
      <w:tr w:rsidR="00F76B72" w:rsidRPr="00A21400" w14:paraId="1A71ACA2" w14:textId="77777777" w:rsidTr="00F76B72">
        <w:trPr>
          <w:trHeight w:val="300"/>
        </w:trPr>
        <w:tc>
          <w:tcPr>
            <w:tcW w:w="1923" w:type="pct"/>
            <w:tcBorders>
              <w:top w:val="nil"/>
              <w:left w:val="nil"/>
              <w:bottom w:val="nil"/>
              <w:right w:val="nil"/>
            </w:tcBorders>
            <w:shd w:val="clear" w:color="000000" w:fill="F2F2F2"/>
            <w:noWrap/>
            <w:vAlign w:val="bottom"/>
            <w:hideMark/>
          </w:tcPr>
          <w:p w14:paraId="200C2684"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0D2E5BDD" w14:textId="77777777" w:rsidR="00F76B72" w:rsidRPr="00A21400" w:rsidRDefault="00F76B72" w:rsidP="00F76B72">
            <w:pPr>
              <w:keepNext/>
              <w:spacing w:after="0" w:line="240" w:lineRule="auto"/>
              <w:jc w:val="center"/>
              <w:rPr>
                <w:rFonts w:eastAsia="Times New Roman"/>
              </w:rPr>
            </w:pPr>
            <w:r w:rsidRPr="00A21400">
              <w:rPr>
                <w:rFonts w:eastAsia="Times New Roman"/>
              </w:rPr>
              <w:t>(0.00925)</w:t>
            </w:r>
          </w:p>
        </w:tc>
        <w:tc>
          <w:tcPr>
            <w:tcW w:w="1329" w:type="pct"/>
            <w:tcBorders>
              <w:top w:val="nil"/>
              <w:left w:val="nil"/>
              <w:bottom w:val="nil"/>
              <w:right w:val="nil"/>
            </w:tcBorders>
            <w:shd w:val="clear" w:color="000000" w:fill="F2F2F2"/>
            <w:noWrap/>
            <w:vAlign w:val="bottom"/>
            <w:hideMark/>
          </w:tcPr>
          <w:p w14:paraId="4686F2D2" w14:textId="77777777" w:rsidR="00F76B72" w:rsidRPr="00A21400" w:rsidRDefault="00F76B72" w:rsidP="00F76B72">
            <w:pPr>
              <w:keepNext/>
              <w:spacing w:after="0" w:line="240" w:lineRule="auto"/>
              <w:jc w:val="center"/>
              <w:rPr>
                <w:rFonts w:eastAsia="Times New Roman"/>
              </w:rPr>
            </w:pPr>
            <w:r w:rsidRPr="00A21400">
              <w:rPr>
                <w:rFonts w:eastAsia="Times New Roman"/>
              </w:rPr>
              <w:t>(0.00970)</w:t>
            </w:r>
          </w:p>
        </w:tc>
        <w:tc>
          <w:tcPr>
            <w:tcW w:w="738" w:type="pct"/>
            <w:tcBorders>
              <w:top w:val="nil"/>
              <w:left w:val="nil"/>
              <w:bottom w:val="nil"/>
              <w:right w:val="nil"/>
            </w:tcBorders>
            <w:shd w:val="clear" w:color="000000" w:fill="F2F2F2"/>
            <w:noWrap/>
            <w:vAlign w:val="bottom"/>
            <w:hideMark/>
          </w:tcPr>
          <w:p w14:paraId="421E2B58" w14:textId="77777777" w:rsidR="00F76B72" w:rsidRPr="00A21400" w:rsidRDefault="00F76B72" w:rsidP="00F76B72">
            <w:pPr>
              <w:keepNext/>
              <w:spacing w:after="0" w:line="240" w:lineRule="auto"/>
              <w:jc w:val="center"/>
              <w:rPr>
                <w:rFonts w:eastAsia="Times New Roman"/>
              </w:rPr>
            </w:pPr>
            <w:r w:rsidRPr="00A21400">
              <w:rPr>
                <w:rFonts w:eastAsia="Times New Roman"/>
              </w:rPr>
              <w:t>(0.00881)</w:t>
            </w:r>
          </w:p>
        </w:tc>
      </w:tr>
      <w:tr w:rsidR="00F76B72" w:rsidRPr="00A21400" w14:paraId="08A174BF" w14:textId="77777777" w:rsidTr="00F76B72">
        <w:trPr>
          <w:trHeight w:val="300"/>
        </w:trPr>
        <w:tc>
          <w:tcPr>
            <w:tcW w:w="1923" w:type="pct"/>
            <w:tcBorders>
              <w:top w:val="nil"/>
              <w:left w:val="nil"/>
              <w:bottom w:val="nil"/>
              <w:right w:val="nil"/>
            </w:tcBorders>
            <w:shd w:val="clear" w:color="000000" w:fill="F2F2F2"/>
            <w:noWrap/>
            <w:vAlign w:val="bottom"/>
            <w:hideMark/>
          </w:tcPr>
          <w:p w14:paraId="15F87847" w14:textId="77777777" w:rsidR="00F76B72" w:rsidRPr="00A21400" w:rsidRDefault="00F76B72" w:rsidP="00F76B72">
            <w:pPr>
              <w:keepNext/>
              <w:spacing w:after="0" w:line="240" w:lineRule="auto"/>
              <w:rPr>
                <w:rFonts w:eastAsia="Times New Roman"/>
              </w:rPr>
            </w:pPr>
            <w:r w:rsidRPr="00A21400">
              <w:rPr>
                <w:rFonts w:eastAsia="Times New Roman"/>
              </w:rPr>
              <w:t>White (1=yes)</w:t>
            </w:r>
          </w:p>
        </w:tc>
        <w:tc>
          <w:tcPr>
            <w:tcW w:w="1010" w:type="pct"/>
            <w:tcBorders>
              <w:top w:val="nil"/>
              <w:left w:val="nil"/>
              <w:bottom w:val="nil"/>
              <w:right w:val="nil"/>
            </w:tcBorders>
            <w:shd w:val="clear" w:color="000000" w:fill="F2F2F2"/>
            <w:noWrap/>
            <w:vAlign w:val="bottom"/>
            <w:hideMark/>
          </w:tcPr>
          <w:p w14:paraId="782B02D2" w14:textId="77777777" w:rsidR="00F76B72" w:rsidRPr="00A21400" w:rsidRDefault="00F76B72" w:rsidP="00F76B72">
            <w:pPr>
              <w:keepNext/>
              <w:spacing w:after="0" w:line="240" w:lineRule="auto"/>
              <w:jc w:val="center"/>
              <w:rPr>
                <w:rFonts w:eastAsia="Times New Roman"/>
              </w:rPr>
            </w:pPr>
            <w:r w:rsidRPr="00A21400">
              <w:rPr>
                <w:rFonts w:eastAsia="Times New Roman"/>
              </w:rPr>
              <w:t>-0.318</w:t>
            </w:r>
          </w:p>
        </w:tc>
        <w:tc>
          <w:tcPr>
            <w:tcW w:w="1329" w:type="pct"/>
            <w:tcBorders>
              <w:top w:val="nil"/>
              <w:left w:val="nil"/>
              <w:bottom w:val="nil"/>
              <w:right w:val="nil"/>
            </w:tcBorders>
            <w:shd w:val="clear" w:color="000000" w:fill="F2F2F2"/>
            <w:noWrap/>
            <w:vAlign w:val="bottom"/>
            <w:hideMark/>
          </w:tcPr>
          <w:p w14:paraId="251839FC" w14:textId="77777777" w:rsidR="00F76B72" w:rsidRPr="00A21400" w:rsidRDefault="00F76B72" w:rsidP="00F76B72">
            <w:pPr>
              <w:keepNext/>
              <w:spacing w:after="0" w:line="240" w:lineRule="auto"/>
              <w:jc w:val="center"/>
              <w:rPr>
                <w:rFonts w:eastAsia="Times New Roman"/>
              </w:rPr>
            </w:pPr>
            <w:r w:rsidRPr="00A21400">
              <w:rPr>
                <w:rFonts w:eastAsia="Times New Roman"/>
              </w:rPr>
              <w:t>-0.596</w:t>
            </w:r>
          </w:p>
        </w:tc>
        <w:tc>
          <w:tcPr>
            <w:tcW w:w="738" w:type="pct"/>
            <w:tcBorders>
              <w:top w:val="nil"/>
              <w:left w:val="nil"/>
              <w:bottom w:val="nil"/>
              <w:right w:val="nil"/>
            </w:tcBorders>
            <w:shd w:val="clear" w:color="000000" w:fill="F2F2F2"/>
            <w:noWrap/>
            <w:vAlign w:val="bottom"/>
            <w:hideMark/>
          </w:tcPr>
          <w:p w14:paraId="2D755097" w14:textId="77777777" w:rsidR="00F76B72" w:rsidRPr="00A21400" w:rsidRDefault="00F76B72" w:rsidP="00F76B72">
            <w:pPr>
              <w:keepNext/>
              <w:spacing w:after="0" w:line="240" w:lineRule="auto"/>
              <w:jc w:val="center"/>
              <w:rPr>
                <w:rFonts w:eastAsia="Times New Roman"/>
              </w:rPr>
            </w:pPr>
            <w:r w:rsidRPr="00A21400">
              <w:rPr>
                <w:rFonts w:eastAsia="Times New Roman"/>
              </w:rPr>
              <w:t>-0.128</w:t>
            </w:r>
          </w:p>
        </w:tc>
      </w:tr>
      <w:tr w:rsidR="00F76B72" w:rsidRPr="00A21400" w14:paraId="16B58036" w14:textId="77777777" w:rsidTr="00F76B72">
        <w:trPr>
          <w:trHeight w:val="300"/>
        </w:trPr>
        <w:tc>
          <w:tcPr>
            <w:tcW w:w="1923" w:type="pct"/>
            <w:tcBorders>
              <w:top w:val="nil"/>
              <w:left w:val="nil"/>
              <w:bottom w:val="nil"/>
              <w:right w:val="nil"/>
            </w:tcBorders>
            <w:shd w:val="clear" w:color="000000" w:fill="F2F2F2"/>
            <w:noWrap/>
            <w:vAlign w:val="bottom"/>
            <w:hideMark/>
          </w:tcPr>
          <w:p w14:paraId="3508663B"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1E46AAAB" w14:textId="77777777" w:rsidR="00F76B72" w:rsidRPr="00A21400" w:rsidRDefault="00F76B72" w:rsidP="00F76B72">
            <w:pPr>
              <w:keepNext/>
              <w:spacing w:after="0" w:line="240" w:lineRule="auto"/>
              <w:jc w:val="center"/>
              <w:rPr>
                <w:rFonts w:eastAsia="Times New Roman"/>
              </w:rPr>
            </w:pPr>
            <w:r w:rsidRPr="00A21400">
              <w:rPr>
                <w:rFonts w:eastAsia="Times New Roman"/>
              </w:rPr>
              <w:t>(0.419)</w:t>
            </w:r>
          </w:p>
        </w:tc>
        <w:tc>
          <w:tcPr>
            <w:tcW w:w="1329" w:type="pct"/>
            <w:tcBorders>
              <w:top w:val="nil"/>
              <w:left w:val="nil"/>
              <w:bottom w:val="nil"/>
              <w:right w:val="nil"/>
            </w:tcBorders>
            <w:shd w:val="clear" w:color="000000" w:fill="F2F2F2"/>
            <w:noWrap/>
            <w:vAlign w:val="bottom"/>
            <w:hideMark/>
          </w:tcPr>
          <w:p w14:paraId="180E35AB" w14:textId="77777777" w:rsidR="00F76B72" w:rsidRPr="00A21400" w:rsidRDefault="00F76B72" w:rsidP="00F76B72">
            <w:pPr>
              <w:keepNext/>
              <w:spacing w:after="0" w:line="240" w:lineRule="auto"/>
              <w:jc w:val="center"/>
              <w:rPr>
                <w:rFonts w:eastAsia="Times New Roman"/>
              </w:rPr>
            </w:pPr>
            <w:r w:rsidRPr="00A21400">
              <w:rPr>
                <w:rFonts w:eastAsia="Times New Roman"/>
              </w:rPr>
              <w:t>(0.435)</w:t>
            </w:r>
          </w:p>
        </w:tc>
        <w:tc>
          <w:tcPr>
            <w:tcW w:w="738" w:type="pct"/>
            <w:tcBorders>
              <w:top w:val="nil"/>
              <w:left w:val="nil"/>
              <w:bottom w:val="nil"/>
              <w:right w:val="nil"/>
            </w:tcBorders>
            <w:shd w:val="clear" w:color="000000" w:fill="F2F2F2"/>
            <w:noWrap/>
            <w:vAlign w:val="bottom"/>
            <w:hideMark/>
          </w:tcPr>
          <w:p w14:paraId="742DA8E6" w14:textId="77777777" w:rsidR="00F76B72" w:rsidRPr="00A21400" w:rsidRDefault="00F76B72" w:rsidP="00F76B72">
            <w:pPr>
              <w:keepNext/>
              <w:spacing w:after="0" w:line="240" w:lineRule="auto"/>
              <w:jc w:val="center"/>
              <w:rPr>
                <w:rFonts w:eastAsia="Times New Roman"/>
              </w:rPr>
            </w:pPr>
            <w:r w:rsidRPr="00A21400">
              <w:rPr>
                <w:rFonts w:eastAsia="Times New Roman"/>
              </w:rPr>
              <w:t>(0.407)</w:t>
            </w:r>
          </w:p>
        </w:tc>
      </w:tr>
      <w:tr w:rsidR="00F76B72" w:rsidRPr="00A21400" w14:paraId="7E181C8F" w14:textId="77777777" w:rsidTr="00F76B72">
        <w:trPr>
          <w:trHeight w:val="300"/>
        </w:trPr>
        <w:tc>
          <w:tcPr>
            <w:tcW w:w="1923" w:type="pct"/>
            <w:tcBorders>
              <w:top w:val="nil"/>
              <w:left w:val="nil"/>
              <w:bottom w:val="nil"/>
              <w:right w:val="nil"/>
            </w:tcBorders>
            <w:shd w:val="clear" w:color="000000" w:fill="F2F2F2"/>
            <w:noWrap/>
            <w:vAlign w:val="bottom"/>
            <w:hideMark/>
          </w:tcPr>
          <w:p w14:paraId="4C044672" w14:textId="77777777" w:rsidR="00F76B72" w:rsidRPr="00A21400" w:rsidRDefault="00F76B72" w:rsidP="00F76B72">
            <w:pPr>
              <w:keepNext/>
              <w:spacing w:after="0" w:line="240" w:lineRule="auto"/>
              <w:rPr>
                <w:rFonts w:eastAsia="Times New Roman"/>
              </w:rPr>
            </w:pPr>
            <w:r w:rsidRPr="00A21400">
              <w:rPr>
                <w:rFonts w:eastAsia="Times New Roman"/>
              </w:rPr>
              <w:t>Republican (1=yes)</w:t>
            </w:r>
          </w:p>
        </w:tc>
        <w:tc>
          <w:tcPr>
            <w:tcW w:w="1010" w:type="pct"/>
            <w:tcBorders>
              <w:top w:val="nil"/>
              <w:left w:val="nil"/>
              <w:bottom w:val="nil"/>
              <w:right w:val="nil"/>
            </w:tcBorders>
            <w:shd w:val="clear" w:color="000000" w:fill="F2F2F2"/>
            <w:noWrap/>
            <w:vAlign w:val="bottom"/>
            <w:hideMark/>
          </w:tcPr>
          <w:p w14:paraId="5B0F7168" w14:textId="77777777" w:rsidR="00F76B72" w:rsidRPr="00A21400" w:rsidRDefault="00F76B72" w:rsidP="00F76B72">
            <w:pPr>
              <w:keepNext/>
              <w:spacing w:after="0" w:line="240" w:lineRule="auto"/>
              <w:jc w:val="center"/>
              <w:rPr>
                <w:rFonts w:eastAsia="Times New Roman"/>
              </w:rPr>
            </w:pPr>
            <w:r w:rsidRPr="00A21400">
              <w:rPr>
                <w:rFonts w:eastAsia="Times New Roman"/>
              </w:rPr>
              <w:t>-1.348***</w:t>
            </w:r>
          </w:p>
        </w:tc>
        <w:tc>
          <w:tcPr>
            <w:tcW w:w="1329" w:type="pct"/>
            <w:tcBorders>
              <w:top w:val="nil"/>
              <w:left w:val="nil"/>
              <w:bottom w:val="nil"/>
              <w:right w:val="nil"/>
            </w:tcBorders>
            <w:shd w:val="clear" w:color="000000" w:fill="F2F2F2"/>
            <w:noWrap/>
            <w:vAlign w:val="bottom"/>
            <w:hideMark/>
          </w:tcPr>
          <w:p w14:paraId="7A7E957E" w14:textId="77777777" w:rsidR="00F76B72" w:rsidRPr="00A21400" w:rsidRDefault="00F76B72" w:rsidP="00F76B72">
            <w:pPr>
              <w:keepNext/>
              <w:spacing w:after="0" w:line="240" w:lineRule="auto"/>
              <w:jc w:val="center"/>
              <w:rPr>
                <w:rFonts w:eastAsia="Times New Roman"/>
              </w:rPr>
            </w:pPr>
            <w:r w:rsidRPr="00A21400">
              <w:rPr>
                <w:rFonts w:eastAsia="Times New Roman"/>
              </w:rPr>
              <w:t>-1.075**</w:t>
            </w:r>
          </w:p>
        </w:tc>
        <w:tc>
          <w:tcPr>
            <w:tcW w:w="738" w:type="pct"/>
            <w:tcBorders>
              <w:top w:val="nil"/>
              <w:left w:val="nil"/>
              <w:bottom w:val="nil"/>
              <w:right w:val="nil"/>
            </w:tcBorders>
            <w:shd w:val="clear" w:color="000000" w:fill="F2F2F2"/>
            <w:noWrap/>
            <w:vAlign w:val="bottom"/>
            <w:hideMark/>
          </w:tcPr>
          <w:p w14:paraId="653A067F" w14:textId="77777777" w:rsidR="00F76B72" w:rsidRPr="00A21400" w:rsidRDefault="00F76B72" w:rsidP="00F76B72">
            <w:pPr>
              <w:keepNext/>
              <w:spacing w:after="0" w:line="240" w:lineRule="auto"/>
              <w:jc w:val="center"/>
              <w:rPr>
                <w:rFonts w:eastAsia="Times New Roman"/>
              </w:rPr>
            </w:pPr>
            <w:r w:rsidRPr="00A21400">
              <w:rPr>
                <w:rFonts w:eastAsia="Times New Roman"/>
              </w:rPr>
              <w:t>-1.953***</w:t>
            </w:r>
          </w:p>
        </w:tc>
      </w:tr>
      <w:tr w:rsidR="00F76B72" w:rsidRPr="00A21400" w14:paraId="13454A08" w14:textId="77777777" w:rsidTr="00F76B72">
        <w:trPr>
          <w:trHeight w:val="300"/>
        </w:trPr>
        <w:tc>
          <w:tcPr>
            <w:tcW w:w="1923" w:type="pct"/>
            <w:tcBorders>
              <w:top w:val="nil"/>
              <w:left w:val="nil"/>
              <w:bottom w:val="nil"/>
              <w:right w:val="nil"/>
            </w:tcBorders>
            <w:shd w:val="clear" w:color="000000" w:fill="F2F2F2"/>
            <w:noWrap/>
            <w:vAlign w:val="bottom"/>
            <w:hideMark/>
          </w:tcPr>
          <w:p w14:paraId="7E0CA5C3"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464027F2" w14:textId="77777777" w:rsidR="00F76B72" w:rsidRPr="00A21400" w:rsidRDefault="00F76B72" w:rsidP="00F76B72">
            <w:pPr>
              <w:keepNext/>
              <w:spacing w:after="0" w:line="240" w:lineRule="auto"/>
              <w:jc w:val="center"/>
              <w:rPr>
                <w:rFonts w:eastAsia="Times New Roman"/>
              </w:rPr>
            </w:pPr>
            <w:r w:rsidRPr="00A21400">
              <w:rPr>
                <w:rFonts w:eastAsia="Times New Roman"/>
              </w:rPr>
              <w:t>(0.508)</w:t>
            </w:r>
          </w:p>
        </w:tc>
        <w:tc>
          <w:tcPr>
            <w:tcW w:w="1329" w:type="pct"/>
            <w:tcBorders>
              <w:top w:val="nil"/>
              <w:left w:val="nil"/>
              <w:bottom w:val="nil"/>
              <w:right w:val="nil"/>
            </w:tcBorders>
            <w:shd w:val="clear" w:color="000000" w:fill="F2F2F2"/>
            <w:noWrap/>
            <w:vAlign w:val="bottom"/>
            <w:hideMark/>
          </w:tcPr>
          <w:p w14:paraId="26493D5E" w14:textId="77777777" w:rsidR="00F76B72" w:rsidRPr="00A21400" w:rsidRDefault="00F76B72" w:rsidP="00F76B72">
            <w:pPr>
              <w:keepNext/>
              <w:spacing w:after="0" w:line="240" w:lineRule="auto"/>
              <w:jc w:val="center"/>
              <w:rPr>
                <w:rFonts w:eastAsia="Times New Roman"/>
              </w:rPr>
            </w:pPr>
            <w:r w:rsidRPr="00A21400">
              <w:rPr>
                <w:rFonts w:eastAsia="Times New Roman"/>
              </w:rPr>
              <w:t>(0.536)</w:t>
            </w:r>
          </w:p>
        </w:tc>
        <w:tc>
          <w:tcPr>
            <w:tcW w:w="738" w:type="pct"/>
            <w:tcBorders>
              <w:top w:val="nil"/>
              <w:left w:val="nil"/>
              <w:bottom w:val="nil"/>
              <w:right w:val="nil"/>
            </w:tcBorders>
            <w:shd w:val="clear" w:color="000000" w:fill="F2F2F2"/>
            <w:noWrap/>
            <w:vAlign w:val="bottom"/>
            <w:hideMark/>
          </w:tcPr>
          <w:p w14:paraId="62C3F971" w14:textId="77777777" w:rsidR="00F76B72" w:rsidRPr="00A21400" w:rsidRDefault="00F76B72" w:rsidP="00F76B72">
            <w:pPr>
              <w:keepNext/>
              <w:spacing w:after="0" w:line="240" w:lineRule="auto"/>
              <w:jc w:val="center"/>
              <w:rPr>
                <w:rFonts w:eastAsia="Times New Roman"/>
              </w:rPr>
            </w:pPr>
            <w:r w:rsidRPr="00A21400">
              <w:rPr>
                <w:rFonts w:eastAsia="Times New Roman"/>
              </w:rPr>
              <w:t>(0.485)</w:t>
            </w:r>
          </w:p>
        </w:tc>
      </w:tr>
      <w:tr w:rsidR="00F76B72" w:rsidRPr="00A21400" w14:paraId="539DC7AB" w14:textId="77777777" w:rsidTr="00F76B72">
        <w:trPr>
          <w:trHeight w:val="300"/>
        </w:trPr>
        <w:tc>
          <w:tcPr>
            <w:tcW w:w="1923" w:type="pct"/>
            <w:tcBorders>
              <w:top w:val="nil"/>
              <w:left w:val="nil"/>
              <w:bottom w:val="nil"/>
              <w:right w:val="nil"/>
            </w:tcBorders>
            <w:shd w:val="clear" w:color="000000" w:fill="F2F2F2"/>
            <w:noWrap/>
            <w:vAlign w:val="bottom"/>
            <w:hideMark/>
          </w:tcPr>
          <w:p w14:paraId="6435D08C" w14:textId="77777777" w:rsidR="00F76B72" w:rsidRPr="00A21400" w:rsidRDefault="00F76B72" w:rsidP="00F76B72">
            <w:pPr>
              <w:keepNext/>
              <w:spacing w:after="0" w:line="240" w:lineRule="auto"/>
              <w:rPr>
                <w:rFonts w:eastAsia="Times New Roman"/>
              </w:rPr>
            </w:pPr>
            <w:r w:rsidRPr="00A21400">
              <w:rPr>
                <w:rFonts w:eastAsia="Times New Roman"/>
              </w:rPr>
              <w:t>Independent (1=yes)</w:t>
            </w:r>
          </w:p>
        </w:tc>
        <w:tc>
          <w:tcPr>
            <w:tcW w:w="1010" w:type="pct"/>
            <w:tcBorders>
              <w:top w:val="nil"/>
              <w:left w:val="nil"/>
              <w:bottom w:val="nil"/>
              <w:right w:val="nil"/>
            </w:tcBorders>
            <w:shd w:val="clear" w:color="000000" w:fill="F2F2F2"/>
            <w:noWrap/>
            <w:vAlign w:val="bottom"/>
            <w:hideMark/>
          </w:tcPr>
          <w:p w14:paraId="7F8E7B2C" w14:textId="77777777" w:rsidR="00F76B72" w:rsidRPr="00A21400" w:rsidRDefault="00F76B72" w:rsidP="00F76B72">
            <w:pPr>
              <w:keepNext/>
              <w:spacing w:after="0" w:line="240" w:lineRule="auto"/>
              <w:jc w:val="center"/>
              <w:rPr>
                <w:rFonts w:eastAsia="Times New Roman"/>
              </w:rPr>
            </w:pPr>
            <w:r w:rsidRPr="00A21400">
              <w:rPr>
                <w:rFonts w:eastAsia="Times New Roman"/>
              </w:rPr>
              <w:t>-1.628***</w:t>
            </w:r>
          </w:p>
        </w:tc>
        <w:tc>
          <w:tcPr>
            <w:tcW w:w="1329" w:type="pct"/>
            <w:tcBorders>
              <w:top w:val="nil"/>
              <w:left w:val="nil"/>
              <w:bottom w:val="nil"/>
              <w:right w:val="nil"/>
            </w:tcBorders>
            <w:shd w:val="clear" w:color="000000" w:fill="F2F2F2"/>
            <w:noWrap/>
            <w:vAlign w:val="bottom"/>
            <w:hideMark/>
          </w:tcPr>
          <w:p w14:paraId="181851E7" w14:textId="77777777" w:rsidR="00F76B72" w:rsidRPr="00A21400" w:rsidRDefault="00F76B72" w:rsidP="00F76B72">
            <w:pPr>
              <w:keepNext/>
              <w:spacing w:after="0" w:line="240" w:lineRule="auto"/>
              <w:jc w:val="center"/>
              <w:rPr>
                <w:rFonts w:eastAsia="Times New Roman"/>
              </w:rPr>
            </w:pPr>
            <w:r w:rsidRPr="00A21400">
              <w:rPr>
                <w:rFonts w:eastAsia="Times New Roman"/>
              </w:rPr>
              <w:t>-1.811***</w:t>
            </w:r>
          </w:p>
        </w:tc>
        <w:tc>
          <w:tcPr>
            <w:tcW w:w="738" w:type="pct"/>
            <w:tcBorders>
              <w:top w:val="nil"/>
              <w:left w:val="nil"/>
              <w:bottom w:val="nil"/>
              <w:right w:val="nil"/>
            </w:tcBorders>
            <w:shd w:val="clear" w:color="000000" w:fill="F2F2F2"/>
            <w:noWrap/>
            <w:vAlign w:val="bottom"/>
            <w:hideMark/>
          </w:tcPr>
          <w:p w14:paraId="780ADBC3" w14:textId="77777777" w:rsidR="00F76B72" w:rsidRPr="00A21400" w:rsidRDefault="00F76B72" w:rsidP="00F76B72">
            <w:pPr>
              <w:keepNext/>
              <w:spacing w:after="0" w:line="240" w:lineRule="auto"/>
              <w:jc w:val="center"/>
              <w:rPr>
                <w:rFonts w:eastAsia="Times New Roman"/>
              </w:rPr>
            </w:pPr>
            <w:r w:rsidRPr="00A21400">
              <w:rPr>
                <w:rFonts w:eastAsia="Times New Roman"/>
              </w:rPr>
              <w:t>-1.789***</w:t>
            </w:r>
          </w:p>
        </w:tc>
      </w:tr>
      <w:tr w:rsidR="00F76B72" w:rsidRPr="00A21400" w14:paraId="0B129B66" w14:textId="77777777" w:rsidTr="00F76B72">
        <w:trPr>
          <w:trHeight w:val="300"/>
        </w:trPr>
        <w:tc>
          <w:tcPr>
            <w:tcW w:w="1923" w:type="pct"/>
            <w:tcBorders>
              <w:top w:val="nil"/>
              <w:left w:val="nil"/>
              <w:bottom w:val="nil"/>
              <w:right w:val="nil"/>
            </w:tcBorders>
            <w:shd w:val="clear" w:color="000000" w:fill="F2F2F2"/>
            <w:noWrap/>
            <w:vAlign w:val="bottom"/>
            <w:hideMark/>
          </w:tcPr>
          <w:p w14:paraId="6701C076"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49416ACC" w14:textId="77777777" w:rsidR="00F76B72" w:rsidRPr="00A21400" w:rsidRDefault="00F76B72" w:rsidP="00F76B72">
            <w:pPr>
              <w:keepNext/>
              <w:spacing w:after="0" w:line="240" w:lineRule="auto"/>
              <w:jc w:val="center"/>
              <w:rPr>
                <w:rFonts w:eastAsia="Times New Roman"/>
              </w:rPr>
            </w:pPr>
            <w:r w:rsidRPr="00A21400">
              <w:rPr>
                <w:rFonts w:eastAsia="Times New Roman"/>
              </w:rPr>
              <w:t>(0.628)</w:t>
            </w:r>
          </w:p>
        </w:tc>
        <w:tc>
          <w:tcPr>
            <w:tcW w:w="1329" w:type="pct"/>
            <w:tcBorders>
              <w:top w:val="nil"/>
              <w:left w:val="nil"/>
              <w:bottom w:val="nil"/>
              <w:right w:val="nil"/>
            </w:tcBorders>
            <w:shd w:val="clear" w:color="000000" w:fill="F2F2F2"/>
            <w:noWrap/>
            <w:vAlign w:val="bottom"/>
            <w:hideMark/>
          </w:tcPr>
          <w:p w14:paraId="6DAAFE94" w14:textId="77777777" w:rsidR="00F76B72" w:rsidRPr="00A21400" w:rsidRDefault="00F76B72" w:rsidP="00F76B72">
            <w:pPr>
              <w:keepNext/>
              <w:spacing w:after="0" w:line="240" w:lineRule="auto"/>
              <w:jc w:val="center"/>
              <w:rPr>
                <w:rFonts w:eastAsia="Times New Roman"/>
              </w:rPr>
            </w:pPr>
            <w:r w:rsidRPr="00A21400">
              <w:rPr>
                <w:rFonts w:eastAsia="Times New Roman"/>
              </w:rPr>
              <w:t>(0.693)</w:t>
            </w:r>
          </w:p>
        </w:tc>
        <w:tc>
          <w:tcPr>
            <w:tcW w:w="738" w:type="pct"/>
            <w:tcBorders>
              <w:top w:val="nil"/>
              <w:left w:val="nil"/>
              <w:bottom w:val="nil"/>
              <w:right w:val="nil"/>
            </w:tcBorders>
            <w:shd w:val="clear" w:color="000000" w:fill="F2F2F2"/>
            <w:noWrap/>
            <w:vAlign w:val="bottom"/>
            <w:hideMark/>
          </w:tcPr>
          <w:p w14:paraId="53F5783D" w14:textId="77777777" w:rsidR="00F76B72" w:rsidRPr="00A21400" w:rsidRDefault="00F76B72" w:rsidP="00F76B72">
            <w:pPr>
              <w:keepNext/>
              <w:spacing w:after="0" w:line="240" w:lineRule="auto"/>
              <w:jc w:val="center"/>
              <w:rPr>
                <w:rFonts w:eastAsia="Times New Roman"/>
              </w:rPr>
            </w:pPr>
            <w:r w:rsidRPr="00A21400">
              <w:rPr>
                <w:rFonts w:eastAsia="Times New Roman"/>
              </w:rPr>
              <w:t>(0.574)</w:t>
            </w:r>
          </w:p>
        </w:tc>
      </w:tr>
      <w:tr w:rsidR="00F76B72" w:rsidRPr="00A21400" w14:paraId="147BA445" w14:textId="77777777" w:rsidTr="00F76B72">
        <w:trPr>
          <w:trHeight w:val="300"/>
        </w:trPr>
        <w:tc>
          <w:tcPr>
            <w:tcW w:w="1923" w:type="pct"/>
            <w:tcBorders>
              <w:top w:val="nil"/>
              <w:left w:val="nil"/>
              <w:bottom w:val="nil"/>
              <w:right w:val="nil"/>
            </w:tcBorders>
            <w:shd w:val="clear" w:color="000000" w:fill="F2F2F2"/>
            <w:noWrap/>
            <w:vAlign w:val="bottom"/>
            <w:hideMark/>
          </w:tcPr>
          <w:p w14:paraId="63E0465C" w14:textId="77777777" w:rsidR="00F76B72" w:rsidRPr="00A21400" w:rsidRDefault="00F76B72" w:rsidP="00F76B72">
            <w:pPr>
              <w:keepNext/>
              <w:spacing w:after="0" w:line="240" w:lineRule="auto"/>
              <w:rPr>
                <w:rFonts w:eastAsia="Times New Roman"/>
              </w:rPr>
            </w:pPr>
            <w:r w:rsidRPr="00A21400">
              <w:rPr>
                <w:rFonts w:eastAsia="Times New Roman"/>
              </w:rPr>
              <w:t>No party (1=yes)</w:t>
            </w:r>
          </w:p>
        </w:tc>
        <w:tc>
          <w:tcPr>
            <w:tcW w:w="1010" w:type="pct"/>
            <w:tcBorders>
              <w:top w:val="nil"/>
              <w:left w:val="nil"/>
              <w:bottom w:val="nil"/>
              <w:right w:val="nil"/>
            </w:tcBorders>
            <w:shd w:val="clear" w:color="000000" w:fill="F2F2F2"/>
            <w:noWrap/>
            <w:vAlign w:val="bottom"/>
            <w:hideMark/>
          </w:tcPr>
          <w:p w14:paraId="2DF81B01" w14:textId="77777777" w:rsidR="00F76B72" w:rsidRPr="00A21400" w:rsidRDefault="00F76B72" w:rsidP="00F76B72">
            <w:pPr>
              <w:keepNext/>
              <w:spacing w:after="0" w:line="240" w:lineRule="auto"/>
              <w:jc w:val="center"/>
              <w:rPr>
                <w:rFonts w:eastAsia="Times New Roman"/>
              </w:rPr>
            </w:pPr>
            <w:r w:rsidRPr="00A21400">
              <w:rPr>
                <w:rFonts w:eastAsia="Times New Roman"/>
              </w:rPr>
              <w:t>-1.400</w:t>
            </w:r>
          </w:p>
        </w:tc>
        <w:tc>
          <w:tcPr>
            <w:tcW w:w="1329" w:type="pct"/>
            <w:tcBorders>
              <w:top w:val="nil"/>
              <w:left w:val="nil"/>
              <w:bottom w:val="nil"/>
              <w:right w:val="nil"/>
            </w:tcBorders>
            <w:shd w:val="clear" w:color="000000" w:fill="F2F2F2"/>
            <w:noWrap/>
            <w:vAlign w:val="bottom"/>
            <w:hideMark/>
          </w:tcPr>
          <w:p w14:paraId="2230B834" w14:textId="77777777" w:rsidR="00F76B72" w:rsidRPr="00A21400" w:rsidRDefault="00F76B72" w:rsidP="00F76B72">
            <w:pPr>
              <w:keepNext/>
              <w:spacing w:after="0" w:line="240" w:lineRule="auto"/>
              <w:jc w:val="center"/>
              <w:rPr>
                <w:rFonts w:eastAsia="Times New Roman"/>
              </w:rPr>
            </w:pPr>
            <w:r w:rsidRPr="00A21400">
              <w:rPr>
                <w:rFonts w:eastAsia="Times New Roman"/>
              </w:rPr>
              <w:t>-1.606</w:t>
            </w:r>
          </w:p>
        </w:tc>
        <w:tc>
          <w:tcPr>
            <w:tcW w:w="738" w:type="pct"/>
            <w:tcBorders>
              <w:top w:val="nil"/>
              <w:left w:val="nil"/>
              <w:bottom w:val="nil"/>
              <w:right w:val="nil"/>
            </w:tcBorders>
            <w:shd w:val="clear" w:color="000000" w:fill="F2F2F2"/>
            <w:noWrap/>
            <w:vAlign w:val="bottom"/>
            <w:hideMark/>
          </w:tcPr>
          <w:p w14:paraId="42175744" w14:textId="77777777" w:rsidR="00F76B72" w:rsidRPr="00A21400" w:rsidRDefault="00F76B72" w:rsidP="00F76B72">
            <w:pPr>
              <w:keepNext/>
              <w:spacing w:after="0" w:line="240" w:lineRule="auto"/>
              <w:jc w:val="center"/>
              <w:rPr>
                <w:rFonts w:eastAsia="Times New Roman"/>
              </w:rPr>
            </w:pPr>
            <w:r w:rsidRPr="00A21400">
              <w:rPr>
                <w:rFonts w:eastAsia="Times New Roman"/>
              </w:rPr>
              <w:t>-1.528*</w:t>
            </w:r>
          </w:p>
        </w:tc>
      </w:tr>
      <w:tr w:rsidR="00F76B72" w:rsidRPr="00A21400" w14:paraId="2215D948" w14:textId="77777777" w:rsidTr="00F76B72">
        <w:trPr>
          <w:trHeight w:val="300"/>
        </w:trPr>
        <w:tc>
          <w:tcPr>
            <w:tcW w:w="1923" w:type="pct"/>
            <w:tcBorders>
              <w:top w:val="nil"/>
              <w:left w:val="nil"/>
              <w:bottom w:val="nil"/>
              <w:right w:val="nil"/>
            </w:tcBorders>
            <w:shd w:val="clear" w:color="000000" w:fill="F2F2F2"/>
            <w:noWrap/>
            <w:vAlign w:val="bottom"/>
            <w:hideMark/>
          </w:tcPr>
          <w:p w14:paraId="6659B95D"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1B291DDF" w14:textId="77777777" w:rsidR="00F76B72" w:rsidRPr="00A21400" w:rsidRDefault="00F76B72" w:rsidP="00F76B72">
            <w:pPr>
              <w:keepNext/>
              <w:spacing w:after="0" w:line="240" w:lineRule="auto"/>
              <w:jc w:val="center"/>
              <w:rPr>
                <w:rFonts w:eastAsia="Times New Roman"/>
              </w:rPr>
            </w:pPr>
            <w:r w:rsidRPr="00A21400">
              <w:rPr>
                <w:rFonts w:eastAsia="Times New Roman"/>
              </w:rPr>
              <w:t>(0.938)</w:t>
            </w:r>
          </w:p>
        </w:tc>
        <w:tc>
          <w:tcPr>
            <w:tcW w:w="1329" w:type="pct"/>
            <w:tcBorders>
              <w:top w:val="nil"/>
              <w:left w:val="nil"/>
              <w:bottom w:val="nil"/>
              <w:right w:val="nil"/>
            </w:tcBorders>
            <w:shd w:val="clear" w:color="000000" w:fill="F2F2F2"/>
            <w:noWrap/>
            <w:vAlign w:val="bottom"/>
            <w:hideMark/>
          </w:tcPr>
          <w:p w14:paraId="136BBBDF" w14:textId="77777777" w:rsidR="00F76B72" w:rsidRPr="00A21400" w:rsidRDefault="00F76B72" w:rsidP="00F76B72">
            <w:pPr>
              <w:keepNext/>
              <w:spacing w:after="0" w:line="240" w:lineRule="auto"/>
              <w:jc w:val="center"/>
              <w:rPr>
                <w:rFonts w:eastAsia="Times New Roman"/>
              </w:rPr>
            </w:pPr>
            <w:r w:rsidRPr="00A21400">
              <w:rPr>
                <w:rFonts w:eastAsia="Times New Roman"/>
              </w:rPr>
              <w:t>(1.024)</w:t>
            </w:r>
          </w:p>
        </w:tc>
        <w:tc>
          <w:tcPr>
            <w:tcW w:w="738" w:type="pct"/>
            <w:tcBorders>
              <w:top w:val="nil"/>
              <w:left w:val="nil"/>
              <w:bottom w:val="nil"/>
              <w:right w:val="nil"/>
            </w:tcBorders>
            <w:shd w:val="clear" w:color="000000" w:fill="F2F2F2"/>
            <w:noWrap/>
            <w:vAlign w:val="bottom"/>
            <w:hideMark/>
          </w:tcPr>
          <w:p w14:paraId="271314E8" w14:textId="77777777" w:rsidR="00F76B72" w:rsidRPr="00A21400" w:rsidRDefault="00F76B72" w:rsidP="00F76B72">
            <w:pPr>
              <w:keepNext/>
              <w:spacing w:after="0" w:line="240" w:lineRule="auto"/>
              <w:jc w:val="center"/>
              <w:rPr>
                <w:rFonts w:eastAsia="Times New Roman"/>
              </w:rPr>
            </w:pPr>
            <w:r w:rsidRPr="00A21400">
              <w:rPr>
                <w:rFonts w:eastAsia="Times New Roman"/>
              </w:rPr>
              <w:t>(0.918)</w:t>
            </w:r>
          </w:p>
        </w:tc>
      </w:tr>
      <w:tr w:rsidR="00F76B72" w:rsidRPr="00A21400" w14:paraId="2E9C38BF" w14:textId="77777777" w:rsidTr="00F76B72">
        <w:trPr>
          <w:trHeight w:val="300"/>
        </w:trPr>
        <w:tc>
          <w:tcPr>
            <w:tcW w:w="1923" w:type="pct"/>
            <w:tcBorders>
              <w:top w:val="nil"/>
              <w:left w:val="nil"/>
              <w:bottom w:val="nil"/>
              <w:right w:val="nil"/>
            </w:tcBorders>
            <w:shd w:val="clear" w:color="000000" w:fill="F2F2F2"/>
            <w:noWrap/>
            <w:vAlign w:val="bottom"/>
            <w:hideMark/>
          </w:tcPr>
          <w:p w14:paraId="3B3D6032" w14:textId="77777777" w:rsidR="00F76B72" w:rsidRPr="00A21400" w:rsidRDefault="00F76B72" w:rsidP="00F76B72">
            <w:pPr>
              <w:keepNext/>
              <w:spacing w:after="0" w:line="240" w:lineRule="auto"/>
              <w:rPr>
                <w:rFonts w:eastAsia="Times New Roman"/>
              </w:rPr>
            </w:pPr>
            <w:r w:rsidRPr="00A21400">
              <w:rPr>
                <w:rFonts w:eastAsia="Times New Roman"/>
              </w:rPr>
              <w:t>Global warming (no=1)</w:t>
            </w:r>
          </w:p>
        </w:tc>
        <w:tc>
          <w:tcPr>
            <w:tcW w:w="1010" w:type="pct"/>
            <w:tcBorders>
              <w:top w:val="nil"/>
              <w:left w:val="nil"/>
              <w:bottom w:val="nil"/>
              <w:right w:val="nil"/>
            </w:tcBorders>
            <w:shd w:val="clear" w:color="000000" w:fill="F2F2F2"/>
            <w:noWrap/>
            <w:vAlign w:val="bottom"/>
            <w:hideMark/>
          </w:tcPr>
          <w:p w14:paraId="3CA02B1E" w14:textId="77777777" w:rsidR="00F76B72" w:rsidRPr="00A21400" w:rsidRDefault="00F76B72" w:rsidP="00F76B72">
            <w:pPr>
              <w:keepNext/>
              <w:spacing w:after="0" w:line="240" w:lineRule="auto"/>
              <w:jc w:val="center"/>
              <w:rPr>
                <w:rFonts w:eastAsia="Times New Roman"/>
              </w:rPr>
            </w:pPr>
            <w:r w:rsidRPr="00A21400">
              <w:rPr>
                <w:rFonts w:eastAsia="Times New Roman"/>
              </w:rPr>
              <w:t>-1.382***</w:t>
            </w:r>
          </w:p>
        </w:tc>
        <w:tc>
          <w:tcPr>
            <w:tcW w:w="1329" w:type="pct"/>
            <w:tcBorders>
              <w:top w:val="nil"/>
              <w:left w:val="nil"/>
              <w:bottom w:val="nil"/>
              <w:right w:val="nil"/>
            </w:tcBorders>
            <w:shd w:val="clear" w:color="000000" w:fill="F2F2F2"/>
            <w:noWrap/>
            <w:vAlign w:val="bottom"/>
            <w:hideMark/>
          </w:tcPr>
          <w:p w14:paraId="67A2E647" w14:textId="77777777" w:rsidR="00F76B72" w:rsidRPr="00A21400" w:rsidRDefault="00F76B72" w:rsidP="00F76B72">
            <w:pPr>
              <w:keepNext/>
              <w:spacing w:after="0" w:line="240" w:lineRule="auto"/>
              <w:jc w:val="center"/>
              <w:rPr>
                <w:rFonts w:eastAsia="Times New Roman"/>
              </w:rPr>
            </w:pPr>
            <w:r w:rsidRPr="00A21400">
              <w:rPr>
                <w:rFonts w:eastAsia="Times New Roman"/>
              </w:rPr>
              <w:t>-1.194**</w:t>
            </w:r>
          </w:p>
        </w:tc>
        <w:tc>
          <w:tcPr>
            <w:tcW w:w="738" w:type="pct"/>
            <w:tcBorders>
              <w:top w:val="nil"/>
              <w:left w:val="nil"/>
              <w:bottom w:val="nil"/>
              <w:right w:val="nil"/>
            </w:tcBorders>
            <w:shd w:val="clear" w:color="000000" w:fill="F2F2F2"/>
            <w:noWrap/>
            <w:vAlign w:val="bottom"/>
            <w:hideMark/>
          </w:tcPr>
          <w:p w14:paraId="6F691D76" w14:textId="77777777" w:rsidR="00F76B72" w:rsidRPr="00A21400" w:rsidRDefault="00F76B72" w:rsidP="00F76B72">
            <w:pPr>
              <w:keepNext/>
              <w:spacing w:after="0" w:line="240" w:lineRule="auto"/>
              <w:jc w:val="center"/>
              <w:rPr>
                <w:rFonts w:eastAsia="Times New Roman"/>
              </w:rPr>
            </w:pPr>
            <w:r w:rsidRPr="00A21400">
              <w:rPr>
                <w:rFonts w:eastAsia="Times New Roman"/>
              </w:rPr>
              <w:t>-1.522***</w:t>
            </w:r>
          </w:p>
        </w:tc>
      </w:tr>
      <w:tr w:rsidR="00F76B72" w:rsidRPr="00A21400" w14:paraId="76FD6FD3" w14:textId="77777777" w:rsidTr="00F76B72">
        <w:trPr>
          <w:trHeight w:val="300"/>
        </w:trPr>
        <w:tc>
          <w:tcPr>
            <w:tcW w:w="1923" w:type="pct"/>
            <w:tcBorders>
              <w:top w:val="nil"/>
              <w:left w:val="nil"/>
              <w:bottom w:val="nil"/>
              <w:right w:val="nil"/>
            </w:tcBorders>
            <w:shd w:val="clear" w:color="000000" w:fill="F2F2F2"/>
            <w:noWrap/>
            <w:vAlign w:val="bottom"/>
            <w:hideMark/>
          </w:tcPr>
          <w:p w14:paraId="3A39BB0C"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53C99606" w14:textId="77777777" w:rsidR="00F76B72" w:rsidRPr="00A21400" w:rsidRDefault="00F76B72" w:rsidP="00F76B72">
            <w:pPr>
              <w:keepNext/>
              <w:spacing w:after="0" w:line="240" w:lineRule="auto"/>
              <w:jc w:val="center"/>
              <w:rPr>
                <w:rFonts w:eastAsia="Times New Roman"/>
              </w:rPr>
            </w:pPr>
            <w:r w:rsidRPr="00A21400">
              <w:rPr>
                <w:rFonts w:eastAsia="Times New Roman"/>
              </w:rPr>
              <w:t>(0.505)</w:t>
            </w:r>
          </w:p>
        </w:tc>
        <w:tc>
          <w:tcPr>
            <w:tcW w:w="1329" w:type="pct"/>
            <w:tcBorders>
              <w:top w:val="nil"/>
              <w:left w:val="nil"/>
              <w:bottom w:val="nil"/>
              <w:right w:val="nil"/>
            </w:tcBorders>
            <w:shd w:val="clear" w:color="000000" w:fill="F2F2F2"/>
            <w:noWrap/>
            <w:vAlign w:val="bottom"/>
            <w:hideMark/>
          </w:tcPr>
          <w:p w14:paraId="778D35C6" w14:textId="77777777" w:rsidR="00F76B72" w:rsidRPr="00A21400" w:rsidRDefault="00F76B72" w:rsidP="00F76B72">
            <w:pPr>
              <w:keepNext/>
              <w:spacing w:after="0" w:line="240" w:lineRule="auto"/>
              <w:jc w:val="center"/>
              <w:rPr>
                <w:rFonts w:eastAsia="Times New Roman"/>
              </w:rPr>
            </w:pPr>
            <w:r w:rsidRPr="00A21400">
              <w:rPr>
                <w:rFonts w:eastAsia="Times New Roman"/>
              </w:rPr>
              <w:t>(0.564)</w:t>
            </w:r>
          </w:p>
        </w:tc>
        <w:tc>
          <w:tcPr>
            <w:tcW w:w="738" w:type="pct"/>
            <w:tcBorders>
              <w:top w:val="nil"/>
              <w:left w:val="nil"/>
              <w:bottom w:val="nil"/>
              <w:right w:val="nil"/>
            </w:tcBorders>
            <w:shd w:val="clear" w:color="000000" w:fill="F2F2F2"/>
            <w:noWrap/>
            <w:vAlign w:val="bottom"/>
            <w:hideMark/>
          </w:tcPr>
          <w:p w14:paraId="7F54E5B6" w14:textId="77777777" w:rsidR="00F76B72" w:rsidRPr="00A21400" w:rsidRDefault="00F76B72" w:rsidP="00F76B72">
            <w:pPr>
              <w:keepNext/>
              <w:spacing w:after="0" w:line="240" w:lineRule="auto"/>
              <w:jc w:val="center"/>
              <w:rPr>
                <w:rFonts w:eastAsia="Times New Roman"/>
              </w:rPr>
            </w:pPr>
            <w:r w:rsidRPr="00A21400">
              <w:rPr>
                <w:rFonts w:eastAsia="Times New Roman"/>
              </w:rPr>
              <w:t>(0.482)</w:t>
            </w:r>
          </w:p>
        </w:tc>
      </w:tr>
      <w:tr w:rsidR="00F76B72" w:rsidRPr="00A21400" w14:paraId="45A3F29C" w14:textId="77777777" w:rsidTr="00F76B72">
        <w:trPr>
          <w:trHeight w:val="300"/>
        </w:trPr>
        <w:tc>
          <w:tcPr>
            <w:tcW w:w="1923" w:type="pct"/>
            <w:tcBorders>
              <w:top w:val="nil"/>
              <w:left w:val="nil"/>
              <w:bottom w:val="nil"/>
              <w:right w:val="nil"/>
            </w:tcBorders>
            <w:shd w:val="clear" w:color="000000" w:fill="F2F2F2"/>
            <w:noWrap/>
            <w:vAlign w:val="bottom"/>
            <w:hideMark/>
          </w:tcPr>
          <w:p w14:paraId="73B7E377" w14:textId="77777777" w:rsidR="00F76B72" w:rsidRPr="00A21400" w:rsidRDefault="00F76B72" w:rsidP="00F76B72">
            <w:pPr>
              <w:keepNext/>
              <w:spacing w:after="0" w:line="240" w:lineRule="auto"/>
              <w:rPr>
                <w:rFonts w:eastAsia="Times New Roman"/>
              </w:rPr>
            </w:pPr>
            <w:r w:rsidRPr="00A21400">
              <w:rPr>
                <w:rFonts w:eastAsia="Times New Roman"/>
              </w:rPr>
              <w:t>Global warming (no, very sure=1)</w:t>
            </w:r>
          </w:p>
        </w:tc>
        <w:tc>
          <w:tcPr>
            <w:tcW w:w="1010" w:type="pct"/>
            <w:tcBorders>
              <w:top w:val="nil"/>
              <w:left w:val="nil"/>
              <w:bottom w:val="nil"/>
              <w:right w:val="nil"/>
            </w:tcBorders>
            <w:shd w:val="clear" w:color="000000" w:fill="F2F2F2"/>
            <w:noWrap/>
            <w:vAlign w:val="bottom"/>
            <w:hideMark/>
          </w:tcPr>
          <w:p w14:paraId="709E4922" w14:textId="77777777" w:rsidR="00F76B72" w:rsidRPr="00A21400" w:rsidRDefault="00F76B72" w:rsidP="00F76B72">
            <w:pPr>
              <w:keepNext/>
              <w:spacing w:after="0" w:line="240" w:lineRule="auto"/>
              <w:jc w:val="center"/>
              <w:rPr>
                <w:rFonts w:eastAsia="Times New Roman"/>
              </w:rPr>
            </w:pPr>
            <w:r w:rsidRPr="00A21400">
              <w:rPr>
                <w:rFonts w:eastAsia="Times New Roman"/>
              </w:rPr>
              <w:t>-1.911***</w:t>
            </w:r>
          </w:p>
        </w:tc>
        <w:tc>
          <w:tcPr>
            <w:tcW w:w="1329" w:type="pct"/>
            <w:tcBorders>
              <w:top w:val="nil"/>
              <w:left w:val="nil"/>
              <w:bottom w:val="nil"/>
              <w:right w:val="nil"/>
            </w:tcBorders>
            <w:shd w:val="clear" w:color="000000" w:fill="F2F2F2"/>
            <w:noWrap/>
            <w:vAlign w:val="bottom"/>
            <w:hideMark/>
          </w:tcPr>
          <w:p w14:paraId="036895C4" w14:textId="77777777" w:rsidR="00F76B72" w:rsidRPr="00A21400" w:rsidRDefault="00F76B72" w:rsidP="00F76B72">
            <w:pPr>
              <w:keepNext/>
              <w:spacing w:after="0" w:line="240" w:lineRule="auto"/>
              <w:jc w:val="center"/>
              <w:rPr>
                <w:rFonts w:eastAsia="Times New Roman"/>
              </w:rPr>
            </w:pPr>
            <w:r w:rsidRPr="00A21400">
              <w:rPr>
                <w:rFonts w:eastAsia="Times New Roman"/>
              </w:rPr>
              <w:t>-1.639**</w:t>
            </w:r>
          </w:p>
        </w:tc>
        <w:tc>
          <w:tcPr>
            <w:tcW w:w="738" w:type="pct"/>
            <w:tcBorders>
              <w:top w:val="nil"/>
              <w:left w:val="nil"/>
              <w:bottom w:val="nil"/>
              <w:right w:val="nil"/>
            </w:tcBorders>
            <w:shd w:val="clear" w:color="000000" w:fill="F2F2F2"/>
            <w:noWrap/>
            <w:vAlign w:val="bottom"/>
            <w:hideMark/>
          </w:tcPr>
          <w:p w14:paraId="5E462FC8" w14:textId="77777777" w:rsidR="00F76B72" w:rsidRPr="00A21400" w:rsidRDefault="00F76B72" w:rsidP="00F76B72">
            <w:pPr>
              <w:keepNext/>
              <w:spacing w:after="0" w:line="240" w:lineRule="auto"/>
              <w:jc w:val="center"/>
              <w:rPr>
                <w:rFonts w:eastAsia="Times New Roman"/>
              </w:rPr>
            </w:pPr>
            <w:r w:rsidRPr="00A21400">
              <w:rPr>
                <w:rFonts w:eastAsia="Times New Roman"/>
              </w:rPr>
              <w:t>-1.111**</w:t>
            </w:r>
          </w:p>
        </w:tc>
      </w:tr>
      <w:tr w:rsidR="00F76B72" w:rsidRPr="00A21400" w14:paraId="6BDA6C34" w14:textId="77777777" w:rsidTr="00F76B72">
        <w:trPr>
          <w:trHeight w:val="300"/>
        </w:trPr>
        <w:tc>
          <w:tcPr>
            <w:tcW w:w="1923" w:type="pct"/>
            <w:tcBorders>
              <w:top w:val="nil"/>
              <w:left w:val="nil"/>
              <w:bottom w:val="nil"/>
              <w:right w:val="nil"/>
            </w:tcBorders>
            <w:shd w:val="clear" w:color="000000" w:fill="F2F2F2"/>
            <w:noWrap/>
            <w:vAlign w:val="bottom"/>
            <w:hideMark/>
          </w:tcPr>
          <w:p w14:paraId="3D9F142D"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1AD5E375" w14:textId="77777777" w:rsidR="00F76B72" w:rsidRPr="00A21400" w:rsidRDefault="00F76B72" w:rsidP="00F76B72">
            <w:pPr>
              <w:keepNext/>
              <w:spacing w:after="0" w:line="240" w:lineRule="auto"/>
              <w:jc w:val="center"/>
              <w:rPr>
                <w:rFonts w:eastAsia="Times New Roman"/>
              </w:rPr>
            </w:pPr>
            <w:r w:rsidRPr="00A21400">
              <w:rPr>
                <w:rFonts w:eastAsia="Times New Roman"/>
              </w:rPr>
              <w:t>(0.621)</w:t>
            </w:r>
          </w:p>
        </w:tc>
        <w:tc>
          <w:tcPr>
            <w:tcW w:w="1329" w:type="pct"/>
            <w:tcBorders>
              <w:top w:val="nil"/>
              <w:left w:val="nil"/>
              <w:bottom w:val="nil"/>
              <w:right w:val="nil"/>
            </w:tcBorders>
            <w:shd w:val="clear" w:color="000000" w:fill="F2F2F2"/>
            <w:noWrap/>
            <w:vAlign w:val="bottom"/>
            <w:hideMark/>
          </w:tcPr>
          <w:p w14:paraId="1A83C291" w14:textId="77777777" w:rsidR="00F76B72" w:rsidRPr="00A21400" w:rsidRDefault="00F76B72" w:rsidP="00F76B72">
            <w:pPr>
              <w:keepNext/>
              <w:spacing w:after="0" w:line="240" w:lineRule="auto"/>
              <w:jc w:val="center"/>
              <w:rPr>
                <w:rFonts w:eastAsia="Times New Roman"/>
              </w:rPr>
            </w:pPr>
            <w:r w:rsidRPr="00A21400">
              <w:rPr>
                <w:rFonts w:eastAsia="Times New Roman"/>
              </w:rPr>
              <w:t>(0.727)</w:t>
            </w:r>
          </w:p>
        </w:tc>
        <w:tc>
          <w:tcPr>
            <w:tcW w:w="738" w:type="pct"/>
            <w:tcBorders>
              <w:top w:val="nil"/>
              <w:left w:val="nil"/>
              <w:bottom w:val="nil"/>
              <w:right w:val="nil"/>
            </w:tcBorders>
            <w:shd w:val="clear" w:color="000000" w:fill="F2F2F2"/>
            <w:noWrap/>
            <w:vAlign w:val="bottom"/>
            <w:hideMark/>
          </w:tcPr>
          <w:p w14:paraId="4BCBFDF5" w14:textId="77777777" w:rsidR="00F76B72" w:rsidRPr="00A21400" w:rsidRDefault="00F76B72" w:rsidP="00F76B72">
            <w:pPr>
              <w:keepNext/>
              <w:spacing w:after="0" w:line="240" w:lineRule="auto"/>
              <w:jc w:val="center"/>
              <w:rPr>
                <w:rFonts w:eastAsia="Times New Roman"/>
              </w:rPr>
            </w:pPr>
            <w:r w:rsidRPr="00A21400">
              <w:rPr>
                <w:rFonts w:eastAsia="Times New Roman"/>
              </w:rPr>
              <w:t>(0.510)</w:t>
            </w:r>
          </w:p>
        </w:tc>
      </w:tr>
      <w:tr w:rsidR="00F76B72" w:rsidRPr="00A21400" w14:paraId="5835D100" w14:textId="77777777" w:rsidTr="00F76B72">
        <w:trPr>
          <w:trHeight w:val="300"/>
        </w:trPr>
        <w:tc>
          <w:tcPr>
            <w:tcW w:w="1923" w:type="pct"/>
            <w:tcBorders>
              <w:top w:val="nil"/>
              <w:left w:val="nil"/>
              <w:bottom w:val="nil"/>
              <w:right w:val="nil"/>
            </w:tcBorders>
            <w:shd w:val="clear" w:color="000000" w:fill="F2F2F2"/>
            <w:noWrap/>
            <w:vAlign w:val="bottom"/>
            <w:hideMark/>
          </w:tcPr>
          <w:p w14:paraId="3575FCAE" w14:textId="77777777" w:rsidR="00F76B72" w:rsidRPr="00A21400" w:rsidRDefault="00F76B72" w:rsidP="00F76B72">
            <w:pPr>
              <w:keepNext/>
              <w:spacing w:after="0" w:line="240" w:lineRule="auto"/>
              <w:rPr>
                <w:rFonts w:eastAsia="Times New Roman"/>
              </w:rPr>
            </w:pPr>
            <w:r w:rsidRPr="00A21400">
              <w:rPr>
                <w:rFonts w:eastAsia="Times New Roman"/>
              </w:rPr>
              <w:t>Global warming (yes=1)</w:t>
            </w:r>
          </w:p>
        </w:tc>
        <w:tc>
          <w:tcPr>
            <w:tcW w:w="1010" w:type="pct"/>
            <w:tcBorders>
              <w:top w:val="nil"/>
              <w:left w:val="nil"/>
              <w:bottom w:val="nil"/>
              <w:right w:val="nil"/>
            </w:tcBorders>
            <w:shd w:val="clear" w:color="000000" w:fill="F2F2F2"/>
            <w:noWrap/>
            <w:vAlign w:val="bottom"/>
            <w:hideMark/>
          </w:tcPr>
          <w:p w14:paraId="0A6B675F" w14:textId="77777777" w:rsidR="00F76B72" w:rsidRPr="00A21400" w:rsidRDefault="00F76B72" w:rsidP="00F76B72">
            <w:pPr>
              <w:keepNext/>
              <w:spacing w:after="0" w:line="240" w:lineRule="auto"/>
              <w:jc w:val="center"/>
              <w:rPr>
                <w:rFonts w:eastAsia="Times New Roman"/>
              </w:rPr>
            </w:pPr>
            <w:r w:rsidRPr="00A21400">
              <w:rPr>
                <w:rFonts w:eastAsia="Times New Roman"/>
              </w:rPr>
              <w:t>0.107</w:t>
            </w:r>
          </w:p>
        </w:tc>
        <w:tc>
          <w:tcPr>
            <w:tcW w:w="1329" w:type="pct"/>
            <w:tcBorders>
              <w:top w:val="nil"/>
              <w:left w:val="nil"/>
              <w:bottom w:val="nil"/>
              <w:right w:val="nil"/>
            </w:tcBorders>
            <w:shd w:val="clear" w:color="000000" w:fill="F2F2F2"/>
            <w:noWrap/>
            <w:vAlign w:val="bottom"/>
            <w:hideMark/>
          </w:tcPr>
          <w:p w14:paraId="556957EA" w14:textId="77777777" w:rsidR="00F76B72" w:rsidRPr="00A21400" w:rsidRDefault="00F76B72" w:rsidP="00F76B72">
            <w:pPr>
              <w:keepNext/>
              <w:spacing w:after="0" w:line="240" w:lineRule="auto"/>
              <w:jc w:val="center"/>
              <w:rPr>
                <w:rFonts w:eastAsia="Times New Roman"/>
              </w:rPr>
            </w:pPr>
            <w:r w:rsidRPr="00A21400">
              <w:rPr>
                <w:rFonts w:eastAsia="Times New Roman"/>
              </w:rPr>
              <w:t>0.302</w:t>
            </w:r>
          </w:p>
        </w:tc>
        <w:tc>
          <w:tcPr>
            <w:tcW w:w="738" w:type="pct"/>
            <w:tcBorders>
              <w:top w:val="nil"/>
              <w:left w:val="nil"/>
              <w:bottom w:val="nil"/>
              <w:right w:val="nil"/>
            </w:tcBorders>
            <w:shd w:val="clear" w:color="000000" w:fill="F2F2F2"/>
            <w:noWrap/>
            <w:vAlign w:val="bottom"/>
            <w:hideMark/>
          </w:tcPr>
          <w:p w14:paraId="455E92E2" w14:textId="77777777" w:rsidR="00F76B72" w:rsidRPr="00A21400" w:rsidRDefault="00F76B72" w:rsidP="00F76B72">
            <w:pPr>
              <w:keepNext/>
              <w:spacing w:after="0" w:line="240" w:lineRule="auto"/>
              <w:jc w:val="center"/>
              <w:rPr>
                <w:rFonts w:eastAsia="Times New Roman"/>
              </w:rPr>
            </w:pPr>
            <w:r w:rsidRPr="00A21400">
              <w:rPr>
                <w:rFonts w:eastAsia="Times New Roman"/>
              </w:rPr>
              <w:t>0.450</w:t>
            </w:r>
          </w:p>
        </w:tc>
      </w:tr>
      <w:tr w:rsidR="00F76B72" w:rsidRPr="00A21400" w14:paraId="5CA60550" w14:textId="77777777" w:rsidTr="00F76B72">
        <w:trPr>
          <w:trHeight w:val="300"/>
        </w:trPr>
        <w:tc>
          <w:tcPr>
            <w:tcW w:w="1923" w:type="pct"/>
            <w:tcBorders>
              <w:top w:val="nil"/>
              <w:left w:val="nil"/>
              <w:bottom w:val="nil"/>
              <w:right w:val="nil"/>
            </w:tcBorders>
            <w:shd w:val="clear" w:color="000000" w:fill="F2F2F2"/>
            <w:noWrap/>
            <w:vAlign w:val="bottom"/>
            <w:hideMark/>
          </w:tcPr>
          <w:p w14:paraId="239FD23B"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4550E41F" w14:textId="77777777" w:rsidR="00F76B72" w:rsidRPr="00A21400" w:rsidRDefault="00F76B72" w:rsidP="00F76B72">
            <w:pPr>
              <w:keepNext/>
              <w:spacing w:after="0" w:line="240" w:lineRule="auto"/>
              <w:jc w:val="center"/>
              <w:rPr>
                <w:rFonts w:eastAsia="Times New Roman"/>
              </w:rPr>
            </w:pPr>
            <w:r w:rsidRPr="00A21400">
              <w:rPr>
                <w:rFonts w:eastAsia="Times New Roman"/>
              </w:rPr>
              <w:t>(0.440)</w:t>
            </w:r>
          </w:p>
        </w:tc>
        <w:tc>
          <w:tcPr>
            <w:tcW w:w="1329" w:type="pct"/>
            <w:tcBorders>
              <w:top w:val="nil"/>
              <w:left w:val="nil"/>
              <w:bottom w:val="nil"/>
              <w:right w:val="nil"/>
            </w:tcBorders>
            <w:shd w:val="clear" w:color="000000" w:fill="F2F2F2"/>
            <w:noWrap/>
            <w:vAlign w:val="bottom"/>
            <w:hideMark/>
          </w:tcPr>
          <w:p w14:paraId="4B4C4610" w14:textId="77777777" w:rsidR="00F76B72" w:rsidRPr="00A21400" w:rsidRDefault="00F76B72" w:rsidP="00F76B72">
            <w:pPr>
              <w:keepNext/>
              <w:spacing w:after="0" w:line="240" w:lineRule="auto"/>
              <w:jc w:val="center"/>
              <w:rPr>
                <w:rFonts w:eastAsia="Times New Roman"/>
              </w:rPr>
            </w:pPr>
            <w:r w:rsidRPr="00A21400">
              <w:rPr>
                <w:rFonts w:eastAsia="Times New Roman"/>
              </w:rPr>
              <w:t>(0.487)</w:t>
            </w:r>
          </w:p>
        </w:tc>
        <w:tc>
          <w:tcPr>
            <w:tcW w:w="738" w:type="pct"/>
            <w:tcBorders>
              <w:top w:val="nil"/>
              <w:left w:val="nil"/>
              <w:bottom w:val="nil"/>
              <w:right w:val="nil"/>
            </w:tcBorders>
            <w:shd w:val="clear" w:color="000000" w:fill="F2F2F2"/>
            <w:noWrap/>
            <w:vAlign w:val="bottom"/>
            <w:hideMark/>
          </w:tcPr>
          <w:p w14:paraId="4828B49F" w14:textId="77777777" w:rsidR="00F76B72" w:rsidRPr="00A21400" w:rsidRDefault="00F76B72" w:rsidP="00F76B72">
            <w:pPr>
              <w:keepNext/>
              <w:spacing w:after="0" w:line="240" w:lineRule="auto"/>
              <w:jc w:val="center"/>
              <w:rPr>
                <w:rFonts w:eastAsia="Times New Roman"/>
              </w:rPr>
            </w:pPr>
            <w:r w:rsidRPr="00A21400">
              <w:rPr>
                <w:rFonts w:eastAsia="Times New Roman"/>
              </w:rPr>
              <w:t>(0.428)</w:t>
            </w:r>
          </w:p>
        </w:tc>
      </w:tr>
      <w:tr w:rsidR="00F76B72" w:rsidRPr="00A21400" w14:paraId="47307BEC" w14:textId="77777777" w:rsidTr="00F76B72">
        <w:trPr>
          <w:trHeight w:val="300"/>
        </w:trPr>
        <w:tc>
          <w:tcPr>
            <w:tcW w:w="1923" w:type="pct"/>
            <w:tcBorders>
              <w:top w:val="nil"/>
              <w:left w:val="nil"/>
              <w:bottom w:val="nil"/>
              <w:right w:val="nil"/>
            </w:tcBorders>
            <w:shd w:val="clear" w:color="000000" w:fill="F2F2F2"/>
            <w:noWrap/>
            <w:vAlign w:val="bottom"/>
            <w:hideMark/>
          </w:tcPr>
          <w:p w14:paraId="6826A7D3" w14:textId="77777777" w:rsidR="00F76B72" w:rsidRPr="00A21400" w:rsidRDefault="00F76B72" w:rsidP="00F76B72">
            <w:pPr>
              <w:keepNext/>
              <w:spacing w:after="0" w:line="240" w:lineRule="auto"/>
              <w:rPr>
                <w:rFonts w:eastAsia="Times New Roman"/>
              </w:rPr>
            </w:pPr>
            <w:r w:rsidRPr="00A21400">
              <w:rPr>
                <w:rFonts w:eastAsia="Times New Roman"/>
              </w:rPr>
              <w:t>Global warming (yes, very sure=1)</w:t>
            </w:r>
          </w:p>
        </w:tc>
        <w:tc>
          <w:tcPr>
            <w:tcW w:w="1010" w:type="pct"/>
            <w:tcBorders>
              <w:top w:val="nil"/>
              <w:left w:val="nil"/>
              <w:bottom w:val="nil"/>
              <w:right w:val="nil"/>
            </w:tcBorders>
            <w:shd w:val="clear" w:color="000000" w:fill="F2F2F2"/>
            <w:noWrap/>
            <w:vAlign w:val="bottom"/>
            <w:hideMark/>
          </w:tcPr>
          <w:p w14:paraId="2E013AB8" w14:textId="77777777" w:rsidR="00F76B72" w:rsidRPr="00A21400" w:rsidRDefault="00F76B72" w:rsidP="00F76B72">
            <w:pPr>
              <w:keepNext/>
              <w:spacing w:after="0" w:line="240" w:lineRule="auto"/>
              <w:jc w:val="center"/>
              <w:rPr>
                <w:rFonts w:eastAsia="Times New Roman"/>
              </w:rPr>
            </w:pPr>
            <w:r w:rsidRPr="00A21400">
              <w:rPr>
                <w:rFonts w:eastAsia="Times New Roman"/>
              </w:rPr>
              <w:t>0.864*</w:t>
            </w:r>
          </w:p>
        </w:tc>
        <w:tc>
          <w:tcPr>
            <w:tcW w:w="1329" w:type="pct"/>
            <w:tcBorders>
              <w:top w:val="nil"/>
              <w:left w:val="nil"/>
              <w:bottom w:val="nil"/>
              <w:right w:val="nil"/>
            </w:tcBorders>
            <w:shd w:val="clear" w:color="000000" w:fill="F2F2F2"/>
            <w:noWrap/>
            <w:vAlign w:val="bottom"/>
            <w:hideMark/>
          </w:tcPr>
          <w:p w14:paraId="0036825C" w14:textId="77777777" w:rsidR="00F76B72" w:rsidRPr="00A21400" w:rsidRDefault="00F76B72" w:rsidP="00F76B72">
            <w:pPr>
              <w:keepNext/>
              <w:spacing w:after="0" w:line="240" w:lineRule="auto"/>
              <w:jc w:val="center"/>
              <w:rPr>
                <w:rFonts w:eastAsia="Times New Roman"/>
              </w:rPr>
            </w:pPr>
            <w:r w:rsidRPr="00A21400">
              <w:rPr>
                <w:rFonts w:eastAsia="Times New Roman"/>
              </w:rPr>
              <w:t>0.938*</w:t>
            </w:r>
          </w:p>
        </w:tc>
        <w:tc>
          <w:tcPr>
            <w:tcW w:w="738" w:type="pct"/>
            <w:tcBorders>
              <w:top w:val="nil"/>
              <w:left w:val="nil"/>
              <w:bottom w:val="nil"/>
              <w:right w:val="nil"/>
            </w:tcBorders>
            <w:shd w:val="clear" w:color="000000" w:fill="F2F2F2"/>
            <w:noWrap/>
            <w:vAlign w:val="bottom"/>
            <w:hideMark/>
          </w:tcPr>
          <w:p w14:paraId="4633AAE9" w14:textId="77777777" w:rsidR="00F76B72" w:rsidRPr="00A21400" w:rsidRDefault="00F76B72" w:rsidP="00F76B72">
            <w:pPr>
              <w:keepNext/>
              <w:spacing w:after="0" w:line="240" w:lineRule="auto"/>
              <w:jc w:val="center"/>
              <w:rPr>
                <w:rFonts w:eastAsia="Times New Roman"/>
              </w:rPr>
            </w:pPr>
            <w:r w:rsidRPr="00A21400">
              <w:rPr>
                <w:rFonts w:eastAsia="Times New Roman"/>
              </w:rPr>
              <w:t>1.459***</w:t>
            </w:r>
          </w:p>
        </w:tc>
      </w:tr>
      <w:tr w:rsidR="00F76B72" w:rsidRPr="00A21400" w14:paraId="64A232D7" w14:textId="77777777" w:rsidTr="00F76B72">
        <w:trPr>
          <w:trHeight w:val="300"/>
        </w:trPr>
        <w:tc>
          <w:tcPr>
            <w:tcW w:w="1923" w:type="pct"/>
            <w:tcBorders>
              <w:top w:val="nil"/>
              <w:left w:val="nil"/>
              <w:bottom w:val="nil"/>
              <w:right w:val="nil"/>
            </w:tcBorders>
            <w:shd w:val="clear" w:color="000000" w:fill="F2F2F2"/>
            <w:noWrap/>
            <w:vAlign w:val="bottom"/>
            <w:hideMark/>
          </w:tcPr>
          <w:p w14:paraId="2A0ED557"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161B44D2" w14:textId="77777777" w:rsidR="00F76B72" w:rsidRPr="00A21400" w:rsidRDefault="00F76B72" w:rsidP="00F76B72">
            <w:pPr>
              <w:keepNext/>
              <w:spacing w:after="0" w:line="240" w:lineRule="auto"/>
              <w:jc w:val="center"/>
              <w:rPr>
                <w:rFonts w:eastAsia="Times New Roman"/>
              </w:rPr>
            </w:pPr>
            <w:r w:rsidRPr="00A21400">
              <w:rPr>
                <w:rFonts w:eastAsia="Times New Roman"/>
              </w:rPr>
              <w:t>(0.484)</w:t>
            </w:r>
          </w:p>
        </w:tc>
        <w:tc>
          <w:tcPr>
            <w:tcW w:w="1329" w:type="pct"/>
            <w:tcBorders>
              <w:top w:val="nil"/>
              <w:left w:val="nil"/>
              <w:bottom w:val="nil"/>
              <w:right w:val="nil"/>
            </w:tcBorders>
            <w:shd w:val="clear" w:color="000000" w:fill="F2F2F2"/>
            <w:noWrap/>
            <w:vAlign w:val="bottom"/>
            <w:hideMark/>
          </w:tcPr>
          <w:p w14:paraId="2F2BFA71" w14:textId="77777777" w:rsidR="00F76B72" w:rsidRPr="00A21400" w:rsidRDefault="00F76B72" w:rsidP="00F76B72">
            <w:pPr>
              <w:keepNext/>
              <w:spacing w:after="0" w:line="240" w:lineRule="auto"/>
              <w:jc w:val="center"/>
              <w:rPr>
                <w:rFonts w:eastAsia="Times New Roman"/>
              </w:rPr>
            </w:pPr>
            <w:r w:rsidRPr="00A21400">
              <w:rPr>
                <w:rFonts w:eastAsia="Times New Roman"/>
              </w:rPr>
              <w:t>(0.501)</w:t>
            </w:r>
          </w:p>
        </w:tc>
        <w:tc>
          <w:tcPr>
            <w:tcW w:w="738" w:type="pct"/>
            <w:tcBorders>
              <w:top w:val="nil"/>
              <w:left w:val="nil"/>
              <w:bottom w:val="nil"/>
              <w:right w:val="nil"/>
            </w:tcBorders>
            <w:shd w:val="clear" w:color="000000" w:fill="F2F2F2"/>
            <w:noWrap/>
            <w:vAlign w:val="bottom"/>
            <w:hideMark/>
          </w:tcPr>
          <w:p w14:paraId="453385D6" w14:textId="77777777" w:rsidR="00F76B72" w:rsidRPr="00A21400" w:rsidRDefault="00F76B72" w:rsidP="00F76B72">
            <w:pPr>
              <w:keepNext/>
              <w:spacing w:after="0" w:line="240" w:lineRule="auto"/>
              <w:jc w:val="center"/>
              <w:rPr>
                <w:rFonts w:eastAsia="Times New Roman"/>
              </w:rPr>
            </w:pPr>
            <w:r w:rsidRPr="00A21400">
              <w:rPr>
                <w:rFonts w:eastAsia="Times New Roman"/>
              </w:rPr>
              <w:t>(0.464)</w:t>
            </w:r>
          </w:p>
        </w:tc>
      </w:tr>
      <w:tr w:rsidR="00F76B72" w:rsidRPr="00A21400" w14:paraId="6A637D1B" w14:textId="77777777" w:rsidTr="00F76B72">
        <w:trPr>
          <w:trHeight w:val="300"/>
        </w:trPr>
        <w:tc>
          <w:tcPr>
            <w:tcW w:w="1923" w:type="pct"/>
            <w:tcBorders>
              <w:top w:val="nil"/>
              <w:left w:val="nil"/>
              <w:bottom w:val="nil"/>
              <w:right w:val="nil"/>
            </w:tcBorders>
            <w:shd w:val="clear" w:color="000000" w:fill="F2F2F2"/>
            <w:noWrap/>
            <w:vAlign w:val="bottom"/>
            <w:hideMark/>
          </w:tcPr>
          <w:p w14:paraId="3D85429D" w14:textId="77777777" w:rsidR="00F76B72" w:rsidRPr="00A21400" w:rsidRDefault="00F76B72" w:rsidP="00F76B72">
            <w:pPr>
              <w:keepNext/>
              <w:spacing w:after="0" w:line="240" w:lineRule="auto"/>
              <w:rPr>
                <w:rFonts w:eastAsia="Times New Roman"/>
              </w:rPr>
            </w:pPr>
            <w:r w:rsidRPr="00A21400">
              <w:rPr>
                <w:rFonts w:eastAsia="Times New Roman"/>
              </w:rPr>
              <w:t>Constant</w:t>
            </w:r>
          </w:p>
        </w:tc>
        <w:tc>
          <w:tcPr>
            <w:tcW w:w="1010" w:type="pct"/>
            <w:tcBorders>
              <w:top w:val="nil"/>
              <w:left w:val="nil"/>
              <w:bottom w:val="nil"/>
              <w:right w:val="nil"/>
            </w:tcBorders>
            <w:shd w:val="clear" w:color="000000" w:fill="F2F2F2"/>
            <w:noWrap/>
            <w:vAlign w:val="bottom"/>
            <w:hideMark/>
          </w:tcPr>
          <w:p w14:paraId="3C595914" w14:textId="77777777" w:rsidR="00F76B72" w:rsidRPr="00A21400" w:rsidRDefault="00F76B72" w:rsidP="00F76B72">
            <w:pPr>
              <w:keepNext/>
              <w:spacing w:after="0" w:line="240" w:lineRule="auto"/>
              <w:jc w:val="center"/>
              <w:rPr>
                <w:rFonts w:eastAsia="Times New Roman"/>
              </w:rPr>
            </w:pPr>
            <w:r w:rsidRPr="00A21400">
              <w:rPr>
                <w:rFonts w:eastAsia="Times New Roman"/>
              </w:rPr>
              <w:t>4.861***</w:t>
            </w:r>
          </w:p>
        </w:tc>
        <w:tc>
          <w:tcPr>
            <w:tcW w:w="1329" w:type="pct"/>
            <w:tcBorders>
              <w:top w:val="nil"/>
              <w:left w:val="nil"/>
              <w:bottom w:val="nil"/>
              <w:right w:val="nil"/>
            </w:tcBorders>
            <w:shd w:val="clear" w:color="000000" w:fill="F2F2F2"/>
            <w:noWrap/>
            <w:vAlign w:val="bottom"/>
            <w:hideMark/>
          </w:tcPr>
          <w:p w14:paraId="4ABB1826" w14:textId="77777777" w:rsidR="00F76B72" w:rsidRPr="00A21400" w:rsidRDefault="00F76B72" w:rsidP="00F76B72">
            <w:pPr>
              <w:keepNext/>
              <w:spacing w:after="0" w:line="240" w:lineRule="auto"/>
              <w:jc w:val="center"/>
              <w:rPr>
                <w:rFonts w:eastAsia="Times New Roman"/>
              </w:rPr>
            </w:pPr>
            <w:r w:rsidRPr="00A21400">
              <w:rPr>
                <w:rFonts w:eastAsia="Times New Roman"/>
              </w:rPr>
              <w:t>4.313***</w:t>
            </w:r>
          </w:p>
        </w:tc>
        <w:tc>
          <w:tcPr>
            <w:tcW w:w="738" w:type="pct"/>
            <w:tcBorders>
              <w:top w:val="nil"/>
              <w:left w:val="nil"/>
              <w:bottom w:val="nil"/>
              <w:right w:val="nil"/>
            </w:tcBorders>
            <w:shd w:val="clear" w:color="000000" w:fill="F2F2F2"/>
            <w:noWrap/>
            <w:vAlign w:val="bottom"/>
            <w:hideMark/>
          </w:tcPr>
          <w:p w14:paraId="069A5960" w14:textId="77777777" w:rsidR="00F76B72" w:rsidRPr="00A21400" w:rsidRDefault="00F76B72" w:rsidP="00F76B72">
            <w:pPr>
              <w:keepNext/>
              <w:spacing w:after="0" w:line="240" w:lineRule="auto"/>
              <w:jc w:val="center"/>
              <w:rPr>
                <w:rFonts w:eastAsia="Times New Roman"/>
              </w:rPr>
            </w:pPr>
            <w:r w:rsidRPr="00A21400">
              <w:rPr>
                <w:rFonts w:eastAsia="Times New Roman"/>
              </w:rPr>
              <w:t>5.718***</w:t>
            </w:r>
          </w:p>
        </w:tc>
      </w:tr>
      <w:tr w:rsidR="00F76B72" w:rsidRPr="00A21400" w14:paraId="36146027" w14:textId="77777777" w:rsidTr="00F76B72">
        <w:trPr>
          <w:trHeight w:val="300"/>
        </w:trPr>
        <w:tc>
          <w:tcPr>
            <w:tcW w:w="1923" w:type="pct"/>
            <w:tcBorders>
              <w:top w:val="nil"/>
              <w:left w:val="nil"/>
              <w:bottom w:val="nil"/>
              <w:right w:val="nil"/>
            </w:tcBorders>
            <w:shd w:val="clear" w:color="000000" w:fill="F2F2F2"/>
            <w:noWrap/>
            <w:vAlign w:val="bottom"/>
            <w:hideMark/>
          </w:tcPr>
          <w:p w14:paraId="05C36EB9" w14:textId="77777777" w:rsidR="00F76B72" w:rsidRPr="00A21400" w:rsidRDefault="00F76B72" w:rsidP="00F76B72">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14:paraId="357B50A0" w14:textId="77777777" w:rsidR="00F76B72" w:rsidRPr="00A21400" w:rsidRDefault="00F76B72" w:rsidP="00F76B72">
            <w:pPr>
              <w:keepNext/>
              <w:spacing w:after="0" w:line="240" w:lineRule="auto"/>
              <w:jc w:val="center"/>
              <w:rPr>
                <w:rFonts w:eastAsia="Times New Roman"/>
              </w:rPr>
            </w:pPr>
            <w:r w:rsidRPr="00A21400">
              <w:rPr>
                <w:rFonts w:eastAsia="Times New Roman"/>
              </w:rPr>
              <w:t>(1.327)</w:t>
            </w:r>
          </w:p>
        </w:tc>
        <w:tc>
          <w:tcPr>
            <w:tcW w:w="1329" w:type="pct"/>
            <w:tcBorders>
              <w:top w:val="nil"/>
              <w:left w:val="nil"/>
              <w:bottom w:val="nil"/>
              <w:right w:val="nil"/>
            </w:tcBorders>
            <w:shd w:val="clear" w:color="000000" w:fill="F2F2F2"/>
            <w:noWrap/>
            <w:vAlign w:val="bottom"/>
            <w:hideMark/>
          </w:tcPr>
          <w:p w14:paraId="56D0E46A" w14:textId="77777777" w:rsidR="00F76B72" w:rsidRPr="00A21400" w:rsidRDefault="00F76B72" w:rsidP="00F76B72">
            <w:pPr>
              <w:keepNext/>
              <w:spacing w:after="0" w:line="240" w:lineRule="auto"/>
              <w:jc w:val="center"/>
              <w:rPr>
                <w:rFonts w:eastAsia="Times New Roman"/>
              </w:rPr>
            </w:pPr>
            <w:r w:rsidRPr="00A21400">
              <w:rPr>
                <w:rFonts w:eastAsia="Times New Roman"/>
              </w:rPr>
              <w:t>(1.417)</w:t>
            </w:r>
          </w:p>
        </w:tc>
        <w:tc>
          <w:tcPr>
            <w:tcW w:w="738" w:type="pct"/>
            <w:tcBorders>
              <w:top w:val="nil"/>
              <w:left w:val="nil"/>
              <w:bottom w:val="nil"/>
              <w:right w:val="nil"/>
            </w:tcBorders>
            <w:shd w:val="clear" w:color="000000" w:fill="F2F2F2"/>
            <w:noWrap/>
            <w:vAlign w:val="bottom"/>
            <w:hideMark/>
          </w:tcPr>
          <w:p w14:paraId="26D78BA1" w14:textId="77777777" w:rsidR="00F76B72" w:rsidRPr="00A21400" w:rsidRDefault="00F76B72" w:rsidP="00F76B72">
            <w:pPr>
              <w:keepNext/>
              <w:spacing w:after="0" w:line="240" w:lineRule="auto"/>
              <w:jc w:val="center"/>
              <w:rPr>
                <w:rFonts w:eastAsia="Times New Roman"/>
              </w:rPr>
            </w:pPr>
            <w:r w:rsidRPr="00A21400">
              <w:rPr>
                <w:rFonts w:eastAsia="Times New Roman"/>
              </w:rPr>
              <w:t>(1.262)</w:t>
            </w:r>
          </w:p>
        </w:tc>
      </w:tr>
      <w:tr w:rsidR="00F76B72" w:rsidRPr="00A21400" w14:paraId="3C4A2748" w14:textId="77777777" w:rsidTr="00F76B72">
        <w:trPr>
          <w:trHeight w:val="300"/>
        </w:trPr>
        <w:tc>
          <w:tcPr>
            <w:tcW w:w="1923" w:type="pct"/>
            <w:tcBorders>
              <w:top w:val="nil"/>
              <w:left w:val="nil"/>
              <w:bottom w:val="single" w:sz="4" w:space="0" w:color="auto"/>
              <w:right w:val="nil"/>
            </w:tcBorders>
            <w:shd w:val="clear" w:color="000000" w:fill="F2F2F2"/>
            <w:noWrap/>
            <w:vAlign w:val="bottom"/>
            <w:hideMark/>
          </w:tcPr>
          <w:p w14:paraId="46B988A4" w14:textId="77777777" w:rsidR="00F76B72" w:rsidRPr="00A21400" w:rsidRDefault="00F76B72" w:rsidP="00F76B72">
            <w:pPr>
              <w:keepNext/>
              <w:spacing w:after="0" w:line="240" w:lineRule="auto"/>
              <w:rPr>
                <w:rFonts w:eastAsia="Times New Roman"/>
              </w:rPr>
            </w:pPr>
            <w:r>
              <w:rPr>
                <w:rFonts w:eastAsia="Times New Roman"/>
              </w:rPr>
              <w:t>Observations</w:t>
            </w:r>
          </w:p>
        </w:tc>
        <w:tc>
          <w:tcPr>
            <w:tcW w:w="1010" w:type="pct"/>
            <w:tcBorders>
              <w:top w:val="nil"/>
              <w:left w:val="nil"/>
              <w:bottom w:val="single" w:sz="4" w:space="0" w:color="000000"/>
              <w:right w:val="nil"/>
            </w:tcBorders>
            <w:shd w:val="clear" w:color="000000" w:fill="F2F2F2"/>
            <w:noWrap/>
            <w:vAlign w:val="bottom"/>
            <w:hideMark/>
          </w:tcPr>
          <w:p w14:paraId="56BBD890" w14:textId="77777777" w:rsidR="00F76B72" w:rsidRPr="00A21400" w:rsidRDefault="00F76B72" w:rsidP="00F76B72">
            <w:pPr>
              <w:keepNext/>
              <w:spacing w:after="0" w:line="240" w:lineRule="auto"/>
              <w:jc w:val="center"/>
              <w:rPr>
                <w:rFonts w:eastAsia="Times New Roman"/>
              </w:rPr>
            </w:pPr>
            <w:r w:rsidRPr="00A21400">
              <w:rPr>
                <w:rFonts w:eastAsia="Times New Roman"/>
              </w:rPr>
              <w:t>19.4%</w:t>
            </w:r>
          </w:p>
        </w:tc>
        <w:tc>
          <w:tcPr>
            <w:tcW w:w="1329" w:type="pct"/>
            <w:tcBorders>
              <w:top w:val="nil"/>
              <w:left w:val="nil"/>
              <w:bottom w:val="single" w:sz="4" w:space="0" w:color="000000"/>
              <w:right w:val="nil"/>
            </w:tcBorders>
            <w:shd w:val="clear" w:color="000000" w:fill="F2F2F2"/>
            <w:noWrap/>
            <w:vAlign w:val="bottom"/>
            <w:hideMark/>
          </w:tcPr>
          <w:p w14:paraId="7F6FF61C" w14:textId="77777777" w:rsidR="00F76B72" w:rsidRPr="00A21400" w:rsidRDefault="00F76B72" w:rsidP="00F76B72">
            <w:pPr>
              <w:keepNext/>
              <w:spacing w:after="0" w:line="240" w:lineRule="auto"/>
              <w:jc w:val="center"/>
              <w:rPr>
                <w:rFonts w:eastAsia="Times New Roman"/>
              </w:rPr>
            </w:pPr>
            <w:r w:rsidRPr="00A21400">
              <w:rPr>
                <w:rFonts w:eastAsia="Times New Roman"/>
              </w:rPr>
              <w:t>12.5%</w:t>
            </w:r>
          </w:p>
        </w:tc>
        <w:tc>
          <w:tcPr>
            <w:tcW w:w="738" w:type="pct"/>
            <w:tcBorders>
              <w:top w:val="nil"/>
              <w:left w:val="nil"/>
              <w:bottom w:val="single" w:sz="4" w:space="0" w:color="000000"/>
              <w:right w:val="nil"/>
            </w:tcBorders>
            <w:shd w:val="clear" w:color="000000" w:fill="F2F2F2"/>
            <w:noWrap/>
            <w:vAlign w:val="bottom"/>
            <w:hideMark/>
          </w:tcPr>
          <w:p w14:paraId="05417C4C" w14:textId="77777777" w:rsidR="00F76B72" w:rsidRPr="00A21400" w:rsidRDefault="00F76B72" w:rsidP="00F76B72">
            <w:pPr>
              <w:keepNext/>
              <w:spacing w:after="0" w:line="240" w:lineRule="auto"/>
              <w:jc w:val="center"/>
              <w:rPr>
                <w:rFonts w:eastAsia="Times New Roman"/>
              </w:rPr>
            </w:pPr>
            <w:r w:rsidRPr="00A21400">
              <w:rPr>
                <w:rFonts w:eastAsia="Times New Roman"/>
              </w:rPr>
              <w:t>56.2%</w:t>
            </w:r>
          </w:p>
        </w:tc>
      </w:tr>
      <w:tr w:rsidR="00F76B72" w:rsidRPr="00A21400" w14:paraId="22C28107" w14:textId="77777777" w:rsidTr="00F76B72">
        <w:trPr>
          <w:trHeight w:val="300"/>
        </w:trPr>
        <w:tc>
          <w:tcPr>
            <w:tcW w:w="5000" w:type="pct"/>
            <w:gridSpan w:val="4"/>
            <w:tcBorders>
              <w:top w:val="single" w:sz="4" w:space="0" w:color="auto"/>
              <w:left w:val="nil"/>
              <w:bottom w:val="nil"/>
              <w:right w:val="nil"/>
            </w:tcBorders>
            <w:shd w:val="clear" w:color="000000" w:fill="F2F2F2"/>
            <w:hideMark/>
          </w:tcPr>
          <w:p w14:paraId="03D1CD6D" w14:textId="77777777" w:rsidR="00F76B72" w:rsidRPr="00A21400" w:rsidRDefault="00F76B72" w:rsidP="00F76B72">
            <w:pPr>
              <w:keepNext/>
              <w:spacing w:after="0" w:line="240" w:lineRule="auto"/>
              <w:rPr>
                <w:rFonts w:eastAsia="Times New Roman"/>
                <w:sz w:val="18"/>
                <w:szCs w:val="18"/>
              </w:rPr>
            </w:pPr>
            <w:r>
              <w:rPr>
                <w:rFonts w:eastAsia="Times New Roman"/>
                <w:sz w:val="18"/>
                <w:szCs w:val="18"/>
              </w:rPr>
              <w:t xml:space="preserve">In this model, the base case is respondents selecting “do neither” which represent 12.0-percent of 1,059 responses.  This regression only includes respondents who indicate having an opinion by not selecting “don’t know” as their response. </w:t>
            </w:r>
            <w:r w:rsidRPr="00A21400">
              <w:rPr>
                <w:rFonts w:eastAsia="Times New Roman"/>
                <w:sz w:val="18"/>
                <w:szCs w:val="18"/>
              </w:rPr>
              <w:t>Standard errors are in parentheses and follow conventional notation: *** p&lt;0.01, ** p&lt;0.05, * p&lt;0.1</w:t>
            </w:r>
          </w:p>
        </w:tc>
      </w:tr>
    </w:tbl>
    <w:p w14:paraId="1ADCA663" w14:textId="77777777" w:rsidR="00F76B72" w:rsidRDefault="00F76B72" w:rsidP="0052424D">
      <w:pPr>
        <w:pStyle w:val="Heading1"/>
        <w:spacing w:line="360" w:lineRule="auto"/>
      </w:pPr>
      <w:bookmarkStart w:id="24" w:name="_Toc479624362"/>
      <w:bookmarkStart w:id="25" w:name="_Toc482127036"/>
      <w:bookmarkStart w:id="26" w:name="_Toc482187986"/>
      <w:r>
        <w:t>Appendix C: Respondent preferences expanded table</w:t>
      </w:r>
      <w:bookmarkEnd w:id="24"/>
      <w:bookmarkEnd w:id="25"/>
      <w:bookmarkEnd w:id="26"/>
    </w:p>
    <w:p w14:paraId="1DE7EA53" w14:textId="77777777" w:rsidR="00F76B72" w:rsidRDefault="00F76B72" w:rsidP="0052424D">
      <w:pPr>
        <w:spacing w:line="360" w:lineRule="auto"/>
      </w:pPr>
      <w:r>
        <w:t>In the main body respondent preferences for the distribution of fossil fuel tax revenue</w:t>
      </w:r>
      <w:r w:rsidR="00D75070">
        <w:t>s are presented</w:t>
      </w:r>
      <w:r>
        <w:t xml:space="preserve">.  </w:t>
      </w:r>
      <w:r w:rsidR="00D75070">
        <w:t>T</w:t>
      </w:r>
      <w:r>
        <w:t>he percent that support the category and the mean allotment from all respondents including those with zero interest in the category</w:t>
      </w:r>
      <w:r w:rsidR="00D75070">
        <w:t xml:space="preserve"> are presented in Table 2</w:t>
      </w:r>
      <w:r>
        <w:t xml:space="preserve">.  Here </w:t>
      </w:r>
      <w:r w:rsidR="00D75070">
        <w:t>I</w:t>
      </w:r>
      <w:r>
        <w:t xml:space="preserve"> also </w:t>
      </w:r>
      <w:r w:rsidR="00D75070">
        <w:t>include</w:t>
      </w:r>
      <w:r>
        <w:t xml:space="preserve"> the distributional preferences of </w:t>
      </w:r>
      <w:r w:rsidR="00D75070">
        <w:t>just the</w:t>
      </w:r>
      <w:r>
        <w:t xml:space="preserve"> respondents who support the category.  This is the</w:t>
      </w:r>
      <w:r w:rsidR="00D75070">
        <w:t xml:space="preserve"> added</w:t>
      </w:r>
      <w:r>
        <w:t xml:space="preserve"> middle column “Conditional allotment (%)”</w:t>
      </w:r>
      <w:r w:rsidR="00D75070">
        <w:t xml:space="preserve"> </w:t>
      </w:r>
      <w:r w:rsidR="00D75070">
        <w:lastRenderedPageBreak/>
        <w:t>which is</w:t>
      </w:r>
      <w:r>
        <w:t xml:space="preserve"> </w:t>
      </w:r>
      <w:r w:rsidR="00D75070">
        <w:t>t</w:t>
      </w:r>
      <w:r>
        <w:t>he distributional preferences, conditional on the respondent first replying that the</w:t>
      </w:r>
      <w:r w:rsidR="00D75070">
        <w:t>y</w:t>
      </w:r>
      <w:r>
        <w:t xml:space="preserve"> support the category. </w:t>
      </w:r>
    </w:p>
    <w:tbl>
      <w:tblPr>
        <w:tblW w:w="5000" w:type="pct"/>
        <w:tblLayout w:type="fixed"/>
        <w:tblLook w:val="04A0" w:firstRow="1" w:lastRow="0" w:firstColumn="1" w:lastColumn="0" w:noHBand="0" w:noVBand="1"/>
      </w:tblPr>
      <w:tblGrid>
        <w:gridCol w:w="5581"/>
        <w:gridCol w:w="990"/>
        <w:gridCol w:w="1619"/>
        <w:gridCol w:w="1170"/>
      </w:tblGrid>
      <w:tr w:rsidR="00F76B72" w:rsidRPr="004B6794" w14:paraId="7A8A5E0A" w14:textId="77777777" w:rsidTr="00F76B72">
        <w:trPr>
          <w:trHeight w:val="600"/>
        </w:trPr>
        <w:tc>
          <w:tcPr>
            <w:tcW w:w="5000" w:type="pct"/>
            <w:gridSpan w:val="4"/>
            <w:tcBorders>
              <w:top w:val="nil"/>
              <w:left w:val="nil"/>
              <w:bottom w:val="single" w:sz="4" w:space="0" w:color="auto"/>
              <w:right w:val="nil"/>
            </w:tcBorders>
            <w:shd w:val="clear" w:color="000000" w:fill="E7E6E6"/>
          </w:tcPr>
          <w:p w14:paraId="65153B21" w14:textId="77777777" w:rsidR="00F76B72" w:rsidRPr="004B6794" w:rsidRDefault="00F76B72" w:rsidP="00F76B72">
            <w:pPr>
              <w:keepNext/>
              <w:spacing w:after="0" w:line="240" w:lineRule="auto"/>
              <w:rPr>
                <w:rFonts w:eastAsia="Times New Roman"/>
                <w:b/>
                <w:bCs/>
              </w:rPr>
            </w:pPr>
            <w:r>
              <w:rPr>
                <w:rFonts w:eastAsia="Times New Roman"/>
                <w:b/>
                <w:bCs/>
              </w:rPr>
              <w:t>Table C1</w:t>
            </w:r>
            <w:r w:rsidRPr="001C271C">
              <w:rPr>
                <w:rFonts w:eastAsia="Times New Roman"/>
                <w:b/>
                <w:bCs/>
              </w:rPr>
              <w:t xml:space="preserve"> | Respondent preferences for the expenditure of revenues from a fossil fuel tax to help reduce global warming.</w:t>
            </w:r>
          </w:p>
        </w:tc>
      </w:tr>
      <w:tr w:rsidR="00F76B72" w:rsidRPr="004B6794" w14:paraId="0E5EF14D" w14:textId="77777777" w:rsidTr="00F76B72">
        <w:trPr>
          <w:trHeight w:val="300"/>
        </w:trPr>
        <w:tc>
          <w:tcPr>
            <w:tcW w:w="2981" w:type="pct"/>
            <w:tcBorders>
              <w:top w:val="single" w:sz="4" w:space="0" w:color="auto"/>
              <w:left w:val="nil"/>
              <w:bottom w:val="single" w:sz="4" w:space="0" w:color="auto"/>
              <w:right w:val="nil"/>
            </w:tcBorders>
            <w:shd w:val="clear" w:color="000000" w:fill="F2F2F2"/>
            <w:noWrap/>
            <w:hideMark/>
          </w:tcPr>
          <w:p w14:paraId="2946ABE8" w14:textId="77777777" w:rsidR="00F76B72" w:rsidRPr="004B6794" w:rsidRDefault="00F76B72" w:rsidP="00F76B72">
            <w:pPr>
              <w:keepNext/>
              <w:spacing w:after="0" w:line="240" w:lineRule="auto"/>
              <w:rPr>
                <w:rFonts w:eastAsia="Times New Roman"/>
                <w:b/>
                <w:bCs/>
              </w:rPr>
            </w:pPr>
            <w:r w:rsidRPr="004B6794">
              <w:rPr>
                <w:rFonts w:eastAsia="Times New Roman"/>
                <w:b/>
                <w:bCs/>
              </w:rPr>
              <w:t> </w:t>
            </w:r>
          </w:p>
        </w:tc>
        <w:tc>
          <w:tcPr>
            <w:tcW w:w="529" w:type="pct"/>
            <w:tcBorders>
              <w:top w:val="single" w:sz="4" w:space="0" w:color="auto"/>
              <w:left w:val="nil"/>
              <w:bottom w:val="single" w:sz="4" w:space="0" w:color="auto"/>
              <w:right w:val="nil"/>
            </w:tcBorders>
            <w:shd w:val="clear" w:color="000000" w:fill="F2F2F2"/>
            <w:noWrap/>
            <w:hideMark/>
          </w:tcPr>
          <w:p w14:paraId="173DA9F1" w14:textId="77777777" w:rsidR="00F76B72" w:rsidRPr="00D75070" w:rsidRDefault="00F76B72" w:rsidP="00F76B72">
            <w:pPr>
              <w:keepNext/>
              <w:spacing w:after="0" w:line="240" w:lineRule="auto"/>
              <w:jc w:val="center"/>
              <w:rPr>
                <w:rFonts w:eastAsia="Times New Roman"/>
                <w:bCs/>
              </w:rPr>
            </w:pPr>
            <w:r w:rsidRPr="00D75070">
              <w:rPr>
                <w:rFonts w:eastAsia="Times New Roman"/>
                <w:bCs/>
              </w:rPr>
              <w:t>Support (%)</w:t>
            </w:r>
          </w:p>
        </w:tc>
        <w:tc>
          <w:tcPr>
            <w:tcW w:w="865" w:type="pct"/>
            <w:tcBorders>
              <w:top w:val="single" w:sz="4" w:space="0" w:color="auto"/>
              <w:left w:val="nil"/>
              <w:bottom w:val="single" w:sz="4" w:space="0" w:color="auto"/>
              <w:right w:val="nil"/>
            </w:tcBorders>
            <w:shd w:val="clear" w:color="000000" w:fill="F2F2F2"/>
            <w:noWrap/>
            <w:hideMark/>
          </w:tcPr>
          <w:p w14:paraId="33AD410B" w14:textId="77777777" w:rsidR="00F76B72" w:rsidRPr="00D75070" w:rsidRDefault="00F76B72" w:rsidP="00F76B72">
            <w:pPr>
              <w:keepNext/>
              <w:spacing w:after="0" w:line="240" w:lineRule="auto"/>
              <w:jc w:val="center"/>
              <w:rPr>
                <w:rFonts w:eastAsia="Times New Roman"/>
                <w:bCs/>
              </w:rPr>
            </w:pPr>
            <w:r w:rsidRPr="00D75070">
              <w:rPr>
                <w:rFonts w:eastAsia="Times New Roman"/>
                <w:bCs/>
              </w:rPr>
              <w:t>Conditional allotment (%)</w:t>
            </w:r>
          </w:p>
        </w:tc>
        <w:tc>
          <w:tcPr>
            <w:tcW w:w="625" w:type="pct"/>
            <w:tcBorders>
              <w:top w:val="single" w:sz="4" w:space="0" w:color="auto"/>
              <w:left w:val="nil"/>
              <w:bottom w:val="single" w:sz="4" w:space="0" w:color="auto"/>
              <w:right w:val="nil"/>
            </w:tcBorders>
            <w:shd w:val="clear" w:color="000000" w:fill="F2F2F2"/>
          </w:tcPr>
          <w:p w14:paraId="18A50935" w14:textId="77777777" w:rsidR="00F76B72" w:rsidRPr="00D75070" w:rsidRDefault="00F76B72" w:rsidP="00F76B72">
            <w:pPr>
              <w:keepNext/>
              <w:spacing w:after="0" w:line="240" w:lineRule="auto"/>
              <w:jc w:val="center"/>
              <w:rPr>
                <w:rFonts w:eastAsia="Times New Roman"/>
                <w:bCs/>
              </w:rPr>
            </w:pPr>
            <w:r w:rsidRPr="00D75070">
              <w:rPr>
                <w:rFonts w:eastAsia="Times New Roman"/>
                <w:bCs/>
              </w:rPr>
              <w:t>Allotment (%)</w:t>
            </w:r>
          </w:p>
        </w:tc>
      </w:tr>
      <w:tr w:rsidR="00F76B72" w:rsidRPr="004B6794" w14:paraId="23DEE49C" w14:textId="77777777" w:rsidTr="00F76B72">
        <w:trPr>
          <w:trHeight w:val="288"/>
        </w:trPr>
        <w:tc>
          <w:tcPr>
            <w:tcW w:w="2981" w:type="pct"/>
            <w:tcBorders>
              <w:top w:val="nil"/>
              <w:left w:val="nil"/>
              <w:bottom w:val="nil"/>
              <w:right w:val="nil"/>
            </w:tcBorders>
            <w:shd w:val="clear" w:color="000000" w:fill="F2F2F2"/>
            <w:hideMark/>
          </w:tcPr>
          <w:p w14:paraId="6B5BCF8B" w14:textId="77777777" w:rsidR="00F76B72" w:rsidRPr="004B6794" w:rsidRDefault="00F76B72" w:rsidP="00F76B72">
            <w:pPr>
              <w:keepNext/>
              <w:spacing w:after="0" w:line="240" w:lineRule="auto"/>
              <w:rPr>
                <w:rFonts w:eastAsia="Times New Roman"/>
              </w:rPr>
            </w:pPr>
            <w:r w:rsidRPr="004B6794">
              <w:rPr>
                <w:rFonts w:eastAsia="Times New Roman"/>
              </w:rPr>
              <w:t>Support the development of clean energy (solar, wind)</w:t>
            </w:r>
          </w:p>
        </w:tc>
        <w:tc>
          <w:tcPr>
            <w:tcW w:w="529" w:type="pct"/>
            <w:tcBorders>
              <w:top w:val="nil"/>
              <w:left w:val="nil"/>
              <w:bottom w:val="nil"/>
              <w:right w:val="nil"/>
            </w:tcBorders>
            <w:shd w:val="clear" w:color="000000" w:fill="F2F2F2"/>
            <w:noWrap/>
            <w:hideMark/>
          </w:tcPr>
          <w:p w14:paraId="3C35E6A8" w14:textId="77777777" w:rsidR="00F76B72" w:rsidRPr="004B6794" w:rsidRDefault="00F76B72" w:rsidP="00F76B72">
            <w:pPr>
              <w:keepNext/>
              <w:spacing w:after="0" w:line="240" w:lineRule="auto"/>
              <w:jc w:val="center"/>
              <w:rPr>
                <w:rFonts w:eastAsia="Times New Roman"/>
              </w:rPr>
            </w:pPr>
            <w:r w:rsidRPr="004B6794">
              <w:rPr>
                <w:rFonts w:eastAsia="Times New Roman"/>
              </w:rPr>
              <w:t>79.8</w:t>
            </w:r>
          </w:p>
        </w:tc>
        <w:tc>
          <w:tcPr>
            <w:tcW w:w="865" w:type="pct"/>
            <w:tcBorders>
              <w:top w:val="nil"/>
              <w:left w:val="nil"/>
              <w:bottom w:val="nil"/>
              <w:right w:val="nil"/>
            </w:tcBorders>
            <w:shd w:val="clear" w:color="000000" w:fill="F2F2F2"/>
            <w:noWrap/>
            <w:hideMark/>
          </w:tcPr>
          <w:p w14:paraId="7ADE88E1" w14:textId="77777777" w:rsidR="00F76B72" w:rsidRPr="001C271C" w:rsidRDefault="00F76B72" w:rsidP="00F76B72">
            <w:pPr>
              <w:keepNext/>
              <w:spacing w:after="0" w:line="240" w:lineRule="auto"/>
              <w:jc w:val="center"/>
              <w:rPr>
                <w:rFonts w:eastAsia="Times New Roman"/>
              </w:rPr>
            </w:pPr>
            <w:r w:rsidRPr="001C271C">
              <w:rPr>
                <w:rFonts w:eastAsia="Times New Roman"/>
              </w:rPr>
              <w:t>20.5</w:t>
            </w:r>
          </w:p>
        </w:tc>
        <w:tc>
          <w:tcPr>
            <w:tcW w:w="625" w:type="pct"/>
            <w:tcBorders>
              <w:top w:val="nil"/>
              <w:left w:val="nil"/>
              <w:bottom w:val="nil"/>
              <w:right w:val="nil"/>
            </w:tcBorders>
            <w:shd w:val="clear" w:color="000000" w:fill="F2F2F2"/>
          </w:tcPr>
          <w:p w14:paraId="46361560" w14:textId="77777777" w:rsidR="00F76B72" w:rsidRPr="004B6794" w:rsidRDefault="00F76B72" w:rsidP="00F76B72">
            <w:pPr>
              <w:keepNext/>
              <w:spacing w:after="0" w:line="240" w:lineRule="auto"/>
              <w:jc w:val="center"/>
              <w:rPr>
                <w:rFonts w:eastAsia="Times New Roman"/>
              </w:rPr>
            </w:pPr>
            <w:r w:rsidRPr="004B6794">
              <w:rPr>
                <w:rFonts w:eastAsia="Times New Roman"/>
              </w:rPr>
              <w:t>17.3</w:t>
            </w:r>
          </w:p>
        </w:tc>
      </w:tr>
      <w:tr w:rsidR="00F76B72" w:rsidRPr="004B6794" w14:paraId="6BA3A6D0" w14:textId="77777777" w:rsidTr="00F76B72">
        <w:trPr>
          <w:trHeight w:val="288"/>
        </w:trPr>
        <w:tc>
          <w:tcPr>
            <w:tcW w:w="2981" w:type="pct"/>
            <w:tcBorders>
              <w:top w:val="nil"/>
              <w:left w:val="nil"/>
              <w:bottom w:val="nil"/>
              <w:right w:val="nil"/>
            </w:tcBorders>
            <w:shd w:val="clear" w:color="000000" w:fill="F2F2F2"/>
            <w:hideMark/>
          </w:tcPr>
          <w:p w14:paraId="38F4FB41" w14:textId="77777777" w:rsidR="00F76B72" w:rsidRPr="004B6794" w:rsidRDefault="00F76B72" w:rsidP="00F76B72">
            <w:pPr>
              <w:keepNext/>
              <w:spacing w:after="0" w:line="240" w:lineRule="auto"/>
              <w:rPr>
                <w:rFonts w:eastAsia="Times New Roman"/>
              </w:rPr>
            </w:pPr>
            <w:r w:rsidRPr="004B6794">
              <w:rPr>
                <w:rFonts w:eastAsia="Times New Roman"/>
              </w:rPr>
              <w:t>Fund improvements to America’s infrastructure (roads, bridges, etc.)</w:t>
            </w:r>
          </w:p>
        </w:tc>
        <w:tc>
          <w:tcPr>
            <w:tcW w:w="529" w:type="pct"/>
            <w:tcBorders>
              <w:top w:val="nil"/>
              <w:left w:val="nil"/>
              <w:bottom w:val="nil"/>
              <w:right w:val="nil"/>
            </w:tcBorders>
            <w:shd w:val="clear" w:color="000000" w:fill="F2F2F2"/>
            <w:noWrap/>
            <w:hideMark/>
          </w:tcPr>
          <w:p w14:paraId="2957CA80" w14:textId="77777777" w:rsidR="00F76B72" w:rsidRPr="004B6794" w:rsidRDefault="00F76B72" w:rsidP="00F76B72">
            <w:pPr>
              <w:keepNext/>
              <w:spacing w:after="0" w:line="240" w:lineRule="auto"/>
              <w:jc w:val="center"/>
              <w:rPr>
                <w:rFonts w:eastAsia="Times New Roman"/>
              </w:rPr>
            </w:pPr>
            <w:r w:rsidRPr="004B6794">
              <w:rPr>
                <w:rFonts w:eastAsia="Times New Roman"/>
              </w:rPr>
              <w:t>77.4</w:t>
            </w:r>
          </w:p>
        </w:tc>
        <w:tc>
          <w:tcPr>
            <w:tcW w:w="865" w:type="pct"/>
            <w:tcBorders>
              <w:top w:val="nil"/>
              <w:left w:val="nil"/>
              <w:bottom w:val="nil"/>
              <w:right w:val="nil"/>
            </w:tcBorders>
            <w:shd w:val="clear" w:color="000000" w:fill="F2F2F2"/>
            <w:noWrap/>
            <w:hideMark/>
          </w:tcPr>
          <w:p w14:paraId="28005AD5" w14:textId="77777777" w:rsidR="00F76B72" w:rsidRPr="001C271C" w:rsidRDefault="00F76B72" w:rsidP="00F76B72">
            <w:pPr>
              <w:keepNext/>
              <w:spacing w:after="0" w:line="240" w:lineRule="auto"/>
              <w:jc w:val="center"/>
              <w:rPr>
                <w:rFonts w:eastAsia="Times New Roman"/>
              </w:rPr>
            </w:pPr>
            <w:r w:rsidRPr="001C271C">
              <w:rPr>
                <w:rFonts w:eastAsia="Times New Roman"/>
              </w:rPr>
              <w:t>18.0</w:t>
            </w:r>
          </w:p>
        </w:tc>
        <w:tc>
          <w:tcPr>
            <w:tcW w:w="625" w:type="pct"/>
            <w:tcBorders>
              <w:top w:val="nil"/>
              <w:left w:val="nil"/>
              <w:bottom w:val="nil"/>
              <w:right w:val="nil"/>
            </w:tcBorders>
            <w:shd w:val="clear" w:color="000000" w:fill="F2F2F2"/>
          </w:tcPr>
          <w:p w14:paraId="30A9580D" w14:textId="77777777" w:rsidR="00F76B72" w:rsidRPr="004B6794" w:rsidRDefault="00F76B72" w:rsidP="00F76B72">
            <w:pPr>
              <w:keepNext/>
              <w:spacing w:after="0" w:line="240" w:lineRule="auto"/>
              <w:jc w:val="center"/>
              <w:rPr>
                <w:rFonts w:eastAsia="Times New Roman"/>
              </w:rPr>
            </w:pPr>
            <w:r w:rsidRPr="004B6794">
              <w:rPr>
                <w:rFonts w:eastAsia="Times New Roman"/>
              </w:rPr>
              <w:t>14.5</w:t>
            </w:r>
          </w:p>
        </w:tc>
      </w:tr>
      <w:tr w:rsidR="00F76B72" w:rsidRPr="004B6794" w14:paraId="311123D5" w14:textId="77777777" w:rsidTr="00F76B72">
        <w:trPr>
          <w:trHeight w:val="288"/>
        </w:trPr>
        <w:tc>
          <w:tcPr>
            <w:tcW w:w="2981" w:type="pct"/>
            <w:tcBorders>
              <w:top w:val="nil"/>
              <w:left w:val="nil"/>
              <w:bottom w:val="nil"/>
              <w:right w:val="nil"/>
            </w:tcBorders>
            <w:shd w:val="clear" w:color="000000" w:fill="F2F2F2"/>
            <w:hideMark/>
          </w:tcPr>
          <w:p w14:paraId="00436D55" w14:textId="77777777" w:rsidR="00F76B72" w:rsidRPr="004B6794" w:rsidRDefault="00F76B72" w:rsidP="00F76B72">
            <w:pPr>
              <w:keepNext/>
              <w:spacing w:after="0" w:line="240" w:lineRule="auto"/>
              <w:rPr>
                <w:rFonts w:eastAsia="Times New Roman"/>
              </w:rPr>
            </w:pPr>
            <w:r w:rsidRPr="004B6794">
              <w:rPr>
                <w:rFonts w:eastAsia="Times New Roman"/>
              </w:rPr>
              <w:t>Pay down the national debt</w:t>
            </w:r>
          </w:p>
        </w:tc>
        <w:tc>
          <w:tcPr>
            <w:tcW w:w="529" w:type="pct"/>
            <w:tcBorders>
              <w:top w:val="nil"/>
              <w:left w:val="nil"/>
              <w:bottom w:val="nil"/>
              <w:right w:val="nil"/>
            </w:tcBorders>
            <w:shd w:val="clear" w:color="000000" w:fill="F2F2F2"/>
            <w:noWrap/>
            <w:hideMark/>
          </w:tcPr>
          <w:p w14:paraId="35C5FB6B" w14:textId="77777777" w:rsidR="00F76B72" w:rsidRPr="004B6794" w:rsidRDefault="00F76B72" w:rsidP="00F76B72">
            <w:pPr>
              <w:keepNext/>
              <w:spacing w:after="0" w:line="240" w:lineRule="auto"/>
              <w:jc w:val="center"/>
              <w:rPr>
                <w:rFonts w:eastAsia="Times New Roman"/>
              </w:rPr>
            </w:pPr>
            <w:r w:rsidRPr="004B6794">
              <w:rPr>
                <w:rFonts w:eastAsia="Times New Roman"/>
              </w:rPr>
              <w:t>65.5</w:t>
            </w:r>
          </w:p>
        </w:tc>
        <w:tc>
          <w:tcPr>
            <w:tcW w:w="865" w:type="pct"/>
            <w:tcBorders>
              <w:top w:val="nil"/>
              <w:left w:val="nil"/>
              <w:bottom w:val="nil"/>
              <w:right w:val="nil"/>
            </w:tcBorders>
            <w:shd w:val="clear" w:color="000000" w:fill="F2F2F2"/>
            <w:noWrap/>
            <w:hideMark/>
          </w:tcPr>
          <w:p w14:paraId="074B11CA" w14:textId="77777777" w:rsidR="00F76B72" w:rsidRPr="001C271C" w:rsidRDefault="00F76B72" w:rsidP="00F76B72">
            <w:pPr>
              <w:keepNext/>
              <w:spacing w:after="0" w:line="240" w:lineRule="auto"/>
              <w:jc w:val="center"/>
              <w:rPr>
                <w:rFonts w:eastAsia="Times New Roman"/>
              </w:rPr>
            </w:pPr>
            <w:r w:rsidRPr="001C271C">
              <w:rPr>
                <w:rFonts w:eastAsia="Times New Roman"/>
              </w:rPr>
              <w:t>18.4</w:t>
            </w:r>
          </w:p>
        </w:tc>
        <w:tc>
          <w:tcPr>
            <w:tcW w:w="625" w:type="pct"/>
            <w:tcBorders>
              <w:top w:val="nil"/>
              <w:left w:val="nil"/>
              <w:bottom w:val="nil"/>
              <w:right w:val="nil"/>
            </w:tcBorders>
            <w:shd w:val="clear" w:color="000000" w:fill="F2F2F2"/>
          </w:tcPr>
          <w:p w14:paraId="65F6330B" w14:textId="77777777" w:rsidR="00F76B72" w:rsidRPr="004B6794" w:rsidRDefault="00F76B72" w:rsidP="00F76B72">
            <w:pPr>
              <w:keepNext/>
              <w:spacing w:after="0" w:line="240" w:lineRule="auto"/>
              <w:jc w:val="center"/>
              <w:rPr>
                <w:rFonts w:eastAsia="Times New Roman"/>
              </w:rPr>
            </w:pPr>
            <w:r w:rsidRPr="004B6794">
              <w:rPr>
                <w:rFonts w:eastAsia="Times New Roman"/>
              </w:rPr>
              <w:t>12.7</w:t>
            </w:r>
          </w:p>
        </w:tc>
      </w:tr>
      <w:tr w:rsidR="00F76B72" w:rsidRPr="004B6794" w14:paraId="392F95EA" w14:textId="77777777" w:rsidTr="00F76B72">
        <w:trPr>
          <w:trHeight w:val="288"/>
        </w:trPr>
        <w:tc>
          <w:tcPr>
            <w:tcW w:w="2981" w:type="pct"/>
            <w:tcBorders>
              <w:top w:val="nil"/>
              <w:left w:val="nil"/>
              <w:bottom w:val="nil"/>
              <w:right w:val="nil"/>
            </w:tcBorders>
            <w:shd w:val="clear" w:color="000000" w:fill="F2F2F2"/>
            <w:hideMark/>
          </w:tcPr>
          <w:p w14:paraId="79987F5D" w14:textId="77777777" w:rsidR="00F76B72" w:rsidRPr="004B6794" w:rsidRDefault="00F76B72" w:rsidP="00F76B72">
            <w:pPr>
              <w:keepNext/>
              <w:spacing w:after="0" w:line="240" w:lineRule="auto"/>
              <w:rPr>
                <w:rFonts w:eastAsia="Times New Roman"/>
              </w:rPr>
            </w:pPr>
            <w:r w:rsidRPr="004B6794">
              <w:rPr>
                <w:rFonts w:eastAsia="Times New Roman"/>
              </w:rPr>
              <w:t>Assist workers in the coal industry that may lose their jobs as a result of the tax</w:t>
            </w:r>
          </w:p>
        </w:tc>
        <w:tc>
          <w:tcPr>
            <w:tcW w:w="529" w:type="pct"/>
            <w:tcBorders>
              <w:top w:val="nil"/>
              <w:left w:val="nil"/>
              <w:bottom w:val="nil"/>
              <w:right w:val="nil"/>
            </w:tcBorders>
            <w:shd w:val="clear" w:color="000000" w:fill="F2F2F2"/>
            <w:noWrap/>
            <w:hideMark/>
          </w:tcPr>
          <w:p w14:paraId="6A5AFC95" w14:textId="77777777" w:rsidR="00F76B72" w:rsidRPr="004B6794" w:rsidRDefault="00F76B72" w:rsidP="00F76B72">
            <w:pPr>
              <w:keepNext/>
              <w:spacing w:after="0" w:line="240" w:lineRule="auto"/>
              <w:jc w:val="center"/>
              <w:rPr>
                <w:rFonts w:eastAsia="Times New Roman"/>
              </w:rPr>
            </w:pPr>
            <w:r w:rsidRPr="004B6794">
              <w:rPr>
                <w:rFonts w:eastAsia="Times New Roman"/>
              </w:rPr>
              <w:t>71.9</w:t>
            </w:r>
          </w:p>
        </w:tc>
        <w:tc>
          <w:tcPr>
            <w:tcW w:w="865" w:type="pct"/>
            <w:tcBorders>
              <w:top w:val="nil"/>
              <w:left w:val="nil"/>
              <w:bottom w:val="nil"/>
              <w:right w:val="nil"/>
            </w:tcBorders>
            <w:shd w:val="clear" w:color="000000" w:fill="F2F2F2"/>
            <w:noWrap/>
            <w:hideMark/>
          </w:tcPr>
          <w:p w14:paraId="3F98CC40" w14:textId="77777777" w:rsidR="00F76B72" w:rsidRPr="001C271C" w:rsidRDefault="00F76B72" w:rsidP="00F76B72">
            <w:pPr>
              <w:keepNext/>
              <w:spacing w:after="0" w:line="240" w:lineRule="auto"/>
              <w:jc w:val="center"/>
              <w:rPr>
                <w:rFonts w:eastAsia="Times New Roman"/>
              </w:rPr>
            </w:pPr>
            <w:r w:rsidRPr="001C271C">
              <w:rPr>
                <w:rFonts w:eastAsia="Times New Roman"/>
              </w:rPr>
              <w:t>14.0</w:t>
            </w:r>
          </w:p>
        </w:tc>
        <w:tc>
          <w:tcPr>
            <w:tcW w:w="625" w:type="pct"/>
            <w:tcBorders>
              <w:top w:val="nil"/>
              <w:left w:val="nil"/>
              <w:bottom w:val="nil"/>
              <w:right w:val="nil"/>
            </w:tcBorders>
            <w:shd w:val="clear" w:color="000000" w:fill="F2F2F2"/>
          </w:tcPr>
          <w:p w14:paraId="63E09135" w14:textId="77777777" w:rsidR="00F76B72" w:rsidRPr="004B6794" w:rsidRDefault="00F76B72" w:rsidP="00F76B72">
            <w:pPr>
              <w:keepNext/>
              <w:spacing w:after="0" w:line="240" w:lineRule="auto"/>
              <w:jc w:val="center"/>
              <w:rPr>
                <w:rFonts w:eastAsia="Times New Roman"/>
              </w:rPr>
            </w:pPr>
            <w:r w:rsidRPr="004B6794">
              <w:rPr>
                <w:rFonts w:eastAsia="Times New Roman"/>
              </w:rPr>
              <w:t>10.4</w:t>
            </w:r>
          </w:p>
        </w:tc>
      </w:tr>
      <w:tr w:rsidR="00F76B72" w:rsidRPr="004B6794" w14:paraId="601231E0" w14:textId="77777777" w:rsidTr="00F76B72">
        <w:trPr>
          <w:trHeight w:val="288"/>
        </w:trPr>
        <w:tc>
          <w:tcPr>
            <w:tcW w:w="2981" w:type="pct"/>
            <w:tcBorders>
              <w:top w:val="nil"/>
              <w:left w:val="nil"/>
              <w:bottom w:val="nil"/>
              <w:right w:val="nil"/>
            </w:tcBorders>
            <w:shd w:val="clear" w:color="000000" w:fill="F2F2F2"/>
            <w:hideMark/>
          </w:tcPr>
          <w:p w14:paraId="71970EEB" w14:textId="77777777" w:rsidR="00F76B72" w:rsidRPr="004B6794" w:rsidRDefault="00F76B72" w:rsidP="00F76B72">
            <w:pPr>
              <w:keepNext/>
              <w:spacing w:after="0" w:line="240" w:lineRule="auto"/>
              <w:rPr>
                <w:rFonts w:eastAsia="Times New Roman"/>
              </w:rPr>
            </w:pPr>
            <w:r w:rsidRPr="004B6794">
              <w:rPr>
                <w:rFonts w:eastAsia="Times New Roman"/>
              </w:rPr>
              <w:t>Reduce Federal income taxes</w:t>
            </w:r>
          </w:p>
        </w:tc>
        <w:tc>
          <w:tcPr>
            <w:tcW w:w="529" w:type="pct"/>
            <w:tcBorders>
              <w:top w:val="nil"/>
              <w:left w:val="nil"/>
              <w:bottom w:val="nil"/>
              <w:right w:val="nil"/>
            </w:tcBorders>
            <w:shd w:val="clear" w:color="000000" w:fill="F2F2F2"/>
            <w:noWrap/>
            <w:hideMark/>
          </w:tcPr>
          <w:p w14:paraId="4B243033" w14:textId="77777777" w:rsidR="00F76B72" w:rsidRPr="004B6794" w:rsidRDefault="00F76B72" w:rsidP="00F76B72">
            <w:pPr>
              <w:keepNext/>
              <w:spacing w:after="0" w:line="240" w:lineRule="auto"/>
              <w:jc w:val="center"/>
              <w:rPr>
                <w:rFonts w:eastAsia="Times New Roman"/>
              </w:rPr>
            </w:pPr>
            <w:r w:rsidRPr="004B6794">
              <w:rPr>
                <w:rFonts w:eastAsia="Times New Roman"/>
              </w:rPr>
              <w:t>59.3</w:t>
            </w:r>
          </w:p>
        </w:tc>
        <w:tc>
          <w:tcPr>
            <w:tcW w:w="865" w:type="pct"/>
            <w:tcBorders>
              <w:top w:val="nil"/>
              <w:left w:val="nil"/>
              <w:bottom w:val="nil"/>
              <w:right w:val="nil"/>
            </w:tcBorders>
            <w:shd w:val="clear" w:color="000000" w:fill="F2F2F2"/>
            <w:noWrap/>
            <w:hideMark/>
          </w:tcPr>
          <w:p w14:paraId="465A04D8" w14:textId="77777777" w:rsidR="00F76B72" w:rsidRPr="001C271C" w:rsidRDefault="00F76B72" w:rsidP="00F76B72">
            <w:pPr>
              <w:keepNext/>
              <w:spacing w:after="0" w:line="240" w:lineRule="auto"/>
              <w:jc w:val="center"/>
              <w:rPr>
                <w:rFonts w:eastAsia="Times New Roman"/>
              </w:rPr>
            </w:pPr>
            <w:r w:rsidRPr="001C271C">
              <w:rPr>
                <w:rFonts w:eastAsia="Times New Roman"/>
              </w:rPr>
              <w:t>15.3</w:t>
            </w:r>
          </w:p>
        </w:tc>
        <w:tc>
          <w:tcPr>
            <w:tcW w:w="625" w:type="pct"/>
            <w:tcBorders>
              <w:top w:val="nil"/>
              <w:left w:val="nil"/>
              <w:bottom w:val="nil"/>
              <w:right w:val="nil"/>
            </w:tcBorders>
            <w:shd w:val="clear" w:color="000000" w:fill="F2F2F2"/>
          </w:tcPr>
          <w:p w14:paraId="0678B707" w14:textId="77777777" w:rsidR="00F76B72" w:rsidRPr="004B6794" w:rsidRDefault="00F76B72" w:rsidP="00F76B72">
            <w:pPr>
              <w:keepNext/>
              <w:spacing w:after="0" w:line="240" w:lineRule="auto"/>
              <w:jc w:val="center"/>
              <w:rPr>
                <w:rFonts w:eastAsia="Times New Roman"/>
              </w:rPr>
            </w:pPr>
            <w:r w:rsidRPr="004B6794">
              <w:rPr>
                <w:rFonts w:eastAsia="Times New Roman"/>
              </w:rPr>
              <w:t>9.9</w:t>
            </w:r>
          </w:p>
        </w:tc>
      </w:tr>
      <w:tr w:rsidR="00F76B72" w:rsidRPr="004B6794" w14:paraId="133E620D" w14:textId="77777777" w:rsidTr="00F76B72">
        <w:trPr>
          <w:trHeight w:val="288"/>
        </w:trPr>
        <w:tc>
          <w:tcPr>
            <w:tcW w:w="2981" w:type="pct"/>
            <w:tcBorders>
              <w:top w:val="nil"/>
              <w:left w:val="nil"/>
              <w:bottom w:val="nil"/>
              <w:right w:val="nil"/>
            </w:tcBorders>
            <w:shd w:val="clear" w:color="000000" w:fill="F2F2F2"/>
            <w:hideMark/>
          </w:tcPr>
          <w:p w14:paraId="35105044" w14:textId="77777777" w:rsidR="00F76B72" w:rsidRPr="004B6794" w:rsidRDefault="00F76B72" w:rsidP="00F76B72">
            <w:pPr>
              <w:keepNext/>
              <w:spacing w:after="0" w:line="240" w:lineRule="auto"/>
              <w:rPr>
                <w:rFonts w:eastAsia="Times New Roman"/>
              </w:rPr>
            </w:pPr>
            <w:r w:rsidRPr="004B6794">
              <w:rPr>
                <w:rFonts w:eastAsia="Times New Roman"/>
              </w:rPr>
              <w:t>Return the money to all American households in equal amounts</w:t>
            </w:r>
          </w:p>
        </w:tc>
        <w:tc>
          <w:tcPr>
            <w:tcW w:w="529" w:type="pct"/>
            <w:tcBorders>
              <w:top w:val="nil"/>
              <w:left w:val="nil"/>
              <w:bottom w:val="nil"/>
              <w:right w:val="nil"/>
            </w:tcBorders>
            <w:shd w:val="clear" w:color="000000" w:fill="F2F2F2"/>
            <w:noWrap/>
            <w:hideMark/>
          </w:tcPr>
          <w:p w14:paraId="4DE41E23" w14:textId="77777777" w:rsidR="00F76B72" w:rsidRPr="004B6794" w:rsidRDefault="00F76B72" w:rsidP="00F76B72">
            <w:pPr>
              <w:keepNext/>
              <w:spacing w:after="0" w:line="240" w:lineRule="auto"/>
              <w:jc w:val="center"/>
              <w:rPr>
                <w:rFonts w:eastAsia="Times New Roman"/>
              </w:rPr>
            </w:pPr>
            <w:r w:rsidRPr="004B6794">
              <w:rPr>
                <w:rFonts w:eastAsia="Times New Roman"/>
              </w:rPr>
              <w:t>45.9</w:t>
            </w:r>
          </w:p>
        </w:tc>
        <w:tc>
          <w:tcPr>
            <w:tcW w:w="865" w:type="pct"/>
            <w:tcBorders>
              <w:top w:val="nil"/>
              <w:left w:val="nil"/>
              <w:bottom w:val="nil"/>
              <w:right w:val="nil"/>
            </w:tcBorders>
            <w:shd w:val="clear" w:color="000000" w:fill="F2F2F2"/>
            <w:noWrap/>
            <w:hideMark/>
          </w:tcPr>
          <w:p w14:paraId="436511F6" w14:textId="77777777" w:rsidR="00F76B72" w:rsidRPr="001C271C" w:rsidRDefault="00F76B72" w:rsidP="00F76B72">
            <w:pPr>
              <w:keepNext/>
              <w:spacing w:after="0" w:line="240" w:lineRule="auto"/>
              <w:jc w:val="center"/>
              <w:rPr>
                <w:rFonts w:eastAsia="Times New Roman"/>
              </w:rPr>
            </w:pPr>
            <w:r>
              <w:rPr>
                <w:rFonts w:eastAsia="Times New Roman"/>
              </w:rPr>
              <w:t>15.6</w:t>
            </w:r>
          </w:p>
        </w:tc>
        <w:tc>
          <w:tcPr>
            <w:tcW w:w="625" w:type="pct"/>
            <w:tcBorders>
              <w:top w:val="nil"/>
              <w:left w:val="nil"/>
              <w:bottom w:val="nil"/>
              <w:right w:val="nil"/>
            </w:tcBorders>
            <w:shd w:val="clear" w:color="000000" w:fill="F2F2F2"/>
          </w:tcPr>
          <w:p w14:paraId="176EDDC4" w14:textId="77777777" w:rsidR="00F76B72" w:rsidRPr="004B6794" w:rsidRDefault="00F76B72" w:rsidP="00F76B72">
            <w:pPr>
              <w:keepNext/>
              <w:spacing w:after="0" w:line="240" w:lineRule="auto"/>
              <w:jc w:val="center"/>
              <w:rPr>
                <w:rFonts w:eastAsia="Times New Roman"/>
              </w:rPr>
            </w:pPr>
            <w:r w:rsidRPr="004B6794">
              <w:rPr>
                <w:rFonts w:eastAsia="Times New Roman"/>
              </w:rPr>
              <w:t>8.1</w:t>
            </w:r>
          </w:p>
        </w:tc>
      </w:tr>
      <w:tr w:rsidR="00F76B72" w:rsidRPr="004B6794" w14:paraId="01A2D424" w14:textId="77777777" w:rsidTr="00F76B72">
        <w:trPr>
          <w:trHeight w:val="288"/>
        </w:trPr>
        <w:tc>
          <w:tcPr>
            <w:tcW w:w="2981" w:type="pct"/>
            <w:tcBorders>
              <w:top w:val="nil"/>
              <w:left w:val="nil"/>
              <w:bottom w:val="nil"/>
              <w:right w:val="nil"/>
            </w:tcBorders>
            <w:shd w:val="clear" w:color="000000" w:fill="F2F2F2"/>
            <w:hideMark/>
          </w:tcPr>
          <w:p w14:paraId="5B4448E4" w14:textId="77777777" w:rsidR="00F76B72" w:rsidRPr="004B6794" w:rsidRDefault="00F76B72" w:rsidP="00F76B72">
            <w:pPr>
              <w:keepNext/>
              <w:spacing w:after="0" w:line="240" w:lineRule="auto"/>
              <w:rPr>
                <w:rFonts w:eastAsia="Times New Roman"/>
              </w:rPr>
            </w:pPr>
            <w:r w:rsidRPr="004B6794">
              <w:rPr>
                <w:rFonts w:eastAsia="Times New Roman"/>
              </w:rPr>
              <w:t>Assist low-income communities that are most vulnerable to the impacts of global warming</w:t>
            </w:r>
          </w:p>
        </w:tc>
        <w:tc>
          <w:tcPr>
            <w:tcW w:w="529" w:type="pct"/>
            <w:tcBorders>
              <w:top w:val="nil"/>
              <w:left w:val="nil"/>
              <w:bottom w:val="nil"/>
              <w:right w:val="nil"/>
            </w:tcBorders>
            <w:shd w:val="clear" w:color="000000" w:fill="F2F2F2"/>
            <w:noWrap/>
            <w:hideMark/>
          </w:tcPr>
          <w:p w14:paraId="65AD2732" w14:textId="77777777" w:rsidR="00F76B72" w:rsidRPr="004B6794" w:rsidRDefault="00F76B72" w:rsidP="00F76B72">
            <w:pPr>
              <w:keepNext/>
              <w:spacing w:after="0" w:line="240" w:lineRule="auto"/>
              <w:jc w:val="center"/>
              <w:rPr>
                <w:rFonts w:eastAsia="Times New Roman"/>
              </w:rPr>
            </w:pPr>
            <w:r w:rsidRPr="004B6794">
              <w:rPr>
                <w:rFonts w:eastAsia="Times New Roman"/>
              </w:rPr>
              <w:t>57.3</w:t>
            </w:r>
          </w:p>
        </w:tc>
        <w:tc>
          <w:tcPr>
            <w:tcW w:w="865" w:type="pct"/>
            <w:tcBorders>
              <w:top w:val="nil"/>
              <w:left w:val="nil"/>
              <w:bottom w:val="nil"/>
              <w:right w:val="nil"/>
            </w:tcBorders>
            <w:shd w:val="clear" w:color="000000" w:fill="F2F2F2"/>
            <w:noWrap/>
            <w:hideMark/>
          </w:tcPr>
          <w:p w14:paraId="3EC5973C" w14:textId="77777777" w:rsidR="00F76B72" w:rsidRPr="001C271C" w:rsidRDefault="00F76B72" w:rsidP="00F76B72">
            <w:pPr>
              <w:keepNext/>
              <w:spacing w:after="0" w:line="240" w:lineRule="auto"/>
              <w:jc w:val="center"/>
              <w:rPr>
                <w:rFonts w:eastAsia="Times New Roman"/>
              </w:rPr>
            </w:pPr>
            <w:r>
              <w:rPr>
                <w:rFonts w:eastAsia="Times New Roman"/>
              </w:rPr>
              <w:t>12.7</w:t>
            </w:r>
          </w:p>
        </w:tc>
        <w:tc>
          <w:tcPr>
            <w:tcW w:w="625" w:type="pct"/>
            <w:tcBorders>
              <w:top w:val="nil"/>
              <w:left w:val="nil"/>
              <w:bottom w:val="nil"/>
              <w:right w:val="nil"/>
            </w:tcBorders>
            <w:shd w:val="clear" w:color="000000" w:fill="F2F2F2"/>
          </w:tcPr>
          <w:p w14:paraId="3D47AC1E" w14:textId="77777777" w:rsidR="00F76B72" w:rsidRPr="004B6794" w:rsidRDefault="00F76B72" w:rsidP="00F76B72">
            <w:pPr>
              <w:keepNext/>
              <w:spacing w:after="0" w:line="240" w:lineRule="auto"/>
              <w:jc w:val="center"/>
              <w:rPr>
                <w:rFonts w:eastAsia="Times New Roman"/>
              </w:rPr>
            </w:pPr>
            <w:r w:rsidRPr="004B6794">
              <w:rPr>
                <w:rFonts w:eastAsia="Times New Roman"/>
              </w:rPr>
              <w:t>7.8</w:t>
            </w:r>
          </w:p>
        </w:tc>
      </w:tr>
      <w:tr w:rsidR="00F76B72" w:rsidRPr="004B6794" w14:paraId="2FAEE600" w14:textId="77777777" w:rsidTr="00F76B72">
        <w:trPr>
          <w:trHeight w:val="288"/>
        </w:trPr>
        <w:tc>
          <w:tcPr>
            <w:tcW w:w="2981" w:type="pct"/>
            <w:tcBorders>
              <w:top w:val="nil"/>
              <w:left w:val="nil"/>
              <w:bottom w:val="nil"/>
              <w:right w:val="nil"/>
            </w:tcBorders>
            <w:shd w:val="clear" w:color="000000" w:fill="F2F2F2"/>
            <w:hideMark/>
          </w:tcPr>
          <w:p w14:paraId="5EB1295D" w14:textId="77777777" w:rsidR="00F76B72" w:rsidRPr="004B6794" w:rsidRDefault="00F76B72" w:rsidP="00F76B72">
            <w:pPr>
              <w:keepNext/>
              <w:spacing w:after="0" w:line="240" w:lineRule="auto"/>
              <w:rPr>
                <w:rFonts w:eastAsia="Times New Roman"/>
              </w:rPr>
            </w:pPr>
            <w:r w:rsidRPr="004B6794">
              <w:rPr>
                <w:rFonts w:eastAsia="Times New Roman"/>
              </w:rPr>
              <w:t>Fund programs to help American communities prepare for and adapt to global warming</w:t>
            </w:r>
          </w:p>
        </w:tc>
        <w:tc>
          <w:tcPr>
            <w:tcW w:w="529" w:type="pct"/>
            <w:tcBorders>
              <w:top w:val="nil"/>
              <w:left w:val="nil"/>
              <w:bottom w:val="nil"/>
              <w:right w:val="nil"/>
            </w:tcBorders>
            <w:shd w:val="clear" w:color="000000" w:fill="F2F2F2"/>
            <w:noWrap/>
            <w:hideMark/>
          </w:tcPr>
          <w:p w14:paraId="4D8CCF25" w14:textId="77777777" w:rsidR="00F76B72" w:rsidRPr="004B6794" w:rsidRDefault="00F76B72" w:rsidP="00F76B72">
            <w:pPr>
              <w:keepNext/>
              <w:spacing w:after="0" w:line="240" w:lineRule="auto"/>
              <w:jc w:val="center"/>
              <w:rPr>
                <w:rFonts w:eastAsia="Times New Roman"/>
              </w:rPr>
            </w:pPr>
            <w:r w:rsidRPr="004B6794">
              <w:rPr>
                <w:rFonts w:eastAsia="Times New Roman"/>
              </w:rPr>
              <w:t>54.6</w:t>
            </w:r>
          </w:p>
        </w:tc>
        <w:tc>
          <w:tcPr>
            <w:tcW w:w="865" w:type="pct"/>
            <w:tcBorders>
              <w:top w:val="nil"/>
              <w:left w:val="nil"/>
              <w:bottom w:val="nil"/>
              <w:right w:val="nil"/>
            </w:tcBorders>
            <w:shd w:val="clear" w:color="000000" w:fill="F2F2F2"/>
            <w:noWrap/>
            <w:hideMark/>
          </w:tcPr>
          <w:p w14:paraId="2DF39523" w14:textId="77777777" w:rsidR="00F76B72" w:rsidRPr="001C271C" w:rsidRDefault="00F76B72" w:rsidP="00F76B72">
            <w:pPr>
              <w:keepNext/>
              <w:spacing w:after="0" w:line="240" w:lineRule="auto"/>
              <w:jc w:val="center"/>
              <w:rPr>
                <w:rFonts w:eastAsia="Times New Roman"/>
              </w:rPr>
            </w:pPr>
            <w:r w:rsidRPr="001C271C">
              <w:rPr>
                <w:rFonts w:eastAsia="Times New Roman"/>
              </w:rPr>
              <w:t>12.1</w:t>
            </w:r>
          </w:p>
        </w:tc>
        <w:tc>
          <w:tcPr>
            <w:tcW w:w="625" w:type="pct"/>
            <w:tcBorders>
              <w:top w:val="nil"/>
              <w:left w:val="nil"/>
              <w:bottom w:val="nil"/>
              <w:right w:val="nil"/>
            </w:tcBorders>
            <w:shd w:val="clear" w:color="000000" w:fill="F2F2F2"/>
          </w:tcPr>
          <w:p w14:paraId="74AD1942" w14:textId="77777777" w:rsidR="00F76B72" w:rsidRPr="004B6794" w:rsidRDefault="00F76B72" w:rsidP="00F76B72">
            <w:pPr>
              <w:keepNext/>
              <w:spacing w:after="0" w:line="240" w:lineRule="auto"/>
              <w:jc w:val="center"/>
              <w:rPr>
                <w:rFonts w:eastAsia="Times New Roman"/>
              </w:rPr>
            </w:pPr>
            <w:r w:rsidRPr="004B6794">
              <w:rPr>
                <w:rFonts w:eastAsia="Times New Roman"/>
              </w:rPr>
              <w:t>7.2</w:t>
            </w:r>
          </w:p>
        </w:tc>
      </w:tr>
      <w:tr w:rsidR="00F76B72" w:rsidRPr="004B6794" w14:paraId="2CFB3BC8" w14:textId="77777777" w:rsidTr="00F76B72">
        <w:trPr>
          <w:trHeight w:val="288"/>
        </w:trPr>
        <w:tc>
          <w:tcPr>
            <w:tcW w:w="2981" w:type="pct"/>
            <w:tcBorders>
              <w:top w:val="nil"/>
              <w:left w:val="nil"/>
              <w:bottom w:val="nil"/>
              <w:right w:val="nil"/>
            </w:tcBorders>
            <w:shd w:val="clear" w:color="000000" w:fill="F2F2F2"/>
            <w:hideMark/>
          </w:tcPr>
          <w:p w14:paraId="63BA4C90" w14:textId="77777777" w:rsidR="00F76B72" w:rsidRPr="004B6794" w:rsidRDefault="00F76B72" w:rsidP="00F76B72">
            <w:pPr>
              <w:keepNext/>
              <w:spacing w:after="0" w:line="240" w:lineRule="auto"/>
              <w:rPr>
                <w:rFonts w:eastAsia="Times New Roman"/>
              </w:rPr>
            </w:pPr>
            <w:r w:rsidRPr="004B6794">
              <w:rPr>
                <w:rFonts w:eastAsia="Times New Roman"/>
              </w:rPr>
              <w:t>Reduce Federal payroll taxes (Social Security and Medicare taxes that are deducted from paychecks)</w:t>
            </w:r>
          </w:p>
        </w:tc>
        <w:tc>
          <w:tcPr>
            <w:tcW w:w="529" w:type="pct"/>
            <w:tcBorders>
              <w:top w:val="nil"/>
              <w:left w:val="nil"/>
              <w:bottom w:val="nil"/>
              <w:right w:val="nil"/>
            </w:tcBorders>
            <w:shd w:val="clear" w:color="000000" w:fill="F2F2F2"/>
            <w:noWrap/>
            <w:hideMark/>
          </w:tcPr>
          <w:p w14:paraId="7D1823D9" w14:textId="77777777" w:rsidR="00F76B72" w:rsidRPr="004B6794" w:rsidRDefault="00F76B72" w:rsidP="00F76B72">
            <w:pPr>
              <w:keepNext/>
              <w:spacing w:after="0" w:line="240" w:lineRule="auto"/>
              <w:jc w:val="center"/>
              <w:rPr>
                <w:rFonts w:eastAsia="Times New Roman"/>
              </w:rPr>
            </w:pPr>
            <w:r w:rsidRPr="004B6794">
              <w:rPr>
                <w:rFonts w:eastAsia="Times New Roman"/>
              </w:rPr>
              <w:t>44.2</w:t>
            </w:r>
          </w:p>
        </w:tc>
        <w:tc>
          <w:tcPr>
            <w:tcW w:w="865" w:type="pct"/>
            <w:tcBorders>
              <w:top w:val="nil"/>
              <w:left w:val="nil"/>
              <w:bottom w:val="nil"/>
              <w:right w:val="nil"/>
            </w:tcBorders>
            <w:shd w:val="clear" w:color="000000" w:fill="F2F2F2"/>
            <w:noWrap/>
            <w:hideMark/>
          </w:tcPr>
          <w:p w14:paraId="22243F7C" w14:textId="77777777" w:rsidR="00F76B72" w:rsidRPr="001C271C" w:rsidRDefault="00F76B72" w:rsidP="00F76B72">
            <w:pPr>
              <w:keepNext/>
              <w:spacing w:after="0" w:line="240" w:lineRule="auto"/>
              <w:jc w:val="center"/>
              <w:rPr>
                <w:rFonts w:eastAsia="Times New Roman"/>
              </w:rPr>
            </w:pPr>
            <w:r w:rsidRPr="001C271C">
              <w:rPr>
                <w:rFonts w:eastAsia="Times New Roman"/>
              </w:rPr>
              <w:t>14.2</w:t>
            </w:r>
          </w:p>
        </w:tc>
        <w:tc>
          <w:tcPr>
            <w:tcW w:w="625" w:type="pct"/>
            <w:tcBorders>
              <w:top w:val="nil"/>
              <w:left w:val="nil"/>
              <w:bottom w:val="nil"/>
              <w:right w:val="nil"/>
            </w:tcBorders>
            <w:shd w:val="clear" w:color="000000" w:fill="F2F2F2"/>
          </w:tcPr>
          <w:p w14:paraId="63A43111" w14:textId="77777777" w:rsidR="00F76B72" w:rsidRPr="004B6794" w:rsidRDefault="00F76B72" w:rsidP="00F76B72">
            <w:pPr>
              <w:keepNext/>
              <w:spacing w:after="0" w:line="240" w:lineRule="auto"/>
              <w:jc w:val="center"/>
              <w:rPr>
                <w:rFonts w:eastAsia="Times New Roman"/>
              </w:rPr>
            </w:pPr>
            <w:r w:rsidRPr="004B6794">
              <w:rPr>
                <w:rFonts w:eastAsia="Times New Roman"/>
              </w:rPr>
              <w:t>7.2</w:t>
            </w:r>
          </w:p>
        </w:tc>
      </w:tr>
      <w:tr w:rsidR="00F76B72" w:rsidRPr="004B6794" w14:paraId="42D5B3C3" w14:textId="77777777" w:rsidTr="00F76B72">
        <w:trPr>
          <w:trHeight w:val="288"/>
        </w:trPr>
        <w:tc>
          <w:tcPr>
            <w:tcW w:w="2981" w:type="pct"/>
            <w:tcBorders>
              <w:top w:val="nil"/>
              <w:left w:val="nil"/>
              <w:bottom w:val="nil"/>
              <w:right w:val="nil"/>
            </w:tcBorders>
            <w:shd w:val="clear" w:color="000000" w:fill="F2F2F2"/>
            <w:hideMark/>
          </w:tcPr>
          <w:p w14:paraId="3D3142FF" w14:textId="77777777" w:rsidR="00F76B72" w:rsidRPr="004B6794" w:rsidRDefault="00F76B72" w:rsidP="00F76B72">
            <w:pPr>
              <w:keepNext/>
              <w:spacing w:after="0" w:line="240" w:lineRule="auto"/>
              <w:rPr>
                <w:rFonts w:eastAsia="Times New Roman"/>
              </w:rPr>
            </w:pPr>
            <w:r w:rsidRPr="004B6794">
              <w:rPr>
                <w:rFonts w:eastAsia="Times New Roman"/>
              </w:rPr>
              <w:t>Reduce corporate taxes</w:t>
            </w:r>
          </w:p>
        </w:tc>
        <w:tc>
          <w:tcPr>
            <w:tcW w:w="529" w:type="pct"/>
            <w:tcBorders>
              <w:top w:val="nil"/>
              <w:left w:val="nil"/>
              <w:bottom w:val="nil"/>
              <w:right w:val="nil"/>
            </w:tcBorders>
            <w:shd w:val="clear" w:color="000000" w:fill="F2F2F2"/>
            <w:noWrap/>
            <w:hideMark/>
          </w:tcPr>
          <w:p w14:paraId="25E3F439" w14:textId="77777777" w:rsidR="00F76B72" w:rsidRPr="004B6794" w:rsidRDefault="00F76B72" w:rsidP="00F76B72">
            <w:pPr>
              <w:keepNext/>
              <w:spacing w:after="0" w:line="240" w:lineRule="auto"/>
              <w:jc w:val="center"/>
              <w:rPr>
                <w:rFonts w:eastAsia="Times New Roman"/>
              </w:rPr>
            </w:pPr>
            <w:r w:rsidRPr="004B6794">
              <w:rPr>
                <w:rFonts w:eastAsia="Times New Roman"/>
              </w:rPr>
              <w:t>24.4</w:t>
            </w:r>
          </w:p>
        </w:tc>
        <w:tc>
          <w:tcPr>
            <w:tcW w:w="865" w:type="pct"/>
            <w:tcBorders>
              <w:top w:val="nil"/>
              <w:left w:val="nil"/>
              <w:bottom w:val="nil"/>
              <w:right w:val="nil"/>
            </w:tcBorders>
            <w:shd w:val="clear" w:color="000000" w:fill="F2F2F2"/>
            <w:noWrap/>
            <w:hideMark/>
          </w:tcPr>
          <w:p w14:paraId="351D0267" w14:textId="77777777" w:rsidR="00F76B72" w:rsidRPr="001C271C" w:rsidRDefault="00F76B72" w:rsidP="00F76B72">
            <w:pPr>
              <w:keepNext/>
              <w:spacing w:after="0" w:line="240" w:lineRule="auto"/>
              <w:jc w:val="center"/>
              <w:rPr>
                <w:rFonts w:eastAsia="Times New Roman"/>
              </w:rPr>
            </w:pPr>
            <w:r w:rsidRPr="001C271C">
              <w:rPr>
                <w:rFonts w:eastAsia="Times New Roman"/>
              </w:rPr>
              <w:t>11.2</w:t>
            </w:r>
          </w:p>
        </w:tc>
        <w:tc>
          <w:tcPr>
            <w:tcW w:w="625" w:type="pct"/>
            <w:tcBorders>
              <w:top w:val="nil"/>
              <w:left w:val="nil"/>
              <w:bottom w:val="nil"/>
              <w:right w:val="nil"/>
            </w:tcBorders>
            <w:shd w:val="clear" w:color="000000" w:fill="F2F2F2"/>
          </w:tcPr>
          <w:p w14:paraId="34F1FF23" w14:textId="77777777" w:rsidR="00F76B72" w:rsidRPr="004B6794" w:rsidRDefault="00F76B72" w:rsidP="00F76B72">
            <w:pPr>
              <w:keepNext/>
              <w:spacing w:after="0" w:line="240" w:lineRule="auto"/>
              <w:jc w:val="center"/>
              <w:rPr>
                <w:rFonts w:eastAsia="Times New Roman"/>
              </w:rPr>
            </w:pPr>
            <w:r w:rsidRPr="004B6794">
              <w:rPr>
                <w:rFonts w:eastAsia="Times New Roman"/>
              </w:rPr>
              <w:t>3.2</w:t>
            </w:r>
          </w:p>
        </w:tc>
      </w:tr>
      <w:tr w:rsidR="00F76B72" w:rsidRPr="004B6794" w14:paraId="51EFB132" w14:textId="77777777" w:rsidTr="00F76B72">
        <w:trPr>
          <w:trHeight w:val="288"/>
        </w:trPr>
        <w:tc>
          <w:tcPr>
            <w:tcW w:w="2981" w:type="pct"/>
            <w:tcBorders>
              <w:top w:val="nil"/>
              <w:left w:val="nil"/>
              <w:bottom w:val="single" w:sz="4" w:space="0" w:color="auto"/>
              <w:right w:val="nil"/>
            </w:tcBorders>
            <w:shd w:val="clear" w:color="000000" w:fill="F2F2F2"/>
            <w:hideMark/>
          </w:tcPr>
          <w:p w14:paraId="1B5E15B6" w14:textId="77777777" w:rsidR="00F76B72" w:rsidRPr="004B6794" w:rsidRDefault="00F76B72" w:rsidP="00F76B72">
            <w:pPr>
              <w:keepNext/>
              <w:spacing w:after="0" w:line="240" w:lineRule="auto"/>
              <w:rPr>
                <w:rFonts w:eastAsia="Times New Roman"/>
              </w:rPr>
            </w:pPr>
            <w:r w:rsidRPr="004B6794">
              <w:rPr>
                <w:rFonts w:eastAsia="Times New Roman"/>
              </w:rPr>
              <w:t xml:space="preserve">Other (please specify) </w:t>
            </w:r>
          </w:p>
        </w:tc>
        <w:tc>
          <w:tcPr>
            <w:tcW w:w="529" w:type="pct"/>
            <w:tcBorders>
              <w:top w:val="nil"/>
              <w:left w:val="nil"/>
              <w:bottom w:val="single" w:sz="4" w:space="0" w:color="auto"/>
              <w:right w:val="nil"/>
            </w:tcBorders>
            <w:shd w:val="clear" w:color="000000" w:fill="F2F2F2"/>
            <w:noWrap/>
            <w:hideMark/>
          </w:tcPr>
          <w:p w14:paraId="0373A0BE" w14:textId="77777777" w:rsidR="00F76B72" w:rsidRPr="004B6794" w:rsidRDefault="00F76B72" w:rsidP="00F76B72">
            <w:pPr>
              <w:keepNext/>
              <w:spacing w:after="0" w:line="240" w:lineRule="auto"/>
              <w:jc w:val="center"/>
              <w:rPr>
                <w:rFonts w:eastAsia="Times New Roman"/>
              </w:rPr>
            </w:pPr>
            <w:r w:rsidRPr="004B6794">
              <w:rPr>
                <w:rFonts w:eastAsia="Times New Roman"/>
              </w:rPr>
              <w:t>7.8</w:t>
            </w:r>
          </w:p>
        </w:tc>
        <w:tc>
          <w:tcPr>
            <w:tcW w:w="865" w:type="pct"/>
            <w:tcBorders>
              <w:top w:val="nil"/>
              <w:left w:val="nil"/>
              <w:bottom w:val="single" w:sz="4" w:space="0" w:color="auto"/>
              <w:right w:val="nil"/>
            </w:tcBorders>
            <w:shd w:val="clear" w:color="000000" w:fill="F2F2F2"/>
            <w:noWrap/>
            <w:hideMark/>
          </w:tcPr>
          <w:p w14:paraId="05EA404A" w14:textId="77777777" w:rsidR="00F76B72" w:rsidRPr="001C271C" w:rsidRDefault="00F76B72" w:rsidP="00F76B72">
            <w:pPr>
              <w:keepNext/>
              <w:spacing w:after="0" w:line="240" w:lineRule="auto"/>
              <w:jc w:val="center"/>
              <w:rPr>
                <w:rFonts w:eastAsia="Times New Roman"/>
              </w:rPr>
            </w:pPr>
            <w:r w:rsidRPr="001C271C">
              <w:rPr>
                <w:rFonts w:eastAsia="Times New Roman"/>
              </w:rPr>
              <w:t>23.1</w:t>
            </w:r>
          </w:p>
        </w:tc>
        <w:tc>
          <w:tcPr>
            <w:tcW w:w="625" w:type="pct"/>
            <w:tcBorders>
              <w:top w:val="nil"/>
              <w:left w:val="nil"/>
              <w:bottom w:val="single" w:sz="4" w:space="0" w:color="auto"/>
              <w:right w:val="nil"/>
            </w:tcBorders>
            <w:shd w:val="clear" w:color="000000" w:fill="F2F2F2"/>
          </w:tcPr>
          <w:p w14:paraId="06B11141" w14:textId="77777777" w:rsidR="00F76B72" w:rsidRPr="004B6794" w:rsidRDefault="00F76B72" w:rsidP="00F76B72">
            <w:pPr>
              <w:keepNext/>
              <w:spacing w:after="0" w:line="240" w:lineRule="auto"/>
              <w:jc w:val="center"/>
              <w:rPr>
                <w:rFonts w:eastAsia="Times New Roman"/>
              </w:rPr>
            </w:pPr>
            <w:r w:rsidRPr="004B6794">
              <w:rPr>
                <w:rFonts w:eastAsia="Times New Roman"/>
              </w:rPr>
              <w:t>1.7</w:t>
            </w:r>
          </w:p>
        </w:tc>
      </w:tr>
      <w:tr w:rsidR="00F76B72" w:rsidRPr="004B6794" w14:paraId="50FB220D" w14:textId="77777777" w:rsidTr="00F76B72">
        <w:trPr>
          <w:trHeight w:val="750"/>
        </w:trPr>
        <w:tc>
          <w:tcPr>
            <w:tcW w:w="5000" w:type="pct"/>
            <w:gridSpan w:val="4"/>
            <w:tcBorders>
              <w:top w:val="single" w:sz="4" w:space="0" w:color="auto"/>
              <w:left w:val="nil"/>
              <w:bottom w:val="nil"/>
              <w:right w:val="nil"/>
            </w:tcBorders>
            <w:shd w:val="clear" w:color="000000" w:fill="F2F2F2"/>
          </w:tcPr>
          <w:p w14:paraId="736DA90C" w14:textId="77777777" w:rsidR="00F76B72" w:rsidRPr="004B6794" w:rsidRDefault="00F76B72" w:rsidP="00F76B72">
            <w:pPr>
              <w:keepNext/>
              <w:spacing w:after="0" w:line="240" w:lineRule="auto"/>
              <w:rPr>
                <w:rFonts w:eastAsia="Times New Roman"/>
                <w:sz w:val="18"/>
                <w:szCs w:val="18"/>
              </w:rPr>
            </w:pPr>
            <w:r w:rsidRPr="001C271C">
              <w:rPr>
                <w:rFonts w:eastAsia="Times New Roman"/>
                <w:sz w:val="18"/>
                <w:szCs w:val="18"/>
              </w:rPr>
              <w:t>Reported as survey weighted statistics.  Support (%) indicates share of respondents that support using the revenue ge</w:t>
            </w:r>
            <w:r>
              <w:rPr>
                <w:rFonts w:eastAsia="Times New Roman"/>
                <w:sz w:val="18"/>
                <w:szCs w:val="18"/>
              </w:rPr>
              <w:t>nerated in the stated manner.  Conditional a</w:t>
            </w:r>
            <w:r w:rsidRPr="001C271C">
              <w:rPr>
                <w:rFonts w:eastAsia="Times New Roman"/>
                <w:sz w:val="18"/>
                <w:szCs w:val="18"/>
              </w:rPr>
              <w:t>llotment (%) reports the mean allotment by</w:t>
            </w:r>
            <w:r>
              <w:rPr>
                <w:rFonts w:eastAsia="Times New Roman"/>
                <w:sz w:val="18"/>
                <w:szCs w:val="18"/>
              </w:rPr>
              <w:t xml:space="preserve"> the</w:t>
            </w:r>
            <w:r w:rsidRPr="001C271C">
              <w:rPr>
                <w:rFonts w:eastAsia="Times New Roman"/>
                <w:sz w:val="18"/>
                <w:szCs w:val="18"/>
              </w:rPr>
              <w:t xml:space="preserve"> respondents</w:t>
            </w:r>
            <w:r>
              <w:rPr>
                <w:rFonts w:eastAsia="Times New Roman"/>
                <w:sz w:val="18"/>
                <w:szCs w:val="18"/>
              </w:rPr>
              <w:t xml:space="preserve"> who support</w:t>
            </w:r>
            <w:r w:rsidRPr="001C271C">
              <w:rPr>
                <w:rFonts w:eastAsia="Times New Roman"/>
                <w:sz w:val="18"/>
                <w:szCs w:val="18"/>
              </w:rPr>
              <w:t xml:space="preserve"> its use on the category</w:t>
            </w:r>
            <w:r>
              <w:rPr>
                <w:rFonts w:eastAsia="Times New Roman"/>
                <w:sz w:val="18"/>
                <w:szCs w:val="18"/>
              </w:rPr>
              <w:t xml:space="preserve"> and so does not include the preferences of respondents who do not want money spent in the indicated way</w:t>
            </w:r>
            <w:r w:rsidRPr="001C271C">
              <w:rPr>
                <w:rFonts w:eastAsia="Times New Roman"/>
                <w:sz w:val="18"/>
                <w:szCs w:val="18"/>
              </w:rPr>
              <w:t xml:space="preserve">.  </w:t>
            </w:r>
            <w:r>
              <w:rPr>
                <w:rFonts w:eastAsia="Times New Roman"/>
                <w:sz w:val="18"/>
                <w:szCs w:val="18"/>
              </w:rPr>
              <w:t>A</w:t>
            </w:r>
            <w:r w:rsidRPr="001C271C">
              <w:rPr>
                <w:rFonts w:eastAsia="Times New Roman"/>
                <w:sz w:val="18"/>
                <w:szCs w:val="18"/>
              </w:rPr>
              <w:t>llotment (%) is</w:t>
            </w:r>
            <w:r>
              <w:rPr>
                <w:rFonts w:eastAsia="Times New Roman"/>
                <w:sz w:val="18"/>
                <w:szCs w:val="18"/>
              </w:rPr>
              <w:t xml:space="preserve"> the mean revenue allocation accounting for both </w:t>
            </w:r>
            <w:r w:rsidRPr="001C271C">
              <w:rPr>
                <w:rFonts w:eastAsia="Times New Roman"/>
                <w:sz w:val="18"/>
                <w:szCs w:val="18"/>
              </w:rPr>
              <w:t>respondents that</w:t>
            </w:r>
            <w:r>
              <w:rPr>
                <w:rFonts w:eastAsia="Times New Roman"/>
                <w:sz w:val="18"/>
                <w:szCs w:val="18"/>
              </w:rPr>
              <w:t xml:space="preserve"> do and</w:t>
            </w:r>
            <w:r w:rsidRPr="001C271C">
              <w:rPr>
                <w:rFonts w:eastAsia="Times New Roman"/>
                <w:sz w:val="18"/>
                <w:szCs w:val="18"/>
              </w:rPr>
              <w:t xml:space="preserve"> do not support the revenue's use on the </w:t>
            </w:r>
            <w:r>
              <w:rPr>
                <w:rFonts w:eastAsia="Times New Roman"/>
                <w:sz w:val="18"/>
                <w:szCs w:val="18"/>
              </w:rPr>
              <w:t xml:space="preserve">expenditure </w:t>
            </w:r>
            <w:r w:rsidRPr="001C271C">
              <w:rPr>
                <w:rFonts w:eastAsia="Times New Roman"/>
                <w:sz w:val="18"/>
                <w:szCs w:val="18"/>
              </w:rPr>
              <w:t>category.</w:t>
            </w:r>
          </w:p>
        </w:tc>
      </w:tr>
    </w:tbl>
    <w:p w14:paraId="4D562DC1" w14:textId="77777777" w:rsidR="00F76B72" w:rsidRDefault="00F76B72" w:rsidP="00732F55">
      <w:pPr>
        <w:spacing w:after="0"/>
      </w:pPr>
    </w:p>
    <w:p w14:paraId="7E262791" w14:textId="77777777" w:rsidR="00F76B72" w:rsidRDefault="00F76B72" w:rsidP="0052424D">
      <w:pPr>
        <w:pStyle w:val="Heading1"/>
        <w:spacing w:before="0" w:line="360" w:lineRule="auto"/>
      </w:pPr>
      <w:bookmarkStart w:id="27" w:name="_Toc479624363"/>
      <w:bookmarkStart w:id="28" w:name="_Toc482127037"/>
      <w:bookmarkStart w:id="29" w:name="_Toc482187987"/>
      <w:r>
        <w:t>Appendix D: State-level average household energy bill data</w:t>
      </w:r>
      <w:bookmarkEnd w:id="27"/>
      <w:bookmarkEnd w:id="28"/>
      <w:bookmarkEnd w:id="29"/>
    </w:p>
    <w:p w14:paraId="18C8D971" w14:textId="77777777" w:rsidR="00F76B72" w:rsidRDefault="00F76B72" w:rsidP="0052424D">
      <w:pPr>
        <w:spacing w:line="360" w:lineRule="auto"/>
      </w:pPr>
      <w:r>
        <w:t xml:space="preserve">As bid amounts </w:t>
      </w:r>
      <w:r w:rsidR="007551CB">
        <w:t xml:space="preserve">were also presented </w:t>
      </w:r>
      <w:r>
        <w:t>in terms of average household energy bill</w:t>
      </w:r>
      <w:r w:rsidR="007551CB">
        <w:t>s</w:t>
      </w:r>
      <w:r>
        <w:t xml:space="preserve"> </w:t>
      </w:r>
      <w:r w:rsidR="007551CB">
        <w:t>and a WTP measure subsequently estimated in percent terms, this appendix presents</w:t>
      </w:r>
      <w:r>
        <w:t xml:space="preserve"> household energy data by state.  To th</w:t>
      </w:r>
      <w:r w:rsidR="007551CB">
        <w:t>e data</w:t>
      </w:r>
      <w:r>
        <w:t xml:space="preserve"> publicly available from the EIA (2015), </w:t>
      </w:r>
      <w:r w:rsidR="007551CB">
        <w:t>I</w:t>
      </w:r>
      <w:r>
        <w:t xml:space="preserve"> add the implied increase in average state energy bills from a policy set at the derived mean WTP mea</w:t>
      </w:r>
      <w:r w:rsidR="007551CB">
        <w:t>sure of $177</w:t>
      </w:r>
      <w:r>
        <w:t xml:space="preserve">.  </w:t>
      </w:r>
      <w:r w:rsidR="007551CB">
        <w:t>The impact of a uniform policy in dollar terms varies substantially in percent terms,</w:t>
      </w:r>
      <w:r>
        <w:t xml:space="preserve"> from</w:t>
      </w:r>
      <w:r w:rsidR="007551CB">
        <w:t xml:space="preserve"> increases in household energy bills of</w:t>
      </w:r>
      <w:r>
        <w:t xml:space="preserve"> 18.6-percent in New Mexico to 9.6-percent in Connecticut.</w:t>
      </w:r>
    </w:p>
    <w:tbl>
      <w:tblPr>
        <w:tblW w:w="4952" w:type="pct"/>
        <w:tblLook w:val="04A0" w:firstRow="1" w:lastRow="0" w:firstColumn="1" w:lastColumn="0" w:noHBand="0" w:noVBand="1"/>
      </w:tblPr>
      <w:tblGrid>
        <w:gridCol w:w="2037"/>
        <w:gridCol w:w="1441"/>
        <w:gridCol w:w="1222"/>
        <w:gridCol w:w="951"/>
        <w:gridCol w:w="1094"/>
        <w:gridCol w:w="347"/>
        <w:gridCol w:w="886"/>
        <w:gridCol w:w="343"/>
        <w:gridCol w:w="949"/>
      </w:tblGrid>
      <w:tr w:rsidR="00F76B72" w:rsidRPr="00EF55F2" w14:paraId="4C697734" w14:textId="77777777" w:rsidTr="00F76B72">
        <w:trPr>
          <w:trHeight w:val="315"/>
        </w:trPr>
        <w:tc>
          <w:tcPr>
            <w:tcW w:w="3048" w:type="pct"/>
            <w:gridSpan w:val="4"/>
            <w:tcBorders>
              <w:top w:val="nil"/>
              <w:left w:val="nil"/>
              <w:bottom w:val="single" w:sz="4" w:space="0" w:color="auto"/>
              <w:right w:val="nil"/>
            </w:tcBorders>
            <w:shd w:val="clear" w:color="000000" w:fill="E7E6E6"/>
            <w:noWrap/>
            <w:vAlign w:val="bottom"/>
            <w:hideMark/>
          </w:tcPr>
          <w:p w14:paraId="6C4A8FF3" w14:textId="77777777" w:rsidR="00F76B72" w:rsidRPr="00EF55F2" w:rsidRDefault="00F76B72" w:rsidP="00F76B72">
            <w:pPr>
              <w:keepNext/>
              <w:spacing w:after="0" w:line="240" w:lineRule="auto"/>
              <w:rPr>
                <w:rFonts w:eastAsia="Times New Roman"/>
                <w:b/>
                <w:bCs/>
              </w:rPr>
            </w:pPr>
            <w:r w:rsidRPr="00EF55F2">
              <w:rPr>
                <w:rFonts w:eastAsia="Times New Roman"/>
                <w:b/>
                <w:bCs/>
              </w:rPr>
              <w:lastRenderedPageBreak/>
              <w:t>Table C1 | Average household energy bill by state</w:t>
            </w:r>
          </w:p>
        </w:tc>
        <w:tc>
          <w:tcPr>
            <w:tcW w:w="777" w:type="pct"/>
            <w:gridSpan w:val="2"/>
            <w:tcBorders>
              <w:top w:val="nil"/>
              <w:left w:val="nil"/>
              <w:bottom w:val="single" w:sz="4" w:space="0" w:color="auto"/>
              <w:right w:val="nil"/>
            </w:tcBorders>
            <w:shd w:val="clear" w:color="000000" w:fill="E7E6E6"/>
          </w:tcPr>
          <w:p w14:paraId="03815D8F" w14:textId="77777777" w:rsidR="00F76B72" w:rsidRPr="00EF55F2" w:rsidRDefault="00F76B72" w:rsidP="00F76B72">
            <w:pPr>
              <w:keepNext/>
              <w:spacing w:after="0" w:line="240" w:lineRule="auto"/>
              <w:rPr>
                <w:rFonts w:eastAsia="Times New Roman"/>
                <w:b/>
                <w:bCs/>
              </w:rPr>
            </w:pPr>
          </w:p>
        </w:tc>
        <w:tc>
          <w:tcPr>
            <w:tcW w:w="663" w:type="pct"/>
            <w:gridSpan w:val="2"/>
            <w:tcBorders>
              <w:top w:val="nil"/>
              <w:left w:val="nil"/>
              <w:bottom w:val="single" w:sz="4" w:space="0" w:color="auto"/>
              <w:right w:val="nil"/>
            </w:tcBorders>
            <w:shd w:val="clear" w:color="000000" w:fill="E7E6E6"/>
          </w:tcPr>
          <w:p w14:paraId="14EEE93B" w14:textId="77777777" w:rsidR="00F76B72" w:rsidRPr="00EF55F2" w:rsidRDefault="00F76B72" w:rsidP="00F76B72">
            <w:pPr>
              <w:keepNext/>
              <w:spacing w:after="0" w:line="240" w:lineRule="auto"/>
              <w:rPr>
                <w:rFonts w:eastAsia="Times New Roman"/>
                <w:b/>
                <w:bCs/>
              </w:rPr>
            </w:pPr>
          </w:p>
        </w:tc>
        <w:tc>
          <w:tcPr>
            <w:tcW w:w="511" w:type="pct"/>
            <w:tcBorders>
              <w:top w:val="nil"/>
              <w:left w:val="nil"/>
              <w:bottom w:val="single" w:sz="4" w:space="0" w:color="auto"/>
              <w:right w:val="nil"/>
            </w:tcBorders>
            <w:shd w:val="clear" w:color="000000" w:fill="E7E6E6"/>
          </w:tcPr>
          <w:p w14:paraId="2C762B57" w14:textId="77777777" w:rsidR="00F76B72" w:rsidRPr="00EF55F2" w:rsidRDefault="00F76B72" w:rsidP="00F76B72">
            <w:pPr>
              <w:keepNext/>
              <w:spacing w:after="0" w:line="240" w:lineRule="auto"/>
              <w:rPr>
                <w:rFonts w:eastAsia="Times New Roman"/>
                <w:b/>
                <w:bCs/>
              </w:rPr>
            </w:pPr>
          </w:p>
        </w:tc>
      </w:tr>
      <w:tr w:rsidR="00F76B72" w:rsidRPr="00EF55F2" w14:paraId="2DA9BC4B" w14:textId="77777777" w:rsidTr="00F76B72">
        <w:trPr>
          <w:trHeight w:val="512"/>
        </w:trPr>
        <w:tc>
          <w:tcPr>
            <w:tcW w:w="1099" w:type="pct"/>
            <w:tcBorders>
              <w:top w:val="nil"/>
              <w:left w:val="nil"/>
              <w:bottom w:val="single" w:sz="4" w:space="0" w:color="auto"/>
              <w:right w:val="nil"/>
            </w:tcBorders>
            <w:shd w:val="clear" w:color="000000" w:fill="F2F2F2"/>
            <w:vAlign w:val="center"/>
            <w:hideMark/>
          </w:tcPr>
          <w:p w14:paraId="050EF47D" w14:textId="77777777" w:rsidR="00F76B72" w:rsidRPr="00EF55F2" w:rsidRDefault="00F76B72" w:rsidP="00F76B72">
            <w:pPr>
              <w:keepNext/>
              <w:spacing w:after="0" w:line="240" w:lineRule="auto"/>
              <w:jc w:val="center"/>
              <w:rPr>
                <w:rFonts w:eastAsia="Times New Roman"/>
              </w:rPr>
            </w:pPr>
            <w:r w:rsidRPr="00EF55F2">
              <w:rPr>
                <w:rFonts w:eastAsia="Times New Roman"/>
              </w:rPr>
              <w:t>State</w:t>
            </w:r>
          </w:p>
        </w:tc>
        <w:tc>
          <w:tcPr>
            <w:tcW w:w="777" w:type="pct"/>
            <w:tcBorders>
              <w:top w:val="nil"/>
              <w:left w:val="nil"/>
              <w:bottom w:val="single" w:sz="4" w:space="0" w:color="auto"/>
              <w:right w:val="nil"/>
            </w:tcBorders>
            <w:shd w:val="clear" w:color="000000" w:fill="F2F2F2"/>
            <w:vAlign w:val="center"/>
            <w:hideMark/>
          </w:tcPr>
          <w:p w14:paraId="29C616C9" w14:textId="77777777" w:rsidR="00F76B72" w:rsidRPr="00EF55F2" w:rsidRDefault="00F76B72" w:rsidP="00F76B72">
            <w:pPr>
              <w:keepNext/>
              <w:spacing w:after="0" w:line="240" w:lineRule="auto"/>
              <w:jc w:val="center"/>
              <w:rPr>
                <w:rFonts w:eastAsia="Times New Roman"/>
              </w:rPr>
            </w:pPr>
            <w:r w:rsidRPr="00EF55F2">
              <w:rPr>
                <w:rFonts w:eastAsia="Times New Roman"/>
              </w:rPr>
              <w:t>Average monthly energy bill ($)</w:t>
            </w:r>
          </w:p>
        </w:tc>
        <w:tc>
          <w:tcPr>
            <w:tcW w:w="659" w:type="pct"/>
            <w:tcBorders>
              <w:top w:val="nil"/>
              <w:left w:val="nil"/>
              <w:bottom w:val="single" w:sz="4" w:space="0" w:color="auto"/>
              <w:right w:val="nil"/>
            </w:tcBorders>
            <w:shd w:val="clear" w:color="000000" w:fill="F2F2F2"/>
            <w:vAlign w:val="center"/>
            <w:hideMark/>
          </w:tcPr>
          <w:p w14:paraId="2F64D96A" w14:textId="77777777" w:rsidR="00F76B72" w:rsidRPr="00EF55F2" w:rsidRDefault="00F76B72" w:rsidP="00F76B72">
            <w:pPr>
              <w:keepNext/>
              <w:spacing w:after="0" w:line="240" w:lineRule="auto"/>
              <w:jc w:val="center"/>
              <w:rPr>
                <w:rFonts w:eastAsia="Times New Roman"/>
              </w:rPr>
            </w:pPr>
            <w:r w:rsidRPr="00EF55F2">
              <w:rPr>
                <w:rFonts w:eastAsia="Times New Roman"/>
              </w:rPr>
              <w:t>Increase based on $177 WTP (%)</w:t>
            </w:r>
          </w:p>
        </w:tc>
        <w:tc>
          <w:tcPr>
            <w:tcW w:w="1103" w:type="pct"/>
            <w:gridSpan w:val="2"/>
            <w:tcBorders>
              <w:top w:val="nil"/>
              <w:left w:val="nil"/>
              <w:bottom w:val="single" w:sz="4" w:space="0" w:color="auto"/>
              <w:right w:val="nil"/>
            </w:tcBorders>
            <w:shd w:val="clear" w:color="000000" w:fill="F2F2F2"/>
            <w:vAlign w:val="center"/>
          </w:tcPr>
          <w:p w14:paraId="4AF57A6B" w14:textId="77777777" w:rsidR="00F76B72" w:rsidRPr="00EF55F2" w:rsidRDefault="00F76B72" w:rsidP="00F76B72">
            <w:pPr>
              <w:keepNext/>
              <w:spacing w:after="0" w:line="240" w:lineRule="auto"/>
              <w:jc w:val="center"/>
              <w:rPr>
                <w:rFonts w:eastAsia="Times New Roman"/>
              </w:rPr>
            </w:pPr>
            <w:r w:rsidRPr="00EF55F2">
              <w:rPr>
                <w:rFonts w:eastAsia="Times New Roman"/>
              </w:rPr>
              <w:t>State</w:t>
            </w:r>
          </w:p>
        </w:tc>
        <w:tc>
          <w:tcPr>
            <w:tcW w:w="665" w:type="pct"/>
            <w:gridSpan w:val="2"/>
            <w:tcBorders>
              <w:top w:val="nil"/>
              <w:left w:val="nil"/>
              <w:bottom w:val="single" w:sz="4" w:space="0" w:color="auto"/>
              <w:right w:val="nil"/>
            </w:tcBorders>
            <w:shd w:val="clear" w:color="000000" w:fill="F2F2F2"/>
            <w:vAlign w:val="center"/>
          </w:tcPr>
          <w:p w14:paraId="46663C94" w14:textId="77777777" w:rsidR="00F76B72" w:rsidRPr="00EF55F2" w:rsidRDefault="00F76B72" w:rsidP="00F76B72">
            <w:pPr>
              <w:keepNext/>
              <w:spacing w:after="0" w:line="240" w:lineRule="auto"/>
              <w:jc w:val="center"/>
              <w:rPr>
                <w:rFonts w:eastAsia="Times New Roman"/>
              </w:rPr>
            </w:pPr>
            <w:r w:rsidRPr="00EF55F2">
              <w:rPr>
                <w:rFonts w:eastAsia="Times New Roman"/>
              </w:rPr>
              <w:t>Average monthly energy bill ($)</w:t>
            </w:r>
          </w:p>
        </w:tc>
        <w:tc>
          <w:tcPr>
            <w:tcW w:w="697" w:type="pct"/>
            <w:gridSpan w:val="2"/>
            <w:tcBorders>
              <w:top w:val="nil"/>
              <w:left w:val="nil"/>
              <w:bottom w:val="single" w:sz="4" w:space="0" w:color="auto"/>
              <w:right w:val="nil"/>
            </w:tcBorders>
            <w:shd w:val="clear" w:color="000000" w:fill="F2F2F2"/>
            <w:vAlign w:val="center"/>
          </w:tcPr>
          <w:p w14:paraId="5B2ECE35" w14:textId="77777777" w:rsidR="00F76B72" w:rsidRPr="00EF55F2" w:rsidRDefault="00F76B72" w:rsidP="00F76B72">
            <w:pPr>
              <w:keepNext/>
              <w:spacing w:after="0" w:line="240" w:lineRule="auto"/>
              <w:jc w:val="center"/>
              <w:rPr>
                <w:rFonts w:eastAsia="Times New Roman"/>
              </w:rPr>
            </w:pPr>
            <w:r w:rsidRPr="00EF55F2">
              <w:rPr>
                <w:rFonts w:eastAsia="Times New Roman"/>
              </w:rPr>
              <w:t>Increase based on $177 WTP (%)</w:t>
            </w:r>
          </w:p>
        </w:tc>
      </w:tr>
      <w:tr w:rsidR="00F76B72" w:rsidRPr="00EF55F2" w14:paraId="481D0F7B" w14:textId="77777777" w:rsidTr="00F76B72">
        <w:trPr>
          <w:trHeight w:val="300"/>
        </w:trPr>
        <w:tc>
          <w:tcPr>
            <w:tcW w:w="1099" w:type="pct"/>
            <w:tcBorders>
              <w:top w:val="nil"/>
              <w:left w:val="nil"/>
              <w:bottom w:val="nil"/>
              <w:right w:val="nil"/>
            </w:tcBorders>
            <w:shd w:val="clear" w:color="000000" w:fill="F2F2F2"/>
            <w:noWrap/>
            <w:hideMark/>
          </w:tcPr>
          <w:p w14:paraId="63A95872" w14:textId="77777777" w:rsidR="00F76B72" w:rsidRPr="00EF55F2" w:rsidRDefault="00F76B72" w:rsidP="00F76B72">
            <w:pPr>
              <w:keepNext/>
              <w:spacing w:after="0" w:line="240" w:lineRule="auto"/>
              <w:rPr>
                <w:rFonts w:eastAsia="Times New Roman"/>
              </w:rPr>
            </w:pPr>
            <w:r w:rsidRPr="00EF55F2">
              <w:rPr>
                <w:rFonts w:eastAsia="Times New Roman"/>
              </w:rPr>
              <w:t>Alabama</w:t>
            </w:r>
          </w:p>
        </w:tc>
        <w:tc>
          <w:tcPr>
            <w:tcW w:w="777" w:type="pct"/>
            <w:tcBorders>
              <w:top w:val="nil"/>
              <w:left w:val="nil"/>
              <w:bottom w:val="nil"/>
              <w:right w:val="nil"/>
            </w:tcBorders>
            <w:shd w:val="clear" w:color="000000" w:fill="F2F2F2"/>
            <w:noWrap/>
            <w:hideMark/>
          </w:tcPr>
          <w:p w14:paraId="72B2E707" w14:textId="77777777" w:rsidR="00F76B72" w:rsidRPr="00EF55F2" w:rsidRDefault="00F76B72" w:rsidP="00F76B72">
            <w:pPr>
              <w:keepNext/>
              <w:spacing w:after="0" w:line="240" w:lineRule="auto"/>
              <w:jc w:val="center"/>
              <w:rPr>
                <w:rFonts w:eastAsia="Times New Roman"/>
              </w:rPr>
            </w:pPr>
            <w:r w:rsidRPr="00EF55F2">
              <w:rPr>
                <w:rFonts w:eastAsia="Times New Roman"/>
              </w:rPr>
              <w:t>142.48</w:t>
            </w:r>
          </w:p>
        </w:tc>
        <w:tc>
          <w:tcPr>
            <w:tcW w:w="659" w:type="pct"/>
            <w:tcBorders>
              <w:top w:val="nil"/>
              <w:left w:val="nil"/>
              <w:bottom w:val="nil"/>
              <w:right w:val="single" w:sz="4" w:space="0" w:color="auto"/>
            </w:tcBorders>
            <w:shd w:val="clear" w:color="000000" w:fill="F2F2F2"/>
            <w:noWrap/>
            <w:hideMark/>
          </w:tcPr>
          <w:p w14:paraId="5455DAAC" w14:textId="77777777" w:rsidR="00F76B72" w:rsidRPr="00EF55F2" w:rsidRDefault="00F76B72" w:rsidP="00F76B72">
            <w:pPr>
              <w:keepNext/>
              <w:spacing w:after="0" w:line="240" w:lineRule="auto"/>
              <w:jc w:val="center"/>
              <w:rPr>
                <w:rFonts w:eastAsia="Times New Roman"/>
              </w:rPr>
            </w:pPr>
            <w:r w:rsidRPr="00EF55F2">
              <w:rPr>
                <w:rFonts w:eastAsia="Times New Roman"/>
              </w:rPr>
              <w:t>10.4%</w:t>
            </w:r>
          </w:p>
        </w:tc>
        <w:tc>
          <w:tcPr>
            <w:tcW w:w="1103" w:type="pct"/>
            <w:gridSpan w:val="2"/>
            <w:tcBorders>
              <w:top w:val="single" w:sz="4" w:space="0" w:color="auto"/>
              <w:left w:val="single" w:sz="4" w:space="0" w:color="auto"/>
              <w:bottom w:val="nil"/>
              <w:right w:val="nil"/>
            </w:tcBorders>
            <w:shd w:val="clear" w:color="000000" w:fill="F2F2F2"/>
          </w:tcPr>
          <w:p w14:paraId="7CB2DE4F" w14:textId="77777777" w:rsidR="00F76B72" w:rsidRPr="00EF55F2" w:rsidRDefault="00F76B72" w:rsidP="00F76B72">
            <w:pPr>
              <w:keepNext/>
              <w:spacing w:after="0" w:line="240" w:lineRule="auto"/>
              <w:rPr>
                <w:rFonts w:eastAsia="Times New Roman"/>
              </w:rPr>
            </w:pPr>
            <w:r w:rsidRPr="00EF55F2">
              <w:rPr>
                <w:rFonts w:eastAsia="Times New Roman"/>
              </w:rPr>
              <w:t>Montana</w:t>
            </w:r>
          </w:p>
        </w:tc>
        <w:tc>
          <w:tcPr>
            <w:tcW w:w="665" w:type="pct"/>
            <w:gridSpan w:val="2"/>
            <w:tcBorders>
              <w:top w:val="nil"/>
              <w:left w:val="nil"/>
              <w:bottom w:val="nil"/>
              <w:right w:val="nil"/>
            </w:tcBorders>
            <w:shd w:val="clear" w:color="000000" w:fill="F2F2F2"/>
          </w:tcPr>
          <w:p w14:paraId="75077721" w14:textId="77777777" w:rsidR="00F76B72" w:rsidRPr="00EF55F2" w:rsidRDefault="00F76B72" w:rsidP="00F76B72">
            <w:pPr>
              <w:keepNext/>
              <w:spacing w:after="0" w:line="240" w:lineRule="auto"/>
              <w:jc w:val="center"/>
              <w:rPr>
                <w:rFonts w:eastAsia="Times New Roman"/>
              </w:rPr>
            </w:pPr>
            <w:r w:rsidRPr="00EF55F2">
              <w:rPr>
                <w:rFonts w:eastAsia="Times New Roman"/>
              </w:rPr>
              <w:t>89.03</w:t>
            </w:r>
          </w:p>
        </w:tc>
        <w:tc>
          <w:tcPr>
            <w:tcW w:w="697" w:type="pct"/>
            <w:gridSpan w:val="2"/>
            <w:tcBorders>
              <w:top w:val="nil"/>
              <w:left w:val="nil"/>
              <w:bottom w:val="nil"/>
              <w:right w:val="nil"/>
            </w:tcBorders>
            <w:shd w:val="clear" w:color="000000" w:fill="F2F2F2"/>
          </w:tcPr>
          <w:p w14:paraId="3A7225B3" w14:textId="77777777" w:rsidR="00F76B72" w:rsidRPr="00EF55F2" w:rsidRDefault="00F76B72" w:rsidP="00F76B72">
            <w:pPr>
              <w:keepNext/>
              <w:spacing w:after="0" w:line="240" w:lineRule="auto"/>
              <w:jc w:val="center"/>
              <w:rPr>
                <w:rFonts w:eastAsia="Times New Roman"/>
              </w:rPr>
            </w:pPr>
            <w:r w:rsidRPr="00EF55F2">
              <w:rPr>
                <w:rFonts w:eastAsia="Times New Roman"/>
              </w:rPr>
              <w:t>16.6%</w:t>
            </w:r>
          </w:p>
        </w:tc>
      </w:tr>
      <w:tr w:rsidR="00F76B72" w:rsidRPr="00EF55F2" w14:paraId="71C97161" w14:textId="77777777" w:rsidTr="00F76B72">
        <w:trPr>
          <w:trHeight w:val="300"/>
        </w:trPr>
        <w:tc>
          <w:tcPr>
            <w:tcW w:w="1099" w:type="pct"/>
            <w:tcBorders>
              <w:top w:val="nil"/>
              <w:left w:val="nil"/>
              <w:bottom w:val="nil"/>
              <w:right w:val="nil"/>
            </w:tcBorders>
            <w:shd w:val="clear" w:color="000000" w:fill="F2F2F2"/>
            <w:noWrap/>
            <w:hideMark/>
          </w:tcPr>
          <w:p w14:paraId="1DE7B827" w14:textId="77777777" w:rsidR="00F76B72" w:rsidRPr="00EF55F2" w:rsidRDefault="00F76B72" w:rsidP="00F76B72">
            <w:pPr>
              <w:keepNext/>
              <w:spacing w:after="0" w:line="240" w:lineRule="auto"/>
              <w:rPr>
                <w:rFonts w:eastAsia="Times New Roman"/>
              </w:rPr>
            </w:pPr>
            <w:r w:rsidRPr="00EF55F2">
              <w:rPr>
                <w:rFonts w:eastAsia="Times New Roman"/>
              </w:rPr>
              <w:t>Alaska</w:t>
            </w:r>
          </w:p>
        </w:tc>
        <w:tc>
          <w:tcPr>
            <w:tcW w:w="777" w:type="pct"/>
            <w:tcBorders>
              <w:top w:val="nil"/>
              <w:left w:val="nil"/>
              <w:bottom w:val="nil"/>
              <w:right w:val="nil"/>
            </w:tcBorders>
            <w:shd w:val="clear" w:color="000000" w:fill="F2F2F2"/>
            <w:noWrap/>
            <w:hideMark/>
          </w:tcPr>
          <w:p w14:paraId="5D907B2B" w14:textId="77777777" w:rsidR="00F76B72" w:rsidRPr="00EF55F2" w:rsidRDefault="00F76B72" w:rsidP="00F76B72">
            <w:pPr>
              <w:keepNext/>
              <w:spacing w:after="0" w:line="240" w:lineRule="auto"/>
              <w:jc w:val="center"/>
              <w:rPr>
                <w:rFonts w:eastAsia="Times New Roman"/>
              </w:rPr>
            </w:pPr>
            <w:r w:rsidRPr="00EF55F2">
              <w:rPr>
                <w:rFonts w:eastAsia="Times New Roman"/>
              </w:rPr>
              <w:t>119.64</w:t>
            </w:r>
          </w:p>
        </w:tc>
        <w:tc>
          <w:tcPr>
            <w:tcW w:w="659" w:type="pct"/>
            <w:tcBorders>
              <w:top w:val="nil"/>
              <w:left w:val="nil"/>
              <w:bottom w:val="nil"/>
              <w:right w:val="single" w:sz="4" w:space="0" w:color="auto"/>
            </w:tcBorders>
            <w:shd w:val="clear" w:color="000000" w:fill="F2F2F2"/>
            <w:noWrap/>
            <w:hideMark/>
          </w:tcPr>
          <w:p w14:paraId="0AD21A02" w14:textId="77777777" w:rsidR="00F76B72" w:rsidRPr="00EF55F2" w:rsidRDefault="00F76B72" w:rsidP="00F76B72">
            <w:pPr>
              <w:keepNext/>
              <w:spacing w:after="0" w:line="240" w:lineRule="auto"/>
              <w:jc w:val="center"/>
              <w:rPr>
                <w:rFonts w:eastAsia="Times New Roman"/>
              </w:rPr>
            </w:pPr>
            <w:r w:rsidRPr="00EF55F2">
              <w:rPr>
                <w:rFonts w:eastAsia="Times New Roman"/>
              </w:rPr>
              <w:t>12.3%</w:t>
            </w:r>
          </w:p>
        </w:tc>
        <w:tc>
          <w:tcPr>
            <w:tcW w:w="1103" w:type="pct"/>
            <w:gridSpan w:val="2"/>
            <w:tcBorders>
              <w:top w:val="nil"/>
              <w:left w:val="single" w:sz="4" w:space="0" w:color="auto"/>
              <w:bottom w:val="nil"/>
              <w:right w:val="nil"/>
            </w:tcBorders>
            <w:shd w:val="clear" w:color="000000" w:fill="F2F2F2"/>
          </w:tcPr>
          <w:p w14:paraId="393C7C18" w14:textId="77777777" w:rsidR="00F76B72" w:rsidRPr="00EF55F2" w:rsidRDefault="00F76B72" w:rsidP="00F76B72">
            <w:pPr>
              <w:keepNext/>
              <w:spacing w:after="0" w:line="240" w:lineRule="auto"/>
              <w:rPr>
                <w:rFonts w:eastAsia="Times New Roman"/>
              </w:rPr>
            </w:pPr>
            <w:r w:rsidRPr="00EF55F2">
              <w:rPr>
                <w:rFonts w:eastAsia="Times New Roman"/>
              </w:rPr>
              <w:t>Nebraska</w:t>
            </w:r>
          </w:p>
        </w:tc>
        <w:tc>
          <w:tcPr>
            <w:tcW w:w="665" w:type="pct"/>
            <w:gridSpan w:val="2"/>
            <w:tcBorders>
              <w:top w:val="nil"/>
              <w:left w:val="nil"/>
              <w:bottom w:val="nil"/>
              <w:right w:val="nil"/>
            </w:tcBorders>
            <w:shd w:val="clear" w:color="000000" w:fill="F2F2F2"/>
          </w:tcPr>
          <w:p w14:paraId="6071757D" w14:textId="77777777" w:rsidR="00F76B72" w:rsidRPr="00EF55F2" w:rsidRDefault="00F76B72" w:rsidP="00F76B72">
            <w:pPr>
              <w:keepNext/>
              <w:spacing w:after="0" w:line="240" w:lineRule="auto"/>
              <w:jc w:val="center"/>
              <w:rPr>
                <w:rFonts w:eastAsia="Times New Roman"/>
              </w:rPr>
            </w:pPr>
            <w:r w:rsidRPr="00EF55F2">
              <w:rPr>
                <w:rFonts w:eastAsia="Times New Roman"/>
              </w:rPr>
              <w:t>101.96</w:t>
            </w:r>
          </w:p>
        </w:tc>
        <w:tc>
          <w:tcPr>
            <w:tcW w:w="697" w:type="pct"/>
            <w:gridSpan w:val="2"/>
            <w:tcBorders>
              <w:top w:val="nil"/>
              <w:left w:val="nil"/>
              <w:bottom w:val="nil"/>
              <w:right w:val="nil"/>
            </w:tcBorders>
            <w:shd w:val="clear" w:color="000000" w:fill="F2F2F2"/>
          </w:tcPr>
          <w:p w14:paraId="7BB53544" w14:textId="77777777" w:rsidR="00F76B72" w:rsidRPr="00EF55F2" w:rsidRDefault="00F76B72" w:rsidP="00F76B72">
            <w:pPr>
              <w:keepNext/>
              <w:spacing w:after="0" w:line="240" w:lineRule="auto"/>
              <w:jc w:val="center"/>
              <w:rPr>
                <w:rFonts w:eastAsia="Times New Roman"/>
              </w:rPr>
            </w:pPr>
            <w:r w:rsidRPr="00EF55F2">
              <w:rPr>
                <w:rFonts w:eastAsia="Times New Roman"/>
              </w:rPr>
              <w:t>14.5%</w:t>
            </w:r>
          </w:p>
        </w:tc>
      </w:tr>
      <w:tr w:rsidR="00F76B72" w:rsidRPr="00EF55F2" w14:paraId="3095A5E2" w14:textId="77777777" w:rsidTr="00F76B72">
        <w:trPr>
          <w:trHeight w:val="300"/>
        </w:trPr>
        <w:tc>
          <w:tcPr>
            <w:tcW w:w="1099" w:type="pct"/>
            <w:tcBorders>
              <w:top w:val="nil"/>
              <w:left w:val="nil"/>
              <w:bottom w:val="nil"/>
              <w:right w:val="nil"/>
            </w:tcBorders>
            <w:shd w:val="clear" w:color="000000" w:fill="F2F2F2"/>
            <w:noWrap/>
            <w:hideMark/>
          </w:tcPr>
          <w:p w14:paraId="580F83DB" w14:textId="77777777" w:rsidR="00F76B72" w:rsidRPr="00EF55F2" w:rsidRDefault="00F76B72" w:rsidP="00F76B72">
            <w:pPr>
              <w:keepNext/>
              <w:spacing w:after="0" w:line="240" w:lineRule="auto"/>
              <w:rPr>
                <w:rFonts w:eastAsia="Times New Roman"/>
              </w:rPr>
            </w:pPr>
            <w:r w:rsidRPr="00EF55F2">
              <w:rPr>
                <w:rFonts w:eastAsia="Times New Roman"/>
              </w:rPr>
              <w:t>Arizona</w:t>
            </w:r>
          </w:p>
        </w:tc>
        <w:tc>
          <w:tcPr>
            <w:tcW w:w="777" w:type="pct"/>
            <w:tcBorders>
              <w:top w:val="nil"/>
              <w:left w:val="nil"/>
              <w:bottom w:val="nil"/>
              <w:right w:val="nil"/>
            </w:tcBorders>
            <w:shd w:val="clear" w:color="000000" w:fill="F2F2F2"/>
            <w:noWrap/>
            <w:hideMark/>
          </w:tcPr>
          <w:p w14:paraId="66425EDE" w14:textId="77777777" w:rsidR="00F76B72" w:rsidRPr="00EF55F2" w:rsidRDefault="00F76B72" w:rsidP="00F76B72">
            <w:pPr>
              <w:keepNext/>
              <w:spacing w:after="0" w:line="240" w:lineRule="auto"/>
              <w:jc w:val="center"/>
              <w:rPr>
                <w:rFonts w:eastAsia="Times New Roman"/>
              </w:rPr>
            </w:pPr>
            <w:r w:rsidRPr="00EF55F2">
              <w:rPr>
                <w:rFonts w:eastAsia="Times New Roman"/>
              </w:rPr>
              <w:t>124.67</w:t>
            </w:r>
          </w:p>
        </w:tc>
        <w:tc>
          <w:tcPr>
            <w:tcW w:w="659" w:type="pct"/>
            <w:tcBorders>
              <w:top w:val="nil"/>
              <w:left w:val="nil"/>
              <w:bottom w:val="nil"/>
              <w:right w:val="single" w:sz="4" w:space="0" w:color="auto"/>
            </w:tcBorders>
            <w:shd w:val="clear" w:color="000000" w:fill="F2F2F2"/>
            <w:noWrap/>
            <w:hideMark/>
          </w:tcPr>
          <w:p w14:paraId="1B3E6396" w14:textId="77777777" w:rsidR="00F76B72" w:rsidRPr="00EF55F2" w:rsidRDefault="00F76B72" w:rsidP="00F76B72">
            <w:pPr>
              <w:keepNext/>
              <w:spacing w:after="0" w:line="240" w:lineRule="auto"/>
              <w:jc w:val="center"/>
              <w:rPr>
                <w:rFonts w:eastAsia="Times New Roman"/>
              </w:rPr>
            </w:pPr>
            <w:r w:rsidRPr="00EF55F2">
              <w:rPr>
                <w:rFonts w:eastAsia="Times New Roman"/>
              </w:rPr>
              <w:t>11.8%</w:t>
            </w:r>
          </w:p>
        </w:tc>
        <w:tc>
          <w:tcPr>
            <w:tcW w:w="1103" w:type="pct"/>
            <w:gridSpan w:val="2"/>
            <w:tcBorders>
              <w:top w:val="nil"/>
              <w:left w:val="single" w:sz="4" w:space="0" w:color="auto"/>
              <w:bottom w:val="nil"/>
              <w:right w:val="nil"/>
            </w:tcBorders>
            <w:shd w:val="clear" w:color="000000" w:fill="F2F2F2"/>
          </w:tcPr>
          <w:p w14:paraId="437F2B69" w14:textId="77777777" w:rsidR="00F76B72" w:rsidRPr="00EF55F2" w:rsidRDefault="00F76B72" w:rsidP="00F76B72">
            <w:pPr>
              <w:keepNext/>
              <w:spacing w:after="0" w:line="240" w:lineRule="auto"/>
              <w:rPr>
                <w:rFonts w:eastAsia="Times New Roman"/>
              </w:rPr>
            </w:pPr>
            <w:r w:rsidRPr="00EF55F2">
              <w:rPr>
                <w:rFonts w:eastAsia="Times New Roman"/>
              </w:rPr>
              <w:t>Nevada</w:t>
            </w:r>
          </w:p>
        </w:tc>
        <w:tc>
          <w:tcPr>
            <w:tcW w:w="665" w:type="pct"/>
            <w:gridSpan w:val="2"/>
            <w:tcBorders>
              <w:top w:val="nil"/>
              <w:left w:val="nil"/>
              <w:bottom w:val="nil"/>
              <w:right w:val="nil"/>
            </w:tcBorders>
            <w:shd w:val="clear" w:color="000000" w:fill="F2F2F2"/>
          </w:tcPr>
          <w:p w14:paraId="00B144A6" w14:textId="77777777" w:rsidR="00F76B72" w:rsidRPr="00EF55F2" w:rsidRDefault="00F76B72" w:rsidP="00F76B72">
            <w:pPr>
              <w:keepNext/>
              <w:spacing w:after="0" w:line="240" w:lineRule="auto"/>
              <w:jc w:val="center"/>
              <w:rPr>
                <w:rFonts w:eastAsia="Times New Roman"/>
              </w:rPr>
            </w:pPr>
            <w:r w:rsidRPr="00EF55F2">
              <w:rPr>
                <w:rFonts w:eastAsia="Times New Roman"/>
              </w:rPr>
              <w:t>116.47</w:t>
            </w:r>
          </w:p>
        </w:tc>
        <w:tc>
          <w:tcPr>
            <w:tcW w:w="697" w:type="pct"/>
            <w:gridSpan w:val="2"/>
            <w:tcBorders>
              <w:top w:val="nil"/>
              <w:left w:val="nil"/>
              <w:bottom w:val="nil"/>
              <w:right w:val="nil"/>
            </w:tcBorders>
            <w:shd w:val="clear" w:color="000000" w:fill="F2F2F2"/>
          </w:tcPr>
          <w:p w14:paraId="2BA33E31" w14:textId="77777777" w:rsidR="00F76B72" w:rsidRPr="00EF55F2" w:rsidRDefault="00F76B72" w:rsidP="00F76B72">
            <w:pPr>
              <w:keepNext/>
              <w:spacing w:after="0" w:line="240" w:lineRule="auto"/>
              <w:jc w:val="center"/>
              <w:rPr>
                <w:rFonts w:eastAsia="Times New Roman"/>
              </w:rPr>
            </w:pPr>
            <w:r w:rsidRPr="00EF55F2">
              <w:rPr>
                <w:rFonts w:eastAsia="Times New Roman"/>
              </w:rPr>
              <w:t>12.7%</w:t>
            </w:r>
          </w:p>
        </w:tc>
      </w:tr>
      <w:tr w:rsidR="00F76B72" w:rsidRPr="00EF55F2" w14:paraId="72A26679" w14:textId="77777777" w:rsidTr="00F76B72">
        <w:trPr>
          <w:trHeight w:val="300"/>
        </w:trPr>
        <w:tc>
          <w:tcPr>
            <w:tcW w:w="1099" w:type="pct"/>
            <w:tcBorders>
              <w:top w:val="nil"/>
              <w:left w:val="nil"/>
              <w:bottom w:val="nil"/>
              <w:right w:val="nil"/>
            </w:tcBorders>
            <w:shd w:val="clear" w:color="000000" w:fill="F2F2F2"/>
            <w:noWrap/>
            <w:hideMark/>
          </w:tcPr>
          <w:p w14:paraId="7809AA66" w14:textId="77777777" w:rsidR="00F76B72" w:rsidRPr="00EF55F2" w:rsidRDefault="00F76B72" w:rsidP="00F76B72">
            <w:pPr>
              <w:keepNext/>
              <w:spacing w:after="0" w:line="240" w:lineRule="auto"/>
              <w:rPr>
                <w:rFonts w:eastAsia="Times New Roman"/>
              </w:rPr>
            </w:pPr>
            <w:r w:rsidRPr="00EF55F2">
              <w:rPr>
                <w:rFonts w:eastAsia="Times New Roman"/>
              </w:rPr>
              <w:t>Arkansas</w:t>
            </w:r>
          </w:p>
        </w:tc>
        <w:tc>
          <w:tcPr>
            <w:tcW w:w="777" w:type="pct"/>
            <w:tcBorders>
              <w:top w:val="nil"/>
              <w:left w:val="nil"/>
              <w:bottom w:val="nil"/>
              <w:right w:val="nil"/>
            </w:tcBorders>
            <w:shd w:val="clear" w:color="000000" w:fill="F2F2F2"/>
            <w:noWrap/>
            <w:hideMark/>
          </w:tcPr>
          <w:p w14:paraId="25DB04B4" w14:textId="77777777" w:rsidR="00F76B72" w:rsidRPr="00EF55F2" w:rsidRDefault="00F76B72" w:rsidP="00F76B72">
            <w:pPr>
              <w:keepNext/>
              <w:spacing w:after="0" w:line="240" w:lineRule="auto"/>
              <w:jc w:val="center"/>
              <w:rPr>
                <w:rFonts w:eastAsia="Times New Roman"/>
              </w:rPr>
            </w:pPr>
            <w:r w:rsidRPr="00EF55F2">
              <w:rPr>
                <w:rFonts w:eastAsia="Times New Roman"/>
              </w:rPr>
              <w:t>110.22</w:t>
            </w:r>
          </w:p>
        </w:tc>
        <w:tc>
          <w:tcPr>
            <w:tcW w:w="659" w:type="pct"/>
            <w:tcBorders>
              <w:top w:val="nil"/>
              <w:left w:val="nil"/>
              <w:bottom w:val="nil"/>
              <w:right w:val="single" w:sz="4" w:space="0" w:color="auto"/>
            </w:tcBorders>
            <w:shd w:val="clear" w:color="000000" w:fill="F2F2F2"/>
            <w:noWrap/>
            <w:hideMark/>
          </w:tcPr>
          <w:p w14:paraId="5E503000" w14:textId="77777777" w:rsidR="00F76B72" w:rsidRPr="00EF55F2" w:rsidRDefault="00F76B72" w:rsidP="00F76B72">
            <w:pPr>
              <w:keepNext/>
              <w:spacing w:after="0" w:line="240" w:lineRule="auto"/>
              <w:jc w:val="center"/>
              <w:rPr>
                <w:rFonts w:eastAsia="Times New Roman"/>
              </w:rPr>
            </w:pPr>
            <w:r w:rsidRPr="00EF55F2">
              <w:rPr>
                <w:rFonts w:eastAsia="Times New Roman"/>
              </w:rPr>
              <w:t>13.4%</w:t>
            </w:r>
          </w:p>
        </w:tc>
        <w:tc>
          <w:tcPr>
            <w:tcW w:w="1103" w:type="pct"/>
            <w:gridSpan w:val="2"/>
            <w:tcBorders>
              <w:top w:val="nil"/>
              <w:left w:val="single" w:sz="4" w:space="0" w:color="auto"/>
              <w:bottom w:val="nil"/>
              <w:right w:val="nil"/>
            </w:tcBorders>
            <w:shd w:val="clear" w:color="000000" w:fill="F2F2F2"/>
          </w:tcPr>
          <w:p w14:paraId="454E5C32" w14:textId="77777777" w:rsidR="00F76B72" w:rsidRPr="00EF55F2" w:rsidRDefault="00F76B72" w:rsidP="00F76B72">
            <w:pPr>
              <w:keepNext/>
              <w:spacing w:after="0" w:line="240" w:lineRule="auto"/>
              <w:rPr>
                <w:rFonts w:eastAsia="Times New Roman"/>
              </w:rPr>
            </w:pPr>
            <w:r w:rsidRPr="00EF55F2">
              <w:rPr>
                <w:rFonts w:eastAsia="Times New Roman"/>
              </w:rPr>
              <w:t>New Hampshire</w:t>
            </w:r>
          </w:p>
        </w:tc>
        <w:tc>
          <w:tcPr>
            <w:tcW w:w="665" w:type="pct"/>
            <w:gridSpan w:val="2"/>
            <w:tcBorders>
              <w:top w:val="nil"/>
              <w:left w:val="nil"/>
              <w:bottom w:val="nil"/>
              <w:right w:val="nil"/>
            </w:tcBorders>
            <w:shd w:val="clear" w:color="000000" w:fill="F2F2F2"/>
          </w:tcPr>
          <w:p w14:paraId="6A33CF17" w14:textId="77777777" w:rsidR="00F76B72" w:rsidRPr="00EF55F2" w:rsidRDefault="00F76B72" w:rsidP="00F76B72">
            <w:pPr>
              <w:keepNext/>
              <w:spacing w:after="0" w:line="240" w:lineRule="auto"/>
              <w:jc w:val="center"/>
              <w:rPr>
                <w:rFonts w:eastAsia="Times New Roman"/>
              </w:rPr>
            </w:pPr>
            <w:r w:rsidRPr="00EF55F2">
              <w:rPr>
                <w:rFonts w:eastAsia="Times New Roman"/>
              </w:rPr>
              <w:t>114.90</w:t>
            </w:r>
          </w:p>
        </w:tc>
        <w:tc>
          <w:tcPr>
            <w:tcW w:w="697" w:type="pct"/>
            <w:gridSpan w:val="2"/>
            <w:tcBorders>
              <w:top w:val="nil"/>
              <w:left w:val="nil"/>
              <w:bottom w:val="nil"/>
              <w:right w:val="nil"/>
            </w:tcBorders>
            <w:shd w:val="clear" w:color="000000" w:fill="F2F2F2"/>
          </w:tcPr>
          <w:p w14:paraId="609C98E5" w14:textId="77777777" w:rsidR="00F76B72" w:rsidRPr="00EF55F2" w:rsidRDefault="00F76B72" w:rsidP="00F76B72">
            <w:pPr>
              <w:keepNext/>
              <w:spacing w:after="0" w:line="240" w:lineRule="auto"/>
              <w:jc w:val="center"/>
              <w:rPr>
                <w:rFonts w:eastAsia="Times New Roman"/>
              </w:rPr>
            </w:pPr>
            <w:r w:rsidRPr="00EF55F2">
              <w:rPr>
                <w:rFonts w:eastAsia="Times New Roman"/>
              </w:rPr>
              <w:t>12.8%</w:t>
            </w:r>
          </w:p>
        </w:tc>
      </w:tr>
      <w:tr w:rsidR="00F76B72" w:rsidRPr="00EF55F2" w14:paraId="26A2D787" w14:textId="77777777" w:rsidTr="00F76B72">
        <w:trPr>
          <w:trHeight w:val="300"/>
        </w:trPr>
        <w:tc>
          <w:tcPr>
            <w:tcW w:w="1099" w:type="pct"/>
            <w:tcBorders>
              <w:top w:val="nil"/>
              <w:left w:val="nil"/>
              <w:bottom w:val="nil"/>
              <w:right w:val="nil"/>
            </w:tcBorders>
            <w:shd w:val="clear" w:color="000000" w:fill="F2F2F2"/>
            <w:noWrap/>
            <w:hideMark/>
          </w:tcPr>
          <w:p w14:paraId="5B4235A1" w14:textId="77777777" w:rsidR="00F76B72" w:rsidRPr="00EF55F2" w:rsidRDefault="00F76B72" w:rsidP="00F76B72">
            <w:pPr>
              <w:keepNext/>
              <w:spacing w:after="0" w:line="240" w:lineRule="auto"/>
              <w:rPr>
                <w:rFonts w:eastAsia="Times New Roman"/>
              </w:rPr>
            </w:pPr>
            <w:r w:rsidRPr="00EF55F2">
              <w:rPr>
                <w:rFonts w:eastAsia="Times New Roman"/>
              </w:rPr>
              <w:t>California</w:t>
            </w:r>
          </w:p>
        </w:tc>
        <w:tc>
          <w:tcPr>
            <w:tcW w:w="777" w:type="pct"/>
            <w:tcBorders>
              <w:top w:val="nil"/>
              <w:left w:val="nil"/>
              <w:bottom w:val="nil"/>
              <w:right w:val="nil"/>
            </w:tcBorders>
            <w:shd w:val="clear" w:color="000000" w:fill="F2F2F2"/>
            <w:noWrap/>
            <w:hideMark/>
          </w:tcPr>
          <w:p w14:paraId="16103D21" w14:textId="77777777" w:rsidR="00F76B72" w:rsidRPr="00EF55F2" w:rsidRDefault="00F76B72" w:rsidP="00F76B72">
            <w:pPr>
              <w:keepNext/>
              <w:spacing w:after="0" w:line="240" w:lineRule="auto"/>
              <w:jc w:val="center"/>
              <w:rPr>
                <w:rFonts w:eastAsia="Times New Roman"/>
              </w:rPr>
            </w:pPr>
            <w:r w:rsidRPr="00EF55F2">
              <w:rPr>
                <w:rFonts w:eastAsia="Times New Roman"/>
              </w:rPr>
              <w:t>94.59</w:t>
            </w:r>
          </w:p>
        </w:tc>
        <w:tc>
          <w:tcPr>
            <w:tcW w:w="659" w:type="pct"/>
            <w:tcBorders>
              <w:top w:val="nil"/>
              <w:left w:val="nil"/>
              <w:bottom w:val="nil"/>
              <w:right w:val="single" w:sz="4" w:space="0" w:color="auto"/>
            </w:tcBorders>
            <w:shd w:val="clear" w:color="000000" w:fill="F2F2F2"/>
            <w:noWrap/>
            <w:hideMark/>
          </w:tcPr>
          <w:p w14:paraId="0805D416" w14:textId="77777777" w:rsidR="00F76B72" w:rsidRPr="00EF55F2" w:rsidRDefault="00F76B72" w:rsidP="00F76B72">
            <w:pPr>
              <w:keepNext/>
              <w:spacing w:after="0" w:line="240" w:lineRule="auto"/>
              <w:jc w:val="center"/>
              <w:rPr>
                <w:rFonts w:eastAsia="Times New Roman"/>
              </w:rPr>
            </w:pPr>
            <w:r w:rsidRPr="00EF55F2">
              <w:rPr>
                <w:rFonts w:eastAsia="Times New Roman"/>
              </w:rPr>
              <w:t>15.6%</w:t>
            </w:r>
          </w:p>
        </w:tc>
        <w:tc>
          <w:tcPr>
            <w:tcW w:w="1103" w:type="pct"/>
            <w:gridSpan w:val="2"/>
            <w:tcBorders>
              <w:top w:val="nil"/>
              <w:left w:val="single" w:sz="4" w:space="0" w:color="auto"/>
              <w:bottom w:val="nil"/>
              <w:right w:val="nil"/>
            </w:tcBorders>
            <w:shd w:val="clear" w:color="000000" w:fill="F2F2F2"/>
          </w:tcPr>
          <w:p w14:paraId="62A61333" w14:textId="77777777" w:rsidR="00F76B72" w:rsidRPr="00EF55F2" w:rsidRDefault="00F76B72" w:rsidP="00F76B72">
            <w:pPr>
              <w:keepNext/>
              <w:spacing w:after="0" w:line="240" w:lineRule="auto"/>
              <w:rPr>
                <w:rFonts w:eastAsia="Times New Roman"/>
              </w:rPr>
            </w:pPr>
            <w:r w:rsidRPr="00EF55F2">
              <w:rPr>
                <w:rFonts w:eastAsia="Times New Roman"/>
              </w:rPr>
              <w:t>New Jersey</w:t>
            </w:r>
          </w:p>
        </w:tc>
        <w:tc>
          <w:tcPr>
            <w:tcW w:w="665" w:type="pct"/>
            <w:gridSpan w:val="2"/>
            <w:tcBorders>
              <w:top w:val="nil"/>
              <w:left w:val="nil"/>
              <w:bottom w:val="nil"/>
              <w:right w:val="nil"/>
            </w:tcBorders>
            <w:shd w:val="clear" w:color="000000" w:fill="F2F2F2"/>
          </w:tcPr>
          <w:p w14:paraId="183B891C" w14:textId="77777777" w:rsidR="00F76B72" w:rsidRPr="00EF55F2" w:rsidRDefault="00F76B72" w:rsidP="00F76B72">
            <w:pPr>
              <w:keepNext/>
              <w:spacing w:after="0" w:line="240" w:lineRule="auto"/>
              <w:jc w:val="center"/>
              <w:rPr>
                <w:rFonts w:eastAsia="Times New Roman"/>
              </w:rPr>
            </w:pPr>
            <w:r w:rsidRPr="00EF55F2">
              <w:rPr>
                <w:rFonts w:eastAsia="Times New Roman"/>
              </w:rPr>
              <w:t>110.04</w:t>
            </w:r>
          </w:p>
        </w:tc>
        <w:tc>
          <w:tcPr>
            <w:tcW w:w="697" w:type="pct"/>
            <w:gridSpan w:val="2"/>
            <w:tcBorders>
              <w:top w:val="nil"/>
              <w:left w:val="nil"/>
              <w:bottom w:val="nil"/>
              <w:right w:val="nil"/>
            </w:tcBorders>
            <w:shd w:val="clear" w:color="000000" w:fill="F2F2F2"/>
          </w:tcPr>
          <w:p w14:paraId="3F07BB22" w14:textId="77777777" w:rsidR="00F76B72" w:rsidRPr="00EF55F2" w:rsidRDefault="00F76B72" w:rsidP="00F76B72">
            <w:pPr>
              <w:keepNext/>
              <w:spacing w:after="0" w:line="240" w:lineRule="auto"/>
              <w:jc w:val="center"/>
              <w:rPr>
                <w:rFonts w:eastAsia="Times New Roman"/>
              </w:rPr>
            </w:pPr>
            <w:r w:rsidRPr="00EF55F2">
              <w:rPr>
                <w:rFonts w:eastAsia="Times New Roman"/>
              </w:rPr>
              <w:t>13.4%</w:t>
            </w:r>
          </w:p>
        </w:tc>
      </w:tr>
      <w:tr w:rsidR="00F76B72" w:rsidRPr="00EF55F2" w14:paraId="6764A258" w14:textId="77777777" w:rsidTr="00F76B72">
        <w:trPr>
          <w:trHeight w:val="300"/>
        </w:trPr>
        <w:tc>
          <w:tcPr>
            <w:tcW w:w="1099" w:type="pct"/>
            <w:tcBorders>
              <w:top w:val="nil"/>
              <w:left w:val="nil"/>
              <w:bottom w:val="nil"/>
              <w:right w:val="nil"/>
            </w:tcBorders>
            <w:shd w:val="clear" w:color="000000" w:fill="F2F2F2"/>
            <w:noWrap/>
            <w:hideMark/>
          </w:tcPr>
          <w:p w14:paraId="50331728" w14:textId="77777777" w:rsidR="00F76B72" w:rsidRPr="00EF55F2" w:rsidRDefault="00F76B72" w:rsidP="00F76B72">
            <w:pPr>
              <w:keepNext/>
              <w:spacing w:after="0" w:line="240" w:lineRule="auto"/>
              <w:rPr>
                <w:rFonts w:eastAsia="Times New Roman"/>
              </w:rPr>
            </w:pPr>
            <w:r w:rsidRPr="00EF55F2">
              <w:rPr>
                <w:rFonts w:eastAsia="Times New Roman"/>
              </w:rPr>
              <w:t>Colorado</w:t>
            </w:r>
          </w:p>
        </w:tc>
        <w:tc>
          <w:tcPr>
            <w:tcW w:w="777" w:type="pct"/>
            <w:tcBorders>
              <w:top w:val="nil"/>
              <w:left w:val="nil"/>
              <w:bottom w:val="nil"/>
              <w:right w:val="nil"/>
            </w:tcBorders>
            <w:shd w:val="clear" w:color="000000" w:fill="F2F2F2"/>
            <w:noWrap/>
            <w:hideMark/>
          </w:tcPr>
          <w:p w14:paraId="530C2D73" w14:textId="77777777" w:rsidR="00F76B72" w:rsidRPr="00EF55F2" w:rsidRDefault="00F76B72" w:rsidP="00F76B72">
            <w:pPr>
              <w:keepNext/>
              <w:spacing w:after="0" w:line="240" w:lineRule="auto"/>
              <w:jc w:val="center"/>
              <w:rPr>
                <w:rFonts w:eastAsia="Times New Roman"/>
              </w:rPr>
            </w:pPr>
            <w:r w:rsidRPr="00EF55F2">
              <w:rPr>
                <w:rFonts w:eastAsia="Times New Roman"/>
              </w:rPr>
              <w:t>83.42</w:t>
            </w:r>
          </w:p>
        </w:tc>
        <w:tc>
          <w:tcPr>
            <w:tcW w:w="659" w:type="pct"/>
            <w:tcBorders>
              <w:top w:val="nil"/>
              <w:left w:val="nil"/>
              <w:bottom w:val="nil"/>
              <w:right w:val="single" w:sz="4" w:space="0" w:color="auto"/>
            </w:tcBorders>
            <w:shd w:val="clear" w:color="000000" w:fill="F2F2F2"/>
            <w:noWrap/>
            <w:hideMark/>
          </w:tcPr>
          <w:p w14:paraId="15387F67" w14:textId="77777777" w:rsidR="00F76B72" w:rsidRPr="00EF55F2" w:rsidRDefault="00F76B72" w:rsidP="00F76B72">
            <w:pPr>
              <w:keepNext/>
              <w:spacing w:after="0" w:line="240" w:lineRule="auto"/>
              <w:jc w:val="center"/>
              <w:rPr>
                <w:rFonts w:eastAsia="Times New Roman"/>
              </w:rPr>
            </w:pPr>
            <w:r w:rsidRPr="00EF55F2">
              <w:rPr>
                <w:rFonts w:eastAsia="Times New Roman"/>
              </w:rPr>
              <w:t>17.7%</w:t>
            </w:r>
          </w:p>
        </w:tc>
        <w:tc>
          <w:tcPr>
            <w:tcW w:w="1103" w:type="pct"/>
            <w:gridSpan w:val="2"/>
            <w:tcBorders>
              <w:top w:val="nil"/>
              <w:left w:val="single" w:sz="4" w:space="0" w:color="auto"/>
              <w:bottom w:val="nil"/>
              <w:right w:val="nil"/>
            </w:tcBorders>
            <w:shd w:val="clear" w:color="000000" w:fill="F2F2F2"/>
          </w:tcPr>
          <w:p w14:paraId="337C581A" w14:textId="77777777" w:rsidR="00F76B72" w:rsidRPr="00EF55F2" w:rsidRDefault="00F76B72" w:rsidP="00F76B72">
            <w:pPr>
              <w:keepNext/>
              <w:spacing w:after="0" w:line="240" w:lineRule="auto"/>
              <w:rPr>
                <w:rFonts w:eastAsia="Times New Roman"/>
              </w:rPr>
            </w:pPr>
            <w:r w:rsidRPr="00EF55F2">
              <w:rPr>
                <w:rFonts w:eastAsia="Times New Roman"/>
              </w:rPr>
              <w:t>New Mexico</w:t>
            </w:r>
          </w:p>
        </w:tc>
        <w:tc>
          <w:tcPr>
            <w:tcW w:w="665" w:type="pct"/>
            <w:gridSpan w:val="2"/>
            <w:tcBorders>
              <w:top w:val="nil"/>
              <w:left w:val="nil"/>
              <w:bottom w:val="nil"/>
              <w:right w:val="nil"/>
            </w:tcBorders>
            <w:shd w:val="clear" w:color="000000" w:fill="F2F2F2"/>
          </w:tcPr>
          <w:p w14:paraId="444CB470" w14:textId="77777777" w:rsidR="00F76B72" w:rsidRPr="00EF55F2" w:rsidRDefault="00F76B72" w:rsidP="00F76B72">
            <w:pPr>
              <w:keepNext/>
              <w:spacing w:after="0" w:line="240" w:lineRule="auto"/>
              <w:jc w:val="center"/>
              <w:rPr>
                <w:rFonts w:eastAsia="Times New Roman"/>
              </w:rPr>
            </w:pPr>
            <w:r w:rsidRPr="00EF55F2">
              <w:rPr>
                <w:rFonts w:eastAsia="Times New Roman"/>
              </w:rPr>
              <w:t>79.23</w:t>
            </w:r>
          </w:p>
        </w:tc>
        <w:tc>
          <w:tcPr>
            <w:tcW w:w="697" w:type="pct"/>
            <w:gridSpan w:val="2"/>
            <w:tcBorders>
              <w:top w:val="nil"/>
              <w:left w:val="nil"/>
              <w:bottom w:val="nil"/>
              <w:right w:val="nil"/>
            </w:tcBorders>
            <w:shd w:val="clear" w:color="000000" w:fill="F2F2F2"/>
          </w:tcPr>
          <w:p w14:paraId="4DB3021B" w14:textId="77777777" w:rsidR="00F76B72" w:rsidRPr="00EF55F2" w:rsidRDefault="00F76B72" w:rsidP="00F76B72">
            <w:pPr>
              <w:keepNext/>
              <w:spacing w:after="0" w:line="240" w:lineRule="auto"/>
              <w:jc w:val="center"/>
              <w:rPr>
                <w:rFonts w:eastAsia="Times New Roman"/>
              </w:rPr>
            </w:pPr>
            <w:r w:rsidRPr="00EF55F2">
              <w:rPr>
                <w:rFonts w:eastAsia="Times New Roman"/>
              </w:rPr>
              <w:t>18.6%</w:t>
            </w:r>
          </w:p>
        </w:tc>
      </w:tr>
      <w:tr w:rsidR="00F76B72" w:rsidRPr="00EF55F2" w14:paraId="59A9D141" w14:textId="77777777" w:rsidTr="00F76B72">
        <w:trPr>
          <w:trHeight w:val="300"/>
        </w:trPr>
        <w:tc>
          <w:tcPr>
            <w:tcW w:w="1099" w:type="pct"/>
            <w:tcBorders>
              <w:top w:val="nil"/>
              <w:left w:val="nil"/>
              <w:bottom w:val="nil"/>
              <w:right w:val="nil"/>
            </w:tcBorders>
            <w:shd w:val="clear" w:color="000000" w:fill="F2F2F2"/>
            <w:noWrap/>
            <w:hideMark/>
          </w:tcPr>
          <w:p w14:paraId="1AB4F053" w14:textId="77777777" w:rsidR="00F76B72" w:rsidRPr="00EF55F2" w:rsidRDefault="00F76B72" w:rsidP="00F76B72">
            <w:pPr>
              <w:keepNext/>
              <w:spacing w:after="0" w:line="240" w:lineRule="auto"/>
              <w:rPr>
                <w:rFonts w:eastAsia="Times New Roman"/>
              </w:rPr>
            </w:pPr>
            <w:r w:rsidRPr="00EF55F2">
              <w:rPr>
                <w:rFonts w:eastAsia="Times New Roman"/>
              </w:rPr>
              <w:t>Connecticut</w:t>
            </w:r>
          </w:p>
        </w:tc>
        <w:tc>
          <w:tcPr>
            <w:tcW w:w="777" w:type="pct"/>
            <w:tcBorders>
              <w:top w:val="nil"/>
              <w:left w:val="nil"/>
              <w:bottom w:val="nil"/>
              <w:right w:val="nil"/>
            </w:tcBorders>
            <w:shd w:val="clear" w:color="000000" w:fill="F2F2F2"/>
            <w:noWrap/>
            <w:hideMark/>
          </w:tcPr>
          <w:p w14:paraId="2A745846" w14:textId="77777777" w:rsidR="00F76B72" w:rsidRPr="00EF55F2" w:rsidRDefault="00F76B72" w:rsidP="00F76B72">
            <w:pPr>
              <w:keepNext/>
              <w:spacing w:after="0" w:line="240" w:lineRule="auto"/>
              <w:jc w:val="center"/>
              <w:rPr>
                <w:rFonts w:eastAsia="Times New Roman"/>
              </w:rPr>
            </w:pPr>
            <w:r w:rsidRPr="00EF55F2">
              <w:rPr>
                <w:rFonts w:eastAsia="Times New Roman"/>
              </w:rPr>
              <w:t>153.13</w:t>
            </w:r>
          </w:p>
        </w:tc>
        <w:tc>
          <w:tcPr>
            <w:tcW w:w="659" w:type="pct"/>
            <w:tcBorders>
              <w:top w:val="nil"/>
              <w:left w:val="nil"/>
              <w:bottom w:val="nil"/>
              <w:right w:val="single" w:sz="4" w:space="0" w:color="auto"/>
            </w:tcBorders>
            <w:shd w:val="clear" w:color="000000" w:fill="F2F2F2"/>
            <w:noWrap/>
            <w:hideMark/>
          </w:tcPr>
          <w:p w14:paraId="4C6B5124" w14:textId="77777777" w:rsidR="00F76B72" w:rsidRPr="00EF55F2" w:rsidRDefault="00F76B72" w:rsidP="00F76B72">
            <w:pPr>
              <w:keepNext/>
              <w:spacing w:after="0" w:line="240" w:lineRule="auto"/>
              <w:jc w:val="center"/>
              <w:rPr>
                <w:rFonts w:eastAsia="Times New Roman"/>
              </w:rPr>
            </w:pPr>
            <w:r w:rsidRPr="00EF55F2">
              <w:rPr>
                <w:rFonts w:eastAsia="Times New Roman"/>
              </w:rPr>
              <w:t>9.6%</w:t>
            </w:r>
          </w:p>
        </w:tc>
        <w:tc>
          <w:tcPr>
            <w:tcW w:w="1103" w:type="pct"/>
            <w:gridSpan w:val="2"/>
            <w:tcBorders>
              <w:top w:val="nil"/>
              <w:left w:val="single" w:sz="4" w:space="0" w:color="auto"/>
              <w:bottom w:val="nil"/>
              <w:right w:val="nil"/>
            </w:tcBorders>
            <w:shd w:val="clear" w:color="000000" w:fill="F2F2F2"/>
          </w:tcPr>
          <w:p w14:paraId="4C14B881" w14:textId="77777777" w:rsidR="00F76B72" w:rsidRPr="00EF55F2" w:rsidRDefault="00F76B72" w:rsidP="00F76B72">
            <w:pPr>
              <w:keepNext/>
              <w:spacing w:after="0" w:line="240" w:lineRule="auto"/>
              <w:rPr>
                <w:rFonts w:eastAsia="Times New Roman"/>
              </w:rPr>
            </w:pPr>
            <w:r w:rsidRPr="00EF55F2">
              <w:rPr>
                <w:rFonts w:eastAsia="Times New Roman"/>
              </w:rPr>
              <w:t>New York</w:t>
            </w:r>
          </w:p>
        </w:tc>
        <w:tc>
          <w:tcPr>
            <w:tcW w:w="665" w:type="pct"/>
            <w:gridSpan w:val="2"/>
            <w:tcBorders>
              <w:top w:val="nil"/>
              <w:left w:val="nil"/>
              <w:bottom w:val="nil"/>
              <w:right w:val="nil"/>
            </w:tcBorders>
            <w:shd w:val="clear" w:color="000000" w:fill="F2F2F2"/>
          </w:tcPr>
          <w:p w14:paraId="51F71251" w14:textId="77777777" w:rsidR="00F76B72" w:rsidRPr="00EF55F2" w:rsidRDefault="00F76B72" w:rsidP="00F76B72">
            <w:pPr>
              <w:keepNext/>
              <w:spacing w:after="0" w:line="240" w:lineRule="auto"/>
              <w:jc w:val="center"/>
              <w:rPr>
                <w:rFonts w:eastAsia="Times New Roman"/>
              </w:rPr>
            </w:pPr>
            <w:r w:rsidRPr="00EF55F2">
              <w:rPr>
                <w:rFonts w:eastAsia="Times New Roman"/>
              </w:rPr>
              <w:t>111.32</w:t>
            </w:r>
          </w:p>
        </w:tc>
        <w:tc>
          <w:tcPr>
            <w:tcW w:w="697" w:type="pct"/>
            <w:gridSpan w:val="2"/>
            <w:tcBorders>
              <w:top w:val="nil"/>
              <w:left w:val="nil"/>
              <w:bottom w:val="nil"/>
              <w:right w:val="nil"/>
            </w:tcBorders>
            <w:shd w:val="clear" w:color="000000" w:fill="F2F2F2"/>
          </w:tcPr>
          <w:p w14:paraId="0E868505" w14:textId="77777777" w:rsidR="00F76B72" w:rsidRPr="00EF55F2" w:rsidRDefault="00F76B72" w:rsidP="00F76B72">
            <w:pPr>
              <w:keepNext/>
              <w:spacing w:after="0" w:line="240" w:lineRule="auto"/>
              <w:jc w:val="center"/>
              <w:rPr>
                <w:rFonts w:eastAsia="Times New Roman"/>
              </w:rPr>
            </w:pPr>
            <w:r w:rsidRPr="00EF55F2">
              <w:rPr>
                <w:rFonts w:eastAsia="Times New Roman"/>
              </w:rPr>
              <w:t>13.3%</w:t>
            </w:r>
          </w:p>
        </w:tc>
      </w:tr>
      <w:tr w:rsidR="00F76B72" w:rsidRPr="00EF55F2" w14:paraId="38F944C4" w14:textId="77777777" w:rsidTr="00F76B72">
        <w:trPr>
          <w:trHeight w:val="300"/>
        </w:trPr>
        <w:tc>
          <w:tcPr>
            <w:tcW w:w="1099" w:type="pct"/>
            <w:tcBorders>
              <w:top w:val="nil"/>
              <w:left w:val="nil"/>
              <w:bottom w:val="nil"/>
              <w:right w:val="nil"/>
            </w:tcBorders>
            <w:shd w:val="clear" w:color="000000" w:fill="F2F2F2"/>
            <w:noWrap/>
            <w:hideMark/>
          </w:tcPr>
          <w:p w14:paraId="62CD8C8B" w14:textId="77777777" w:rsidR="00F76B72" w:rsidRPr="00EF55F2" w:rsidRDefault="00F76B72" w:rsidP="00F76B72">
            <w:pPr>
              <w:keepNext/>
              <w:spacing w:after="0" w:line="240" w:lineRule="auto"/>
              <w:rPr>
                <w:rFonts w:eastAsia="Times New Roman"/>
              </w:rPr>
            </w:pPr>
            <w:r w:rsidRPr="00EF55F2">
              <w:rPr>
                <w:rFonts w:eastAsia="Times New Roman"/>
              </w:rPr>
              <w:t>Delaware</w:t>
            </w:r>
          </w:p>
        </w:tc>
        <w:tc>
          <w:tcPr>
            <w:tcW w:w="777" w:type="pct"/>
            <w:tcBorders>
              <w:top w:val="nil"/>
              <w:left w:val="nil"/>
              <w:bottom w:val="nil"/>
              <w:right w:val="nil"/>
            </w:tcBorders>
            <w:shd w:val="clear" w:color="000000" w:fill="F2F2F2"/>
            <w:noWrap/>
            <w:hideMark/>
          </w:tcPr>
          <w:p w14:paraId="029599D9" w14:textId="77777777" w:rsidR="00F76B72" w:rsidRPr="00EF55F2" w:rsidRDefault="00F76B72" w:rsidP="00F76B72">
            <w:pPr>
              <w:keepNext/>
              <w:spacing w:after="0" w:line="240" w:lineRule="auto"/>
              <w:jc w:val="center"/>
              <w:rPr>
                <w:rFonts w:eastAsia="Times New Roman"/>
              </w:rPr>
            </w:pPr>
            <w:r w:rsidRPr="00EF55F2">
              <w:rPr>
                <w:rFonts w:eastAsia="Times New Roman"/>
              </w:rPr>
              <w:t>131.18</w:t>
            </w:r>
          </w:p>
        </w:tc>
        <w:tc>
          <w:tcPr>
            <w:tcW w:w="659" w:type="pct"/>
            <w:tcBorders>
              <w:top w:val="nil"/>
              <w:left w:val="nil"/>
              <w:bottom w:val="nil"/>
              <w:right w:val="single" w:sz="4" w:space="0" w:color="auto"/>
            </w:tcBorders>
            <w:shd w:val="clear" w:color="000000" w:fill="F2F2F2"/>
            <w:noWrap/>
            <w:hideMark/>
          </w:tcPr>
          <w:p w14:paraId="403BDC25" w14:textId="77777777" w:rsidR="00F76B72" w:rsidRPr="00EF55F2" w:rsidRDefault="00F76B72" w:rsidP="00F76B72">
            <w:pPr>
              <w:keepNext/>
              <w:spacing w:after="0" w:line="240" w:lineRule="auto"/>
              <w:jc w:val="center"/>
              <w:rPr>
                <w:rFonts w:eastAsia="Times New Roman"/>
              </w:rPr>
            </w:pPr>
            <w:r w:rsidRPr="00EF55F2">
              <w:rPr>
                <w:rFonts w:eastAsia="Times New Roman"/>
              </w:rPr>
              <w:t>11.2%</w:t>
            </w:r>
          </w:p>
        </w:tc>
        <w:tc>
          <w:tcPr>
            <w:tcW w:w="1103" w:type="pct"/>
            <w:gridSpan w:val="2"/>
            <w:tcBorders>
              <w:top w:val="nil"/>
              <w:left w:val="single" w:sz="4" w:space="0" w:color="auto"/>
              <w:bottom w:val="nil"/>
              <w:right w:val="nil"/>
            </w:tcBorders>
            <w:shd w:val="clear" w:color="000000" w:fill="F2F2F2"/>
          </w:tcPr>
          <w:p w14:paraId="537947C4" w14:textId="77777777" w:rsidR="00F76B72" w:rsidRPr="00EF55F2" w:rsidRDefault="00F76B72" w:rsidP="00F76B72">
            <w:pPr>
              <w:keepNext/>
              <w:spacing w:after="0" w:line="240" w:lineRule="auto"/>
              <w:rPr>
                <w:rFonts w:eastAsia="Times New Roman"/>
              </w:rPr>
            </w:pPr>
            <w:r w:rsidRPr="00EF55F2">
              <w:rPr>
                <w:rFonts w:eastAsia="Times New Roman"/>
              </w:rPr>
              <w:t>North Carolina</w:t>
            </w:r>
          </w:p>
        </w:tc>
        <w:tc>
          <w:tcPr>
            <w:tcW w:w="665" w:type="pct"/>
            <w:gridSpan w:val="2"/>
            <w:tcBorders>
              <w:top w:val="nil"/>
              <w:left w:val="nil"/>
              <w:bottom w:val="nil"/>
              <w:right w:val="nil"/>
            </w:tcBorders>
            <w:shd w:val="clear" w:color="000000" w:fill="F2F2F2"/>
          </w:tcPr>
          <w:p w14:paraId="6EC31041" w14:textId="77777777" w:rsidR="00F76B72" w:rsidRPr="00EF55F2" w:rsidRDefault="00F76B72" w:rsidP="00F76B72">
            <w:pPr>
              <w:keepNext/>
              <w:spacing w:after="0" w:line="240" w:lineRule="auto"/>
              <w:jc w:val="center"/>
              <w:rPr>
                <w:rFonts w:eastAsia="Times New Roman"/>
              </w:rPr>
            </w:pPr>
            <w:r w:rsidRPr="00EF55F2">
              <w:rPr>
                <w:rFonts w:eastAsia="Times New Roman"/>
              </w:rPr>
              <w:t>125.51</w:t>
            </w:r>
          </w:p>
        </w:tc>
        <w:tc>
          <w:tcPr>
            <w:tcW w:w="697" w:type="pct"/>
            <w:gridSpan w:val="2"/>
            <w:tcBorders>
              <w:top w:val="nil"/>
              <w:left w:val="nil"/>
              <w:bottom w:val="nil"/>
              <w:right w:val="nil"/>
            </w:tcBorders>
            <w:shd w:val="clear" w:color="000000" w:fill="F2F2F2"/>
          </w:tcPr>
          <w:p w14:paraId="4C537696" w14:textId="77777777" w:rsidR="00F76B72" w:rsidRPr="00EF55F2" w:rsidRDefault="00F76B72" w:rsidP="00F76B72">
            <w:pPr>
              <w:keepNext/>
              <w:spacing w:after="0" w:line="240" w:lineRule="auto"/>
              <w:jc w:val="center"/>
              <w:rPr>
                <w:rFonts w:eastAsia="Times New Roman"/>
              </w:rPr>
            </w:pPr>
            <w:r w:rsidRPr="00EF55F2">
              <w:rPr>
                <w:rFonts w:eastAsia="Times New Roman"/>
              </w:rPr>
              <w:t>11.8%</w:t>
            </w:r>
          </w:p>
        </w:tc>
      </w:tr>
      <w:tr w:rsidR="00F76B72" w:rsidRPr="00EF55F2" w14:paraId="5579B489" w14:textId="77777777" w:rsidTr="00F76B72">
        <w:trPr>
          <w:trHeight w:val="300"/>
        </w:trPr>
        <w:tc>
          <w:tcPr>
            <w:tcW w:w="1099" w:type="pct"/>
            <w:tcBorders>
              <w:top w:val="nil"/>
              <w:left w:val="nil"/>
              <w:bottom w:val="nil"/>
              <w:right w:val="nil"/>
            </w:tcBorders>
            <w:shd w:val="clear" w:color="000000" w:fill="F2F2F2"/>
            <w:noWrap/>
            <w:hideMark/>
          </w:tcPr>
          <w:p w14:paraId="4DCFD8BC" w14:textId="77777777" w:rsidR="00F76B72" w:rsidRPr="00EF55F2" w:rsidRDefault="00F76B72" w:rsidP="00F76B72">
            <w:pPr>
              <w:keepNext/>
              <w:spacing w:after="0" w:line="240" w:lineRule="auto"/>
              <w:rPr>
                <w:rFonts w:eastAsia="Times New Roman"/>
              </w:rPr>
            </w:pPr>
            <w:r w:rsidRPr="00EF55F2">
              <w:rPr>
                <w:rFonts w:eastAsia="Times New Roman"/>
              </w:rPr>
              <w:t>District of Columbia</w:t>
            </w:r>
          </w:p>
        </w:tc>
        <w:tc>
          <w:tcPr>
            <w:tcW w:w="777" w:type="pct"/>
            <w:tcBorders>
              <w:top w:val="nil"/>
              <w:left w:val="nil"/>
              <w:bottom w:val="nil"/>
              <w:right w:val="nil"/>
            </w:tcBorders>
            <w:shd w:val="clear" w:color="000000" w:fill="F2F2F2"/>
            <w:noWrap/>
            <w:hideMark/>
          </w:tcPr>
          <w:p w14:paraId="39BA93B7" w14:textId="77777777" w:rsidR="00F76B72" w:rsidRPr="00EF55F2" w:rsidRDefault="00F76B72" w:rsidP="00F76B72">
            <w:pPr>
              <w:keepNext/>
              <w:spacing w:after="0" w:line="240" w:lineRule="auto"/>
              <w:jc w:val="center"/>
              <w:rPr>
                <w:rFonts w:eastAsia="Times New Roman"/>
              </w:rPr>
            </w:pPr>
            <w:r w:rsidRPr="00EF55F2">
              <w:rPr>
                <w:rFonts w:eastAsia="Times New Roman"/>
              </w:rPr>
              <w:t>109.21</w:t>
            </w:r>
          </w:p>
        </w:tc>
        <w:tc>
          <w:tcPr>
            <w:tcW w:w="659" w:type="pct"/>
            <w:tcBorders>
              <w:top w:val="nil"/>
              <w:left w:val="nil"/>
              <w:bottom w:val="nil"/>
              <w:right w:val="single" w:sz="4" w:space="0" w:color="auto"/>
            </w:tcBorders>
            <w:shd w:val="clear" w:color="000000" w:fill="F2F2F2"/>
            <w:noWrap/>
            <w:hideMark/>
          </w:tcPr>
          <w:p w14:paraId="45C1B124" w14:textId="77777777" w:rsidR="00F76B72" w:rsidRPr="00EF55F2" w:rsidRDefault="00F76B72" w:rsidP="00F76B72">
            <w:pPr>
              <w:keepNext/>
              <w:spacing w:after="0" w:line="240" w:lineRule="auto"/>
              <w:jc w:val="center"/>
              <w:rPr>
                <w:rFonts w:eastAsia="Times New Roman"/>
              </w:rPr>
            </w:pPr>
            <w:r w:rsidRPr="00EF55F2">
              <w:rPr>
                <w:rFonts w:eastAsia="Times New Roman"/>
              </w:rPr>
              <w:t>13.5%</w:t>
            </w:r>
          </w:p>
        </w:tc>
        <w:tc>
          <w:tcPr>
            <w:tcW w:w="1103" w:type="pct"/>
            <w:gridSpan w:val="2"/>
            <w:tcBorders>
              <w:top w:val="nil"/>
              <w:left w:val="single" w:sz="4" w:space="0" w:color="auto"/>
              <w:bottom w:val="nil"/>
              <w:right w:val="nil"/>
            </w:tcBorders>
            <w:shd w:val="clear" w:color="000000" w:fill="F2F2F2"/>
          </w:tcPr>
          <w:p w14:paraId="32B58DDE" w14:textId="77777777" w:rsidR="00F76B72" w:rsidRPr="00EF55F2" w:rsidRDefault="00F76B72" w:rsidP="00F76B72">
            <w:pPr>
              <w:keepNext/>
              <w:spacing w:after="0" w:line="240" w:lineRule="auto"/>
              <w:rPr>
                <w:rFonts w:eastAsia="Times New Roman"/>
              </w:rPr>
            </w:pPr>
            <w:r w:rsidRPr="00EF55F2">
              <w:rPr>
                <w:rFonts w:eastAsia="Times New Roman"/>
              </w:rPr>
              <w:t>North Dakota</w:t>
            </w:r>
          </w:p>
        </w:tc>
        <w:tc>
          <w:tcPr>
            <w:tcW w:w="665" w:type="pct"/>
            <w:gridSpan w:val="2"/>
            <w:tcBorders>
              <w:top w:val="nil"/>
              <w:left w:val="nil"/>
              <w:bottom w:val="nil"/>
              <w:right w:val="nil"/>
            </w:tcBorders>
            <w:shd w:val="clear" w:color="000000" w:fill="F2F2F2"/>
          </w:tcPr>
          <w:p w14:paraId="7A1044AD" w14:textId="77777777" w:rsidR="00F76B72" w:rsidRPr="00EF55F2" w:rsidRDefault="00F76B72" w:rsidP="00F76B72">
            <w:pPr>
              <w:keepNext/>
              <w:spacing w:after="0" w:line="240" w:lineRule="auto"/>
              <w:jc w:val="center"/>
              <w:rPr>
                <w:rFonts w:eastAsia="Times New Roman"/>
              </w:rPr>
            </w:pPr>
            <w:r w:rsidRPr="00EF55F2">
              <w:rPr>
                <w:rFonts w:eastAsia="Times New Roman"/>
              </w:rPr>
              <w:t>104.96</w:t>
            </w:r>
          </w:p>
        </w:tc>
        <w:tc>
          <w:tcPr>
            <w:tcW w:w="697" w:type="pct"/>
            <w:gridSpan w:val="2"/>
            <w:tcBorders>
              <w:top w:val="nil"/>
              <w:left w:val="nil"/>
              <w:bottom w:val="nil"/>
              <w:right w:val="nil"/>
            </w:tcBorders>
            <w:shd w:val="clear" w:color="000000" w:fill="F2F2F2"/>
          </w:tcPr>
          <w:p w14:paraId="5D27A88B" w14:textId="77777777" w:rsidR="00F76B72" w:rsidRPr="00EF55F2" w:rsidRDefault="00F76B72" w:rsidP="00F76B72">
            <w:pPr>
              <w:keepNext/>
              <w:spacing w:after="0" w:line="240" w:lineRule="auto"/>
              <w:jc w:val="center"/>
              <w:rPr>
                <w:rFonts w:eastAsia="Times New Roman"/>
              </w:rPr>
            </w:pPr>
            <w:r w:rsidRPr="00EF55F2">
              <w:rPr>
                <w:rFonts w:eastAsia="Times New Roman"/>
              </w:rPr>
              <w:t>14.1%</w:t>
            </w:r>
          </w:p>
        </w:tc>
      </w:tr>
      <w:tr w:rsidR="00F76B72" w:rsidRPr="00EF55F2" w14:paraId="53B8764E" w14:textId="77777777" w:rsidTr="00F76B72">
        <w:trPr>
          <w:trHeight w:val="300"/>
        </w:trPr>
        <w:tc>
          <w:tcPr>
            <w:tcW w:w="1099" w:type="pct"/>
            <w:tcBorders>
              <w:top w:val="nil"/>
              <w:left w:val="nil"/>
              <w:bottom w:val="nil"/>
              <w:right w:val="nil"/>
            </w:tcBorders>
            <w:shd w:val="clear" w:color="000000" w:fill="F2F2F2"/>
            <w:noWrap/>
            <w:hideMark/>
          </w:tcPr>
          <w:p w14:paraId="390FD605" w14:textId="77777777" w:rsidR="00F76B72" w:rsidRPr="00EF55F2" w:rsidRDefault="00F76B72" w:rsidP="00F76B72">
            <w:pPr>
              <w:keepNext/>
              <w:spacing w:after="0" w:line="240" w:lineRule="auto"/>
              <w:rPr>
                <w:rFonts w:eastAsia="Times New Roman"/>
              </w:rPr>
            </w:pPr>
            <w:r w:rsidRPr="00EF55F2">
              <w:rPr>
                <w:rFonts w:eastAsia="Times New Roman"/>
              </w:rPr>
              <w:t>Florida</w:t>
            </w:r>
          </w:p>
        </w:tc>
        <w:tc>
          <w:tcPr>
            <w:tcW w:w="777" w:type="pct"/>
            <w:tcBorders>
              <w:top w:val="nil"/>
              <w:left w:val="nil"/>
              <w:bottom w:val="nil"/>
              <w:right w:val="nil"/>
            </w:tcBorders>
            <w:shd w:val="clear" w:color="000000" w:fill="F2F2F2"/>
            <w:noWrap/>
            <w:hideMark/>
          </w:tcPr>
          <w:p w14:paraId="2F924706" w14:textId="77777777" w:rsidR="00F76B72" w:rsidRPr="00EF55F2" w:rsidRDefault="00F76B72" w:rsidP="00F76B72">
            <w:pPr>
              <w:keepNext/>
              <w:spacing w:after="0" w:line="240" w:lineRule="auto"/>
              <w:jc w:val="center"/>
              <w:rPr>
                <w:rFonts w:eastAsia="Times New Roman"/>
              </w:rPr>
            </w:pPr>
            <w:r w:rsidRPr="00EF55F2">
              <w:rPr>
                <w:rFonts w:eastAsia="Times New Roman"/>
              </w:rPr>
              <w:t>132.16</w:t>
            </w:r>
          </w:p>
        </w:tc>
        <w:tc>
          <w:tcPr>
            <w:tcW w:w="659" w:type="pct"/>
            <w:tcBorders>
              <w:top w:val="nil"/>
              <w:left w:val="nil"/>
              <w:bottom w:val="nil"/>
              <w:right w:val="single" w:sz="4" w:space="0" w:color="auto"/>
            </w:tcBorders>
            <w:shd w:val="clear" w:color="000000" w:fill="F2F2F2"/>
            <w:noWrap/>
            <w:hideMark/>
          </w:tcPr>
          <w:p w14:paraId="19BB766B" w14:textId="77777777" w:rsidR="00F76B72" w:rsidRPr="00EF55F2" w:rsidRDefault="00F76B72" w:rsidP="00F76B72">
            <w:pPr>
              <w:keepNext/>
              <w:spacing w:after="0" w:line="240" w:lineRule="auto"/>
              <w:jc w:val="center"/>
              <w:rPr>
                <w:rFonts w:eastAsia="Times New Roman"/>
              </w:rPr>
            </w:pPr>
            <w:r w:rsidRPr="00EF55F2">
              <w:rPr>
                <w:rFonts w:eastAsia="Times New Roman"/>
              </w:rPr>
              <w:t>11.2%</w:t>
            </w:r>
          </w:p>
        </w:tc>
        <w:tc>
          <w:tcPr>
            <w:tcW w:w="1103" w:type="pct"/>
            <w:gridSpan w:val="2"/>
            <w:tcBorders>
              <w:top w:val="nil"/>
              <w:left w:val="single" w:sz="4" w:space="0" w:color="auto"/>
              <w:bottom w:val="nil"/>
              <w:right w:val="nil"/>
            </w:tcBorders>
            <w:shd w:val="clear" w:color="000000" w:fill="F2F2F2"/>
          </w:tcPr>
          <w:p w14:paraId="47BA940D" w14:textId="77777777" w:rsidR="00F76B72" w:rsidRPr="00EF55F2" w:rsidRDefault="00F76B72" w:rsidP="00F76B72">
            <w:pPr>
              <w:keepNext/>
              <w:spacing w:after="0" w:line="240" w:lineRule="auto"/>
              <w:rPr>
                <w:rFonts w:eastAsia="Times New Roman"/>
              </w:rPr>
            </w:pPr>
            <w:r w:rsidRPr="00EF55F2">
              <w:rPr>
                <w:rFonts w:eastAsia="Times New Roman"/>
              </w:rPr>
              <w:t>Ohio</w:t>
            </w:r>
          </w:p>
        </w:tc>
        <w:tc>
          <w:tcPr>
            <w:tcW w:w="665" w:type="pct"/>
            <w:gridSpan w:val="2"/>
            <w:tcBorders>
              <w:top w:val="nil"/>
              <w:left w:val="nil"/>
              <w:bottom w:val="nil"/>
              <w:right w:val="nil"/>
            </w:tcBorders>
            <w:shd w:val="clear" w:color="000000" w:fill="F2F2F2"/>
          </w:tcPr>
          <w:p w14:paraId="5BCEA4DE" w14:textId="77777777" w:rsidR="00F76B72" w:rsidRPr="00EF55F2" w:rsidRDefault="00F76B72" w:rsidP="00F76B72">
            <w:pPr>
              <w:keepNext/>
              <w:spacing w:after="0" w:line="240" w:lineRule="auto"/>
              <w:jc w:val="center"/>
              <w:rPr>
                <w:rFonts w:eastAsia="Times New Roman"/>
              </w:rPr>
            </w:pPr>
            <w:r w:rsidRPr="00EF55F2">
              <w:rPr>
                <w:rFonts w:eastAsia="Times New Roman"/>
              </w:rPr>
              <w:t>112.25</w:t>
            </w:r>
          </w:p>
        </w:tc>
        <w:tc>
          <w:tcPr>
            <w:tcW w:w="697" w:type="pct"/>
            <w:gridSpan w:val="2"/>
            <w:tcBorders>
              <w:top w:val="nil"/>
              <w:left w:val="nil"/>
              <w:bottom w:val="nil"/>
              <w:right w:val="nil"/>
            </w:tcBorders>
            <w:shd w:val="clear" w:color="000000" w:fill="F2F2F2"/>
          </w:tcPr>
          <w:p w14:paraId="2197B2F0" w14:textId="77777777" w:rsidR="00F76B72" w:rsidRPr="00EF55F2" w:rsidRDefault="00F76B72" w:rsidP="00F76B72">
            <w:pPr>
              <w:keepNext/>
              <w:spacing w:after="0" w:line="240" w:lineRule="auto"/>
              <w:jc w:val="center"/>
              <w:rPr>
                <w:rFonts w:eastAsia="Times New Roman"/>
              </w:rPr>
            </w:pPr>
            <w:r w:rsidRPr="00EF55F2">
              <w:rPr>
                <w:rFonts w:eastAsia="Times New Roman"/>
              </w:rPr>
              <w:t>13.1%</w:t>
            </w:r>
          </w:p>
        </w:tc>
      </w:tr>
      <w:tr w:rsidR="00F76B72" w:rsidRPr="00EF55F2" w14:paraId="4FADDFF9" w14:textId="77777777" w:rsidTr="00F76B72">
        <w:trPr>
          <w:trHeight w:val="300"/>
        </w:trPr>
        <w:tc>
          <w:tcPr>
            <w:tcW w:w="1099" w:type="pct"/>
            <w:tcBorders>
              <w:top w:val="nil"/>
              <w:left w:val="nil"/>
              <w:bottom w:val="nil"/>
              <w:right w:val="nil"/>
            </w:tcBorders>
            <w:shd w:val="clear" w:color="000000" w:fill="F2F2F2"/>
            <w:noWrap/>
            <w:hideMark/>
          </w:tcPr>
          <w:p w14:paraId="669F755C" w14:textId="77777777" w:rsidR="00F76B72" w:rsidRPr="00EF55F2" w:rsidRDefault="00F76B72" w:rsidP="00F76B72">
            <w:pPr>
              <w:keepNext/>
              <w:spacing w:after="0" w:line="240" w:lineRule="auto"/>
              <w:rPr>
                <w:rFonts w:eastAsia="Times New Roman"/>
              </w:rPr>
            </w:pPr>
            <w:r w:rsidRPr="00EF55F2">
              <w:rPr>
                <w:rFonts w:eastAsia="Times New Roman"/>
              </w:rPr>
              <w:t>Georgia</w:t>
            </w:r>
          </w:p>
        </w:tc>
        <w:tc>
          <w:tcPr>
            <w:tcW w:w="777" w:type="pct"/>
            <w:tcBorders>
              <w:top w:val="nil"/>
              <w:left w:val="nil"/>
              <w:bottom w:val="nil"/>
              <w:right w:val="nil"/>
            </w:tcBorders>
            <w:shd w:val="clear" w:color="000000" w:fill="F2F2F2"/>
            <w:noWrap/>
            <w:hideMark/>
          </w:tcPr>
          <w:p w14:paraId="0E664143" w14:textId="77777777" w:rsidR="00F76B72" w:rsidRPr="00EF55F2" w:rsidRDefault="00F76B72" w:rsidP="00F76B72">
            <w:pPr>
              <w:keepNext/>
              <w:spacing w:after="0" w:line="240" w:lineRule="auto"/>
              <w:jc w:val="center"/>
              <w:rPr>
                <w:rFonts w:eastAsia="Times New Roman"/>
              </w:rPr>
            </w:pPr>
            <w:r w:rsidRPr="00EF55F2">
              <w:rPr>
                <w:rFonts w:eastAsia="Times New Roman"/>
              </w:rPr>
              <w:t>129.46</w:t>
            </w:r>
          </w:p>
        </w:tc>
        <w:tc>
          <w:tcPr>
            <w:tcW w:w="659" w:type="pct"/>
            <w:tcBorders>
              <w:top w:val="nil"/>
              <w:left w:val="nil"/>
              <w:bottom w:val="nil"/>
              <w:right w:val="single" w:sz="4" w:space="0" w:color="auto"/>
            </w:tcBorders>
            <w:shd w:val="clear" w:color="000000" w:fill="F2F2F2"/>
            <w:noWrap/>
            <w:hideMark/>
          </w:tcPr>
          <w:p w14:paraId="03E25DF7" w14:textId="77777777" w:rsidR="00F76B72" w:rsidRPr="00EF55F2" w:rsidRDefault="00F76B72" w:rsidP="00F76B72">
            <w:pPr>
              <w:keepNext/>
              <w:spacing w:after="0" w:line="240" w:lineRule="auto"/>
              <w:jc w:val="center"/>
              <w:rPr>
                <w:rFonts w:eastAsia="Times New Roman"/>
              </w:rPr>
            </w:pPr>
            <w:r w:rsidRPr="00EF55F2">
              <w:rPr>
                <w:rFonts w:eastAsia="Times New Roman"/>
              </w:rPr>
              <w:t>11.4%</w:t>
            </w:r>
          </w:p>
        </w:tc>
        <w:tc>
          <w:tcPr>
            <w:tcW w:w="1103" w:type="pct"/>
            <w:gridSpan w:val="2"/>
            <w:tcBorders>
              <w:top w:val="nil"/>
              <w:left w:val="single" w:sz="4" w:space="0" w:color="auto"/>
              <w:bottom w:val="nil"/>
              <w:right w:val="nil"/>
            </w:tcBorders>
            <w:shd w:val="clear" w:color="000000" w:fill="F2F2F2"/>
          </w:tcPr>
          <w:p w14:paraId="1E3B902B" w14:textId="77777777" w:rsidR="00F76B72" w:rsidRPr="00EF55F2" w:rsidRDefault="00F76B72" w:rsidP="00F76B72">
            <w:pPr>
              <w:keepNext/>
              <w:spacing w:after="0" w:line="240" w:lineRule="auto"/>
              <w:rPr>
                <w:rFonts w:eastAsia="Times New Roman"/>
              </w:rPr>
            </w:pPr>
            <w:r w:rsidRPr="00EF55F2">
              <w:rPr>
                <w:rFonts w:eastAsia="Times New Roman"/>
              </w:rPr>
              <w:t>Oklahoma</w:t>
            </w:r>
          </w:p>
        </w:tc>
        <w:tc>
          <w:tcPr>
            <w:tcW w:w="665" w:type="pct"/>
            <w:gridSpan w:val="2"/>
            <w:tcBorders>
              <w:top w:val="nil"/>
              <w:left w:val="nil"/>
              <w:bottom w:val="nil"/>
              <w:right w:val="nil"/>
            </w:tcBorders>
            <w:shd w:val="clear" w:color="000000" w:fill="F2F2F2"/>
          </w:tcPr>
          <w:p w14:paraId="6E168760" w14:textId="77777777" w:rsidR="00F76B72" w:rsidRPr="00EF55F2" w:rsidRDefault="00F76B72" w:rsidP="00F76B72">
            <w:pPr>
              <w:keepNext/>
              <w:spacing w:after="0" w:line="240" w:lineRule="auto"/>
              <w:jc w:val="center"/>
              <w:rPr>
                <w:rFonts w:eastAsia="Times New Roman"/>
              </w:rPr>
            </w:pPr>
            <w:r w:rsidRPr="00EF55F2">
              <w:rPr>
                <w:rFonts w:eastAsia="Times New Roman"/>
              </w:rPr>
              <w:t>110.87</w:t>
            </w:r>
          </w:p>
        </w:tc>
        <w:tc>
          <w:tcPr>
            <w:tcW w:w="697" w:type="pct"/>
            <w:gridSpan w:val="2"/>
            <w:tcBorders>
              <w:top w:val="nil"/>
              <w:left w:val="nil"/>
              <w:bottom w:val="nil"/>
              <w:right w:val="nil"/>
            </w:tcBorders>
            <w:shd w:val="clear" w:color="000000" w:fill="F2F2F2"/>
          </w:tcPr>
          <w:p w14:paraId="71547232" w14:textId="77777777" w:rsidR="00F76B72" w:rsidRPr="00EF55F2" w:rsidRDefault="00F76B72" w:rsidP="00F76B72">
            <w:pPr>
              <w:keepNext/>
              <w:spacing w:after="0" w:line="240" w:lineRule="auto"/>
              <w:jc w:val="center"/>
              <w:rPr>
                <w:rFonts w:eastAsia="Times New Roman"/>
              </w:rPr>
            </w:pPr>
            <w:r w:rsidRPr="00EF55F2">
              <w:rPr>
                <w:rFonts w:eastAsia="Times New Roman"/>
              </w:rPr>
              <w:t>13.3%</w:t>
            </w:r>
          </w:p>
        </w:tc>
      </w:tr>
      <w:tr w:rsidR="00F76B72" w:rsidRPr="00EF55F2" w14:paraId="6F225808" w14:textId="77777777" w:rsidTr="00F76B72">
        <w:trPr>
          <w:trHeight w:val="300"/>
        </w:trPr>
        <w:tc>
          <w:tcPr>
            <w:tcW w:w="1099" w:type="pct"/>
            <w:tcBorders>
              <w:top w:val="nil"/>
              <w:left w:val="nil"/>
              <w:bottom w:val="nil"/>
              <w:right w:val="nil"/>
            </w:tcBorders>
            <w:shd w:val="clear" w:color="000000" w:fill="F2F2F2"/>
            <w:noWrap/>
            <w:hideMark/>
          </w:tcPr>
          <w:p w14:paraId="5C763E61" w14:textId="77777777" w:rsidR="00F76B72" w:rsidRPr="00EF55F2" w:rsidRDefault="00F76B72" w:rsidP="00F76B72">
            <w:pPr>
              <w:keepNext/>
              <w:spacing w:after="0" w:line="240" w:lineRule="auto"/>
              <w:rPr>
                <w:rFonts w:eastAsia="Times New Roman"/>
              </w:rPr>
            </w:pPr>
            <w:r w:rsidRPr="00EF55F2">
              <w:rPr>
                <w:rFonts w:eastAsia="Times New Roman"/>
              </w:rPr>
              <w:t>Hawaii</w:t>
            </w:r>
          </w:p>
        </w:tc>
        <w:tc>
          <w:tcPr>
            <w:tcW w:w="777" w:type="pct"/>
            <w:tcBorders>
              <w:top w:val="nil"/>
              <w:left w:val="nil"/>
              <w:bottom w:val="nil"/>
              <w:right w:val="nil"/>
            </w:tcBorders>
            <w:shd w:val="clear" w:color="000000" w:fill="F2F2F2"/>
            <w:noWrap/>
            <w:hideMark/>
          </w:tcPr>
          <w:p w14:paraId="3F43F0CC" w14:textId="77777777" w:rsidR="00F76B72" w:rsidRPr="00EF55F2" w:rsidRDefault="00F76B72" w:rsidP="00F76B72">
            <w:pPr>
              <w:keepNext/>
              <w:spacing w:after="0" w:line="240" w:lineRule="auto"/>
              <w:jc w:val="center"/>
              <w:rPr>
                <w:rFonts w:eastAsia="Times New Roman"/>
              </w:rPr>
            </w:pPr>
            <w:r w:rsidRPr="00EF55F2">
              <w:rPr>
                <w:rFonts w:eastAsia="Times New Roman"/>
              </w:rPr>
              <w:t>152.12</w:t>
            </w:r>
          </w:p>
        </w:tc>
        <w:tc>
          <w:tcPr>
            <w:tcW w:w="659" w:type="pct"/>
            <w:tcBorders>
              <w:top w:val="nil"/>
              <w:left w:val="nil"/>
              <w:bottom w:val="nil"/>
              <w:right w:val="single" w:sz="4" w:space="0" w:color="auto"/>
            </w:tcBorders>
            <w:shd w:val="clear" w:color="000000" w:fill="F2F2F2"/>
            <w:noWrap/>
            <w:hideMark/>
          </w:tcPr>
          <w:p w14:paraId="2C79889E" w14:textId="77777777" w:rsidR="00F76B72" w:rsidRPr="00EF55F2" w:rsidRDefault="00F76B72" w:rsidP="00F76B72">
            <w:pPr>
              <w:keepNext/>
              <w:spacing w:after="0" w:line="240" w:lineRule="auto"/>
              <w:jc w:val="center"/>
              <w:rPr>
                <w:rFonts w:eastAsia="Times New Roman"/>
              </w:rPr>
            </w:pPr>
            <w:r w:rsidRPr="00EF55F2">
              <w:rPr>
                <w:rFonts w:eastAsia="Times New Roman"/>
              </w:rPr>
              <w:t>9.7%</w:t>
            </w:r>
          </w:p>
        </w:tc>
        <w:tc>
          <w:tcPr>
            <w:tcW w:w="1103" w:type="pct"/>
            <w:gridSpan w:val="2"/>
            <w:tcBorders>
              <w:top w:val="nil"/>
              <w:left w:val="single" w:sz="4" w:space="0" w:color="auto"/>
              <w:bottom w:val="nil"/>
              <w:right w:val="nil"/>
            </w:tcBorders>
            <w:shd w:val="clear" w:color="000000" w:fill="F2F2F2"/>
          </w:tcPr>
          <w:p w14:paraId="4D7AEC51" w14:textId="77777777" w:rsidR="00F76B72" w:rsidRPr="00EF55F2" w:rsidRDefault="00F76B72" w:rsidP="00F76B72">
            <w:pPr>
              <w:keepNext/>
              <w:spacing w:after="0" w:line="240" w:lineRule="auto"/>
              <w:rPr>
                <w:rFonts w:eastAsia="Times New Roman"/>
              </w:rPr>
            </w:pPr>
            <w:r w:rsidRPr="00EF55F2">
              <w:rPr>
                <w:rFonts w:eastAsia="Times New Roman"/>
              </w:rPr>
              <w:t>Oregon</w:t>
            </w:r>
          </w:p>
        </w:tc>
        <w:tc>
          <w:tcPr>
            <w:tcW w:w="665" w:type="pct"/>
            <w:gridSpan w:val="2"/>
            <w:tcBorders>
              <w:top w:val="nil"/>
              <w:left w:val="nil"/>
              <w:bottom w:val="nil"/>
              <w:right w:val="nil"/>
            </w:tcBorders>
            <w:shd w:val="clear" w:color="000000" w:fill="F2F2F2"/>
          </w:tcPr>
          <w:p w14:paraId="7FC8ADDF" w14:textId="77777777" w:rsidR="00F76B72" w:rsidRPr="00EF55F2" w:rsidRDefault="00F76B72" w:rsidP="00F76B72">
            <w:pPr>
              <w:keepNext/>
              <w:spacing w:after="0" w:line="240" w:lineRule="auto"/>
              <w:jc w:val="center"/>
              <w:rPr>
                <w:rFonts w:eastAsia="Times New Roman"/>
              </w:rPr>
            </w:pPr>
            <w:r w:rsidRPr="00EF55F2">
              <w:rPr>
                <w:rFonts w:eastAsia="Times New Roman"/>
              </w:rPr>
              <w:t>96.24</w:t>
            </w:r>
          </w:p>
        </w:tc>
        <w:tc>
          <w:tcPr>
            <w:tcW w:w="697" w:type="pct"/>
            <w:gridSpan w:val="2"/>
            <w:tcBorders>
              <w:top w:val="nil"/>
              <w:left w:val="nil"/>
              <w:bottom w:val="nil"/>
              <w:right w:val="nil"/>
            </w:tcBorders>
            <w:shd w:val="clear" w:color="000000" w:fill="F2F2F2"/>
          </w:tcPr>
          <w:p w14:paraId="50C34B08" w14:textId="77777777" w:rsidR="00F76B72" w:rsidRPr="00EF55F2" w:rsidRDefault="00F76B72" w:rsidP="00F76B72">
            <w:pPr>
              <w:keepNext/>
              <w:spacing w:after="0" w:line="240" w:lineRule="auto"/>
              <w:jc w:val="center"/>
              <w:rPr>
                <w:rFonts w:eastAsia="Times New Roman"/>
              </w:rPr>
            </w:pPr>
            <w:r w:rsidRPr="00EF55F2">
              <w:rPr>
                <w:rFonts w:eastAsia="Times New Roman"/>
              </w:rPr>
              <w:t>15.3%</w:t>
            </w:r>
          </w:p>
        </w:tc>
      </w:tr>
      <w:tr w:rsidR="00F76B72" w:rsidRPr="00EF55F2" w14:paraId="2A77B948" w14:textId="77777777" w:rsidTr="00F76B72">
        <w:trPr>
          <w:trHeight w:val="300"/>
        </w:trPr>
        <w:tc>
          <w:tcPr>
            <w:tcW w:w="1099" w:type="pct"/>
            <w:tcBorders>
              <w:top w:val="nil"/>
              <w:left w:val="nil"/>
              <w:bottom w:val="nil"/>
              <w:right w:val="nil"/>
            </w:tcBorders>
            <w:shd w:val="clear" w:color="000000" w:fill="F2F2F2"/>
            <w:noWrap/>
            <w:hideMark/>
          </w:tcPr>
          <w:p w14:paraId="13981ADA" w14:textId="77777777" w:rsidR="00F76B72" w:rsidRPr="00EF55F2" w:rsidRDefault="00F76B72" w:rsidP="00F76B72">
            <w:pPr>
              <w:keepNext/>
              <w:spacing w:after="0" w:line="240" w:lineRule="auto"/>
              <w:rPr>
                <w:rFonts w:eastAsia="Times New Roman"/>
              </w:rPr>
            </w:pPr>
            <w:r w:rsidRPr="00EF55F2">
              <w:rPr>
                <w:rFonts w:eastAsia="Times New Roman"/>
              </w:rPr>
              <w:t>Idaho</w:t>
            </w:r>
          </w:p>
        </w:tc>
        <w:tc>
          <w:tcPr>
            <w:tcW w:w="777" w:type="pct"/>
            <w:tcBorders>
              <w:top w:val="nil"/>
              <w:left w:val="nil"/>
              <w:bottom w:val="nil"/>
              <w:right w:val="nil"/>
            </w:tcBorders>
            <w:shd w:val="clear" w:color="000000" w:fill="F2F2F2"/>
            <w:noWrap/>
            <w:hideMark/>
          </w:tcPr>
          <w:p w14:paraId="4D4ADF0F" w14:textId="77777777" w:rsidR="00F76B72" w:rsidRPr="00EF55F2" w:rsidRDefault="00F76B72" w:rsidP="00F76B72">
            <w:pPr>
              <w:keepNext/>
              <w:spacing w:after="0" w:line="240" w:lineRule="auto"/>
              <w:jc w:val="center"/>
              <w:rPr>
                <w:rFonts w:eastAsia="Times New Roman"/>
              </w:rPr>
            </w:pPr>
            <w:r w:rsidRPr="00EF55F2">
              <w:rPr>
                <w:rFonts w:eastAsia="Times New Roman"/>
              </w:rPr>
              <w:t>95.01</w:t>
            </w:r>
          </w:p>
        </w:tc>
        <w:tc>
          <w:tcPr>
            <w:tcW w:w="659" w:type="pct"/>
            <w:tcBorders>
              <w:top w:val="nil"/>
              <w:left w:val="nil"/>
              <w:bottom w:val="nil"/>
              <w:right w:val="single" w:sz="4" w:space="0" w:color="auto"/>
            </w:tcBorders>
            <w:shd w:val="clear" w:color="000000" w:fill="F2F2F2"/>
            <w:noWrap/>
            <w:hideMark/>
          </w:tcPr>
          <w:p w14:paraId="4C5C0F53" w14:textId="77777777" w:rsidR="00F76B72" w:rsidRPr="00EF55F2" w:rsidRDefault="00F76B72" w:rsidP="00F76B72">
            <w:pPr>
              <w:keepNext/>
              <w:spacing w:after="0" w:line="240" w:lineRule="auto"/>
              <w:jc w:val="center"/>
              <w:rPr>
                <w:rFonts w:eastAsia="Times New Roman"/>
              </w:rPr>
            </w:pPr>
            <w:r w:rsidRPr="00EF55F2">
              <w:rPr>
                <w:rFonts w:eastAsia="Times New Roman"/>
              </w:rPr>
              <w:t>15.5%</w:t>
            </w:r>
          </w:p>
        </w:tc>
        <w:tc>
          <w:tcPr>
            <w:tcW w:w="1103" w:type="pct"/>
            <w:gridSpan w:val="2"/>
            <w:tcBorders>
              <w:top w:val="nil"/>
              <w:left w:val="single" w:sz="4" w:space="0" w:color="auto"/>
              <w:bottom w:val="nil"/>
              <w:right w:val="nil"/>
            </w:tcBorders>
            <w:shd w:val="clear" w:color="000000" w:fill="F2F2F2"/>
          </w:tcPr>
          <w:p w14:paraId="02C4CAEF" w14:textId="77777777" w:rsidR="00F76B72" w:rsidRPr="00EF55F2" w:rsidRDefault="00F76B72" w:rsidP="00F76B72">
            <w:pPr>
              <w:keepNext/>
              <w:spacing w:after="0" w:line="240" w:lineRule="auto"/>
              <w:rPr>
                <w:rFonts w:eastAsia="Times New Roman"/>
              </w:rPr>
            </w:pPr>
            <w:r w:rsidRPr="00EF55F2">
              <w:rPr>
                <w:rFonts w:eastAsia="Times New Roman"/>
              </w:rPr>
              <w:t>Pennsylvania</w:t>
            </w:r>
          </w:p>
        </w:tc>
        <w:tc>
          <w:tcPr>
            <w:tcW w:w="665" w:type="pct"/>
            <w:gridSpan w:val="2"/>
            <w:tcBorders>
              <w:top w:val="nil"/>
              <w:left w:val="nil"/>
              <w:bottom w:val="nil"/>
              <w:right w:val="nil"/>
            </w:tcBorders>
            <w:shd w:val="clear" w:color="000000" w:fill="F2F2F2"/>
          </w:tcPr>
          <w:p w14:paraId="52A9D5E4" w14:textId="77777777" w:rsidR="00F76B72" w:rsidRPr="00EF55F2" w:rsidRDefault="00F76B72" w:rsidP="00F76B72">
            <w:pPr>
              <w:keepNext/>
              <w:spacing w:after="0" w:line="240" w:lineRule="auto"/>
              <w:jc w:val="center"/>
              <w:rPr>
                <w:rFonts w:eastAsia="Times New Roman"/>
              </w:rPr>
            </w:pPr>
            <w:r w:rsidRPr="00EF55F2">
              <w:rPr>
                <w:rFonts w:eastAsia="Times New Roman"/>
              </w:rPr>
              <w:t>116.62</w:t>
            </w:r>
          </w:p>
        </w:tc>
        <w:tc>
          <w:tcPr>
            <w:tcW w:w="697" w:type="pct"/>
            <w:gridSpan w:val="2"/>
            <w:tcBorders>
              <w:top w:val="nil"/>
              <w:left w:val="nil"/>
              <w:bottom w:val="nil"/>
              <w:right w:val="nil"/>
            </w:tcBorders>
            <w:shd w:val="clear" w:color="000000" w:fill="F2F2F2"/>
          </w:tcPr>
          <w:p w14:paraId="587F65F8" w14:textId="77777777" w:rsidR="00F76B72" w:rsidRPr="00EF55F2" w:rsidRDefault="00F76B72" w:rsidP="00F76B72">
            <w:pPr>
              <w:keepNext/>
              <w:spacing w:after="0" w:line="240" w:lineRule="auto"/>
              <w:jc w:val="center"/>
              <w:rPr>
                <w:rFonts w:eastAsia="Times New Roman"/>
              </w:rPr>
            </w:pPr>
            <w:r w:rsidRPr="00EF55F2">
              <w:rPr>
                <w:rFonts w:eastAsia="Times New Roman"/>
              </w:rPr>
              <w:t>12.6%</w:t>
            </w:r>
          </w:p>
        </w:tc>
      </w:tr>
      <w:tr w:rsidR="00F76B72" w:rsidRPr="00EF55F2" w14:paraId="06A4F38E" w14:textId="77777777" w:rsidTr="00F76B72">
        <w:trPr>
          <w:trHeight w:val="300"/>
        </w:trPr>
        <w:tc>
          <w:tcPr>
            <w:tcW w:w="1099" w:type="pct"/>
            <w:tcBorders>
              <w:top w:val="nil"/>
              <w:left w:val="nil"/>
              <w:bottom w:val="nil"/>
              <w:right w:val="nil"/>
            </w:tcBorders>
            <w:shd w:val="clear" w:color="000000" w:fill="F2F2F2"/>
            <w:noWrap/>
            <w:hideMark/>
          </w:tcPr>
          <w:p w14:paraId="4E0BBEFF" w14:textId="77777777" w:rsidR="00F76B72" w:rsidRPr="00EF55F2" w:rsidRDefault="00F76B72" w:rsidP="00F76B72">
            <w:pPr>
              <w:keepNext/>
              <w:spacing w:after="0" w:line="240" w:lineRule="auto"/>
              <w:rPr>
                <w:rFonts w:eastAsia="Times New Roman"/>
              </w:rPr>
            </w:pPr>
            <w:r w:rsidRPr="00EF55F2">
              <w:rPr>
                <w:rFonts w:eastAsia="Times New Roman"/>
              </w:rPr>
              <w:t>Illinois</w:t>
            </w:r>
          </w:p>
        </w:tc>
        <w:tc>
          <w:tcPr>
            <w:tcW w:w="777" w:type="pct"/>
            <w:tcBorders>
              <w:top w:val="nil"/>
              <w:left w:val="nil"/>
              <w:bottom w:val="nil"/>
              <w:right w:val="nil"/>
            </w:tcBorders>
            <w:shd w:val="clear" w:color="000000" w:fill="F2F2F2"/>
            <w:noWrap/>
            <w:hideMark/>
          </w:tcPr>
          <w:p w14:paraId="33AB0D30" w14:textId="77777777" w:rsidR="00F76B72" w:rsidRPr="00EF55F2" w:rsidRDefault="00F76B72" w:rsidP="00F76B72">
            <w:pPr>
              <w:keepNext/>
              <w:spacing w:after="0" w:line="240" w:lineRule="auto"/>
              <w:jc w:val="center"/>
              <w:rPr>
                <w:rFonts w:eastAsia="Times New Roman"/>
              </w:rPr>
            </w:pPr>
            <w:r w:rsidRPr="00EF55F2">
              <w:rPr>
                <w:rFonts w:eastAsia="Times New Roman"/>
              </w:rPr>
              <w:t>89.91</w:t>
            </w:r>
          </w:p>
        </w:tc>
        <w:tc>
          <w:tcPr>
            <w:tcW w:w="659" w:type="pct"/>
            <w:tcBorders>
              <w:top w:val="nil"/>
              <w:left w:val="nil"/>
              <w:bottom w:val="nil"/>
              <w:right w:val="single" w:sz="4" w:space="0" w:color="auto"/>
            </w:tcBorders>
            <w:shd w:val="clear" w:color="000000" w:fill="F2F2F2"/>
            <w:noWrap/>
            <w:hideMark/>
          </w:tcPr>
          <w:p w14:paraId="4425A807" w14:textId="77777777" w:rsidR="00F76B72" w:rsidRPr="00EF55F2" w:rsidRDefault="00F76B72" w:rsidP="00F76B72">
            <w:pPr>
              <w:keepNext/>
              <w:spacing w:after="0" w:line="240" w:lineRule="auto"/>
              <w:jc w:val="center"/>
              <w:rPr>
                <w:rFonts w:eastAsia="Times New Roman"/>
              </w:rPr>
            </w:pPr>
            <w:r w:rsidRPr="00EF55F2">
              <w:rPr>
                <w:rFonts w:eastAsia="Times New Roman"/>
              </w:rPr>
              <w:t>16.4%</w:t>
            </w:r>
          </w:p>
        </w:tc>
        <w:tc>
          <w:tcPr>
            <w:tcW w:w="1103" w:type="pct"/>
            <w:gridSpan w:val="2"/>
            <w:tcBorders>
              <w:top w:val="nil"/>
              <w:left w:val="single" w:sz="4" w:space="0" w:color="auto"/>
              <w:bottom w:val="nil"/>
              <w:right w:val="nil"/>
            </w:tcBorders>
            <w:shd w:val="clear" w:color="000000" w:fill="F2F2F2"/>
          </w:tcPr>
          <w:p w14:paraId="73ABFA38" w14:textId="77777777" w:rsidR="00F76B72" w:rsidRPr="00EF55F2" w:rsidRDefault="00F76B72" w:rsidP="00F76B72">
            <w:pPr>
              <w:keepNext/>
              <w:spacing w:after="0" w:line="240" w:lineRule="auto"/>
              <w:rPr>
                <w:rFonts w:eastAsia="Times New Roman"/>
              </w:rPr>
            </w:pPr>
            <w:r w:rsidRPr="00EF55F2">
              <w:rPr>
                <w:rFonts w:eastAsia="Times New Roman"/>
              </w:rPr>
              <w:t>Rhode Island</w:t>
            </w:r>
          </w:p>
        </w:tc>
        <w:tc>
          <w:tcPr>
            <w:tcW w:w="665" w:type="pct"/>
            <w:gridSpan w:val="2"/>
            <w:tcBorders>
              <w:top w:val="nil"/>
              <w:left w:val="nil"/>
              <w:bottom w:val="nil"/>
              <w:right w:val="nil"/>
            </w:tcBorders>
            <w:shd w:val="clear" w:color="000000" w:fill="F2F2F2"/>
          </w:tcPr>
          <w:p w14:paraId="27AB22D7" w14:textId="77777777" w:rsidR="00F76B72" w:rsidRPr="00EF55F2" w:rsidRDefault="00F76B72" w:rsidP="00F76B72">
            <w:pPr>
              <w:keepNext/>
              <w:spacing w:after="0" w:line="240" w:lineRule="auto"/>
              <w:jc w:val="center"/>
              <w:rPr>
                <w:rFonts w:eastAsia="Times New Roman"/>
              </w:rPr>
            </w:pPr>
            <w:r w:rsidRPr="00EF55F2">
              <w:rPr>
                <w:rFonts w:eastAsia="Times New Roman"/>
              </w:rPr>
              <w:t>114.50</w:t>
            </w:r>
          </w:p>
        </w:tc>
        <w:tc>
          <w:tcPr>
            <w:tcW w:w="697" w:type="pct"/>
            <w:gridSpan w:val="2"/>
            <w:tcBorders>
              <w:top w:val="nil"/>
              <w:left w:val="nil"/>
              <w:bottom w:val="nil"/>
              <w:right w:val="nil"/>
            </w:tcBorders>
            <w:shd w:val="clear" w:color="000000" w:fill="F2F2F2"/>
          </w:tcPr>
          <w:p w14:paraId="6B646C8B" w14:textId="77777777" w:rsidR="00F76B72" w:rsidRPr="00EF55F2" w:rsidRDefault="00F76B72" w:rsidP="00F76B72">
            <w:pPr>
              <w:keepNext/>
              <w:spacing w:after="0" w:line="240" w:lineRule="auto"/>
              <w:jc w:val="center"/>
              <w:rPr>
                <w:rFonts w:eastAsia="Times New Roman"/>
              </w:rPr>
            </w:pPr>
            <w:r w:rsidRPr="00EF55F2">
              <w:rPr>
                <w:rFonts w:eastAsia="Times New Roman"/>
              </w:rPr>
              <w:t>12.9%</w:t>
            </w:r>
          </w:p>
        </w:tc>
      </w:tr>
      <w:tr w:rsidR="00F76B72" w:rsidRPr="00EF55F2" w14:paraId="285BDF3A" w14:textId="77777777" w:rsidTr="00F76B72">
        <w:trPr>
          <w:trHeight w:val="300"/>
        </w:trPr>
        <w:tc>
          <w:tcPr>
            <w:tcW w:w="1099" w:type="pct"/>
            <w:tcBorders>
              <w:top w:val="nil"/>
              <w:left w:val="nil"/>
              <w:bottom w:val="nil"/>
              <w:right w:val="nil"/>
            </w:tcBorders>
            <w:shd w:val="clear" w:color="000000" w:fill="F2F2F2"/>
            <w:noWrap/>
            <w:hideMark/>
          </w:tcPr>
          <w:p w14:paraId="01204729" w14:textId="77777777" w:rsidR="00F76B72" w:rsidRPr="00EF55F2" w:rsidRDefault="00F76B72" w:rsidP="00F76B72">
            <w:pPr>
              <w:keepNext/>
              <w:spacing w:after="0" w:line="240" w:lineRule="auto"/>
              <w:rPr>
                <w:rFonts w:eastAsia="Times New Roman"/>
              </w:rPr>
            </w:pPr>
            <w:r w:rsidRPr="00EF55F2">
              <w:rPr>
                <w:rFonts w:eastAsia="Times New Roman"/>
              </w:rPr>
              <w:t>Indiana</w:t>
            </w:r>
          </w:p>
        </w:tc>
        <w:tc>
          <w:tcPr>
            <w:tcW w:w="777" w:type="pct"/>
            <w:tcBorders>
              <w:top w:val="nil"/>
              <w:left w:val="nil"/>
              <w:bottom w:val="nil"/>
              <w:right w:val="nil"/>
            </w:tcBorders>
            <w:shd w:val="clear" w:color="000000" w:fill="F2F2F2"/>
            <w:noWrap/>
            <w:hideMark/>
          </w:tcPr>
          <w:p w14:paraId="4E56A8B1" w14:textId="77777777" w:rsidR="00F76B72" w:rsidRPr="00EF55F2" w:rsidRDefault="00F76B72" w:rsidP="00F76B72">
            <w:pPr>
              <w:keepNext/>
              <w:spacing w:after="0" w:line="240" w:lineRule="auto"/>
              <w:jc w:val="center"/>
              <w:rPr>
                <w:rFonts w:eastAsia="Times New Roman"/>
              </w:rPr>
            </w:pPr>
            <w:r w:rsidRPr="00EF55F2">
              <w:rPr>
                <w:rFonts w:eastAsia="Times New Roman"/>
              </w:rPr>
              <w:t>111.51</w:t>
            </w:r>
          </w:p>
        </w:tc>
        <w:tc>
          <w:tcPr>
            <w:tcW w:w="659" w:type="pct"/>
            <w:tcBorders>
              <w:top w:val="nil"/>
              <w:left w:val="nil"/>
              <w:bottom w:val="nil"/>
              <w:right w:val="single" w:sz="4" w:space="0" w:color="auto"/>
            </w:tcBorders>
            <w:shd w:val="clear" w:color="000000" w:fill="F2F2F2"/>
            <w:noWrap/>
            <w:hideMark/>
          </w:tcPr>
          <w:p w14:paraId="6D925C00" w14:textId="77777777" w:rsidR="00F76B72" w:rsidRPr="00EF55F2" w:rsidRDefault="00F76B72" w:rsidP="00F76B72">
            <w:pPr>
              <w:keepNext/>
              <w:spacing w:after="0" w:line="240" w:lineRule="auto"/>
              <w:jc w:val="center"/>
              <w:rPr>
                <w:rFonts w:eastAsia="Times New Roman"/>
              </w:rPr>
            </w:pPr>
            <w:r w:rsidRPr="00EF55F2">
              <w:rPr>
                <w:rFonts w:eastAsia="Times New Roman"/>
              </w:rPr>
              <w:t>13.2%</w:t>
            </w:r>
          </w:p>
        </w:tc>
        <w:tc>
          <w:tcPr>
            <w:tcW w:w="1103" w:type="pct"/>
            <w:gridSpan w:val="2"/>
            <w:tcBorders>
              <w:top w:val="nil"/>
              <w:left w:val="single" w:sz="4" w:space="0" w:color="auto"/>
              <w:bottom w:val="nil"/>
              <w:right w:val="nil"/>
            </w:tcBorders>
            <w:shd w:val="clear" w:color="000000" w:fill="F2F2F2"/>
          </w:tcPr>
          <w:p w14:paraId="22E05F2B" w14:textId="77777777" w:rsidR="00F76B72" w:rsidRPr="00EF55F2" w:rsidRDefault="00F76B72" w:rsidP="00F76B72">
            <w:pPr>
              <w:keepNext/>
              <w:spacing w:after="0" w:line="240" w:lineRule="auto"/>
              <w:rPr>
                <w:rFonts w:eastAsia="Times New Roman"/>
              </w:rPr>
            </w:pPr>
            <w:r w:rsidRPr="00EF55F2">
              <w:rPr>
                <w:rFonts w:eastAsia="Times New Roman"/>
              </w:rPr>
              <w:t>South Carolina</w:t>
            </w:r>
          </w:p>
        </w:tc>
        <w:tc>
          <w:tcPr>
            <w:tcW w:w="665" w:type="pct"/>
            <w:gridSpan w:val="2"/>
            <w:tcBorders>
              <w:top w:val="nil"/>
              <w:left w:val="nil"/>
              <w:bottom w:val="nil"/>
              <w:right w:val="nil"/>
            </w:tcBorders>
            <w:shd w:val="clear" w:color="000000" w:fill="F2F2F2"/>
          </w:tcPr>
          <w:p w14:paraId="14AFAF25" w14:textId="77777777" w:rsidR="00F76B72" w:rsidRPr="00EF55F2" w:rsidRDefault="00F76B72" w:rsidP="00F76B72">
            <w:pPr>
              <w:keepNext/>
              <w:spacing w:after="0" w:line="240" w:lineRule="auto"/>
              <w:jc w:val="center"/>
              <w:rPr>
                <w:rFonts w:eastAsia="Times New Roman"/>
              </w:rPr>
            </w:pPr>
            <w:r w:rsidRPr="00EF55F2">
              <w:rPr>
                <w:rFonts w:eastAsia="Times New Roman"/>
              </w:rPr>
              <w:t>144.04</w:t>
            </w:r>
          </w:p>
        </w:tc>
        <w:tc>
          <w:tcPr>
            <w:tcW w:w="697" w:type="pct"/>
            <w:gridSpan w:val="2"/>
            <w:tcBorders>
              <w:top w:val="nil"/>
              <w:left w:val="nil"/>
              <w:bottom w:val="nil"/>
              <w:right w:val="nil"/>
            </w:tcBorders>
            <w:shd w:val="clear" w:color="000000" w:fill="F2F2F2"/>
          </w:tcPr>
          <w:p w14:paraId="32DECC99" w14:textId="77777777" w:rsidR="00F76B72" w:rsidRPr="00EF55F2" w:rsidRDefault="00F76B72" w:rsidP="00F76B72">
            <w:pPr>
              <w:keepNext/>
              <w:spacing w:after="0" w:line="240" w:lineRule="auto"/>
              <w:jc w:val="center"/>
              <w:rPr>
                <w:rFonts w:eastAsia="Times New Roman"/>
              </w:rPr>
            </w:pPr>
            <w:r w:rsidRPr="00EF55F2">
              <w:rPr>
                <w:rFonts w:eastAsia="Times New Roman"/>
              </w:rPr>
              <w:t>10.2%</w:t>
            </w:r>
          </w:p>
        </w:tc>
      </w:tr>
      <w:tr w:rsidR="00F76B72" w:rsidRPr="00EF55F2" w14:paraId="1B3A5593" w14:textId="77777777" w:rsidTr="00F76B72">
        <w:trPr>
          <w:trHeight w:val="300"/>
        </w:trPr>
        <w:tc>
          <w:tcPr>
            <w:tcW w:w="1099" w:type="pct"/>
            <w:tcBorders>
              <w:top w:val="nil"/>
              <w:left w:val="nil"/>
              <w:bottom w:val="nil"/>
              <w:right w:val="nil"/>
            </w:tcBorders>
            <w:shd w:val="clear" w:color="000000" w:fill="F2F2F2"/>
            <w:noWrap/>
            <w:hideMark/>
          </w:tcPr>
          <w:p w14:paraId="678F7F25" w14:textId="77777777" w:rsidR="00F76B72" w:rsidRPr="00EF55F2" w:rsidRDefault="00F76B72" w:rsidP="00F76B72">
            <w:pPr>
              <w:keepNext/>
              <w:spacing w:after="0" w:line="240" w:lineRule="auto"/>
              <w:rPr>
                <w:rFonts w:eastAsia="Times New Roman"/>
              </w:rPr>
            </w:pPr>
            <w:r w:rsidRPr="00EF55F2">
              <w:rPr>
                <w:rFonts w:eastAsia="Times New Roman"/>
              </w:rPr>
              <w:t>Iowa</w:t>
            </w:r>
          </w:p>
        </w:tc>
        <w:tc>
          <w:tcPr>
            <w:tcW w:w="777" w:type="pct"/>
            <w:tcBorders>
              <w:top w:val="nil"/>
              <w:left w:val="nil"/>
              <w:bottom w:val="nil"/>
              <w:right w:val="nil"/>
            </w:tcBorders>
            <w:shd w:val="clear" w:color="000000" w:fill="F2F2F2"/>
            <w:noWrap/>
            <w:hideMark/>
          </w:tcPr>
          <w:p w14:paraId="070DAECC" w14:textId="77777777" w:rsidR="00F76B72" w:rsidRPr="00EF55F2" w:rsidRDefault="00F76B72" w:rsidP="00F76B72">
            <w:pPr>
              <w:keepNext/>
              <w:spacing w:after="0" w:line="240" w:lineRule="auto"/>
              <w:jc w:val="center"/>
              <w:rPr>
                <w:rFonts w:eastAsia="Times New Roman"/>
              </w:rPr>
            </w:pPr>
            <w:r w:rsidRPr="00EF55F2">
              <w:rPr>
                <w:rFonts w:eastAsia="Times New Roman"/>
              </w:rPr>
              <w:t>98.53</w:t>
            </w:r>
          </w:p>
        </w:tc>
        <w:tc>
          <w:tcPr>
            <w:tcW w:w="659" w:type="pct"/>
            <w:tcBorders>
              <w:top w:val="nil"/>
              <w:left w:val="nil"/>
              <w:bottom w:val="nil"/>
              <w:right w:val="single" w:sz="4" w:space="0" w:color="auto"/>
            </w:tcBorders>
            <w:shd w:val="clear" w:color="000000" w:fill="F2F2F2"/>
            <w:noWrap/>
            <w:hideMark/>
          </w:tcPr>
          <w:p w14:paraId="32F7815B" w14:textId="77777777" w:rsidR="00F76B72" w:rsidRPr="00EF55F2" w:rsidRDefault="00F76B72" w:rsidP="00F76B72">
            <w:pPr>
              <w:keepNext/>
              <w:spacing w:after="0" w:line="240" w:lineRule="auto"/>
              <w:jc w:val="center"/>
              <w:rPr>
                <w:rFonts w:eastAsia="Times New Roman"/>
              </w:rPr>
            </w:pPr>
            <w:r w:rsidRPr="00EF55F2">
              <w:rPr>
                <w:rFonts w:eastAsia="Times New Roman"/>
              </w:rPr>
              <w:t>15.0%</w:t>
            </w:r>
          </w:p>
        </w:tc>
        <w:tc>
          <w:tcPr>
            <w:tcW w:w="1103" w:type="pct"/>
            <w:gridSpan w:val="2"/>
            <w:tcBorders>
              <w:top w:val="nil"/>
              <w:left w:val="single" w:sz="4" w:space="0" w:color="auto"/>
              <w:bottom w:val="nil"/>
              <w:right w:val="nil"/>
            </w:tcBorders>
            <w:shd w:val="clear" w:color="000000" w:fill="F2F2F2"/>
          </w:tcPr>
          <w:p w14:paraId="5C2A5134" w14:textId="77777777" w:rsidR="00F76B72" w:rsidRPr="00EF55F2" w:rsidRDefault="00F76B72" w:rsidP="00F76B72">
            <w:pPr>
              <w:keepNext/>
              <w:spacing w:after="0" w:line="240" w:lineRule="auto"/>
              <w:rPr>
                <w:rFonts w:eastAsia="Times New Roman"/>
              </w:rPr>
            </w:pPr>
            <w:r w:rsidRPr="00EF55F2">
              <w:rPr>
                <w:rFonts w:eastAsia="Times New Roman"/>
              </w:rPr>
              <w:t>South Dakota</w:t>
            </w:r>
          </w:p>
        </w:tc>
        <w:tc>
          <w:tcPr>
            <w:tcW w:w="665" w:type="pct"/>
            <w:gridSpan w:val="2"/>
            <w:tcBorders>
              <w:top w:val="nil"/>
              <w:left w:val="nil"/>
              <w:bottom w:val="nil"/>
              <w:right w:val="nil"/>
            </w:tcBorders>
            <w:shd w:val="clear" w:color="000000" w:fill="F2F2F2"/>
          </w:tcPr>
          <w:p w14:paraId="5E7A2D3A" w14:textId="77777777" w:rsidR="00F76B72" w:rsidRPr="00EF55F2" w:rsidRDefault="00F76B72" w:rsidP="00F76B72">
            <w:pPr>
              <w:keepNext/>
              <w:spacing w:after="0" w:line="240" w:lineRule="auto"/>
              <w:jc w:val="center"/>
              <w:rPr>
                <w:rFonts w:eastAsia="Times New Roman"/>
              </w:rPr>
            </w:pPr>
            <w:r w:rsidRPr="00EF55F2">
              <w:rPr>
                <w:rFonts w:eastAsia="Times New Roman"/>
              </w:rPr>
              <w:t>108.68</w:t>
            </w:r>
          </w:p>
        </w:tc>
        <w:tc>
          <w:tcPr>
            <w:tcW w:w="697" w:type="pct"/>
            <w:gridSpan w:val="2"/>
            <w:tcBorders>
              <w:top w:val="nil"/>
              <w:left w:val="nil"/>
              <w:bottom w:val="nil"/>
              <w:right w:val="nil"/>
            </w:tcBorders>
            <w:shd w:val="clear" w:color="000000" w:fill="F2F2F2"/>
          </w:tcPr>
          <w:p w14:paraId="1025F525" w14:textId="77777777" w:rsidR="00F76B72" w:rsidRPr="00EF55F2" w:rsidRDefault="00F76B72" w:rsidP="00F76B72">
            <w:pPr>
              <w:keepNext/>
              <w:spacing w:after="0" w:line="240" w:lineRule="auto"/>
              <w:jc w:val="center"/>
              <w:rPr>
                <w:rFonts w:eastAsia="Times New Roman"/>
              </w:rPr>
            </w:pPr>
            <w:r w:rsidRPr="00EF55F2">
              <w:rPr>
                <w:rFonts w:eastAsia="Times New Roman"/>
              </w:rPr>
              <w:t>13.6%</w:t>
            </w:r>
          </w:p>
        </w:tc>
      </w:tr>
      <w:tr w:rsidR="00F76B72" w:rsidRPr="00EF55F2" w14:paraId="67EF77A9" w14:textId="77777777" w:rsidTr="00F76B72">
        <w:trPr>
          <w:trHeight w:val="300"/>
        </w:trPr>
        <w:tc>
          <w:tcPr>
            <w:tcW w:w="1099" w:type="pct"/>
            <w:tcBorders>
              <w:top w:val="nil"/>
              <w:left w:val="nil"/>
              <w:bottom w:val="nil"/>
              <w:right w:val="nil"/>
            </w:tcBorders>
            <w:shd w:val="clear" w:color="000000" w:fill="F2F2F2"/>
            <w:noWrap/>
            <w:hideMark/>
          </w:tcPr>
          <w:p w14:paraId="27F1A6AB" w14:textId="77777777" w:rsidR="00F76B72" w:rsidRPr="00EF55F2" w:rsidRDefault="00F76B72" w:rsidP="00F76B72">
            <w:pPr>
              <w:keepNext/>
              <w:spacing w:after="0" w:line="240" w:lineRule="auto"/>
              <w:rPr>
                <w:rFonts w:eastAsia="Times New Roman"/>
              </w:rPr>
            </w:pPr>
            <w:r w:rsidRPr="00EF55F2">
              <w:rPr>
                <w:rFonts w:eastAsia="Times New Roman"/>
              </w:rPr>
              <w:t>Kansas</w:t>
            </w:r>
          </w:p>
        </w:tc>
        <w:tc>
          <w:tcPr>
            <w:tcW w:w="777" w:type="pct"/>
            <w:tcBorders>
              <w:top w:val="nil"/>
              <w:left w:val="nil"/>
              <w:bottom w:val="nil"/>
              <w:right w:val="nil"/>
            </w:tcBorders>
            <w:shd w:val="clear" w:color="000000" w:fill="F2F2F2"/>
            <w:noWrap/>
            <w:hideMark/>
          </w:tcPr>
          <w:p w14:paraId="7C93C5C9" w14:textId="77777777" w:rsidR="00F76B72" w:rsidRPr="00EF55F2" w:rsidRDefault="00F76B72" w:rsidP="00F76B72">
            <w:pPr>
              <w:keepNext/>
              <w:spacing w:after="0" w:line="240" w:lineRule="auto"/>
              <w:jc w:val="center"/>
              <w:rPr>
                <w:rFonts w:eastAsia="Times New Roman"/>
              </w:rPr>
            </w:pPr>
            <w:r w:rsidRPr="00EF55F2">
              <w:rPr>
                <w:rFonts w:eastAsia="Times New Roman"/>
              </w:rPr>
              <w:t>110.58</w:t>
            </w:r>
          </w:p>
        </w:tc>
        <w:tc>
          <w:tcPr>
            <w:tcW w:w="659" w:type="pct"/>
            <w:tcBorders>
              <w:top w:val="nil"/>
              <w:left w:val="nil"/>
              <w:bottom w:val="nil"/>
              <w:right w:val="single" w:sz="4" w:space="0" w:color="auto"/>
            </w:tcBorders>
            <w:shd w:val="clear" w:color="000000" w:fill="F2F2F2"/>
            <w:noWrap/>
            <w:hideMark/>
          </w:tcPr>
          <w:p w14:paraId="4C179DCA" w14:textId="77777777" w:rsidR="00F76B72" w:rsidRPr="00EF55F2" w:rsidRDefault="00F76B72" w:rsidP="00F76B72">
            <w:pPr>
              <w:keepNext/>
              <w:spacing w:after="0" w:line="240" w:lineRule="auto"/>
              <w:jc w:val="center"/>
              <w:rPr>
                <w:rFonts w:eastAsia="Times New Roman"/>
              </w:rPr>
            </w:pPr>
            <w:r w:rsidRPr="00EF55F2">
              <w:rPr>
                <w:rFonts w:eastAsia="Times New Roman"/>
              </w:rPr>
              <w:t>13.3%</w:t>
            </w:r>
          </w:p>
        </w:tc>
        <w:tc>
          <w:tcPr>
            <w:tcW w:w="1103" w:type="pct"/>
            <w:gridSpan w:val="2"/>
            <w:tcBorders>
              <w:top w:val="nil"/>
              <w:left w:val="single" w:sz="4" w:space="0" w:color="auto"/>
              <w:bottom w:val="nil"/>
              <w:right w:val="nil"/>
            </w:tcBorders>
            <w:shd w:val="clear" w:color="000000" w:fill="F2F2F2"/>
          </w:tcPr>
          <w:p w14:paraId="410D2C45" w14:textId="77777777" w:rsidR="00F76B72" w:rsidRPr="00EF55F2" w:rsidRDefault="00F76B72" w:rsidP="00F76B72">
            <w:pPr>
              <w:keepNext/>
              <w:spacing w:after="0" w:line="240" w:lineRule="auto"/>
              <w:rPr>
                <w:rFonts w:eastAsia="Times New Roman"/>
              </w:rPr>
            </w:pPr>
            <w:r w:rsidRPr="00EF55F2">
              <w:rPr>
                <w:rFonts w:eastAsia="Times New Roman"/>
              </w:rPr>
              <w:t>Tennessee</w:t>
            </w:r>
          </w:p>
        </w:tc>
        <w:tc>
          <w:tcPr>
            <w:tcW w:w="665" w:type="pct"/>
            <w:gridSpan w:val="2"/>
            <w:tcBorders>
              <w:top w:val="nil"/>
              <w:left w:val="nil"/>
              <w:bottom w:val="nil"/>
              <w:right w:val="nil"/>
            </w:tcBorders>
            <w:shd w:val="clear" w:color="000000" w:fill="F2F2F2"/>
          </w:tcPr>
          <w:p w14:paraId="31681D66" w14:textId="77777777" w:rsidR="00F76B72" w:rsidRPr="00EF55F2" w:rsidRDefault="00F76B72" w:rsidP="00F76B72">
            <w:pPr>
              <w:keepNext/>
              <w:spacing w:after="0" w:line="240" w:lineRule="auto"/>
              <w:jc w:val="center"/>
              <w:rPr>
                <w:rFonts w:eastAsia="Times New Roman"/>
              </w:rPr>
            </w:pPr>
            <w:r w:rsidRPr="00EF55F2">
              <w:rPr>
                <w:rFonts w:eastAsia="Times New Roman"/>
              </w:rPr>
              <w:t>128.51</w:t>
            </w:r>
          </w:p>
        </w:tc>
        <w:tc>
          <w:tcPr>
            <w:tcW w:w="697" w:type="pct"/>
            <w:gridSpan w:val="2"/>
            <w:tcBorders>
              <w:top w:val="nil"/>
              <w:left w:val="nil"/>
              <w:bottom w:val="nil"/>
              <w:right w:val="nil"/>
            </w:tcBorders>
            <w:shd w:val="clear" w:color="000000" w:fill="F2F2F2"/>
          </w:tcPr>
          <w:p w14:paraId="023C8CBA" w14:textId="77777777" w:rsidR="00F76B72" w:rsidRPr="00EF55F2" w:rsidRDefault="00F76B72" w:rsidP="00F76B72">
            <w:pPr>
              <w:keepNext/>
              <w:spacing w:after="0" w:line="240" w:lineRule="auto"/>
              <w:jc w:val="center"/>
              <w:rPr>
                <w:rFonts w:eastAsia="Times New Roman"/>
              </w:rPr>
            </w:pPr>
            <w:r w:rsidRPr="00EF55F2">
              <w:rPr>
                <w:rFonts w:eastAsia="Times New Roman"/>
              </w:rPr>
              <w:t>11.5%</w:t>
            </w:r>
          </w:p>
        </w:tc>
      </w:tr>
      <w:tr w:rsidR="00F76B72" w:rsidRPr="00EF55F2" w14:paraId="43F86045" w14:textId="77777777" w:rsidTr="00F76B72">
        <w:trPr>
          <w:trHeight w:val="300"/>
        </w:trPr>
        <w:tc>
          <w:tcPr>
            <w:tcW w:w="1099" w:type="pct"/>
            <w:tcBorders>
              <w:top w:val="nil"/>
              <w:left w:val="nil"/>
              <w:bottom w:val="nil"/>
              <w:right w:val="nil"/>
            </w:tcBorders>
            <w:shd w:val="clear" w:color="000000" w:fill="F2F2F2"/>
            <w:noWrap/>
            <w:hideMark/>
          </w:tcPr>
          <w:p w14:paraId="68CE8229" w14:textId="77777777" w:rsidR="00F76B72" w:rsidRPr="00EF55F2" w:rsidRDefault="00F76B72" w:rsidP="00F76B72">
            <w:pPr>
              <w:keepNext/>
              <w:spacing w:after="0" w:line="240" w:lineRule="auto"/>
              <w:rPr>
                <w:rFonts w:eastAsia="Times New Roman"/>
              </w:rPr>
            </w:pPr>
            <w:r w:rsidRPr="00EF55F2">
              <w:rPr>
                <w:rFonts w:eastAsia="Times New Roman"/>
              </w:rPr>
              <w:t>Kentucky</w:t>
            </w:r>
          </w:p>
        </w:tc>
        <w:tc>
          <w:tcPr>
            <w:tcW w:w="777" w:type="pct"/>
            <w:tcBorders>
              <w:top w:val="nil"/>
              <w:left w:val="nil"/>
              <w:bottom w:val="nil"/>
              <w:right w:val="nil"/>
            </w:tcBorders>
            <w:shd w:val="clear" w:color="000000" w:fill="F2F2F2"/>
            <w:noWrap/>
            <w:hideMark/>
          </w:tcPr>
          <w:p w14:paraId="556441B9" w14:textId="77777777" w:rsidR="00F76B72" w:rsidRPr="00EF55F2" w:rsidRDefault="00F76B72" w:rsidP="00F76B72">
            <w:pPr>
              <w:keepNext/>
              <w:spacing w:after="0" w:line="240" w:lineRule="auto"/>
              <w:jc w:val="center"/>
              <w:rPr>
                <w:rFonts w:eastAsia="Times New Roman"/>
              </w:rPr>
            </w:pPr>
            <w:r w:rsidRPr="00EF55F2">
              <w:rPr>
                <w:rFonts w:eastAsia="Times New Roman"/>
              </w:rPr>
              <w:t>114.72</w:t>
            </w:r>
          </w:p>
        </w:tc>
        <w:tc>
          <w:tcPr>
            <w:tcW w:w="659" w:type="pct"/>
            <w:tcBorders>
              <w:top w:val="nil"/>
              <w:left w:val="nil"/>
              <w:bottom w:val="nil"/>
              <w:right w:val="single" w:sz="4" w:space="0" w:color="auto"/>
            </w:tcBorders>
            <w:shd w:val="clear" w:color="000000" w:fill="F2F2F2"/>
            <w:noWrap/>
            <w:hideMark/>
          </w:tcPr>
          <w:p w14:paraId="023A4674" w14:textId="77777777" w:rsidR="00F76B72" w:rsidRPr="00EF55F2" w:rsidRDefault="00F76B72" w:rsidP="00F76B72">
            <w:pPr>
              <w:keepNext/>
              <w:spacing w:after="0" w:line="240" w:lineRule="auto"/>
              <w:jc w:val="center"/>
              <w:rPr>
                <w:rFonts w:eastAsia="Times New Roman"/>
              </w:rPr>
            </w:pPr>
            <w:r w:rsidRPr="00EF55F2">
              <w:rPr>
                <w:rFonts w:eastAsia="Times New Roman"/>
              </w:rPr>
              <w:t>12.9%</w:t>
            </w:r>
          </w:p>
        </w:tc>
        <w:tc>
          <w:tcPr>
            <w:tcW w:w="1103" w:type="pct"/>
            <w:gridSpan w:val="2"/>
            <w:tcBorders>
              <w:top w:val="nil"/>
              <w:left w:val="single" w:sz="4" w:space="0" w:color="auto"/>
              <w:bottom w:val="nil"/>
              <w:right w:val="nil"/>
            </w:tcBorders>
            <w:shd w:val="clear" w:color="000000" w:fill="F2F2F2"/>
          </w:tcPr>
          <w:p w14:paraId="10AD875E" w14:textId="77777777" w:rsidR="00F76B72" w:rsidRPr="00EF55F2" w:rsidRDefault="00F76B72" w:rsidP="00F76B72">
            <w:pPr>
              <w:keepNext/>
              <w:spacing w:after="0" w:line="240" w:lineRule="auto"/>
              <w:rPr>
                <w:rFonts w:eastAsia="Times New Roman"/>
              </w:rPr>
            </w:pPr>
            <w:r w:rsidRPr="00EF55F2">
              <w:rPr>
                <w:rFonts w:eastAsia="Times New Roman"/>
              </w:rPr>
              <w:t>Texas</w:t>
            </w:r>
          </w:p>
        </w:tc>
        <w:tc>
          <w:tcPr>
            <w:tcW w:w="665" w:type="pct"/>
            <w:gridSpan w:val="2"/>
            <w:tcBorders>
              <w:top w:val="nil"/>
              <w:left w:val="nil"/>
              <w:bottom w:val="nil"/>
              <w:right w:val="nil"/>
            </w:tcBorders>
            <w:shd w:val="clear" w:color="000000" w:fill="F2F2F2"/>
          </w:tcPr>
          <w:p w14:paraId="6C2ECF9B" w14:textId="77777777" w:rsidR="00F76B72" w:rsidRPr="00EF55F2" w:rsidRDefault="00F76B72" w:rsidP="00F76B72">
            <w:pPr>
              <w:keepNext/>
              <w:spacing w:after="0" w:line="240" w:lineRule="auto"/>
              <w:jc w:val="center"/>
              <w:rPr>
                <w:rFonts w:eastAsia="Times New Roman"/>
              </w:rPr>
            </w:pPr>
            <w:r w:rsidRPr="00EF55F2">
              <w:rPr>
                <w:rFonts w:eastAsia="Times New Roman"/>
              </w:rPr>
              <w:t>136.00</w:t>
            </w:r>
          </w:p>
        </w:tc>
        <w:tc>
          <w:tcPr>
            <w:tcW w:w="697" w:type="pct"/>
            <w:gridSpan w:val="2"/>
            <w:tcBorders>
              <w:top w:val="nil"/>
              <w:left w:val="nil"/>
              <w:bottom w:val="nil"/>
              <w:right w:val="nil"/>
            </w:tcBorders>
            <w:shd w:val="clear" w:color="000000" w:fill="F2F2F2"/>
          </w:tcPr>
          <w:p w14:paraId="5ADF4F77" w14:textId="77777777" w:rsidR="00F76B72" w:rsidRPr="00EF55F2" w:rsidRDefault="00F76B72" w:rsidP="00F76B72">
            <w:pPr>
              <w:keepNext/>
              <w:spacing w:after="0" w:line="240" w:lineRule="auto"/>
              <w:jc w:val="center"/>
              <w:rPr>
                <w:rFonts w:eastAsia="Times New Roman"/>
              </w:rPr>
            </w:pPr>
            <w:r w:rsidRPr="00EF55F2">
              <w:rPr>
                <w:rFonts w:eastAsia="Times New Roman"/>
              </w:rPr>
              <w:t>10.8%</w:t>
            </w:r>
          </w:p>
        </w:tc>
      </w:tr>
      <w:tr w:rsidR="00F76B72" w:rsidRPr="00EF55F2" w14:paraId="751B90BA" w14:textId="77777777" w:rsidTr="00F76B72">
        <w:trPr>
          <w:trHeight w:val="300"/>
        </w:trPr>
        <w:tc>
          <w:tcPr>
            <w:tcW w:w="1099" w:type="pct"/>
            <w:tcBorders>
              <w:top w:val="nil"/>
              <w:left w:val="nil"/>
              <w:bottom w:val="nil"/>
              <w:right w:val="nil"/>
            </w:tcBorders>
            <w:shd w:val="clear" w:color="000000" w:fill="F2F2F2"/>
            <w:noWrap/>
            <w:hideMark/>
          </w:tcPr>
          <w:p w14:paraId="2A922151" w14:textId="77777777" w:rsidR="00F76B72" w:rsidRPr="00EF55F2" w:rsidRDefault="00F76B72" w:rsidP="00F76B72">
            <w:pPr>
              <w:keepNext/>
              <w:spacing w:after="0" w:line="240" w:lineRule="auto"/>
              <w:rPr>
                <w:rFonts w:eastAsia="Times New Roman"/>
              </w:rPr>
            </w:pPr>
            <w:r w:rsidRPr="00EF55F2">
              <w:rPr>
                <w:rFonts w:eastAsia="Times New Roman"/>
              </w:rPr>
              <w:t>Louisiana</w:t>
            </w:r>
          </w:p>
        </w:tc>
        <w:tc>
          <w:tcPr>
            <w:tcW w:w="777" w:type="pct"/>
            <w:tcBorders>
              <w:top w:val="nil"/>
              <w:left w:val="nil"/>
              <w:bottom w:val="nil"/>
              <w:right w:val="nil"/>
            </w:tcBorders>
            <w:shd w:val="clear" w:color="000000" w:fill="F2F2F2"/>
            <w:noWrap/>
            <w:hideMark/>
          </w:tcPr>
          <w:p w14:paraId="4314E9A2" w14:textId="77777777" w:rsidR="00F76B72" w:rsidRPr="00EF55F2" w:rsidRDefault="00F76B72" w:rsidP="00F76B72">
            <w:pPr>
              <w:keepNext/>
              <w:spacing w:after="0" w:line="240" w:lineRule="auto"/>
              <w:jc w:val="center"/>
              <w:rPr>
                <w:rFonts w:eastAsia="Times New Roman"/>
              </w:rPr>
            </w:pPr>
            <w:r w:rsidRPr="00EF55F2">
              <w:rPr>
                <w:rFonts w:eastAsia="Times New Roman"/>
              </w:rPr>
              <w:t>120.02</w:t>
            </w:r>
          </w:p>
        </w:tc>
        <w:tc>
          <w:tcPr>
            <w:tcW w:w="659" w:type="pct"/>
            <w:tcBorders>
              <w:top w:val="nil"/>
              <w:left w:val="nil"/>
              <w:bottom w:val="nil"/>
              <w:right w:val="single" w:sz="4" w:space="0" w:color="auto"/>
            </w:tcBorders>
            <w:shd w:val="clear" w:color="000000" w:fill="F2F2F2"/>
            <w:noWrap/>
            <w:hideMark/>
          </w:tcPr>
          <w:p w14:paraId="1453B117" w14:textId="77777777" w:rsidR="00F76B72" w:rsidRPr="00EF55F2" w:rsidRDefault="00F76B72" w:rsidP="00F76B72">
            <w:pPr>
              <w:keepNext/>
              <w:spacing w:after="0" w:line="240" w:lineRule="auto"/>
              <w:jc w:val="center"/>
              <w:rPr>
                <w:rFonts w:eastAsia="Times New Roman"/>
              </w:rPr>
            </w:pPr>
            <w:r w:rsidRPr="00EF55F2">
              <w:rPr>
                <w:rFonts w:eastAsia="Times New Roman"/>
              </w:rPr>
              <w:t>12.3%</w:t>
            </w:r>
          </w:p>
        </w:tc>
        <w:tc>
          <w:tcPr>
            <w:tcW w:w="1103" w:type="pct"/>
            <w:gridSpan w:val="2"/>
            <w:tcBorders>
              <w:top w:val="nil"/>
              <w:left w:val="single" w:sz="4" w:space="0" w:color="auto"/>
              <w:bottom w:val="nil"/>
              <w:right w:val="nil"/>
            </w:tcBorders>
            <w:shd w:val="clear" w:color="000000" w:fill="F2F2F2"/>
          </w:tcPr>
          <w:p w14:paraId="69BD6C89" w14:textId="77777777" w:rsidR="00F76B72" w:rsidRPr="00EF55F2" w:rsidRDefault="00F76B72" w:rsidP="00F76B72">
            <w:pPr>
              <w:keepNext/>
              <w:spacing w:after="0" w:line="240" w:lineRule="auto"/>
              <w:rPr>
                <w:rFonts w:eastAsia="Times New Roman"/>
              </w:rPr>
            </w:pPr>
            <w:r w:rsidRPr="00EF55F2">
              <w:rPr>
                <w:rFonts w:eastAsia="Times New Roman"/>
              </w:rPr>
              <w:t>Utah</w:t>
            </w:r>
          </w:p>
        </w:tc>
        <w:tc>
          <w:tcPr>
            <w:tcW w:w="665" w:type="pct"/>
            <w:gridSpan w:val="2"/>
            <w:tcBorders>
              <w:top w:val="nil"/>
              <w:left w:val="nil"/>
              <w:bottom w:val="nil"/>
              <w:right w:val="nil"/>
            </w:tcBorders>
            <w:shd w:val="clear" w:color="000000" w:fill="F2F2F2"/>
          </w:tcPr>
          <w:p w14:paraId="22F9B1EB" w14:textId="77777777" w:rsidR="00F76B72" w:rsidRPr="00EF55F2" w:rsidRDefault="00F76B72" w:rsidP="00F76B72">
            <w:pPr>
              <w:keepNext/>
              <w:spacing w:after="0" w:line="240" w:lineRule="auto"/>
              <w:jc w:val="center"/>
              <w:rPr>
                <w:rFonts w:eastAsia="Times New Roman"/>
              </w:rPr>
            </w:pPr>
            <w:r w:rsidRPr="00EF55F2">
              <w:rPr>
                <w:rFonts w:eastAsia="Times New Roman"/>
              </w:rPr>
              <w:t>80.92</w:t>
            </w:r>
          </w:p>
        </w:tc>
        <w:tc>
          <w:tcPr>
            <w:tcW w:w="697" w:type="pct"/>
            <w:gridSpan w:val="2"/>
            <w:tcBorders>
              <w:top w:val="nil"/>
              <w:left w:val="nil"/>
              <w:bottom w:val="nil"/>
              <w:right w:val="nil"/>
            </w:tcBorders>
            <w:shd w:val="clear" w:color="000000" w:fill="F2F2F2"/>
          </w:tcPr>
          <w:p w14:paraId="602B384B" w14:textId="77777777" w:rsidR="00F76B72" w:rsidRPr="00EF55F2" w:rsidRDefault="00F76B72" w:rsidP="00F76B72">
            <w:pPr>
              <w:keepNext/>
              <w:spacing w:after="0" w:line="240" w:lineRule="auto"/>
              <w:jc w:val="center"/>
              <w:rPr>
                <w:rFonts w:eastAsia="Times New Roman"/>
              </w:rPr>
            </w:pPr>
            <w:r w:rsidRPr="00EF55F2">
              <w:rPr>
                <w:rFonts w:eastAsia="Times New Roman"/>
              </w:rPr>
              <w:t>18.2%</w:t>
            </w:r>
          </w:p>
        </w:tc>
      </w:tr>
      <w:tr w:rsidR="00F76B72" w:rsidRPr="00EF55F2" w14:paraId="5AA30B7B" w14:textId="77777777" w:rsidTr="00F76B72">
        <w:trPr>
          <w:trHeight w:val="300"/>
        </w:trPr>
        <w:tc>
          <w:tcPr>
            <w:tcW w:w="1099" w:type="pct"/>
            <w:tcBorders>
              <w:top w:val="nil"/>
              <w:left w:val="nil"/>
              <w:bottom w:val="nil"/>
              <w:right w:val="nil"/>
            </w:tcBorders>
            <w:shd w:val="clear" w:color="000000" w:fill="F2F2F2"/>
            <w:noWrap/>
            <w:hideMark/>
          </w:tcPr>
          <w:p w14:paraId="3D8C1699" w14:textId="77777777" w:rsidR="00F76B72" w:rsidRPr="00EF55F2" w:rsidRDefault="00F76B72" w:rsidP="00F76B72">
            <w:pPr>
              <w:keepNext/>
              <w:spacing w:after="0" w:line="240" w:lineRule="auto"/>
              <w:rPr>
                <w:rFonts w:eastAsia="Times New Roman"/>
              </w:rPr>
            </w:pPr>
            <w:r w:rsidRPr="00EF55F2">
              <w:rPr>
                <w:rFonts w:eastAsia="Times New Roman"/>
              </w:rPr>
              <w:t>Maine</w:t>
            </w:r>
          </w:p>
        </w:tc>
        <w:tc>
          <w:tcPr>
            <w:tcW w:w="777" w:type="pct"/>
            <w:tcBorders>
              <w:top w:val="nil"/>
              <w:left w:val="nil"/>
              <w:bottom w:val="nil"/>
              <w:right w:val="nil"/>
            </w:tcBorders>
            <w:shd w:val="clear" w:color="000000" w:fill="F2F2F2"/>
            <w:noWrap/>
            <w:hideMark/>
          </w:tcPr>
          <w:p w14:paraId="424BBC21" w14:textId="77777777" w:rsidR="00F76B72" w:rsidRPr="00EF55F2" w:rsidRDefault="00F76B72" w:rsidP="00F76B72">
            <w:pPr>
              <w:keepNext/>
              <w:spacing w:after="0" w:line="240" w:lineRule="auto"/>
              <w:jc w:val="center"/>
              <w:rPr>
                <w:rFonts w:eastAsia="Times New Roman"/>
              </w:rPr>
            </w:pPr>
            <w:r w:rsidRPr="00EF55F2">
              <w:rPr>
                <w:rFonts w:eastAsia="Times New Roman"/>
              </w:rPr>
              <w:t>86.75</w:t>
            </w:r>
          </w:p>
        </w:tc>
        <w:tc>
          <w:tcPr>
            <w:tcW w:w="659" w:type="pct"/>
            <w:tcBorders>
              <w:top w:val="nil"/>
              <w:left w:val="nil"/>
              <w:bottom w:val="nil"/>
              <w:right w:val="single" w:sz="4" w:space="0" w:color="auto"/>
            </w:tcBorders>
            <w:shd w:val="clear" w:color="000000" w:fill="F2F2F2"/>
            <w:noWrap/>
            <w:hideMark/>
          </w:tcPr>
          <w:p w14:paraId="6E7D21F1" w14:textId="77777777" w:rsidR="00F76B72" w:rsidRPr="00EF55F2" w:rsidRDefault="00F76B72" w:rsidP="00F76B72">
            <w:pPr>
              <w:keepNext/>
              <w:spacing w:after="0" w:line="240" w:lineRule="auto"/>
              <w:jc w:val="center"/>
              <w:rPr>
                <w:rFonts w:eastAsia="Times New Roman"/>
              </w:rPr>
            </w:pPr>
            <w:r w:rsidRPr="00EF55F2">
              <w:rPr>
                <w:rFonts w:eastAsia="Times New Roman"/>
              </w:rPr>
              <w:t>17.0%</w:t>
            </w:r>
          </w:p>
        </w:tc>
        <w:tc>
          <w:tcPr>
            <w:tcW w:w="1103" w:type="pct"/>
            <w:gridSpan w:val="2"/>
            <w:tcBorders>
              <w:top w:val="nil"/>
              <w:left w:val="single" w:sz="4" w:space="0" w:color="auto"/>
              <w:bottom w:val="nil"/>
              <w:right w:val="nil"/>
            </w:tcBorders>
            <w:shd w:val="clear" w:color="000000" w:fill="F2F2F2"/>
          </w:tcPr>
          <w:p w14:paraId="518C003A" w14:textId="77777777" w:rsidR="00F76B72" w:rsidRPr="00EF55F2" w:rsidRDefault="00F76B72" w:rsidP="00F76B72">
            <w:pPr>
              <w:keepNext/>
              <w:spacing w:after="0" w:line="240" w:lineRule="auto"/>
              <w:rPr>
                <w:rFonts w:eastAsia="Times New Roman"/>
              </w:rPr>
            </w:pPr>
            <w:r w:rsidRPr="00EF55F2">
              <w:rPr>
                <w:rFonts w:eastAsia="Times New Roman"/>
              </w:rPr>
              <w:t>Vermont</w:t>
            </w:r>
          </w:p>
        </w:tc>
        <w:tc>
          <w:tcPr>
            <w:tcW w:w="665" w:type="pct"/>
            <w:gridSpan w:val="2"/>
            <w:tcBorders>
              <w:top w:val="nil"/>
              <w:left w:val="nil"/>
              <w:bottom w:val="nil"/>
              <w:right w:val="nil"/>
            </w:tcBorders>
            <w:shd w:val="clear" w:color="000000" w:fill="F2F2F2"/>
          </w:tcPr>
          <w:p w14:paraId="02F19DA5" w14:textId="77777777" w:rsidR="00F76B72" w:rsidRPr="00EF55F2" w:rsidRDefault="00F76B72" w:rsidP="00F76B72">
            <w:pPr>
              <w:keepNext/>
              <w:spacing w:after="0" w:line="240" w:lineRule="auto"/>
              <w:jc w:val="center"/>
              <w:rPr>
                <w:rFonts w:eastAsia="Times New Roman"/>
              </w:rPr>
            </w:pPr>
            <w:r w:rsidRPr="00EF55F2">
              <w:rPr>
                <w:rFonts w:eastAsia="Times New Roman"/>
              </w:rPr>
              <w:t>95.33</w:t>
            </w:r>
          </w:p>
        </w:tc>
        <w:tc>
          <w:tcPr>
            <w:tcW w:w="697" w:type="pct"/>
            <w:gridSpan w:val="2"/>
            <w:tcBorders>
              <w:top w:val="nil"/>
              <w:left w:val="nil"/>
              <w:bottom w:val="nil"/>
              <w:right w:val="nil"/>
            </w:tcBorders>
            <w:shd w:val="clear" w:color="000000" w:fill="F2F2F2"/>
          </w:tcPr>
          <w:p w14:paraId="0A397DFD" w14:textId="77777777" w:rsidR="00F76B72" w:rsidRPr="00EF55F2" w:rsidRDefault="00F76B72" w:rsidP="00F76B72">
            <w:pPr>
              <w:keepNext/>
              <w:spacing w:after="0" w:line="240" w:lineRule="auto"/>
              <w:jc w:val="center"/>
              <w:rPr>
                <w:rFonts w:eastAsia="Times New Roman"/>
              </w:rPr>
            </w:pPr>
            <w:r w:rsidRPr="00EF55F2">
              <w:rPr>
                <w:rFonts w:eastAsia="Times New Roman"/>
              </w:rPr>
              <w:t>15.5%</w:t>
            </w:r>
          </w:p>
        </w:tc>
      </w:tr>
      <w:tr w:rsidR="00F76B72" w:rsidRPr="00EF55F2" w14:paraId="40D88163" w14:textId="77777777" w:rsidTr="00F76B72">
        <w:trPr>
          <w:trHeight w:val="300"/>
        </w:trPr>
        <w:tc>
          <w:tcPr>
            <w:tcW w:w="1099" w:type="pct"/>
            <w:tcBorders>
              <w:top w:val="nil"/>
              <w:left w:val="nil"/>
              <w:bottom w:val="nil"/>
              <w:right w:val="nil"/>
            </w:tcBorders>
            <w:shd w:val="clear" w:color="000000" w:fill="F2F2F2"/>
            <w:noWrap/>
            <w:hideMark/>
          </w:tcPr>
          <w:p w14:paraId="3BFC63D6" w14:textId="77777777" w:rsidR="00F76B72" w:rsidRPr="00EF55F2" w:rsidRDefault="00F76B72" w:rsidP="00F76B72">
            <w:pPr>
              <w:keepNext/>
              <w:spacing w:after="0" w:line="240" w:lineRule="auto"/>
              <w:rPr>
                <w:rFonts w:eastAsia="Times New Roman"/>
              </w:rPr>
            </w:pPr>
            <w:r w:rsidRPr="00EF55F2">
              <w:rPr>
                <w:rFonts w:eastAsia="Times New Roman"/>
              </w:rPr>
              <w:t>Maryland</w:t>
            </w:r>
          </w:p>
        </w:tc>
        <w:tc>
          <w:tcPr>
            <w:tcW w:w="777" w:type="pct"/>
            <w:tcBorders>
              <w:top w:val="nil"/>
              <w:left w:val="nil"/>
              <w:bottom w:val="nil"/>
              <w:right w:val="nil"/>
            </w:tcBorders>
            <w:shd w:val="clear" w:color="000000" w:fill="F2F2F2"/>
            <w:noWrap/>
            <w:hideMark/>
          </w:tcPr>
          <w:p w14:paraId="5C8EE474" w14:textId="77777777" w:rsidR="00F76B72" w:rsidRPr="00EF55F2" w:rsidRDefault="00F76B72" w:rsidP="00F76B72">
            <w:pPr>
              <w:keepNext/>
              <w:spacing w:after="0" w:line="240" w:lineRule="auto"/>
              <w:jc w:val="center"/>
              <w:rPr>
                <w:rFonts w:eastAsia="Times New Roman"/>
              </w:rPr>
            </w:pPr>
            <w:r w:rsidRPr="00EF55F2">
              <w:rPr>
                <w:rFonts w:eastAsia="Times New Roman"/>
              </w:rPr>
              <w:t>139.91</w:t>
            </w:r>
          </w:p>
        </w:tc>
        <w:tc>
          <w:tcPr>
            <w:tcW w:w="659" w:type="pct"/>
            <w:tcBorders>
              <w:top w:val="nil"/>
              <w:left w:val="nil"/>
              <w:bottom w:val="nil"/>
              <w:right w:val="single" w:sz="4" w:space="0" w:color="auto"/>
            </w:tcBorders>
            <w:shd w:val="clear" w:color="000000" w:fill="F2F2F2"/>
            <w:noWrap/>
            <w:hideMark/>
          </w:tcPr>
          <w:p w14:paraId="70DF1C91" w14:textId="77777777" w:rsidR="00F76B72" w:rsidRPr="00EF55F2" w:rsidRDefault="00F76B72" w:rsidP="00F76B72">
            <w:pPr>
              <w:keepNext/>
              <w:spacing w:after="0" w:line="240" w:lineRule="auto"/>
              <w:jc w:val="center"/>
              <w:rPr>
                <w:rFonts w:eastAsia="Times New Roman"/>
              </w:rPr>
            </w:pPr>
            <w:r w:rsidRPr="00EF55F2">
              <w:rPr>
                <w:rFonts w:eastAsia="Times New Roman"/>
              </w:rPr>
              <w:t>10.5%</w:t>
            </w:r>
          </w:p>
        </w:tc>
        <w:tc>
          <w:tcPr>
            <w:tcW w:w="1103" w:type="pct"/>
            <w:gridSpan w:val="2"/>
            <w:tcBorders>
              <w:top w:val="nil"/>
              <w:left w:val="single" w:sz="4" w:space="0" w:color="auto"/>
              <w:bottom w:val="nil"/>
              <w:right w:val="nil"/>
            </w:tcBorders>
            <w:shd w:val="clear" w:color="000000" w:fill="F2F2F2"/>
          </w:tcPr>
          <w:p w14:paraId="3A57CC21" w14:textId="77777777" w:rsidR="00F76B72" w:rsidRPr="00EF55F2" w:rsidRDefault="00F76B72" w:rsidP="00F76B72">
            <w:pPr>
              <w:keepNext/>
              <w:spacing w:after="0" w:line="240" w:lineRule="auto"/>
              <w:rPr>
                <w:rFonts w:eastAsia="Times New Roman"/>
              </w:rPr>
            </w:pPr>
            <w:r w:rsidRPr="00EF55F2">
              <w:rPr>
                <w:rFonts w:eastAsia="Times New Roman"/>
              </w:rPr>
              <w:t>Virginia</w:t>
            </w:r>
          </w:p>
        </w:tc>
        <w:tc>
          <w:tcPr>
            <w:tcW w:w="665" w:type="pct"/>
            <w:gridSpan w:val="2"/>
            <w:tcBorders>
              <w:top w:val="nil"/>
              <w:left w:val="nil"/>
              <w:bottom w:val="nil"/>
              <w:right w:val="nil"/>
            </w:tcBorders>
            <w:shd w:val="clear" w:color="000000" w:fill="F2F2F2"/>
          </w:tcPr>
          <w:p w14:paraId="553EE5BA" w14:textId="77777777" w:rsidR="00F76B72" w:rsidRPr="00EF55F2" w:rsidRDefault="00F76B72" w:rsidP="00F76B72">
            <w:pPr>
              <w:keepNext/>
              <w:spacing w:after="0" w:line="240" w:lineRule="auto"/>
              <w:jc w:val="center"/>
              <w:rPr>
                <w:rFonts w:eastAsia="Times New Roman"/>
              </w:rPr>
            </w:pPr>
            <w:r w:rsidRPr="00EF55F2">
              <w:rPr>
                <w:rFonts w:eastAsia="Times New Roman"/>
              </w:rPr>
              <w:t>130.58</w:t>
            </w:r>
          </w:p>
        </w:tc>
        <w:tc>
          <w:tcPr>
            <w:tcW w:w="697" w:type="pct"/>
            <w:gridSpan w:val="2"/>
            <w:tcBorders>
              <w:top w:val="nil"/>
              <w:left w:val="nil"/>
              <w:bottom w:val="nil"/>
              <w:right w:val="nil"/>
            </w:tcBorders>
            <w:shd w:val="clear" w:color="000000" w:fill="F2F2F2"/>
          </w:tcPr>
          <w:p w14:paraId="6900054E" w14:textId="77777777" w:rsidR="00F76B72" w:rsidRPr="00EF55F2" w:rsidRDefault="00F76B72" w:rsidP="00F76B72">
            <w:pPr>
              <w:keepNext/>
              <w:spacing w:after="0" w:line="240" w:lineRule="auto"/>
              <w:jc w:val="center"/>
              <w:rPr>
                <w:rFonts w:eastAsia="Times New Roman"/>
              </w:rPr>
            </w:pPr>
            <w:r w:rsidRPr="00EF55F2">
              <w:rPr>
                <w:rFonts w:eastAsia="Times New Roman"/>
              </w:rPr>
              <w:t>11.3%</w:t>
            </w:r>
          </w:p>
        </w:tc>
      </w:tr>
      <w:tr w:rsidR="00F76B72" w:rsidRPr="00EF55F2" w14:paraId="32D373C6" w14:textId="77777777" w:rsidTr="00F76B72">
        <w:trPr>
          <w:trHeight w:val="300"/>
        </w:trPr>
        <w:tc>
          <w:tcPr>
            <w:tcW w:w="1099" w:type="pct"/>
            <w:tcBorders>
              <w:top w:val="nil"/>
              <w:left w:val="nil"/>
              <w:bottom w:val="nil"/>
              <w:right w:val="nil"/>
            </w:tcBorders>
            <w:shd w:val="clear" w:color="000000" w:fill="F2F2F2"/>
            <w:noWrap/>
            <w:hideMark/>
          </w:tcPr>
          <w:p w14:paraId="4CE89D10" w14:textId="77777777" w:rsidR="00F76B72" w:rsidRPr="00EF55F2" w:rsidRDefault="00F76B72" w:rsidP="00F76B72">
            <w:pPr>
              <w:keepNext/>
              <w:spacing w:after="0" w:line="240" w:lineRule="auto"/>
              <w:rPr>
                <w:rFonts w:eastAsia="Times New Roman"/>
              </w:rPr>
            </w:pPr>
            <w:r w:rsidRPr="00EF55F2">
              <w:rPr>
                <w:rFonts w:eastAsia="Times New Roman"/>
              </w:rPr>
              <w:t>Massachusetts</w:t>
            </w:r>
          </w:p>
        </w:tc>
        <w:tc>
          <w:tcPr>
            <w:tcW w:w="777" w:type="pct"/>
            <w:tcBorders>
              <w:top w:val="nil"/>
              <w:left w:val="nil"/>
              <w:bottom w:val="nil"/>
              <w:right w:val="nil"/>
            </w:tcBorders>
            <w:shd w:val="clear" w:color="000000" w:fill="F2F2F2"/>
            <w:noWrap/>
            <w:hideMark/>
          </w:tcPr>
          <w:p w14:paraId="12DE5072" w14:textId="77777777" w:rsidR="00F76B72" w:rsidRPr="00EF55F2" w:rsidRDefault="00F76B72" w:rsidP="00F76B72">
            <w:pPr>
              <w:keepNext/>
              <w:spacing w:after="0" w:line="240" w:lineRule="auto"/>
              <w:jc w:val="center"/>
              <w:rPr>
                <w:rFonts w:eastAsia="Times New Roman"/>
              </w:rPr>
            </w:pPr>
            <w:r w:rsidRPr="00EF55F2">
              <w:rPr>
                <w:rFonts w:eastAsia="Times New Roman"/>
              </w:rPr>
              <w:t>119.26</w:t>
            </w:r>
          </w:p>
        </w:tc>
        <w:tc>
          <w:tcPr>
            <w:tcW w:w="659" w:type="pct"/>
            <w:tcBorders>
              <w:top w:val="nil"/>
              <w:left w:val="nil"/>
              <w:bottom w:val="nil"/>
              <w:right w:val="single" w:sz="4" w:space="0" w:color="auto"/>
            </w:tcBorders>
            <w:shd w:val="clear" w:color="000000" w:fill="F2F2F2"/>
            <w:noWrap/>
            <w:hideMark/>
          </w:tcPr>
          <w:p w14:paraId="75C0F2E3" w14:textId="77777777" w:rsidR="00F76B72" w:rsidRPr="00EF55F2" w:rsidRDefault="00F76B72" w:rsidP="00F76B72">
            <w:pPr>
              <w:keepNext/>
              <w:spacing w:after="0" w:line="240" w:lineRule="auto"/>
              <w:jc w:val="center"/>
              <w:rPr>
                <w:rFonts w:eastAsia="Times New Roman"/>
              </w:rPr>
            </w:pPr>
            <w:r w:rsidRPr="00EF55F2">
              <w:rPr>
                <w:rFonts w:eastAsia="Times New Roman"/>
              </w:rPr>
              <w:t>12.4%</w:t>
            </w:r>
          </w:p>
        </w:tc>
        <w:tc>
          <w:tcPr>
            <w:tcW w:w="1103" w:type="pct"/>
            <w:gridSpan w:val="2"/>
            <w:tcBorders>
              <w:top w:val="nil"/>
              <w:left w:val="single" w:sz="4" w:space="0" w:color="auto"/>
              <w:bottom w:val="nil"/>
              <w:right w:val="nil"/>
            </w:tcBorders>
            <w:shd w:val="clear" w:color="000000" w:fill="F2F2F2"/>
          </w:tcPr>
          <w:p w14:paraId="0632E7A1" w14:textId="77777777" w:rsidR="00F76B72" w:rsidRPr="00EF55F2" w:rsidRDefault="00F76B72" w:rsidP="00F76B72">
            <w:pPr>
              <w:keepNext/>
              <w:spacing w:after="0" w:line="240" w:lineRule="auto"/>
              <w:rPr>
                <w:rFonts w:eastAsia="Times New Roman"/>
              </w:rPr>
            </w:pPr>
            <w:r w:rsidRPr="00EF55F2">
              <w:rPr>
                <w:rFonts w:eastAsia="Times New Roman"/>
              </w:rPr>
              <w:t>Washington</w:t>
            </w:r>
          </w:p>
        </w:tc>
        <w:tc>
          <w:tcPr>
            <w:tcW w:w="665" w:type="pct"/>
            <w:gridSpan w:val="2"/>
            <w:tcBorders>
              <w:top w:val="nil"/>
              <w:left w:val="nil"/>
              <w:bottom w:val="nil"/>
              <w:right w:val="nil"/>
            </w:tcBorders>
            <w:shd w:val="clear" w:color="000000" w:fill="F2F2F2"/>
          </w:tcPr>
          <w:p w14:paraId="69ECB406" w14:textId="77777777" w:rsidR="00F76B72" w:rsidRPr="00EF55F2" w:rsidRDefault="00F76B72" w:rsidP="00F76B72">
            <w:pPr>
              <w:keepNext/>
              <w:spacing w:after="0" w:line="240" w:lineRule="auto"/>
              <w:jc w:val="center"/>
              <w:rPr>
                <w:rFonts w:eastAsia="Times New Roman"/>
              </w:rPr>
            </w:pPr>
            <w:r w:rsidRPr="00EF55F2">
              <w:rPr>
                <w:rFonts w:eastAsia="Times New Roman"/>
              </w:rPr>
              <w:t>87.64</w:t>
            </w:r>
          </w:p>
        </w:tc>
        <w:tc>
          <w:tcPr>
            <w:tcW w:w="697" w:type="pct"/>
            <w:gridSpan w:val="2"/>
            <w:tcBorders>
              <w:top w:val="nil"/>
              <w:left w:val="nil"/>
              <w:bottom w:val="nil"/>
              <w:right w:val="nil"/>
            </w:tcBorders>
            <w:shd w:val="clear" w:color="000000" w:fill="F2F2F2"/>
          </w:tcPr>
          <w:p w14:paraId="38C32E49" w14:textId="77777777" w:rsidR="00F76B72" w:rsidRPr="00EF55F2" w:rsidRDefault="00F76B72" w:rsidP="00F76B72">
            <w:pPr>
              <w:keepNext/>
              <w:spacing w:after="0" w:line="240" w:lineRule="auto"/>
              <w:jc w:val="center"/>
              <w:rPr>
                <w:rFonts w:eastAsia="Times New Roman"/>
              </w:rPr>
            </w:pPr>
            <w:r w:rsidRPr="00EF55F2">
              <w:rPr>
                <w:rFonts w:eastAsia="Times New Roman"/>
              </w:rPr>
              <w:t>16.8%</w:t>
            </w:r>
          </w:p>
        </w:tc>
      </w:tr>
      <w:tr w:rsidR="00F76B72" w:rsidRPr="00EF55F2" w14:paraId="7BAFED89" w14:textId="77777777" w:rsidTr="00F76B72">
        <w:trPr>
          <w:trHeight w:val="300"/>
        </w:trPr>
        <w:tc>
          <w:tcPr>
            <w:tcW w:w="1099" w:type="pct"/>
            <w:tcBorders>
              <w:top w:val="nil"/>
              <w:left w:val="nil"/>
              <w:bottom w:val="nil"/>
              <w:right w:val="nil"/>
            </w:tcBorders>
            <w:shd w:val="clear" w:color="000000" w:fill="F2F2F2"/>
            <w:noWrap/>
            <w:hideMark/>
          </w:tcPr>
          <w:p w14:paraId="750D30D1" w14:textId="77777777" w:rsidR="00F76B72" w:rsidRPr="00EF55F2" w:rsidRDefault="00F76B72" w:rsidP="00F76B72">
            <w:pPr>
              <w:keepNext/>
              <w:spacing w:after="0" w:line="240" w:lineRule="auto"/>
              <w:rPr>
                <w:rFonts w:eastAsia="Times New Roman"/>
              </w:rPr>
            </w:pPr>
            <w:r w:rsidRPr="00EF55F2">
              <w:rPr>
                <w:rFonts w:eastAsia="Times New Roman"/>
              </w:rPr>
              <w:t>Michigan</w:t>
            </w:r>
          </w:p>
        </w:tc>
        <w:tc>
          <w:tcPr>
            <w:tcW w:w="777" w:type="pct"/>
            <w:tcBorders>
              <w:top w:val="nil"/>
              <w:left w:val="nil"/>
              <w:bottom w:val="nil"/>
              <w:right w:val="nil"/>
            </w:tcBorders>
            <w:shd w:val="clear" w:color="000000" w:fill="F2F2F2"/>
            <w:noWrap/>
            <w:hideMark/>
          </w:tcPr>
          <w:p w14:paraId="1616C37B" w14:textId="77777777" w:rsidR="00F76B72" w:rsidRPr="00EF55F2" w:rsidRDefault="00F76B72" w:rsidP="00F76B72">
            <w:pPr>
              <w:keepNext/>
              <w:spacing w:after="0" w:line="240" w:lineRule="auto"/>
              <w:jc w:val="center"/>
              <w:rPr>
                <w:rFonts w:eastAsia="Times New Roman"/>
              </w:rPr>
            </w:pPr>
            <w:r w:rsidRPr="00EF55F2">
              <w:rPr>
                <w:rFonts w:eastAsia="Times New Roman"/>
              </w:rPr>
              <w:t>93.61</w:t>
            </w:r>
          </w:p>
        </w:tc>
        <w:tc>
          <w:tcPr>
            <w:tcW w:w="659" w:type="pct"/>
            <w:tcBorders>
              <w:top w:val="nil"/>
              <w:left w:val="nil"/>
              <w:bottom w:val="nil"/>
              <w:right w:val="single" w:sz="4" w:space="0" w:color="auto"/>
            </w:tcBorders>
            <w:shd w:val="clear" w:color="000000" w:fill="F2F2F2"/>
            <w:noWrap/>
            <w:hideMark/>
          </w:tcPr>
          <w:p w14:paraId="0255FB69" w14:textId="77777777" w:rsidR="00F76B72" w:rsidRPr="00EF55F2" w:rsidRDefault="00F76B72" w:rsidP="00F76B72">
            <w:pPr>
              <w:keepNext/>
              <w:spacing w:after="0" w:line="240" w:lineRule="auto"/>
              <w:jc w:val="center"/>
              <w:rPr>
                <w:rFonts w:eastAsia="Times New Roman"/>
              </w:rPr>
            </w:pPr>
            <w:r w:rsidRPr="00EF55F2">
              <w:rPr>
                <w:rFonts w:eastAsia="Times New Roman"/>
              </w:rPr>
              <w:t>15.8%</w:t>
            </w:r>
          </w:p>
        </w:tc>
        <w:tc>
          <w:tcPr>
            <w:tcW w:w="1103" w:type="pct"/>
            <w:gridSpan w:val="2"/>
            <w:tcBorders>
              <w:top w:val="nil"/>
              <w:left w:val="single" w:sz="4" w:space="0" w:color="auto"/>
              <w:bottom w:val="nil"/>
              <w:right w:val="nil"/>
            </w:tcBorders>
            <w:shd w:val="clear" w:color="000000" w:fill="F2F2F2"/>
          </w:tcPr>
          <w:p w14:paraId="379AA7B0" w14:textId="77777777" w:rsidR="00F76B72" w:rsidRPr="00EF55F2" w:rsidRDefault="00F76B72" w:rsidP="00F76B72">
            <w:pPr>
              <w:keepNext/>
              <w:spacing w:after="0" w:line="240" w:lineRule="auto"/>
              <w:rPr>
                <w:rFonts w:eastAsia="Times New Roman"/>
              </w:rPr>
            </w:pPr>
            <w:r w:rsidRPr="00EF55F2">
              <w:rPr>
                <w:rFonts w:eastAsia="Times New Roman"/>
              </w:rPr>
              <w:t>West Virginia</w:t>
            </w:r>
          </w:p>
        </w:tc>
        <w:tc>
          <w:tcPr>
            <w:tcW w:w="665" w:type="pct"/>
            <w:gridSpan w:val="2"/>
            <w:tcBorders>
              <w:top w:val="nil"/>
              <w:left w:val="nil"/>
              <w:bottom w:val="nil"/>
              <w:right w:val="nil"/>
            </w:tcBorders>
            <w:shd w:val="clear" w:color="000000" w:fill="F2F2F2"/>
          </w:tcPr>
          <w:p w14:paraId="431FDBCA" w14:textId="77777777" w:rsidR="00F76B72" w:rsidRPr="00EF55F2" w:rsidRDefault="00F76B72" w:rsidP="00F76B72">
            <w:pPr>
              <w:keepNext/>
              <w:spacing w:after="0" w:line="240" w:lineRule="auto"/>
              <w:jc w:val="center"/>
              <w:rPr>
                <w:rFonts w:eastAsia="Times New Roman"/>
              </w:rPr>
            </w:pPr>
            <w:r w:rsidRPr="00EF55F2">
              <w:rPr>
                <w:rFonts w:eastAsia="Times New Roman"/>
              </w:rPr>
              <w:t>111.59</w:t>
            </w:r>
          </w:p>
        </w:tc>
        <w:tc>
          <w:tcPr>
            <w:tcW w:w="697" w:type="pct"/>
            <w:gridSpan w:val="2"/>
            <w:tcBorders>
              <w:top w:val="nil"/>
              <w:left w:val="nil"/>
              <w:bottom w:val="nil"/>
              <w:right w:val="nil"/>
            </w:tcBorders>
            <w:shd w:val="clear" w:color="000000" w:fill="F2F2F2"/>
          </w:tcPr>
          <w:p w14:paraId="383F9E7D" w14:textId="77777777" w:rsidR="00F76B72" w:rsidRPr="00EF55F2" w:rsidRDefault="00F76B72" w:rsidP="00F76B72">
            <w:pPr>
              <w:keepNext/>
              <w:spacing w:after="0" w:line="240" w:lineRule="auto"/>
              <w:jc w:val="center"/>
              <w:rPr>
                <w:rFonts w:eastAsia="Times New Roman"/>
              </w:rPr>
            </w:pPr>
            <w:r w:rsidRPr="00EF55F2">
              <w:rPr>
                <w:rFonts w:eastAsia="Times New Roman"/>
              </w:rPr>
              <w:t>13.2%</w:t>
            </w:r>
          </w:p>
        </w:tc>
      </w:tr>
      <w:tr w:rsidR="00F76B72" w:rsidRPr="00EF55F2" w14:paraId="3C609987" w14:textId="77777777" w:rsidTr="00F76B72">
        <w:trPr>
          <w:trHeight w:val="300"/>
        </w:trPr>
        <w:tc>
          <w:tcPr>
            <w:tcW w:w="1099" w:type="pct"/>
            <w:tcBorders>
              <w:top w:val="nil"/>
              <w:left w:val="nil"/>
              <w:bottom w:val="nil"/>
              <w:right w:val="nil"/>
            </w:tcBorders>
            <w:shd w:val="clear" w:color="000000" w:fill="F2F2F2"/>
            <w:noWrap/>
            <w:hideMark/>
          </w:tcPr>
          <w:p w14:paraId="27388F97" w14:textId="77777777" w:rsidR="00F76B72" w:rsidRPr="00EF55F2" w:rsidRDefault="00F76B72" w:rsidP="00F76B72">
            <w:pPr>
              <w:keepNext/>
              <w:spacing w:after="0" w:line="240" w:lineRule="auto"/>
              <w:rPr>
                <w:rFonts w:eastAsia="Times New Roman"/>
              </w:rPr>
            </w:pPr>
            <w:r w:rsidRPr="00EF55F2">
              <w:rPr>
                <w:rFonts w:eastAsia="Times New Roman"/>
              </w:rPr>
              <w:t>Minnesota</w:t>
            </w:r>
          </w:p>
        </w:tc>
        <w:tc>
          <w:tcPr>
            <w:tcW w:w="777" w:type="pct"/>
            <w:tcBorders>
              <w:top w:val="nil"/>
              <w:left w:val="nil"/>
              <w:bottom w:val="nil"/>
              <w:right w:val="nil"/>
            </w:tcBorders>
            <w:shd w:val="clear" w:color="000000" w:fill="F2F2F2"/>
            <w:noWrap/>
            <w:hideMark/>
          </w:tcPr>
          <w:p w14:paraId="3FE96035" w14:textId="77777777" w:rsidR="00F76B72" w:rsidRPr="00EF55F2" w:rsidRDefault="00F76B72" w:rsidP="00F76B72">
            <w:pPr>
              <w:keepNext/>
              <w:spacing w:after="0" w:line="240" w:lineRule="auto"/>
              <w:jc w:val="center"/>
              <w:rPr>
                <w:rFonts w:eastAsia="Times New Roman"/>
              </w:rPr>
            </w:pPr>
            <w:r w:rsidRPr="00EF55F2">
              <w:rPr>
                <w:rFonts w:eastAsia="Times New Roman"/>
              </w:rPr>
              <w:t>92.32</w:t>
            </w:r>
          </w:p>
        </w:tc>
        <w:tc>
          <w:tcPr>
            <w:tcW w:w="659" w:type="pct"/>
            <w:tcBorders>
              <w:top w:val="nil"/>
              <w:left w:val="nil"/>
              <w:bottom w:val="nil"/>
              <w:right w:val="single" w:sz="4" w:space="0" w:color="auto"/>
            </w:tcBorders>
            <w:shd w:val="clear" w:color="000000" w:fill="F2F2F2"/>
            <w:noWrap/>
            <w:hideMark/>
          </w:tcPr>
          <w:p w14:paraId="771CAE9D" w14:textId="77777777" w:rsidR="00F76B72" w:rsidRPr="00EF55F2" w:rsidRDefault="00F76B72" w:rsidP="00F76B72">
            <w:pPr>
              <w:keepNext/>
              <w:spacing w:after="0" w:line="240" w:lineRule="auto"/>
              <w:jc w:val="center"/>
              <w:rPr>
                <w:rFonts w:eastAsia="Times New Roman"/>
              </w:rPr>
            </w:pPr>
            <w:r w:rsidRPr="00EF55F2">
              <w:rPr>
                <w:rFonts w:eastAsia="Times New Roman"/>
              </w:rPr>
              <w:t>16.0%</w:t>
            </w:r>
          </w:p>
        </w:tc>
        <w:tc>
          <w:tcPr>
            <w:tcW w:w="1103" w:type="pct"/>
            <w:gridSpan w:val="2"/>
            <w:tcBorders>
              <w:top w:val="nil"/>
              <w:left w:val="single" w:sz="4" w:space="0" w:color="auto"/>
              <w:bottom w:val="nil"/>
              <w:right w:val="nil"/>
            </w:tcBorders>
            <w:shd w:val="clear" w:color="000000" w:fill="F2F2F2"/>
          </w:tcPr>
          <w:p w14:paraId="2263A350" w14:textId="77777777" w:rsidR="00F76B72" w:rsidRPr="00EF55F2" w:rsidRDefault="00F76B72" w:rsidP="00F76B72">
            <w:pPr>
              <w:keepNext/>
              <w:spacing w:after="0" w:line="240" w:lineRule="auto"/>
              <w:rPr>
                <w:rFonts w:eastAsia="Times New Roman"/>
              </w:rPr>
            </w:pPr>
            <w:r w:rsidRPr="00EF55F2">
              <w:rPr>
                <w:rFonts w:eastAsia="Times New Roman"/>
              </w:rPr>
              <w:t>Wisconsin</w:t>
            </w:r>
          </w:p>
        </w:tc>
        <w:tc>
          <w:tcPr>
            <w:tcW w:w="665" w:type="pct"/>
            <w:gridSpan w:val="2"/>
            <w:tcBorders>
              <w:top w:val="nil"/>
              <w:left w:val="nil"/>
              <w:bottom w:val="nil"/>
              <w:right w:val="nil"/>
            </w:tcBorders>
            <w:shd w:val="clear" w:color="000000" w:fill="F2F2F2"/>
          </w:tcPr>
          <w:p w14:paraId="637D0BA7" w14:textId="77777777" w:rsidR="00F76B72" w:rsidRPr="00EF55F2" w:rsidRDefault="00F76B72" w:rsidP="00F76B72">
            <w:pPr>
              <w:keepNext/>
              <w:spacing w:after="0" w:line="240" w:lineRule="auto"/>
              <w:jc w:val="center"/>
              <w:rPr>
                <w:rFonts w:eastAsia="Times New Roman"/>
              </w:rPr>
            </w:pPr>
            <w:r w:rsidRPr="00EF55F2">
              <w:rPr>
                <w:rFonts w:eastAsia="Times New Roman"/>
              </w:rPr>
              <w:t>94.26</w:t>
            </w:r>
          </w:p>
        </w:tc>
        <w:tc>
          <w:tcPr>
            <w:tcW w:w="697" w:type="pct"/>
            <w:gridSpan w:val="2"/>
            <w:tcBorders>
              <w:top w:val="nil"/>
              <w:left w:val="nil"/>
              <w:bottom w:val="nil"/>
              <w:right w:val="nil"/>
            </w:tcBorders>
            <w:shd w:val="clear" w:color="000000" w:fill="F2F2F2"/>
          </w:tcPr>
          <w:p w14:paraId="4F34EC78" w14:textId="77777777" w:rsidR="00F76B72" w:rsidRPr="00EF55F2" w:rsidRDefault="00F76B72" w:rsidP="00F76B72">
            <w:pPr>
              <w:keepNext/>
              <w:spacing w:after="0" w:line="240" w:lineRule="auto"/>
              <w:jc w:val="center"/>
              <w:rPr>
                <w:rFonts w:eastAsia="Times New Roman"/>
              </w:rPr>
            </w:pPr>
            <w:r w:rsidRPr="00EF55F2">
              <w:rPr>
                <w:rFonts w:eastAsia="Times New Roman"/>
              </w:rPr>
              <w:t>15.6%</w:t>
            </w:r>
          </w:p>
        </w:tc>
      </w:tr>
      <w:tr w:rsidR="00F76B72" w:rsidRPr="00EF55F2" w14:paraId="3220BA19" w14:textId="77777777" w:rsidTr="00F76B72">
        <w:trPr>
          <w:trHeight w:val="300"/>
        </w:trPr>
        <w:tc>
          <w:tcPr>
            <w:tcW w:w="1099" w:type="pct"/>
            <w:tcBorders>
              <w:top w:val="nil"/>
              <w:left w:val="nil"/>
              <w:bottom w:val="nil"/>
              <w:right w:val="nil"/>
            </w:tcBorders>
            <w:shd w:val="clear" w:color="000000" w:fill="F2F2F2"/>
            <w:noWrap/>
            <w:hideMark/>
          </w:tcPr>
          <w:p w14:paraId="60EE9307" w14:textId="77777777" w:rsidR="00F76B72" w:rsidRPr="00EF55F2" w:rsidRDefault="00F76B72" w:rsidP="00F76B72">
            <w:pPr>
              <w:keepNext/>
              <w:spacing w:after="0" w:line="240" w:lineRule="auto"/>
              <w:rPr>
                <w:rFonts w:eastAsia="Times New Roman"/>
              </w:rPr>
            </w:pPr>
            <w:r w:rsidRPr="00EF55F2">
              <w:rPr>
                <w:rFonts w:eastAsia="Times New Roman"/>
              </w:rPr>
              <w:t>Mississippi</w:t>
            </w:r>
          </w:p>
        </w:tc>
        <w:tc>
          <w:tcPr>
            <w:tcW w:w="777" w:type="pct"/>
            <w:tcBorders>
              <w:top w:val="nil"/>
              <w:left w:val="nil"/>
              <w:bottom w:val="nil"/>
              <w:right w:val="nil"/>
            </w:tcBorders>
            <w:shd w:val="clear" w:color="000000" w:fill="F2F2F2"/>
            <w:noWrap/>
            <w:hideMark/>
          </w:tcPr>
          <w:p w14:paraId="3B8B5C38" w14:textId="77777777" w:rsidR="00F76B72" w:rsidRPr="00EF55F2" w:rsidRDefault="00F76B72" w:rsidP="00F76B72">
            <w:pPr>
              <w:keepNext/>
              <w:spacing w:after="0" w:line="240" w:lineRule="auto"/>
              <w:jc w:val="center"/>
              <w:rPr>
                <w:rFonts w:eastAsia="Times New Roman"/>
              </w:rPr>
            </w:pPr>
            <w:r w:rsidRPr="00EF55F2">
              <w:rPr>
                <w:rFonts w:eastAsia="Times New Roman"/>
              </w:rPr>
              <w:t>137.24</w:t>
            </w:r>
          </w:p>
        </w:tc>
        <w:tc>
          <w:tcPr>
            <w:tcW w:w="659" w:type="pct"/>
            <w:tcBorders>
              <w:top w:val="nil"/>
              <w:left w:val="nil"/>
              <w:bottom w:val="nil"/>
              <w:right w:val="single" w:sz="4" w:space="0" w:color="auto"/>
            </w:tcBorders>
            <w:shd w:val="clear" w:color="000000" w:fill="F2F2F2"/>
            <w:noWrap/>
            <w:hideMark/>
          </w:tcPr>
          <w:p w14:paraId="6C5DA0AA" w14:textId="77777777" w:rsidR="00F76B72" w:rsidRPr="00EF55F2" w:rsidRDefault="00F76B72" w:rsidP="00F76B72">
            <w:pPr>
              <w:keepNext/>
              <w:spacing w:after="0" w:line="240" w:lineRule="auto"/>
              <w:jc w:val="center"/>
              <w:rPr>
                <w:rFonts w:eastAsia="Times New Roman"/>
              </w:rPr>
            </w:pPr>
            <w:r w:rsidRPr="00EF55F2">
              <w:rPr>
                <w:rFonts w:eastAsia="Times New Roman"/>
              </w:rPr>
              <w:t>10.7%</w:t>
            </w:r>
          </w:p>
        </w:tc>
        <w:tc>
          <w:tcPr>
            <w:tcW w:w="1103" w:type="pct"/>
            <w:gridSpan w:val="2"/>
            <w:tcBorders>
              <w:top w:val="nil"/>
              <w:left w:val="single" w:sz="4" w:space="0" w:color="auto"/>
              <w:bottom w:val="nil"/>
              <w:right w:val="nil"/>
            </w:tcBorders>
            <w:shd w:val="clear" w:color="000000" w:fill="F2F2F2"/>
          </w:tcPr>
          <w:p w14:paraId="5EE98F2B" w14:textId="77777777" w:rsidR="00F76B72" w:rsidRPr="00EF55F2" w:rsidRDefault="00F76B72" w:rsidP="00F76B72">
            <w:pPr>
              <w:keepNext/>
              <w:spacing w:after="0" w:line="240" w:lineRule="auto"/>
              <w:rPr>
                <w:rFonts w:eastAsia="Times New Roman"/>
              </w:rPr>
            </w:pPr>
            <w:r w:rsidRPr="00EF55F2">
              <w:rPr>
                <w:rFonts w:eastAsia="Times New Roman"/>
              </w:rPr>
              <w:t>Wyoming</w:t>
            </w:r>
          </w:p>
        </w:tc>
        <w:tc>
          <w:tcPr>
            <w:tcW w:w="665" w:type="pct"/>
            <w:gridSpan w:val="2"/>
            <w:tcBorders>
              <w:top w:val="nil"/>
              <w:left w:val="nil"/>
              <w:bottom w:val="nil"/>
              <w:right w:val="nil"/>
            </w:tcBorders>
            <w:shd w:val="clear" w:color="000000" w:fill="F2F2F2"/>
          </w:tcPr>
          <w:p w14:paraId="412656BD" w14:textId="77777777" w:rsidR="00F76B72" w:rsidRPr="00EF55F2" w:rsidRDefault="00F76B72" w:rsidP="00F76B72">
            <w:pPr>
              <w:keepNext/>
              <w:spacing w:after="0" w:line="240" w:lineRule="auto"/>
              <w:jc w:val="center"/>
              <w:rPr>
                <w:rFonts w:eastAsia="Times New Roman"/>
              </w:rPr>
            </w:pPr>
            <w:r w:rsidRPr="00EF55F2">
              <w:rPr>
                <w:rFonts w:eastAsia="Times New Roman"/>
              </w:rPr>
              <w:t>91.19</w:t>
            </w:r>
          </w:p>
        </w:tc>
        <w:tc>
          <w:tcPr>
            <w:tcW w:w="697" w:type="pct"/>
            <w:gridSpan w:val="2"/>
            <w:tcBorders>
              <w:top w:val="nil"/>
              <w:left w:val="nil"/>
              <w:bottom w:val="nil"/>
              <w:right w:val="nil"/>
            </w:tcBorders>
            <w:shd w:val="clear" w:color="000000" w:fill="F2F2F2"/>
          </w:tcPr>
          <w:p w14:paraId="76DA5CA2" w14:textId="77777777" w:rsidR="00F76B72" w:rsidRPr="00EF55F2" w:rsidRDefault="00F76B72" w:rsidP="00F76B72">
            <w:pPr>
              <w:keepNext/>
              <w:spacing w:after="0" w:line="240" w:lineRule="auto"/>
              <w:jc w:val="center"/>
              <w:rPr>
                <w:rFonts w:eastAsia="Times New Roman"/>
              </w:rPr>
            </w:pPr>
            <w:r w:rsidRPr="00EF55F2">
              <w:rPr>
                <w:rFonts w:eastAsia="Times New Roman"/>
              </w:rPr>
              <w:t>16.2%</w:t>
            </w:r>
          </w:p>
        </w:tc>
      </w:tr>
      <w:tr w:rsidR="00F76B72" w:rsidRPr="00EF55F2" w14:paraId="5DB66E7B" w14:textId="77777777" w:rsidTr="00F76B72">
        <w:trPr>
          <w:trHeight w:val="300"/>
        </w:trPr>
        <w:tc>
          <w:tcPr>
            <w:tcW w:w="1099" w:type="pct"/>
            <w:tcBorders>
              <w:top w:val="nil"/>
              <w:left w:val="nil"/>
              <w:bottom w:val="nil"/>
              <w:right w:val="nil"/>
            </w:tcBorders>
            <w:shd w:val="clear" w:color="000000" w:fill="F2F2F2"/>
            <w:noWrap/>
            <w:hideMark/>
          </w:tcPr>
          <w:p w14:paraId="2C9025AD" w14:textId="77777777" w:rsidR="00F76B72" w:rsidRPr="00EF55F2" w:rsidRDefault="00F76B72" w:rsidP="00F76B72">
            <w:pPr>
              <w:keepNext/>
              <w:spacing w:after="0" w:line="240" w:lineRule="auto"/>
              <w:rPr>
                <w:rFonts w:eastAsia="Times New Roman"/>
              </w:rPr>
            </w:pPr>
            <w:r w:rsidRPr="00EF55F2">
              <w:rPr>
                <w:rFonts w:eastAsia="Times New Roman"/>
              </w:rPr>
              <w:t>Missouri</w:t>
            </w:r>
          </w:p>
        </w:tc>
        <w:tc>
          <w:tcPr>
            <w:tcW w:w="777" w:type="pct"/>
            <w:tcBorders>
              <w:top w:val="nil"/>
              <w:left w:val="nil"/>
              <w:bottom w:val="nil"/>
              <w:right w:val="nil"/>
            </w:tcBorders>
            <w:shd w:val="clear" w:color="000000" w:fill="F2F2F2"/>
            <w:noWrap/>
            <w:hideMark/>
          </w:tcPr>
          <w:p w14:paraId="31023A76" w14:textId="77777777" w:rsidR="00F76B72" w:rsidRPr="00EF55F2" w:rsidRDefault="00F76B72" w:rsidP="00F76B72">
            <w:pPr>
              <w:keepNext/>
              <w:spacing w:after="0" w:line="240" w:lineRule="auto"/>
              <w:jc w:val="center"/>
              <w:rPr>
                <w:rFonts w:eastAsia="Times New Roman"/>
              </w:rPr>
            </w:pPr>
            <w:r w:rsidRPr="00EF55F2">
              <w:rPr>
                <w:rFonts w:eastAsia="Times New Roman"/>
              </w:rPr>
              <w:t>115.80</w:t>
            </w:r>
          </w:p>
        </w:tc>
        <w:tc>
          <w:tcPr>
            <w:tcW w:w="659" w:type="pct"/>
            <w:tcBorders>
              <w:top w:val="nil"/>
              <w:left w:val="nil"/>
              <w:bottom w:val="nil"/>
              <w:right w:val="single" w:sz="4" w:space="0" w:color="auto"/>
            </w:tcBorders>
            <w:shd w:val="clear" w:color="000000" w:fill="F2F2F2"/>
            <w:noWrap/>
            <w:hideMark/>
          </w:tcPr>
          <w:p w14:paraId="3D8987D3" w14:textId="77777777" w:rsidR="00F76B72" w:rsidRPr="00EF55F2" w:rsidRDefault="00F76B72" w:rsidP="00F76B72">
            <w:pPr>
              <w:keepNext/>
              <w:spacing w:after="0" w:line="240" w:lineRule="auto"/>
              <w:jc w:val="center"/>
              <w:rPr>
                <w:rFonts w:eastAsia="Times New Roman"/>
              </w:rPr>
            </w:pPr>
            <w:r w:rsidRPr="00EF55F2">
              <w:rPr>
                <w:rFonts w:eastAsia="Times New Roman"/>
              </w:rPr>
              <w:t>12.7%</w:t>
            </w:r>
          </w:p>
        </w:tc>
        <w:tc>
          <w:tcPr>
            <w:tcW w:w="1103" w:type="pct"/>
            <w:gridSpan w:val="2"/>
            <w:tcBorders>
              <w:top w:val="nil"/>
              <w:left w:val="single" w:sz="4" w:space="0" w:color="auto"/>
              <w:bottom w:val="nil"/>
              <w:right w:val="nil"/>
            </w:tcBorders>
            <w:shd w:val="clear" w:color="000000" w:fill="F2F2F2"/>
          </w:tcPr>
          <w:p w14:paraId="602C8404" w14:textId="77777777" w:rsidR="00F76B72" w:rsidRPr="00EF55F2" w:rsidRDefault="00F76B72" w:rsidP="00F76B72">
            <w:pPr>
              <w:keepNext/>
              <w:spacing w:after="0" w:line="240" w:lineRule="auto"/>
              <w:rPr>
                <w:rFonts w:eastAsia="Times New Roman"/>
              </w:rPr>
            </w:pPr>
            <w:r w:rsidRPr="00EF55F2">
              <w:rPr>
                <w:rFonts w:eastAsia="Times New Roman"/>
              </w:rPr>
              <w:t>U.S. Total</w:t>
            </w:r>
          </w:p>
        </w:tc>
        <w:tc>
          <w:tcPr>
            <w:tcW w:w="665" w:type="pct"/>
            <w:gridSpan w:val="2"/>
            <w:tcBorders>
              <w:top w:val="nil"/>
              <w:left w:val="nil"/>
              <w:bottom w:val="nil"/>
              <w:right w:val="nil"/>
            </w:tcBorders>
            <w:shd w:val="clear" w:color="000000" w:fill="F2F2F2"/>
          </w:tcPr>
          <w:p w14:paraId="26D1698B" w14:textId="77777777" w:rsidR="00F76B72" w:rsidRPr="00EF55F2" w:rsidRDefault="00F76B72" w:rsidP="00F76B72">
            <w:pPr>
              <w:keepNext/>
              <w:spacing w:after="0" w:line="240" w:lineRule="auto"/>
              <w:jc w:val="center"/>
              <w:rPr>
                <w:rFonts w:eastAsia="Times New Roman"/>
              </w:rPr>
            </w:pPr>
            <w:r w:rsidRPr="00EF55F2">
              <w:rPr>
                <w:rFonts w:eastAsia="Times New Roman"/>
              </w:rPr>
              <w:t>114.03</w:t>
            </w:r>
          </w:p>
        </w:tc>
        <w:tc>
          <w:tcPr>
            <w:tcW w:w="697" w:type="pct"/>
            <w:gridSpan w:val="2"/>
            <w:tcBorders>
              <w:top w:val="nil"/>
              <w:left w:val="nil"/>
              <w:bottom w:val="nil"/>
              <w:right w:val="nil"/>
            </w:tcBorders>
            <w:shd w:val="clear" w:color="000000" w:fill="F2F2F2"/>
          </w:tcPr>
          <w:p w14:paraId="4ACAB60A" w14:textId="77777777" w:rsidR="00F76B72" w:rsidRPr="00EF55F2" w:rsidRDefault="00F76B72" w:rsidP="00F76B72">
            <w:pPr>
              <w:keepNext/>
              <w:spacing w:after="0" w:line="240" w:lineRule="auto"/>
              <w:jc w:val="center"/>
              <w:rPr>
                <w:rFonts w:eastAsia="Times New Roman"/>
              </w:rPr>
            </w:pPr>
            <w:r w:rsidRPr="00EF55F2">
              <w:rPr>
                <w:rFonts w:eastAsia="Times New Roman"/>
              </w:rPr>
              <w:t>12.9%</w:t>
            </w:r>
          </w:p>
        </w:tc>
      </w:tr>
      <w:tr w:rsidR="00F76B72" w:rsidRPr="00EF55F2" w14:paraId="1C540F41" w14:textId="77777777" w:rsidTr="00F76B72">
        <w:trPr>
          <w:trHeight w:val="539"/>
        </w:trPr>
        <w:tc>
          <w:tcPr>
            <w:tcW w:w="3048" w:type="pct"/>
            <w:gridSpan w:val="4"/>
            <w:tcBorders>
              <w:top w:val="single" w:sz="4" w:space="0" w:color="auto"/>
              <w:left w:val="nil"/>
              <w:bottom w:val="nil"/>
              <w:right w:val="nil"/>
            </w:tcBorders>
            <w:shd w:val="clear" w:color="000000" w:fill="F2F2F2"/>
            <w:hideMark/>
          </w:tcPr>
          <w:p w14:paraId="3AB93E26" w14:textId="77777777" w:rsidR="00F76B72" w:rsidRPr="00EF55F2" w:rsidRDefault="00F76B72" w:rsidP="00F76B72">
            <w:pPr>
              <w:keepNext/>
              <w:spacing w:after="0" w:line="240" w:lineRule="auto"/>
              <w:rPr>
                <w:rFonts w:eastAsia="Times New Roman"/>
                <w:sz w:val="18"/>
                <w:szCs w:val="18"/>
              </w:rPr>
            </w:pPr>
            <w:r w:rsidRPr="00EF55F2">
              <w:rPr>
                <w:rFonts w:eastAsia="Times New Roman"/>
                <w:sz w:val="18"/>
                <w:szCs w:val="18"/>
              </w:rPr>
              <w:t>2015 average monthly residential energy bill data from the U.S. Energy Information Administration, retrieved from: http://www.eia.gov/electricity/sales_revenue_price/index.cfm</w:t>
            </w:r>
          </w:p>
        </w:tc>
        <w:tc>
          <w:tcPr>
            <w:tcW w:w="777" w:type="pct"/>
            <w:gridSpan w:val="2"/>
            <w:tcBorders>
              <w:top w:val="single" w:sz="4" w:space="0" w:color="auto"/>
              <w:left w:val="nil"/>
              <w:bottom w:val="nil"/>
              <w:right w:val="nil"/>
            </w:tcBorders>
            <w:shd w:val="clear" w:color="000000" w:fill="F2F2F2"/>
          </w:tcPr>
          <w:p w14:paraId="6F920CFF" w14:textId="77777777" w:rsidR="00F76B72" w:rsidRPr="00EF55F2" w:rsidRDefault="00F76B72" w:rsidP="00F76B72">
            <w:pPr>
              <w:keepNext/>
              <w:spacing w:after="0" w:line="240" w:lineRule="auto"/>
              <w:rPr>
                <w:rFonts w:eastAsia="Times New Roman"/>
                <w:sz w:val="18"/>
                <w:szCs w:val="18"/>
              </w:rPr>
            </w:pPr>
          </w:p>
        </w:tc>
        <w:tc>
          <w:tcPr>
            <w:tcW w:w="663" w:type="pct"/>
            <w:gridSpan w:val="2"/>
            <w:tcBorders>
              <w:top w:val="single" w:sz="4" w:space="0" w:color="auto"/>
              <w:left w:val="nil"/>
              <w:bottom w:val="nil"/>
              <w:right w:val="nil"/>
            </w:tcBorders>
            <w:shd w:val="clear" w:color="000000" w:fill="F2F2F2"/>
          </w:tcPr>
          <w:p w14:paraId="510980A1" w14:textId="77777777" w:rsidR="00F76B72" w:rsidRPr="00EF55F2" w:rsidRDefault="00F76B72" w:rsidP="00F76B72">
            <w:pPr>
              <w:keepNext/>
              <w:spacing w:after="0" w:line="240" w:lineRule="auto"/>
              <w:rPr>
                <w:rFonts w:eastAsia="Times New Roman"/>
                <w:sz w:val="18"/>
                <w:szCs w:val="18"/>
              </w:rPr>
            </w:pPr>
          </w:p>
        </w:tc>
        <w:tc>
          <w:tcPr>
            <w:tcW w:w="511" w:type="pct"/>
            <w:tcBorders>
              <w:top w:val="single" w:sz="4" w:space="0" w:color="auto"/>
              <w:left w:val="nil"/>
              <w:bottom w:val="nil"/>
              <w:right w:val="nil"/>
            </w:tcBorders>
            <w:shd w:val="clear" w:color="000000" w:fill="F2F2F2"/>
          </w:tcPr>
          <w:p w14:paraId="74989333" w14:textId="77777777" w:rsidR="00F76B72" w:rsidRPr="00EF55F2" w:rsidRDefault="00F76B72" w:rsidP="00F76B72">
            <w:pPr>
              <w:keepNext/>
              <w:spacing w:after="0" w:line="240" w:lineRule="auto"/>
              <w:rPr>
                <w:rFonts w:eastAsia="Times New Roman"/>
                <w:sz w:val="18"/>
                <w:szCs w:val="18"/>
              </w:rPr>
            </w:pPr>
          </w:p>
        </w:tc>
      </w:tr>
    </w:tbl>
    <w:p w14:paraId="5FD9F0AD" w14:textId="77777777" w:rsidR="00F76B72" w:rsidRPr="000F4526" w:rsidRDefault="00F76B72" w:rsidP="00F76B72"/>
    <w:p w14:paraId="46F3024D" w14:textId="77777777" w:rsidR="00F76B72" w:rsidRDefault="00F76B72">
      <w:pPr>
        <w:rPr>
          <w:rFonts w:eastAsiaTheme="majorEastAsia" w:cstheme="majorBidi"/>
          <w:b/>
          <w:sz w:val="32"/>
          <w:szCs w:val="32"/>
        </w:rPr>
      </w:pPr>
      <w:r>
        <w:rPr>
          <w:sz w:val="32"/>
        </w:rPr>
        <w:br w:type="page"/>
      </w:r>
    </w:p>
    <w:p w14:paraId="73AC1B90" w14:textId="77777777" w:rsidR="00F76B72" w:rsidRPr="00A84854" w:rsidRDefault="00F76B72" w:rsidP="00F76B72">
      <w:pPr>
        <w:spacing w:line="240" w:lineRule="auto"/>
        <w:jc w:val="center"/>
        <w:rPr>
          <w:rFonts w:eastAsia="Calibri"/>
        </w:rPr>
      </w:pPr>
      <w:r w:rsidRPr="00A84854">
        <w:rPr>
          <w:rFonts w:eastAsia="Calibri"/>
        </w:rPr>
        <w:lastRenderedPageBreak/>
        <w:t>T</w:t>
      </w:r>
      <w:r w:rsidR="00850EE5">
        <w:rPr>
          <w:rFonts w:eastAsia="Calibri"/>
        </w:rPr>
        <w:t>hesis</w:t>
      </w:r>
      <w:r>
        <w:rPr>
          <w:rFonts w:eastAsia="Calibri"/>
        </w:rPr>
        <w:t xml:space="preserve"> (Chapter 2/2</w:t>
      </w:r>
      <w:r w:rsidRPr="00A84854">
        <w:rPr>
          <w:rFonts w:eastAsia="Calibri"/>
        </w:rPr>
        <w:t>)</w:t>
      </w:r>
    </w:p>
    <w:p w14:paraId="2CAA4A1E" w14:textId="77777777" w:rsidR="00F76B72" w:rsidRDefault="00F76B72" w:rsidP="00F76B72">
      <w:pPr>
        <w:spacing w:line="480" w:lineRule="auto"/>
        <w:jc w:val="center"/>
        <w:rPr>
          <w:rFonts w:eastAsia="Calibri"/>
        </w:rPr>
      </w:pPr>
    </w:p>
    <w:p w14:paraId="1BEA1C78" w14:textId="77777777" w:rsidR="00F76B72" w:rsidRPr="00A84854" w:rsidRDefault="00F76B72" w:rsidP="00F76B72">
      <w:pPr>
        <w:spacing w:line="480" w:lineRule="auto"/>
        <w:jc w:val="center"/>
        <w:rPr>
          <w:rFonts w:eastAsia="Calibri"/>
        </w:rPr>
      </w:pPr>
    </w:p>
    <w:p w14:paraId="7A5E8495" w14:textId="0971B9F9" w:rsidR="00A11B28" w:rsidRDefault="00A11B28" w:rsidP="00F76B72">
      <w:pPr>
        <w:spacing w:line="480" w:lineRule="auto"/>
        <w:jc w:val="center"/>
        <w:rPr>
          <w:rFonts w:eastAsia="Calibri"/>
        </w:rPr>
      </w:pPr>
      <w:bookmarkStart w:id="30" w:name="_Hlk482117679"/>
      <w:r>
        <w:rPr>
          <w:rFonts w:eastAsia="Calibri"/>
        </w:rPr>
        <w:t>GREEN</w:t>
      </w:r>
      <w:r w:rsidR="00771189">
        <w:rPr>
          <w:rFonts w:eastAsia="Calibri"/>
        </w:rPr>
        <w:t xml:space="preserve"> BUILDING</w:t>
      </w:r>
      <w:r>
        <w:rPr>
          <w:rFonts w:eastAsia="Calibri"/>
        </w:rPr>
        <w:t xml:space="preserve"> </w:t>
      </w:r>
      <w:r w:rsidR="00771189">
        <w:rPr>
          <w:rFonts w:eastAsia="Calibri"/>
        </w:rPr>
        <w:t>SATISFACTION AND</w:t>
      </w:r>
      <w:r>
        <w:rPr>
          <w:rFonts w:eastAsia="Calibri"/>
        </w:rPr>
        <w:t xml:space="preserve"> </w:t>
      </w:r>
      <w:r w:rsidR="00AD44FA">
        <w:rPr>
          <w:rFonts w:eastAsia="Calibri"/>
        </w:rPr>
        <w:t xml:space="preserve">ADAPTIVE </w:t>
      </w:r>
      <w:r w:rsidR="00771189">
        <w:rPr>
          <w:rFonts w:eastAsia="Calibri"/>
        </w:rPr>
        <w:t>BEHAVIOR</w:t>
      </w:r>
      <w:r w:rsidR="00AD44FA">
        <w:rPr>
          <w:rFonts w:eastAsia="Calibri"/>
        </w:rPr>
        <w:t>S</w:t>
      </w:r>
      <w:r>
        <w:rPr>
          <w:rFonts w:eastAsia="Calibri"/>
        </w:rPr>
        <w:t xml:space="preserve">: </w:t>
      </w:r>
    </w:p>
    <w:p w14:paraId="70FC7772" w14:textId="2B208A42" w:rsidR="00F76B72" w:rsidRDefault="00A11B28" w:rsidP="00A11B28">
      <w:pPr>
        <w:spacing w:line="480" w:lineRule="auto"/>
        <w:jc w:val="center"/>
        <w:rPr>
          <w:rFonts w:eastAsia="Calibri"/>
        </w:rPr>
      </w:pPr>
      <w:r>
        <w:rPr>
          <w:rFonts w:eastAsia="Calibri"/>
        </w:rPr>
        <w:t xml:space="preserve">A COMPARISON OF PERMANENT OCCUPANTS TO VISITORS </w:t>
      </w:r>
    </w:p>
    <w:bookmarkEnd w:id="30"/>
    <w:p w14:paraId="207F4CCC" w14:textId="77777777" w:rsidR="00F76B72" w:rsidRDefault="00F76B72" w:rsidP="00F76B72">
      <w:pPr>
        <w:rPr>
          <w:rFonts w:eastAsia="Calibri"/>
        </w:rPr>
      </w:pPr>
    </w:p>
    <w:p w14:paraId="4EB1F5AA" w14:textId="77777777" w:rsidR="00F76B72" w:rsidRDefault="00F76B72" w:rsidP="00F76B72">
      <w:pPr>
        <w:rPr>
          <w:rFonts w:eastAsia="Calibri"/>
        </w:rPr>
      </w:pPr>
    </w:p>
    <w:p w14:paraId="1C2A6682" w14:textId="77777777" w:rsidR="00F76B72" w:rsidRDefault="00F76B72" w:rsidP="00F76B72">
      <w:pPr>
        <w:rPr>
          <w:rFonts w:eastAsia="Calibri"/>
        </w:rPr>
      </w:pPr>
    </w:p>
    <w:p w14:paraId="21AB4459" w14:textId="77777777" w:rsidR="00F76B72" w:rsidRDefault="00F76B72" w:rsidP="00F76B72">
      <w:pPr>
        <w:rPr>
          <w:rFonts w:eastAsia="Calibri"/>
        </w:rPr>
      </w:pPr>
    </w:p>
    <w:p w14:paraId="4269C9DF" w14:textId="77777777" w:rsidR="00F76B72" w:rsidRDefault="00F76B72" w:rsidP="00F76B72">
      <w:pPr>
        <w:rPr>
          <w:rFonts w:eastAsia="Calibri"/>
        </w:rPr>
      </w:pPr>
    </w:p>
    <w:p w14:paraId="6F724B0C" w14:textId="77777777" w:rsidR="00F76B72" w:rsidRDefault="00F76B72" w:rsidP="00F76B72">
      <w:pPr>
        <w:rPr>
          <w:rFonts w:eastAsia="Calibri"/>
        </w:rPr>
      </w:pPr>
    </w:p>
    <w:p w14:paraId="0EB5FFCD" w14:textId="77777777" w:rsidR="00F76B72" w:rsidRDefault="00F76B72" w:rsidP="00F76B72">
      <w:pPr>
        <w:rPr>
          <w:rFonts w:eastAsia="Calibri"/>
        </w:rPr>
      </w:pPr>
    </w:p>
    <w:p w14:paraId="7723196F" w14:textId="77777777" w:rsidR="00F76B72" w:rsidRDefault="00F76B72" w:rsidP="00F76B72">
      <w:pPr>
        <w:rPr>
          <w:rFonts w:eastAsia="Calibri"/>
        </w:rPr>
      </w:pPr>
    </w:p>
    <w:p w14:paraId="1893BFD9" w14:textId="77777777" w:rsidR="00F76B72" w:rsidRDefault="00F76B72" w:rsidP="00F76B72">
      <w:pPr>
        <w:rPr>
          <w:rFonts w:eastAsia="Calibri"/>
        </w:rPr>
      </w:pPr>
    </w:p>
    <w:p w14:paraId="77339982" w14:textId="77777777" w:rsidR="00F76B72" w:rsidRDefault="00F76B72" w:rsidP="00F76B72">
      <w:pPr>
        <w:rPr>
          <w:rFonts w:eastAsia="Calibri"/>
        </w:rPr>
      </w:pPr>
    </w:p>
    <w:p w14:paraId="1194FA7A" w14:textId="77777777" w:rsidR="00F76B72" w:rsidRDefault="00F76B72" w:rsidP="00F76B72">
      <w:pPr>
        <w:rPr>
          <w:rFonts w:eastAsia="Calibri"/>
        </w:rPr>
      </w:pPr>
    </w:p>
    <w:p w14:paraId="1B59E3AD" w14:textId="77777777" w:rsidR="00F76B72" w:rsidRDefault="00F76B72" w:rsidP="00F76B72">
      <w:pPr>
        <w:rPr>
          <w:rFonts w:eastAsia="Calibri"/>
        </w:rPr>
      </w:pPr>
    </w:p>
    <w:p w14:paraId="62803704" w14:textId="77777777" w:rsidR="00F76B72" w:rsidRDefault="00F76B72" w:rsidP="00F76B72">
      <w:pPr>
        <w:rPr>
          <w:rFonts w:eastAsia="Calibri"/>
        </w:rPr>
      </w:pPr>
    </w:p>
    <w:p w14:paraId="6BCB861E" w14:textId="77777777" w:rsidR="00F76B72" w:rsidRDefault="00F76B72" w:rsidP="00F76B72">
      <w:pPr>
        <w:rPr>
          <w:rFonts w:eastAsia="Calibri"/>
        </w:rPr>
      </w:pPr>
    </w:p>
    <w:p w14:paraId="79E51BCA" w14:textId="77777777" w:rsidR="00F76B72" w:rsidRDefault="00F76B72" w:rsidP="00F76B72">
      <w:pPr>
        <w:rPr>
          <w:rFonts w:eastAsia="Calibri"/>
        </w:rPr>
      </w:pPr>
    </w:p>
    <w:p w14:paraId="65680DFD" w14:textId="77777777" w:rsidR="00F76B72" w:rsidRDefault="00F76B72" w:rsidP="00F76B72">
      <w:pPr>
        <w:rPr>
          <w:rFonts w:eastAsia="Calibri"/>
        </w:rPr>
      </w:pPr>
    </w:p>
    <w:p w14:paraId="63ED9B9E" w14:textId="77777777" w:rsidR="00F76B72" w:rsidRDefault="00F76B72" w:rsidP="00F76B72">
      <w:pPr>
        <w:rPr>
          <w:rFonts w:eastAsia="Calibri"/>
        </w:rPr>
      </w:pPr>
    </w:p>
    <w:p w14:paraId="2D77EE24" w14:textId="77777777" w:rsidR="00F76B72" w:rsidRDefault="00F76B72" w:rsidP="00F76B72">
      <w:pPr>
        <w:rPr>
          <w:rFonts w:eastAsia="Calibri"/>
        </w:rPr>
        <w:sectPr w:rsidR="00F76B72" w:rsidSect="00F76B72">
          <w:footerReference w:type="default" r:id="rId10"/>
          <w:type w:val="continuous"/>
          <w:pgSz w:w="12240" w:h="15840"/>
          <w:pgMar w:top="1440" w:right="1440" w:bottom="1440" w:left="1440" w:header="720" w:footer="720" w:gutter="0"/>
          <w:cols w:sep="1" w:space="720"/>
          <w:titlePg/>
          <w:docGrid w:linePitch="360"/>
        </w:sectPr>
      </w:pPr>
    </w:p>
    <w:p w14:paraId="6CF7AA93" w14:textId="77777777" w:rsidR="00F76B72" w:rsidRDefault="00F76B72" w:rsidP="0052424D">
      <w:pPr>
        <w:spacing w:line="360" w:lineRule="auto"/>
        <w:jc w:val="center"/>
        <w:rPr>
          <w:rFonts w:eastAsia="Calibri"/>
        </w:rPr>
      </w:pPr>
      <w:r>
        <w:rPr>
          <w:rFonts w:eastAsia="Calibri"/>
        </w:rPr>
        <w:br w:type="page"/>
      </w:r>
      <w:r>
        <w:rPr>
          <w:rFonts w:eastAsia="Calibri"/>
        </w:rPr>
        <w:lastRenderedPageBreak/>
        <w:t>Abstract</w:t>
      </w:r>
    </w:p>
    <w:p w14:paraId="7457BEE3" w14:textId="5152E501" w:rsidR="00F76B72" w:rsidRDefault="00F76B72" w:rsidP="0052424D">
      <w:pPr>
        <w:spacing w:line="360" w:lineRule="auto"/>
        <w:rPr>
          <w:rFonts w:eastAsia="Calibri"/>
        </w:rPr>
      </w:pPr>
      <w:r>
        <w:rPr>
          <w:rFonts w:eastAsia="Calibri"/>
        </w:rPr>
        <w:t>A survey of the faculty, staff, and student</w:t>
      </w:r>
      <w:r w:rsidR="00850EE5">
        <w:rPr>
          <w:rFonts w:eastAsia="Calibri"/>
        </w:rPr>
        <w:t>s</w:t>
      </w:r>
      <w:r>
        <w:rPr>
          <w:rFonts w:eastAsia="Calibri"/>
        </w:rPr>
        <w:t xml:space="preserve"> </w:t>
      </w:r>
      <w:r w:rsidR="00850EE5">
        <w:rPr>
          <w:rFonts w:eastAsia="Calibri"/>
        </w:rPr>
        <w:t xml:space="preserve">of </w:t>
      </w:r>
      <w:r>
        <w:rPr>
          <w:rFonts w:eastAsia="Calibri"/>
        </w:rPr>
        <w:t xml:space="preserve">the Yale School of Forestry and Environmental Studies is used to explore the impact of a green building on occupant satisfaction, work, and time impact.  By comparing </w:t>
      </w:r>
      <w:r w:rsidR="00850EE5">
        <w:rPr>
          <w:rFonts w:eastAsia="Calibri"/>
        </w:rPr>
        <w:t>the treatment effect</w:t>
      </w:r>
      <w:r>
        <w:rPr>
          <w:rFonts w:eastAsia="Calibri"/>
        </w:rPr>
        <w:t xml:space="preserve"> between occupants who can self-select into LEED Platinum Kroon Hall to those assigned to it, this paper sheds light on di</w:t>
      </w:r>
      <w:r w:rsidR="00850EE5">
        <w:rPr>
          <w:rFonts w:eastAsia="Calibri"/>
        </w:rPr>
        <w:t>sagreement</w:t>
      </w:r>
      <w:r>
        <w:rPr>
          <w:rFonts w:eastAsia="Calibri"/>
        </w:rPr>
        <w:t xml:space="preserve"> in the green built environment literature</w:t>
      </w:r>
      <w:r w:rsidR="00134E9A">
        <w:rPr>
          <w:rFonts w:eastAsia="Calibri"/>
        </w:rPr>
        <w:t xml:space="preserve"> using a difference-in-difference</w:t>
      </w:r>
      <w:r w:rsidR="00FE682B">
        <w:rPr>
          <w:rFonts w:eastAsia="Calibri"/>
        </w:rPr>
        <w:t>s</w:t>
      </w:r>
      <w:r w:rsidR="00134E9A">
        <w:rPr>
          <w:rFonts w:eastAsia="Calibri"/>
        </w:rPr>
        <w:t xml:space="preserve"> approach</w:t>
      </w:r>
      <w:r>
        <w:rPr>
          <w:rFonts w:eastAsia="Calibri"/>
        </w:rPr>
        <w:t>.  The self-selecting student group receive</w:t>
      </w:r>
      <w:r w:rsidR="00850EE5">
        <w:rPr>
          <w:rFonts w:eastAsia="Calibri"/>
        </w:rPr>
        <w:t>s</w:t>
      </w:r>
      <w:r>
        <w:rPr>
          <w:rFonts w:eastAsia="Calibri"/>
        </w:rPr>
        <w:t xml:space="preserve"> a statistically significant benefit from the green building while the faculty and staff</w:t>
      </w:r>
      <w:r w:rsidR="00850EE5">
        <w:rPr>
          <w:rFonts w:eastAsia="Calibri"/>
        </w:rPr>
        <w:t xml:space="preserve"> who are assigned </w:t>
      </w:r>
      <w:r>
        <w:rPr>
          <w:rFonts w:eastAsia="Calibri"/>
        </w:rPr>
        <w:t>report being no more satisfied than their counterparts on average.  One possible cause is self-selection improves satisfaction and welfare when the buildings of an organization are h</w:t>
      </w:r>
      <w:r w:rsidR="00850EE5">
        <w:rPr>
          <w:rFonts w:eastAsia="Calibri"/>
        </w:rPr>
        <w:t xml:space="preserve">eterogeneous.  Another is that </w:t>
      </w:r>
      <w:r w:rsidR="00134E9A">
        <w:rPr>
          <w:rFonts w:eastAsia="Calibri"/>
        </w:rPr>
        <w:t xml:space="preserve">the value of </w:t>
      </w:r>
      <w:r w:rsidR="00850EE5">
        <w:rPr>
          <w:rFonts w:eastAsia="Calibri"/>
        </w:rPr>
        <w:t>green</w:t>
      </w:r>
      <w:r>
        <w:rPr>
          <w:rFonts w:eastAsia="Calibri"/>
        </w:rPr>
        <w:t xml:space="preserve"> </w:t>
      </w:r>
      <w:r w:rsidR="0009098A">
        <w:rPr>
          <w:rFonts w:eastAsia="Calibri"/>
        </w:rPr>
        <w:t>‘</w:t>
      </w:r>
      <w:r>
        <w:rPr>
          <w:rFonts w:eastAsia="Calibri"/>
        </w:rPr>
        <w:t>vanity architecture’- structure built</w:t>
      </w:r>
      <w:r w:rsidR="00850EE5">
        <w:rPr>
          <w:rFonts w:eastAsia="Calibri"/>
        </w:rPr>
        <w:t xml:space="preserve"> to impres</w:t>
      </w:r>
      <w:r w:rsidR="00134E9A">
        <w:rPr>
          <w:rFonts w:eastAsia="Calibri"/>
        </w:rPr>
        <w:t>s visitors with greenness,</w:t>
      </w:r>
      <w:r w:rsidR="00850EE5">
        <w:rPr>
          <w:rFonts w:eastAsia="Calibri"/>
        </w:rPr>
        <w:t xml:space="preserve"> </w:t>
      </w:r>
      <w:r w:rsidR="00134E9A">
        <w:rPr>
          <w:rFonts w:eastAsia="Calibri"/>
        </w:rPr>
        <w:t>has not been shared by the</w:t>
      </w:r>
      <w:r>
        <w:rPr>
          <w:rFonts w:eastAsia="Calibri"/>
        </w:rPr>
        <w:t xml:space="preserve"> permanent staff of </w:t>
      </w:r>
      <w:r w:rsidR="00850EE5">
        <w:rPr>
          <w:rFonts w:eastAsia="Calibri"/>
        </w:rPr>
        <w:t>Kroon Hall</w:t>
      </w:r>
      <w:r w:rsidR="0009098A">
        <w:rPr>
          <w:rFonts w:eastAsia="Calibri"/>
        </w:rPr>
        <w:t xml:space="preserve"> who use different spaces in the building</w:t>
      </w:r>
      <w:r w:rsidR="00134E9A">
        <w:rPr>
          <w:rFonts w:eastAsia="Calibri"/>
        </w:rPr>
        <w:t>.</w:t>
      </w:r>
    </w:p>
    <w:p w14:paraId="56E92048" w14:textId="7677A02A" w:rsidR="00F76B72" w:rsidRPr="0052424D" w:rsidRDefault="00F76B72" w:rsidP="0052424D">
      <w:pPr>
        <w:spacing w:after="120" w:line="360" w:lineRule="auto"/>
      </w:pPr>
      <w:r>
        <w:t>Keywords: LEED, comfort survey, green building, vanity architecture, quasi-experimental</w:t>
      </w:r>
    </w:p>
    <w:p w14:paraId="48885681" w14:textId="77777777" w:rsidR="00F76B72" w:rsidRDefault="00F76B72" w:rsidP="00F76B72">
      <w:pPr>
        <w:rPr>
          <w:rFonts w:eastAsia="Calibri"/>
        </w:rPr>
      </w:pPr>
    </w:p>
    <w:sdt>
      <w:sdtPr>
        <w:rPr>
          <w:rFonts w:ascii="Times New Roman" w:eastAsiaTheme="minorHAnsi" w:hAnsi="Times New Roman" w:cs="Times New Roman"/>
          <w:b/>
          <w:color w:val="auto"/>
          <w:sz w:val="24"/>
          <w:szCs w:val="24"/>
        </w:rPr>
        <w:id w:val="-1571028028"/>
        <w:docPartObj>
          <w:docPartGallery w:val="Table of Contents"/>
          <w:docPartUnique/>
        </w:docPartObj>
      </w:sdtPr>
      <w:sdtEndPr>
        <w:rPr>
          <w:b w:val="0"/>
          <w:bCs/>
          <w:noProof/>
          <w:sz w:val="22"/>
          <w:szCs w:val="22"/>
        </w:rPr>
      </w:sdtEndPr>
      <w:sdtContent>
        <w:p w14:paraId="316B5F5E" w14:textId="77777777" w:rsidR="00F76B72" w:rsidRPr="00F76B72" w:rsidRDefault="00F76B72" w:rsidP="00F76B72">
          <w:pPr>
            <w:pStyle w:val="TOCHeading"/>
            <w:rPr>
              <w:rFonts w:ascii="Times New Roman" w:hAnsi="Times New Roman" w:cs="Times New Roman"/>
              <w:b/>
              <w:color w:val="auto"/>
              <w:sz w:val="24"/>
              <w:szCs w:val="24"/>
            </w:rPr>
          </w:pPr>
          <w:r w:rsidRPr="00F76B72">
            <w:rPr>
              <w:rFonts w:ascii="Times New Roman" w:hAnsi="Times New Roman" w:cs="Times New Roman"/>
              <w:b/>
              <w:color w:val="auto"/>
              <w:sz w:val="24"/>
              <w:szCs w:val="24"/>
            </w:rPr>
            <w:t>Chapter content</w:t>
          </w:r>
        </w:p>
        <w:p w14:paraId="4FAFB03B" w14:textId="7E6B08EF" w:rsidR="008D0378" w:rsidRPr="008D0378" w:rsidRDefault="00F76B72">
          <w:pPr>
            <w:pStyle w:val="TOC1"/>
            <w:tabs>
              <w:tab w:val="right" w:leader="dot" w:pos="9350"/>
            </w:tabs>
            <w:rPr>
              <w:rFonts w:eastAsiaTheme="minorEastAsia"/>
              <w:noProof/>
            </w:rPr>
          </w:pPr>
          <w:r w:rsidRPr="00F76B72">
            <w:fldChar w:fldCharType="begin"/>
          </w:r>
          <w:r w:rsidRPr="00F76B72">
            <w:instrText xml:space="preserve"> TOC \o "1-3" \h \z \u </w:instrText>
          </w:r>
          <w:r w:rsidRPr="00F76B72">
            <w:fldChar w:fldCharType="separate"/>
          </w:r>
          <w:hyperlink w:anchor="_Toc482187988" w:history="1">
            <w:r w:rsidR="008D0378" w:rsidRPr="008D0378">
              <w:rPr>
                <w:rStyle w:val="Hyperlink"/>
                <w:noProof/>
              </w:rPr>
              <w:t>Introduction</w:t>
            </w:r>
            <w:r w:rsidR="008D0378" w:rsidRPr="008D0378">
              <w:rPr>
                <w:noProof/>
                <w:webHidden/>
              </w:rPr>
              <w:tab/>
            </w:r>
            <w:r w:rsidR="008D0378" w:rsidRPr="008D0378">
              <w:rPr>
                <w:noProof/>
                <w:webHidden/>
              </w:rPr>
              <w:fldChar w:fldCharType="begin"/>
            </w:r>
            <w:r w:rsidR="008D0378" w:rsidRPr="008D0378">
              <w:rPr>
                <w:noProof/>
                <w:webHidden/>
              </w:rPr>
              <w:instrText xml:space="preserve"> PAGEREF _Toc482187988 \h </w:instrText>
            </w:r>
            <w:r w:rsidR="008D0378" w:rsidRPr="008D0378">
              <w:rPr>
                <w:noProof/>
                <w:webHidden/>
              </w:rPr>
            </w:r>
            <w:r w:rsidR="008D0378" w:rsidRPr="008D0378">
              <w:rPr>
                <w:noProof/>
                <w:webHidden/>
              </w:rPr>
              <w:fldChar w:fldCharType="separate"/>
            </w:r>
            <w:r w:rsidR="00B750E8">
              <w:rPr>
                <w:noProof/>
                <w:webHidden/>
              </w:rPr>
              <w:t>29</w:t>
            </w:r>
            <w:r w:rsidR="008D0378" w:rsidRPr="008D0378">
              <w:rPr>
                <w:noProof/>
                <w:webHidden/>
              </w:rPr>
              <w:fldChar w:fldCharType="end"/>
            </w:r>
          </w:hyperlink>
        </w:p>
        <w:p w14:paraId="2208AE03" w14:textId="7B92BE56" w:rsidR="008D0378" w:rsidRPr="008D0378" w:rsidRDefault="001219E7">
          <w:pPr>
            <w:pStyle w:val="TOC1"/>
            <w:tabs>
              <w:tab w:val="right" w:leader="dot" w:pos="9350"/>
            </w:tabs>
            <w:rPr>
              <w:rFonts w:eastAsiaTheme="minorEastAsia"/>
              <w:noProof/>
            </w:rPr>
          </w:pPr>
          <w:hyperlink w:anchor="_Toc482187989" w:history="1">
            <w:r w:rsidR="008D0378" w:rsidRPr="008D0378">
              <w:rPr>
                <w:rStyle w:val="Hyperlink"/>
                <w:noProof/>
              </w:rPr>
              <w:t>Literature review</w:t>
            </w:r>
            <w:r w:rsidR="008D0378" w:rsidRPr="008D0378">
              <w:rPr>
                <w:noProof/>
                <w:webHidden/>
              </w:rPr>
              <w:tab/>
            </w:r>
            <w:r w:rsidR="008D0378" w:rsidRPr="008D0378">
              <w:rPr>
                <w:noProof/>
                <w:webHidden/>
              </w:rPr>
              <w:fldChar w:fldCharType="begin"/>
            </w:r>
            <w:r w:rsidR="008D0378" w:rsidRPr="008D0378">
              <w:rPr>
                <w:noProof/>
                <w:webHidden/>
              </w:rPr>
              <w:instrText xml:space="preserve"> PAGEREF _Toc482187989 \h </w:instrText>
            </w:r>
            <w:r w:rsidR="008D0378" w:rsidRPr="008D0378">
              <w:rPr>
                <w:noProof/>
                <w:webHidden/>
              </w:rPr>
            </w:r>
            <w:r w:rsidR="008D0378" w:rsidRPr="008D0378">
              <w:rPr>
                <w:noProof/>
                <w:webHidden/>
              </w:rPr>
              <w:fldChar w:fldCharType="separate"/>
            </w:r>
            <w:r w:rsidR="00B750E8">
              <w:rPr>
                <w:noProof/>
                <w:webHidden/>
              </w:rPr>
              <w:t>30</w:t>
            </w:r>
            <w:r w:rsidR="008D0378" w:rsidRPr="008D0378">
              <w:rPr>
                <w:noProof/>
                <w:webHidden/>
              </w:rPr>
              <w:fldChar w:fldCharType="end"/>
            </w:r>
          </w:hyperlink>
        </w:p>
        <w:p w14:paraId="4208761E" w14:textId="68615B6B" w:rsidR="008D0378" w:rsidRPr="008D0378" w:rsidRDefault="001219E7">
          <w:pPr>
            <w:pStyle w:val="TOC1"/>
            <w:tabs>
              <w:tab w:val="right" w:leader="dot" w:pos="9350"/>
            </w:tabs>
            <w:rPr>
              <w:rFonts w:eastAsiaTheme="minorEastAsia"/>
              <w:noProof/>
            </w:rPr>
          </w:pPr>
          <w:hyperlink w:anchor="_Toc482187990" w:history="1">
            <w:r w:rsidR="008D0378" w:rsidRPr="008D0378">
              <w:rPr>
                <w:rStyle w:val="Hyperlink"/>
                <w:noProof/>
              </w:rPr>
              <w:t>Methodology</w:t>
            </w:r>
            <w:r w:rsidR="008D0378" w:rsidRPr="008D0378">
              <w:rPr>
                <w:noProof/>
                <w:webHidden/>
              </w:rPr>
              <w:tab/>
            </w:r>
            <w:r w:rsidR="008D0378" w:rsidRPr="008D0378">
              <w:rPr>
                <w:noProof/>
                <w:webHidden/>
              </w:rPr>
              <w:fldChar w:fldCharType="begin"/>
            </w:r>
            <w:r w:rsidR="008D0378" w:rsidRPr="008D0378">
              <w:rPr>
                <w:noProof/>
                <w:webHidden/>
              </w:rPr>
              <w:instrText xml:space="preserve"> PAGEREF _Toc482187990 \h </w:instrText>
            </w:r>
            <w:r w:rsidR="008D0378" w:rsidRPr="008D0378">
              <w:rPr>
                <w:noProof/>
                <w:webHidden/>
              </w:rPr>
            </w:r>
            <w:r w:rsidR="008D0378" w:rsidRPr="008D0378">
              <w:rPr>
                <w:noProof/>
                <w:webHidden/>
              </w:rPr>
              <w:fldChar w:fldCharType="separate"/>
            </w:r>
            <w:r w:rsidR="00B750E8">
              <w:rPr>
                <w:noProof/>
                <w:webHidden/>
              </w:rPr>
              <w:t>31</w:t>
            </w:r>
            <w:r w:rsidR="008D0378" w:rsidRPr="008D0378">
              <w:rPr>
                <w:noProof/>
                <w:webHidden/>
              </w:rPr>
              <w:fldChar w:fldCharType="end"/>
            </w:r>
          </w:hyperlink>
        </w:p>
        <w:p w14:paraId="59A82C3F" w14:textId="7CAE4CCA" w:rsidR="008D0378" w:rsidRPr="008D0378" w:rsidRDefault="001219E7">
          <w:pPr>
            <w:pStyle w:val="TOC2"/>
            <w:tabs>
              <w:tab w:val="right" w:leader="dot" w:pos="9350"/>
            </w:tabs>
            <w:rPr>
              <w:rFonts w:ascii="Times New Roman" w:eastAsiaTheme="minorEastAsia" w:hAnsi="Times New Roman" w:cs="Times New Roman"/>
              <w:noProof/>
            </w:rPr>
          </w:pPr>
          <w:hyperlink w:anchor="_Toc482187991" w:history="1">
            <w:r w:rsidR="008D0378" w:rsidRPr="008D0378">
              <w:rPr>
                <w:rStyle w:val="Hyperlink"/>
                <w:rFonts w:ascii="Times New Roman" w:hAnsi="Times New Roman" w:cs="Times New Roman"/>
                <w:noProof/>
              </w:rPr>
              <w:t>Research Environment</w:t>
            </w:r>
            <w:r w:rsidR="008D0378" w:rsidRPr="008D0378">
              <w:rPr>
                <w:rFonts w:ascii="Times New Roman" w:hAnsi="Times New Roman" w:cs="Times New Roman"/>
                <w:noProof/>
                <w:webHidden/>
              </w:rPr>
              <w:tab/>
            </w:r>
            <w:r w:rsidR="008D0378" w:rsidRPr="008D0378">
              <w:rPr>
                <w:rFonts w:ascii="Times New Roman" w:hAnsi="Times New Roman" w:cs="Times New Roman"/>
                <w:noProof/>
                <w:webHidden/>
              </w:rPr>
              <w:fldChar w:fldCharType="begin"/>
            </w:r>
            <w:r w:rsidR="008D0378" w:rsidRPr="008D0378">
              <w:rPr>
                <w:rFonts w:ascii="Times New Roman" w:hAnsi="Times New Roman" w:cs="Times New Roman"/>
                <w:noProof/>
                <w:webHidden/>
              </w:rPr>
              <w:instrText xml:space="preserve"> PAGEREF _Toc482187991 \h </w:instrText>
            </w:r>
            <w:r w:rsidR="008D0378" w:rsidRPr="008D0378">
              <w:rPr>
                <w:rFonts w:ascii="Times New Roman" w:hAnsi="Times New Roman" w:cs="Times New Roman"/>
                <w:noProof/>
                <w:webHidden/>
              </w:rPr>
            </w:r>
            <w:r w:rsidR="008D0378" w:rsidRPr="008D0378">
              <w:rPr>
                <w:rFonts w:ascii="Times New Roman" w:hAnsi="Times New Roman" w:cs="Times New Roman"/>
                <w:noProof/>
                <w:webHidden/>
              </w:rPr>
              <w:fldChar w:fldCharType="separate"/>
            </w:r>
            <w:r w:rsidR="00B750E8">
              <w:rPr>
                <w:rFonts w:ascii="Times New Roman" w:hAnsi="Times New Roman" w:cs="Times New Roman"/>
                <w:noProof/>
                <w:webHidden/>
              </w:rPr>
              <w:t>32</w:t>
            </w:r>
            <w:r w:rsidR="008D0378" w:rsidRPr="008D0378">
              <w:rPr>
                <w:rFonts w:ascii="Times New Roman" w:hAnsi="Times New Roman" w:cs="Times New Roman"/>
                <w:noProof/>
                <w:webHidden/>
              </w:rPr>
              <w:fldChar w:fldCharType="end"/>
            </w:r>
          </w:hyperlink>
        </w:p>
        <w:p w14:paraId="23B65471" w14:textId="2A0CABE6" w:rsidR="008D0378" w:rsidRPr="008D0378" w:rsidRDefault="001219E7">
          <w:pPr>
            <w:pStyle w:val="TOC2"/>
            <w:tabs>
              <w:tab w:val="right" w:leader="dot" w:pos="9350"/>
            </w:tabs>
            <w:rPr>
              <w:rFonts w:ascii="Times New Roman" w:eastAsiaTheme="minorEastAsia" w:hAnsi="Times New Roman" w:cs="Times New Roman"/>
              <w:noProof/>
            </w:rPr>
          </w:pPr>
          <w:hyperlink w:anchor="_Toc482187992" w:history="1">
            <w:r w:rsidR="008D0378" w:rsidRPr="008D0378">
              <w:rPr>
                <w:rStyle w:val="Hyperlink"/>
                <w:rFonts w:ascii="Times New Roman" w:hAnsi="Times New Roman" w:cs="Times New Roman"/>
                <w:noProof/>
              </w:rPr>
              <w:t>Survey population and response rate</w:t>
            </w:r>
            <w:r w:rsidR="008D0378" w:rsidRPr="008D0378">
              <w:rPr>
                <w:rFonts w:ascii="Times New Roman" w:hAnsi="Times New Roman" w:cs="Times New Roman"/>
                <w:noProof/>
                <w:webHidden/>
              </w:rPr>
              <w:tab/>
            </w:r>
            <w:r w:rsidR="008D0378" w:rsidRPr="008D0378">
              <w:rPr>
                <w:rFonts w:ascii="Times New Roman" w:hAnsi="Times New Roman" w:cs="Times New Roman"/>
                <w:noProof/>
                <w:webHidden/>
              </w:rPr>
              <w:fldChar w:fldCharType="begin"/>
            </w:r>
            <w:r w:rsidR="008D0378" w:rsidRPr="008D0378">
              <w:rPr>
                <w:rFonts w:ascii="Times New Roman" w:hAnsi="Times New Roman" w:cs="Times New Roman"/>
                <w:noProof/>
                <w:webHidden/>
              </w:rPr>
              <w:instrText xml:space="preserve"> PAGEREF _Toc482187992 \h </w:instrText>
            </w:r>
            <w:r w:rsidR="008D0378" w:rsidRPr="008D0378">
              <w:rPr>
                <w:rFonts w:ascii="Times New Roman" w:hAnsi="Times New Roman" w:cs="Times New Roman"/>
                <w:noProof/>
                <w:webHidden/>
              </w:rPr>
            </w:r>
            <w:r w:rsidR="008D0378" w:rsidRPr="008D0378">
              <w:rPr>
                <w:rFonts w:ascii="Times New Roman" w:hAnsi="Times New Roman" w:cs="Times New Roman"/>
                <w:noProof/>
                <w:webHidden/>
              </w:rPr>
              <w:fldChar w:fldCharType="separate"/>
            </w:r>
            <w:r w:rsidR="00B750E8">
              <w:rPr>
                <w:rFonts w:ascii="Times New Roman" w:hAnsi="Times New Roman" w:cs="Times New Roman"/>
                <w:noProof/>
                <w:webHidden/>
              </w:rPr>
              <w:t>33</w:t>
            </w:r>
            <w:r w:rsidR="008D0378" w:rsidRPr="008D0378">
              <w:rPr>
                <w:rFonts w:ascii="Times New Roman" w:hAnsi="Times New Roman" w:cs="Times New Roman"/>
                <w:noProof/>
                <w:webHidden/>
              </w:rPr>
              <w:fldChar w:fldCharType="end"/>
            </w:r>
          </w:hyperlink>
        </w:p>
        <w:p w14:paraId="24D22794" w14:textId="74474714" w:rsidR="008D0378" w:rsidRPr="008D0378" w:rsidRDefault="001219E7">
          <w:pPr>
            <w:pStyle w:val="TOC2"/>
            <w:tabs>
              <w:tab w:val="right" w:leader="dot" w:pos="9350"/>
            </w:tabs>
            <w:rPr>
              <w:rFonts w:ascii="Times New Roman" w:eastAsiaTheme="minorEastAsia" w:hAnsi="Times New Roman" w:cs="Times New Roman"/>
              <w:noProof/>
            </w:rPr>
          </w:pPr>
          <w:hyperlink w:anchor="_Toc482187993" w:history="1">
            <w:r w:rsidR="008D0378" w:rsidRPr="008D0378">
              <w:rPr>
                <w:rStyle w:val="Hyperlink"/>
                <w:rFonts w:ascii="Times New Roman" w:hAnsi="Times New Roman" w:cs="Times New Roman"/>
                <w:noProof/>
              </w:rPr>
              <w:t>Survey Design</w:t>
            </w:r>
            <w:r w:rsidR="008D0378" w:rsidRPr="008D0378">
              <w:rPr>
                <w:rFonts w:ascii="Times New Roman" w:hAnsi="Times New Roman" w:cs="Times New Roman"/>
                <w:noProof/>
                <w:webHidden/>
              </w:rPr>
              <w:tab/>
            </w:r>
            <w:r w:rsidR="008D0378" w:rsidRPr="008D0378">
              <w:rPr>
                <w:rFonts w:ascii="Times New Roman" w:hAnsi="Times New Roman" w:cs="Times New Roman"/>
                <w:noProof/>
                <w:webHidden/>
              </w:rPr>
              <w:fldChar w:fldCharType="begin"/>
            </w:r>
            <w:r w:rsidR="008D0378" w:rsidRPr="008D0378">
              <w:rPr>
                <w:rFonts w:ascii="Times New Roman" w:hAnsi="Times New Roman" w:cs="Times New Roman"/>
                <w:noProof/>
                <w:webHidden/>
              </w:rPr>
              <w:instrText xml:space="preserve"> PAGEREF _Toc482187993 \h </w:instrText>
            </w:r>
            <w:r w:rsidR="008D0378" w:rsidRPr="008D0378">
              <w:rPr>
                <w:rFonts w:ascii="Times New Roman" w:hAnsi="Times New Roman" w:cs="Times New Roman"/>
                <w:noProof/>
                <w:webHidden/>
              </w:rPr>
            </w:r>
            <w:r w:rsidR="008D0378" w:rsidRPr="008D0378">
              <w:rPr>
                <w:rFonts w:ascii="Times New Roman" w:hAnsi="Times New Roman" w:cs="Times New Roman"/>
                <w:noProof/>
                <w:webHidden/>
              </w:rPr>
              <w:fldChar w:fldCharType="separate"/>
            </w:r>
            <w:r w:rsidR="00B750E8">
              <w:rPr>
                <w:rFonts w:ascii="Times New Roman" w:hAnsi="Times New Roman" w:cs="Times New Roman"/>
                <w:noProof/>
                <w:webHidden/>
              </w:rPr>
              <w:t>35</w:t>
            </w:r>
            <w:r w:rsidR="008D0378" w:rsidRPr="008D0378">
              <w:rPr>
                <w:rFonts w:ascii="Times New Roman" w:hAnsi="Times New Roman" w:cs="Times New Roman"/>
                <w:noProof/>
                <w:webHidden/>
              </w:rPr>
              <w:fldChar w:fldCharType="end"/>
            </w:r>
          </w:hyperlink>
        </w:p>
        <w:p w14:paraId="2D4518E8" w14:textId="2FD1C151" w:rsidR="008D0378" w:rsidRPr="008D0378" w:rsidRDefault="001219E7">
          <w:pPr>
            <w:pStyle w:val="TOC2"/>
            <w:tabs>
              <w:tab w:val="right" w:leader="dot" w:pos="9350"/>
            </w:tabs>
            <w:rPr>
              <w:rFonts w:ascii="Times New Roman" w:eastAsiaTheme="minorEastAsia" w:hAnsi="Times New Roman" w:cs="Times New Roman"/>
              <w:noProof/>
            </w:rPr>
          </w:pPr>
          <w:hyperlink w:anchor="_Toc482187994" w:history="1">
            <w:r w:rsidR="008D0378" w:rsidRPr="008D0378">
              <w:rPr>
                <w:rStyle w:val="Hyperlink"/>
                <w:rFonts w:ascii="Times New Roman" w:hAnsi="Times New Roman" w:cs="Times New Roman"/>
                <w:noProof/>
              </w:rPr>
              <w:t>Econometric model</w:t>
            </w:r>
            <w:r w:rsidR="008D0378" w:rsidRPr="008D0378">
              <w:rPr>
                <w:rFonts w:ascii="Times New Roman" w:hAnsi="Times New Roman" w:cs="Times New Roman"/>
                <w:noProof/>
                <w:webHidden/>
              </w:rPr>
              <w:tab/>
            </w:r>
            <w:r w:rsidR="008D0378" w:rsidRPr="008D0378">
              <w:rPr>
                <w:rFonts w:ascii="Times New Roman" w:hAnsi="Times New Roman" w:cs="Times New Roman"/>
                <w:noProof/>
                <w:webHidden/>
              </w:rPr>
              <w:fldChar w:fldCharType="begin"/>
            </w:r>
            <w:r w:rsidR="008D0378" w:rsidRPr="008D0378">
              <w:rPr>
                <w:rFonts w:ascii="Times New Roman" w:hAnsi="Times New Roman" w:cs="Times New Roman"/>
                <w:noProof/>
                <w:webHidden/>
              </w:rPr>
              <w:instrText xml:space="preserve"> PAGEREF _Toc482187994 \h </w:instrText>
            </w:r>
            <w:r w:rsidR="008D0378" w:rsidRPr="008D0378">
              <w:rPr>
                <w:rFonts w:ascii="Times New Roman" w:hAnsi="Times New Roman" w:cs="Times New Roman"/>
                <w:noProof/>
                <w:webHidden/>
              </w:rPr>
            </w:r>
            <w:r w:rsidR="008D0378" w:rsidRPr="008D0378">
              <w:rPr>
                <w:rFonts w:ascii="Times New Roman" w:hAnsi="Times New Roman" w:cs="Times New Roman"/>
                <w:noProof/>
                <w:webHidden/>
              </w:rPr>
              <w:fldChar w:fldCharType="separate"/>
            </w:r>
            <w:r w:rsidR="00B750E8">
              <w:rPr>
                <w:rFonts w:ascii="Times New Roman" w:hAnsi="Times New Roman" w:cs="Times New Roman"/>
                <w:noProof/>
                <w:webHidden/>
              </w:rPr>
              <w:t>36</w:t>
            </w:r>
            <w:r w:rsidR="008D0378" w:rsidRPr="008D0378">
              <w:rPr>
                <w:rFonts w:ascii="Times New Roman" w:hAnsi="Times New Roman" w:cs="Times New Roman"/>
                <w:noProof/>
                <w:webHidden/>
              </w:rPr>
              <w:fldChar w:fldCharType="end"/>
            </w:r>
          </w:hyperlink>
        </w:p>
        <w:p w14:paraId="4ED94257" w14:textId="0C629159" w:rsidR="008D0378" w:rsidRPr="008D0378" w:rsidRDefault="001219E7">
          <w:pPr>
            <w:pStyle w:val="TOC1"/>
            <w:tabs>
              <w:tab w:val="right" w:leader="dot" w:pos="9350"/>
            </w:tabs>
            <w:rPr>
              <w:rFonts w:eastAsiaTheme="minorEastAsia"/>
              <w:noProof/>
            </w:rPr>
          </w:pPr>
          <w:hyperlink w:anchor="_Toc482187995" w:history="1">
            <w:r w:rsidR="008D0378" w:rsidRPr="008D0378">
              <w:rPr>
                <w:rStyle w:val="Hyperlink"/>
                <w:noProof/>
              </w:rPr>
              <w:t>Results</w:t>
            </w:r>
            <w:r w:rsidR="008D0378" w:rsidRPr="008D0378">
              <w:rPr>
                <w:noProof/>
                <w:webHidden/>
              </w:rPr>
              <w:tab/>
            </w:r>
            <w:r w:rsidR="008D0378" w:rsidRPr="008D0378">
              <w:rPr>
                <w:noProof/>
                <w:webHidden/>
              </w:rPr>
              <w:fldChar w:fldCharType="begin"/>
            </w:r>
            <w:r w:rsidR="008D0378" w:rsidRPr="008D0378">
              <w:rPr>
                <w:noProof/>
                <w:webHidden/>
              </w:rPr>
              <w:instrText xml:space="preserve"> PAGEREF _Toc482187995 \h </w:instrText>
            </w:r>
            <w:r w:rsidR="008D0378" w:rsidRPr="008D0378">
              <w:rPr>
                <w:noProof/>
                <w:webHidden/>
              </w:rPr>
            </w:r>
            <w:r w:rsidR="008D0378" w:rsidRPr="008D0378">
              <w:rPr>
                <w:noProof/>
                <w:webHidden/>
              </w:rPr>
              <w:fldChar w:fldCharType="separate"/>
            </w:r>
            <w:r w:rsidR="00B750E8">
              <w:rPr>
                <w:noProof/>
                <w:webHidden/>
              </w:rPr>
              <w:t>38</w:t>
            </w:r>
            <w:r w:rsidR="008D0378" w:rsidRPr="008D0378">
              <w:rPr>
                <w:noProof/>
                <w:webHidden/>
              </w:rPr>
              <w:fldChar w:fldCharType="end"/>
            </w:r>
          </w:hyperlink>
        </w:p>
        <w:p w14:paraId="7FD2D712" w14:textId="7EB2B181" w:rsidR="008D0378" w:rsidRPr="008D0378" w:rsidRDefault="001219E7">
          <w:pPr>
            <w:pStyle w:val="TOC1"/>
            <w:tabs>
              <w:tab w:val="right" w:leader="dot" w:pos="9350"/>
            </w:tabs>
            <w:rPr>
              <w:rFonts w:eastAsiaTheme="minorEastAsia"/>
              <w:noProof/>
            </w:rPr>
          </w:pPr>
          <w:hyperlink w:anchor="_Toc482187996" w:history="1">
            <w:r w:rsidR="008D0378" w:rsidRPr="008D0378">
              <w:rPr>
                <w:rStyle w:val="Hyperlink"/>
                <w:noProof/>
              </w:rPr>
              <w:t>Discussion &amp; Conclusion</w:t>
            </w:r>
            <w:r w:rsidR="008D0378" w:rsidRPr="008D0378">
              <w:rPr>
                <w:noProof/>
                <w:webHidden/>
              </w:rPr>
              <w:tab/>
            </w:r>
            <w:r w:rsidR="008D0378" w:rsidRPr="008D0378">
              <w:rPr>
                <w:noProof/>
                <w:webHidden/>
              </w:rPr>
              <w:fldChar w:fldCharType="begin"/>
            </w:r>
            <w:r w:rsidR="008D0378" w:rsidRPr="008D0378">
              <w:rPr>
                <w:noProof/>
                <w:webHidden/>
              </w:rPr>
              <w:instrText xml:space="preserve"> PAGEREF _Toc482187996 \h </w:instrText>
            </w:r>
            <w:r w:rsidR="008D0378" w:rsidRPr="008D0378">
              <w:rPr>
                <w:noProof/>
                <w:webHidden/>
              </w:rPr>
            </w:r>
            <w:r w:rsidR="008D0378" w:rsidRPr="008D0378">
              <w:rPr>
                <w:noProof/>
                <w:webHidden/>
              </w:rPr>
              <w:fldChar w:fldCharType="separate"/>
            </w:r>
            <w:r w:rsidR="00B750E8">
              <w:rPr>
                <w:noProof/>
                <w:webHidden/>
              </w:rPr>
              <w:t>45</w:t>
            </w:r>
            <w:r w:rsidR="008D0378" w:rsidRPr="008D0378">
              <w:rPr>
                <w:noProof/>
                <w:webHidden/>
              </w:rPr>
              <w:fldChar w:fldCharType="end"/>
            </w:r>
          </w:hyperlink>
        </w:p>
        <w:p w14:paraId="5691DB14" w14:textId="3985AAFE" w:rsidR="008D0378" w:rsidRPr="008D0378" w:rsidRDefault="001219E7">
          <w:pPr>
            <w:pStyle w:val="TOC1"/>
            <w:tabs>
              <w:tab w:val="right" w:leader="dot" w:pos="9350"/>
            </w:tabs>
            <w:rPr>
              <w:rFonts w:eastAsiaTheme="minorEastAsia"/>
              <w:noProof/>
            </w:rPr>
          </w:pPr>
          <w:hyperlink w:anchor="_Toc482187997" w:history="1">
            <w:r w:rsidR="008D0378" w:rsidRPr="008D0378">
              <w:rPr>
                <w:rStyle w:val="Hyperlink"/>
                <w:noProof/>
              </w:rPr>
              <w:t>References</w:t>
            </w:r>
            <w:r w:rsidR="008D0378" w:rsidRPr="008D0378">
              <w:rPr>
                <w:noProof/>
                <w:webHidden/>
              </w:rPr>
              <w:tab/>
            </w:r>
            <w:r w:rsidR="008D0378" w:rsidRPr="008D0378">
              <w:rPr>
                <w:noProof/>
                <w:webHidden/>
              </w:rPr>
              <w:fldChar w:fldCharType="begin"/>
            </w:r>
            <w:r w:rsidR="008D0378" w:rsidRPr="008D0378">
              <w:rPr>
                <w:noProof/>
                <w:webHidden/>
              </w:rPr>
              <w:instrText xml:space="preserve"> PAGEREF _Toc482187997 \h </w:instrText>
            </w:r>
            <w:r w:rsidR="008D0378" w:rsidRPr="008D0378">
              <w:rPr>
                <w:noProof/>
                <w:webHidden/>
              </w:rPr>
            </w:r>
            <w:r w:rsidR="008D0378" w:rsidRPr="008D0378">
              <w:rPr>
                <w:noProof/>
                <w:webHidden/>
              </w:rPr>
              <w:fldChar w:fldCharType="separate"/>
            </w:r>
            <w:r w:rsidR="00B750E8">
              <w:rPr>
                <w:noProof/>
                <w:webHidden/>
              </w:rPr>
              <w:t>46</w:t>
            </w:r>
            <w:r w:rsidR="008D0378" w:rsidRPr="008D0378">
              <w:rPr>
                <w:noProof/>
                <w:webHidden/>
              </w:rPr>
              <w:fldChar w:fldCharType="end"/>
            </w:r>
          </w:hyperlink>
        </w:p>
        <w:p w14:paraId="348E6CC0" w14:textId="36766C1A" w:rsidR="008D0378" w:rsidRDefault="001219E7">
          <w:pPr>
            <w:pStyle w:val="TOC1"/>
            <w:tabs>
              <w:tab w:val="right" w:leader="dot" w:pos="9350"/>
            </w:tabs>
            <w:rPr>
              <w:rFonts w:asciiTheme="minorHAnsi" w:eastAsiaTheme="minorEastAsia" w:hAnsiTheme="minorHAnsi" w:cstheme="minorBidi"/>
              <w:noProof/>
            </w:rPr>
          </w:pPr>
          <w:hyperlink w:anchor="_Toc482187998" w:history="1">
            <w:r w:rsidR="008D0378" w:rsidRPr="008D0378">
              <w:rPr>
                <w:rStyle w:val="Hyperlink"/>
                <w:noProof/>
              </w:rPr>
              <w:t>Appendix</w:t>
            </w:r>
            <w:r w:rsidR="008D0378" w:rsidRPr="008D0378">
              <w:rPr>
                <w:noProof/>
                <w:webHidden/>
              </w:rPr>
              <w:tab/>
            </w:r>
            <w:r w:rsidR="008D0378" w:rsidRPr="008D0378">
              <w:rPr>
                <w:noProof/>
                <w:webHidden/>
              </w:rPr>
              <w:fldChar w:fldCharType="begin"/>
            </w:r>
            <w:r w:rsidR="008D0378" w:rsidRPr="008D0378">
              <w:rPr>
                <w:noProof/>
                <w:webHidden/>
              </w:rPr>
              <w:instrText xml:space="preserve"> PAGEREF _Toc482187998 \h </w:instrText>
            </w:r>
            <w:r w:rsidR="008D0378" w:rsidRPr="008D0378">
              <w:rPr>
                <w:noProof/>
                <w:webHidden/>
              </w:rPr>
            </w:r>
            <w:r w:rsidR="008D0378" w:rsidRPr="008D0378">
              <w:rPr>
                <w:noProof/>
                <w:webHidden/>
              </w:rPr>
              <w:fldChar w:fldCharType="separate"/>
            </w:r>
            <w:r w:rsidR="00B750E8">
              <w:rPr>
                <w:noProof/>
                <w:webHidden/>
              </w:rPr>
              <w:t>46</w:t>
            </w:r>
            <w:r w:rsidR="008D0378" w:rsidRPr="008D0378">
              <w:rPr>
                <w:noProof/>
                <w:webHidden/>
              </w:rPr>
              <w:fldChar w:fldCharType="end"/>
            </w:r>
          </w:hyperlink>
        </w:p>
        <w:p w14:paraId="4C23EF89" w14:textId="7B35950C" w:rsidR="00F76B72" w:rsidRPr="00143D6A" w:rsidRDefault="00F76B72" w:rsidP="00F76B72">
          <w:r w:rsidRPr="00F76B72">
            <w:rPr>
              <w:b/>
              <w:bCs/>
              <w:noProof/>
            </w:rPr>
            <w:fldChar w:fldCharType="end"/>
          </w:r>
        </w:p>
      </w:sdtContent>
    </w:sdt>
    <w:p w14:paraId="19A947B8" w14:textId="77777777" w:rsidR="00F76B72" w:rsidRDefault="00F76B72" w:rsidP="00F76B72">
      <w:pPr>
        <w:jc w:val="center"/>
        <w:rPr>
          <w:rFonts w:eastAsia="Calibri"/>
        </w:rPr>
      </w:pPr>
    </w:p>
    <w:p w14:paraId="0E31155E" w14:textId="77777777" w:rsidR="00F76B72" w:rsidRDefault="00F76B72" w:rsidP="00F76B72">
      <w:pPr>
        <w:jc w:val="center"/>
        <w:rPr>
          <w:rFonts w:eastAsia="Calibri"/>
        </w:rPr>
      </w:pPr>
    </w:p>
    <w:p w14:paraId="0C0D817B" w14:textId="77777777" w:rsidR="00F76B72" w:rsidRPr="00A84854" w:rsidRDefault="00F76B72" w:rsidP="00F76B72">
      <w:pPr>
        <w:jc w:val="center"/>
        <w:rPr>
          <w:rFonts w:eastAsia="Calibri"/>
        </w:rPr>
      </w:pPr>
      <w:r w:rsidRPr="00A84854">
        <w:rPr>
          <w:rFonts w:eastAsia="Calibri"/>
        </w:rPr>
        <w:t>Author contributions</w:t>
      </w:r>
      <w:r>
        <w:rPr>
          <w:rFonts w:eastAsia="Calibri"/>
        </w:rPr>
        <w:t xml:space="preserve"> and acknowledgements</w:t>
      </w:r>
      <w:r w:rsidRPr="00A84854">
        <w:rPr>
          <w:rFonts w:eastAsia="Calibri"/>
        </w:rPr>
        <w:t>:</w:t>
      </w:r>
    </w:p>
    <w:p w14:paraId="7D2D0659" w14:textId="28839CF6" w:rsidR="00F76B72" w:rsidRPr="00143D6A" w:rsidRDefault="00A11B28" w:rsidP="00F76B72">
      <w:pPr>
        <w:rPr>
          <w:rFonts w:eastAsia="Calibri"/>
        </w:rPr>
        <w:sectPr w:rsidR="00F76B72" w:rsidRPr="00143D6A" w:rsidSect="00F76B72">
          <w:type w:val="continuous"/>
          <w:pgSz w:w="12240" w:h="15840"/>
          <w:pgMar w:top="1440" w:right="1440" w:bottom="1440" w:left="1440" w:header="720" w:footer="720" w:gutter="0"/>
          <w:cols w:sep="1" w:space="720"/>
          <w:titlePg/>
          <w:docGrid w:linePitch="360"/>
        </w:sectPr>
      </w:pPr>
      <w:r>
        <w:rPr>
          <w:rFonts w:eastAsia="Calibri"/>
        </w:rPr>
        <w:t>I conduct</w:t>
      </w:r>
      <w:r w:rsidR="00F76B72">
        <w:rPr>
          <w:rFonts w:eastAsia="Calibri"/>
        </w:rPr>
        <w:t xml:space="preserve"> the statistical analysis and composition of this study.</w:t>
      </w:r>
      <w:r w:rsidR="00F76B72" w:rsidRPr="00A84854">
        <w:rPr>
          <w:rFonts w:eastAsia="Calibri"/>
        </w:rPr>
        <w:t xml:space="preserve">  </w:t>
      </w:r>
      <w:r w:rsidR="00F76B72" w:rsidRPr="00444AEE">
        <w:rPr>
          <w:rFonts w:eastAsia="Calibri"/>
        </w:rPr>
        <w:t>The survey questions were developed by Matthew Kotchen</w:t>
      </w:r>
      <w:r w:rsidR="00F76B72">
        <w:rPr>
          <w:rFonts w:eastAsia="Calibri"/>
        </w:rPr>
        <w:t xml:space="preserve"> </w:t>
      </w:r>
      <w:r w:rsidR="00F76B72" w:rsidRPr="00444AEE">
        <w:rPr>
          <w:rFonts w:eastAsia="Calibri"/>
        </w:rPr>
        <w:t xml:space="preserve">and </w:t>
      </w:r>
      <w:r w:rsidR="00F76B72">
        <w:rPr>
          <w:rFonts w:eastAsia="Calibri"/>
        </w:rPr>
        <w:t>James Ball (</w:t>
      </w:r>
      <w:r w:rsidR="00275728">
        <w:rPr>
          <w:rFonts w:eastAsia="Calibri"/>
        </w:rPr>
        <w:t xml:space="preserve">a </w:t>
      </w:r>
      <w:r w:rsidR="00F76B72">
        <w:rPr>
          <w:rFonts w:eastAsia="Calibri"/>
        </w:rPr>
        <w:t>fellow student)</w:t>
      </w:r>
      <w:r w:rsidR="00F76B72" w:rsidRPr="00444AEE">
        <w:rPr>
          <w:rFonts w:eastAsia="Calibri"/>
        </w:rPr>
        <w:t xml:space="preserve">, and the survey instrument was implemented by </w:t>
      </w:r>
      <w:r w:rsidR="00F76B72">
        <w:rPr>
          <w:rFonts w:eastAsia="Calibri"/>
        </w:rPr>
        <w:t>James Ball</w:t>
      </w:r>
      <w:r w:rsidR="00F76B72" w:rsidRPr="00444AEE">
        <w:rPr>
          <w:rFonts w:eastAsia="Calibri"/>
        </w:rPr>
        <w:t>.</w:t>
      </w:r>
      <w:r w:rsidR="00F76B72">
        <w:rPr>
          <w:rFonts w:eastAsia="Calibri"/>
        </w:rPr>
        <w:t xml:space="preserve">  </w:t>
      </w:r>
      <w:r w:rsidR="00F76B72" w:rsidRPr="00444AEE">
        <w:rPr>
          <w:rFonts w:eastAsia="Calibri"/>
        </w:rPr>
        <w:t>I am grateful for their substa</w:t>
      </w:r>
      <w:r w:rsidR="00F76B72">
        <w:rPr>
          <w:rFonts w:eastAsia="Calibri"/>
        </w:rPr>
        <w:t>ntial contributions and feedback as well a</w:t>
      </w:r>
      <w:r w:rsidR="00275728">
        <w:rPr>
          <w:rFonts w:eastAsia="Calibri"/>
        </w:rPr>
        <w:t>s that</w:t>
      </w:r>
      <w:r w:rsidR="0052424D">
        <w:rPr>
          <w:rFonts w:eastAsia="Calibri"/>
        </w:rPr>
        <w:t xml:space="preserve"> of Anthony Leiserowitz</w:t>
      </w:r>
    </w:p>
    <w:p w14:paraId="43598D27" w14:textId="77777777" w:rsidR="00F76B72" w:rsidRPr="00A84854" w:rsidRDefault="00F76B72" w:rsidP="00F76B72">
      <w:pPr>
        <w:rPr>
          <w:rFonts w:eastAsia="Calibri"/>
        </w:rPr>
        <w:sectPr w:rsidR="00F76B72" w:rsidRPr="00A84854" w:rsidSect="00F76B72">
          <w:type w:val="continuous"/>
          <w:pgSz w:w="12240" w:h="15840"/>
          <w:pgMar w:top="1440" w:right="1440" w:bottom="1440" w:left="1440" w:header="720" w:footer="720" w:gutter="0"/>
          <w:pgNumType w:start="0"/>
          <w:cols w:num="2" w:sep="1" w:space="720"/>
          <w:titlePg/>
          <w:docGrid w:linePitch="360"/>
        </w:sectPr>
      </w:pPr>
    </w:p>
    <w:p w14:paraId="66D5129B" w14:textId="058CA063" w:rsidR="00F76B72" w:rsidRDefault="00F76B72" w:rsidP="0052424D">
      <w:pPr>
        <w:spacing w:after="0" w:line="360" w:lineRule="auto"/>
        <w:jc w:val="center"/>
        <w:rPr>
          <w:b/>
          <w:sz w:val="24"/>
        </w:rPr>
      </w:pPr>
      <w:r>
        <w:rPr>
          <w:b/>
          <w:sz w:val="24"/>
        </w:rPr>
        <w:br w:type="page"/>
      </w:r>
      <w:r w:rsidR="00AD44FA">
        <w:rPr>
          <w:b/>
          <w:sz w:val="24"/>
        </w:rPr>
        <w:lastRenderedPageBreak/>
        <w:t>Green Building Satisfaction and Adaptive Behaviors:</w:t>
      </w:r>
    </w:p>
    <w:p w14:paraId="1737B561" w14:textId="2E264E2D" w:rsidR="00F76B72" w:rsidRPr="00072995" w:rsidRDefault="00AD44FA" w:rsidP="0052424D">
      <w:pPr>
        <w:spacing w:after="120" w:line="360" w:lineRule="auto"/>
        <w:jc w:val="center"/>
        <w:rPr>
          <w:b/>
          <w:sz w:val="24"/>
        </w:rPr>
      </w:pPr>
      <w:r>
        <w:rPr>
          <w:b/>
          <w:sz w:val="24"/>
        </w:rPr>
        <w:t>A Comparison of Permanent Occupants to Visitors</w:t>
      </w:r>
    </w:p>
    <w:p w14:paraId="4F360163" w14:textId="77777777" w:rsidR="00F76B72" w:rsidRPr="00072995" w:rsidRDefault="00F76B72" w:rsidP="0052424D">
      <w:pPr>
        <w:pStyle w:val="Heading1"/>
        <w:spacing w:line="360" w:lineRule="auto"/>
      </w:pPr>
      <w:bookmarkStart w:id="31" w:name="_Toc479624364"/>
      <w:bookmarkStart w:id="32" w:name="_Toc479624457"/>
      <w:bookmarkStart w:id="33" w:name="_Toc482127008"/>
      <w:bookmarkStart w:id="34" w:name="_Toc482127038"/>
      <w:bookmarkStart w:id="35" w:name="_Toc482187988"/>
      <w:r w:rsidRPr="00072995">
        <w:t>Introduction</w:t>
      </w:r>
      <w:bookmarkEnd w:id="31"/>
      <w:bookmarkEnd w:id="32"/>
      <w:bookmarkEnd w:id="33"/>
      <w:bookmarkEnd w:id="34"/>
      <w:bookmarkEnd w:id="35"/>
    </w:p>
    <w:p w14:paraId="65E000D0" w14:textId="68BA26CB" w:rsidR="00F76B72" w:rsidRDefault="00F76B72" w:rsidP="0052424D">
      <w:pPr>
        <w:spacing w:after="120" w:line="360" w:lineRule="auto"/>
      </w:pPr>
      <w:r>
        <w:t xml:space="preserve">This study explores the concern that green buildings </w:t>
      </w:r>
      <w:r w:rsidR="00313BE5">
        <w:t>trade</w:t>
      </w:r>
      <w:r>
        <w:t xml:space="preserve"> comfort for energy efficiency to such an extent </w:t>
      </w:r>
      <w:r w:rsidR="001A29DC">
        <w:t xml:space="preserve">that </w:t>
      </w:r>
      <w:r>
        <w:t>productivity</w:t>
      </w:r>
      <w:r w:rsidR="001A29DC">
        <w:t xml:space="preserve"> is adversely impacted</w:t>
      </w:r>
      <w:r>
        <w:t xml:space="preserve">.  In such extremum, building occupants may </w:t>
      </w:r>
      <w:r w:rsidR="00313BE5">
        <w:t xml:space="preserve">even </w:t>
      </w:r>
      <w:r>
        <w:t>engage in adaptive behavior that undermines energy efficiency goals.  The study analyzes whether tradeoffs occur between energy efficiency, or greenness, and user satisfaction in</w:t>
      </w:r>
      <w:r w:rsidR="00313BE5">
        <w:t xml:space="preserve"> a modern green building</w:t>
      </w:r>
      <w:r>
        <w:t xml:space="preserve"> through a survey</w:t>
      </w:r>
      <w:r w:rsidR="00303C84">
        <w:t xml:space="preserve"> instrument</w:t>
      </w:r>
      <w:r>
        <w:t>.  It</w:t>
      </w:r>
      <w:r w:rsidR="0009098A">
        <w:t xml:space="preserve"> also</w:t>
      </w:r>
      <w:r>
        <w:t xml:space="preserve"> reports whether members of the workforce in </w:t>
      </w:r>
      <w:r w:rsidR="00313BE5">
        <w:t>a green building</w:t>
      </w:r>
      <w:r>
        <w:t xml:space="preserve"> adapt and undermine energy efficiency goals.  The analysis uses feedback from comparable residents of green and traditional buildings.  </w:t>
      </w:r>
      <w:r w:rsidR="00313BE5">
        <w:t>Importantly, the analysis is</w:t>
      </w:r>
      <w:r>
        <w:t xml:space="preserve"> differentiated by whether respondent</w:t>
      </w:r>
      <w:r w:rsidR="00313BE5">
        <w:t>s</w:t>
      </w:r>
      <w:r>
        <w:t xml:space="preserve"> self-select into the green building or </w:t>
      </w:r>
      <w:r w:rsidR="00313BE5">
        <w:t>are</w:t>
      </w:r>
      <w:r w:rsidR="00303C84">
        <w:t xml:space="preserve"> assigned primarily without regard to building preference</w:t>
      </w:r>
      <w:r>
        <w:t xml:space="preserve">.  </w:t>
      </w:r>
      <w:r w:rsidR="00313BE5">
        <w:t>As a result</w:t>
      </w:r>
      <w:r>
        <w:t xml:space="preserve">, the study also </w:t>
      </w:r>
      <w:r w:rsidR="00313BE5">
        <w:t>weighs</w:t>
      </w:r>
      <w:r>
        <w:t xml:space="preserve"> </w:t>
      </w:r>
      <w:r w:rsidR="00313BE5">
        <w:t xml:space="preserve">in </w:t>
      </w:r>
      <w:r>
        <w:t xml:space="preserve">on </w:t>
      </w:r>
      <w:r w:rsidR="00313BE5">
        <w:t xml:space="preserve">a </w:t>
      </w:r>
      <w:r>
        <w:t>discrepanc</w:t>
      </w:r>
      <w:r w:rsidR="00313BE5">
        <w:t>y</w:t>
      </w:r>
      <w:r>
        <w:t xml:space="preserve"> in the green building literature</w:t>
      </w:r>
      <w:r w:rsidR="009B00B6">
        <w:t xml:space="preserve"> </w:t>
      </w:r>
      <w:r w:rsidR="00303C84">
        <w:t>-</w:t>
      </w:r>
      <w:r w:rsidR="009B00B6">
        <w:t xml:space="preserve"> why some studies find a statistically significant green building benefit and others do no</w:t>
      </w:r>
      <w:r w:rsidR="00303C84">
        <w:t>t</w:t>
      </w:r>
      <w:r>
        <w:t xml:space="preserve">. </w:t>
      </w:r>
    </w:p>
    <w:p w14:paraId="5D8C2133" w14:textId="371DE201" w:rsidR="00F76B72" w:rsidRDefault="00F76B72" w:rsidP="0052424D">
      <w:pPr>
        <w:spacing w:after="120" w:line="360" w:lineRule="auto"/>
      </w:pPr>
      <w:r>
        <w:t xml:space="preserve">For this </w:t>
      </w:r>
      <w:r w:rsidR="00627D80">
        <w:t>study</w:t>
      </w:r>
      <w:r>
        <w:t xml:space="preserve">, </w:t>
      </w:r>
      <w:r w:rsidR="00303C84">
        <w:t xml:space="preserve">we conduct </w:t>
      </w:r>
      <w:r>
        <w:t xml:space="preserve">a survey of the entire student and faculty body at the Yale School of Forestry and Environmental Studies (F&amp;ES) in New Haven, Connecticut.  This is a particularly appropriate population for study for three reasons.  First, F&amp;ES members are spread about evenly between a fairly standard set of university </w:t>
      </w:r>
      <w:r w:rsidR="00627D80">
        <w:t>structures</w:t>
      </w:r>
      <w:r>
        <w:t xml:space="preserve"> built and renovated over the last century, and Kroon Hall which is one of the “greenest” buildings in the United States.  Controlling for any differences between users of Kroon Hall and the standard, or baseline set of buildings</w:t>
      </w:r>
      <w:r w:rsidR="00627D80">
        <w:t>,</w:t>
      </w:r>
      <w:r>
        <w:t xml:space="preserve"> approximate</w:t>
      </w:r>
      <w:r w:rsidR="00627D80">
        <w:t>s</w:t>
      </w:r>
      <w:r>
        <w:t xml:space="preserve"> a treatment on resident comfort and productivity from the green building.  </w:t>
      </w:r>
    </w:p>
    <w:p w14:paraId="63E2821C" w14:textId="07D38BB1" w:rsidR="00F76B72" w:rsidRDefault="00F76B72" w:rsidP="0052424D">
      <w:pPr>
        <w:spacing w:after="120" w:line="360" w:lineRule="auto"/>
      </w:pPr>
      <w:r>
        <w:t xml:space="preserve">Second, the population is identifiable as students, who primarily use public spaces, versus faculty and staff who use offices.  This has several possible interpretations.  As students are inherently transient (or </w:t>
      </w:r>
      <w:r w:rsidR="00CE687E">
        <w:t xml:space="preserve">at least </w:t>
      </w:r>
      <w:r>
        <w:t xml:space="preserve">should be), the comparison may be </w:t>
      </w:r>
      <w:r w:rsidR="00CE687E">
        <w:t>a</w:t>
      </w:r>
      <w:r>
        <w:t xml:space="preserve"> s</w:t>
      </w:r>
      <w:r w:rsidR="00CE687E">
        <w:t>hort run versus long run effect</w:t>
      </w:r>
      <w:r>
        <w:t xml:space="preserve"> of a green building on satisfaction.  Turnover rates of faculty and staff</w:t>
      </w:r>
      <w:r w:rsidR="00CE687E">
        <w:t xml:space="preserve"> are particularly small at F&amp;ES</w:t>
      </w:r>
      <w:r>
        <w:t xml:space="preserve"> </w:t>
      </w:r>
      <w:r w:rsidR="00CE687E">
        <w:t>while most students graduate after two years</w:t>
      </w:r>
      <w:r>
        <w:t xml:space="preserve">.  </w:t>
      </w:r>
      <w:r w:rsidR="00303C84">
        <w:t>An alternative is that it is</w:t>
      </w:r>
      <w:r>
        <w:t xml:space="preserve"> a comparison </w:t>
      </w:r>
      <w:r w:rsidR="00CE687E">
        <w:t xml:space="preserve">of the benefit of green </w:t>
      </w:r>
      <w:r>
        <w:t>office architecture versus th</w:t>
      </w:r>
      <w:r w:rsidR="00CE687E">
        <w:t>at</w:t>
      </w:r>
      <w:r>
        <w:t xml:space="preserve"> prepared for the public.  </w:t>
      </w:r>
      <w:r w:rsidR="00CE687E">
        <w:t>This is the impact of green</w:t>
      </w:r>
      <w:r>
        <w:t xml:space="preserve"> ‘vanity architecture’-</w:t>
      </w:r>
      <w:r w:rsidR="00CE687E">
        <w:t xml:space="preserve"> an</w:t>
      </w:r>
      <w:r>
        <w:t xml:space="preserve"> emphasis on design to impress visitors to a build</w:t>
      </w:r>
      <w:r w:rsidR="00CE687E">
        <w:t>ing with grandeur and greenness</w:t>
      </w:r>
      <w:r>
        <w:t xml:space="preserve"> at the expensive of underwhelming the long-term building inhabitants- the staff.</w:t>
      </w:r>
    </w:p>
    <w:p w14:paraId="03A64B2F" w14:textId="64F105F1" w:rsidR="00F76B72" w:rsidRDefault="00F76B72" w:rsidP="0052424D">
      <w:pPr>
        <w:spacing w:after="120" w:line="360" w:lineRule="auto"/>
      </w:pPr>
      <w:r>
        <w:t>Importantly, there is also a difference in being able to self-select into and out of the green space</w:t>
      </w:r>
      <w:r w:rsidR="004B78F8">
        <w:t xml:space="preserve">.  Students may select to use whatever spaces they prefer to work in, </w:t>
      </w:r>
      <w:r>
        <w:t xml:space="preserve">not an option for faculty, staff, and those in research roles.  It enables a more rigorous </w:t>
      </w:r>
      <w:r w:rsidR="00303C84">
        <w:t>treatment</w:t>
      </w:r>
      <w:r>
        <w:t xml:space="preserve"> argument for the faculty and staff group, </w:t>
      </w:r>
      <w:r w:rsidR="004B78F8">
        <w:t>a</w:t>
      </w:r>
      <w:r>
        <w:t xml:space="preserve"> contrast </w:t>
      </w:r>
      <w:r w:rsidR="004B78F8">
        <w:t>to</w:t>
      </w:r>
      <w:r>
        <w:t xml:space="preserve"> the student group who </w:t>
      </w:r>
      <w:r w:rsidR="004B78F8">
        <w:t xml:space="preserve">may </w:t>
      </w:r>
      <w:r>
        <w:t xml:space="preserve">choose the environment best suited </w:t>
      </w:r>
      <w:r w:rsidR="004B78F8">
        <w:t>and</w:t>
      </w:r>
      <w:r w:rsidR="0009098A">
        <w:t xml:space="preserve"> thus</w:t>
      </w:r>
      <w:r>
        <w:t xml:space="preserve"> potentially </w:t>
      </w:r>
      <w:r w:rsidR="004B78F8">
        <w:t>increase</w:t>
      </w:r>
      <w:r>
        <w:t xml:space="preserve"> satisfaction.  </w:t>
      </w:r>
      <w:r>
        <w:lastRenderedPageBreak/>
        <w:t>The reality is that each of these factors is likely important to some extent.  Th</w:t>
      </w:r>
      <w:r w:rsidR="004B78F8">
        <w:t>is</w:t>
      </w:r>
      <w:r>
        <w:t xml:space="preserve"> also make</w:t>
      </w:r>
      <w:r w:rsidR="004B78F8">
        <w:t>s</w:t>
      </w:r>
      <w:r>
        <w:t xml:space="preserve"> comparison</w:t>
      </w:r>
      <w:r w:rsidR="004B78F8">
        <w:t>s</w:t>
      </w:r>
      <w:r>
        <w:t xml:space="preserve"> of faculty to students </w:t>
      </w:r>
      <w:r w:rsidR="004B78F8">
        <w:t>difficult</w:t>
      </w:r>
      <w:r>
        <w:t xml:space="preserve"> </w:t>
      </w:r>
      <w:r w:rsidR="0009098A">
        <w:t>so</w:t>
      </w:r>
      <w:r>
        <w:t xml:space="preserve"> the study compares faculty to fac</w:t>
      </w:r>
      <w:r w:rsidR="004B78F8">
        <w:t>ulty and students to students between</w:t>
      </w:r>
      <w:r>
        <w:t xml:space="preserve"> the green building </w:t>
      </w:r>
      <w:r w:rsidR="004B78F8">
        <w:t>and traditional</w:t>
      </w:r>
      <w:r>
        <w:t xml:space="preserve"> building counterparts.  </w:t>
      </w:r>
    </w:p>
    <w:p w14:paraId="1D9F09D7" w14:textId="50A46083" w:rsidR="00F76B72" w:rsidRDefault="00F76B72" w:rsidP="0052424D">
      <w:pPr>
        <w:spacing w:after="120" w:line="360" w:lineRule="auto"/>
      </w:pPr>
      <w:r>
        <w:t>A third reason is the general characteristics of the population of survey.  F&amp;ES is a graduate school with a significant number of young professionals and early to mid-career researchers and staff.  The findings then inform on the interests and preferences of the U.S., office-bound workforce of coming decades.  This</w:t>
      </w:r>
      <w:r w:rsidR="009B0AA9">
        <w:t xml:space="preserve"> must be caveated that F&amp;ES students are predominantly </w:t>
      </w:r>
      <w:r w:rsidR="0009098A">
        <w:t>“</w:t>
      </w:r>
      <w:r w:rsidR="009B0AA9">
        <w:t>green</w:t>
      </w:r>
      <w:r w:rsidR="0009098A">
        <w:t>”</w:t>
      </w:r>
      <w:r w:rsidR="009B0AA9">
        <w:t xml:space="preserve"> students- young professionals studying environmental concerns</w:t>
      </w:r>
      <w:r>
        <w:t>.</w:t>
      </w:r>
      <w:r w:rsidR="009B0AA9">
        <w:t xml:space="preserve">  </w:t>
      </w:r>
    </w:p>
    <w:p w14:paraId="794946AF" w14:textId="77777777" w:rsidR="00F76B72" w:rsidRPr="00463CA8" w:rsidRDefault="004110C9" w:rsidP="0052424D">
      <w:pPr>
        <w:spacing w:line="360" w:lineRule="auto"/>
      </w:pPr>
      <w:r>
        <w:t>This paper follows standard structure: A</w:t>
      </w:r>
      <w:r w:rsidR="00F76B72">
        <w:t xml:space="preserve"> review of the green building satisfaction literature is presented.  A detailed methodological discussion is the</w:t>
      </w:r>
      <w:r w:rsidR="004B78F8">
        <w:t>n</w:t>
      </w:r>
      <w:r w:rsidR="00F76B72">
        <w:t xml:space="preserve"> followed by</w:t>
      </w:r>
      <w:r w:rsidR="004B78F8">
        <w:t xml:space="preserve"> a</w:t>
      </w:r>
      <w:r w:rsidR="00F76B72">
        <w:t xml:space="preserve"> statistical analysis, discussion, and conclusion.  The main body focuses on the results </w:t>
      </w:r>
      <w:r w:rsidR="004B78F8">
        <w:t>from</w:t>
      </w:r>
      <w:r w:rsidR="00F76B72">
        <w:t xml:space="preserve"> questions on thermal comfort and adaptation strategies while an appendix presents extended tables </w:t>
      </w:r>
      <w:r w:rsidR="004B78F8">
        <w:t>covering</w:t>
      </w:r>
      <w:r w:rsidR="00F76B72">
        <w:t xml:space="preserve"> nine </w:t>
      </w:r>
      <w:r w:rsidR="004B78F8">
        <w:t>other</w:t>
      </w:r>
      <w:r w:rsidR="00F76B72">
        <w:t xml:space="preserve"> categories o</w:t>
      </w:r>
      <w:r w:rsidR="004B78F8">
        <w:t>f</w:t>
      </w:r>
      <w:r w:rsidR="00F76B72">
        <w:t xml:space="preserve"> building satisfactio</w:t>
      </w:r>
      <w:r w:rsidR="004B78F8">
        <w:t>n, preferences, and work impact</w:t>
      </w:r>
      <w:r w:rsidR="00F76B72">
        <w:t>.</w:t>
      </w:r>
    </w:p>
    <w:p w14:paraId="0B298FA7" w14:textId="77777777" w:rsidR="00F76B72" w:rsidRPr="009A79F4" w:rsidRDefault="00F76B72" w:rsidP="0052424D">
      <w:pPr>
        <w:pStyle w:val="ListParagraph"/>
        <w:numPr>
          <w:ilvl w:val="0"/>
          <w:numId w:val="5"/>
        </w:numPr>
        <w:spacing w:after="120" w:line="360" w:lineRule="auto"/>
        <w:rPr>
          <w:b/>
          <w:vanish/>
        </w:rPr>
      </w:pPr>
    </w:p>
    <w:p w14:paraId="5478B8AF" w14:textId="77777777" w:rsidR="00F76B72" w:rsidRPr="00072995" w:rsidRDefault="00F76B72" w:rsidP="0052424D">
      <w:pPr>
        <w:pStyle w:val="Heading1"/>
        <w:spacing w:line="360" w:lineRule="auto"/>
        <w:rPr>
          <w:rFonts w:cs="Times New Roman"/>
        </w:rPr>
      </w:pPr>
      <w:bookmarkStart w:id="36" w:name="_Toc479624323"/>
      <w:bookmarkStart w:id="37" w:name="_Toc479624365"/>
      <w:bookmarkStart w:id="38" w:name="_Toc479624458"/>
      <w:bookmarkStart w:id="39" w:name="_Toc482127009"/>
      <w:bookmarkStart w:id="40" w:name="_Toc482127039"/>
      <w:bookmarkStart w:id="41" w:name="_Toc482187989"/>
      <w:r w:rsidRPr="00072995">
        <w:rPr>
          <w:rFonts w:cs="Times New Roman"/>
        </w:rPr>
        <w:t>Literature review</w:t>
      </w:r>
      <w:bookmarkEnd w:id="36"/>
      <w:bookmarkEnd w:id="37"/>
      <w:bookmarkEnd w:id="38"/>
      <w:bookmarkEnd w:id="39"/>
      <w:bookmarkEnd w:id="40"/>
      <w:bookmarkEnd w:id="41"/>
    </w:p>
    <w:p w14:paraId="7E5F8315" w14:textId="70D1AF34" w:rsidR="00F76B72" w:rsidRDefault="00F76B72" w:rsidP="008D0378">
      <w:pPr>
        <w:spacing w:line="360" w:lineRule="auto"/>
      </w:pPr>
      <w:r>
        <w:rPr>
          <w:rFonts w:eastAsiaTheme="minorEastAsia"/>
        </w:rPr>
        <w:t xml:space="preserve">Building satisfaction surveys as well as laboratory experiments occur </w:t>
      </w:r>
      <w:r w:rsidR="00F06FB0">
        <w:rPr>
          <w:rFonts w:eastAsiaTheme="minorEastAsia"/>
        </w:rPr>
        <w:t>frequently in</w:t>
      </w:r>
      <w:r>
        <w:rPr>
          <w:rFonts w:eastAsiaTheme="minorEastAsia"/>
        </w:rPr>
        <w:t xml:space="preserve"> the built environment literature.  </w:t>
      </w:r>
      <w:r>
        <w:t>Frontczak and</w:t>
      </w:r>
      <w:r w:rsidRPr="00991596">
        <w:t xml:space="preserve"> Wargocki</w:t>
      </w:r>
      <w:r>
        <w:t xml:space="preserve"> </w:t>
      </w:r>
      <w:r w:rsidRPr="00991596">
        <w:t>(2011)</w:t>
      </w:r>
      <w:r w:rsidR="00F06FB0">
        <w:t xml:space="preserve"> provide</w:t>
      </w:r>
      <w:r>
        <w:t xml:space="preserve"> a </w:t>
      </w:r>
      <w:r w:rsidR="00F06FB0">
        <w:t>sound</w:t>
      </w:r>
      <w:r>
        <w:t xml:space="preserve"> introduction to the literature</w:t>
      </w:r>
      <w:r w:rsidR="00F06FB0">
        <w:t xml:space="preserve"> discussing occupant and building</w:t>
      </w:r>
      <w:r>
        <w:t xml:space="preserve"> factor</w:t>
      </w:r>
      <w:r w:rsidR="00F06FB0">
        <w:t>s impacting comfort.  From the</w:t>
      </w:r>
      <w:r>
        <w:t xml:space="preserve"> meta-analysis, comfort is particularly sensitive to gender and age and so these are included as controls in this study.  They also find that thermal comfort can substantially impact other factors, </w:t>
      </w:r>
      <w:r w:rsidR="00F06FB0">
        <w:t>i.e.</w:t>
      </w:r>
      <w:r>
        <w:t xml:space="preserve"> when a space is thermally uncomfortable, occupants </w:t>
      </w:r>
      <w:r w:rsidR="00F06FB0">
        <w:t>report</w:t>
      </w:r>
      <w:r>
        <w:t xml:space="preserve"> noise levels and other distractions more irritating.  Frontczak and</w:t>
      </w:r>
      <w:r w:rsidRPr="00991596">
        <w:t xml:space="preserve"> Wargocki</w:t>
      </w:r>
      <w:r>
        <w:t xml:space="preserve"> </w:t>
      </w:r>
      <w:r w:rsidRPr="00991596">
        <w:t>(2011)</w:t>
      </w:r>
      <w:r>
        <w:t xml:space="preserve"> </w:t>
      </w:r>
      <w:r w:rsidR="00F06FB0">
        <w:t>also review</w:t>
      </w:r>
      <w:r>
        <w:t xml:space="preserve"> studies where the subjects are transient and where they are assigned without discussing this important difference.  They compare the results without considering the self-selection issue and so find sometimes conflicting </w:t>
      </w:r>
      <w:r w:rsidR="00F06FB0">
        <w:t>outcomes</w:t>
      </w:r>
      <w:r w:rsidR="008D0378">
        <w:t>.</w:t>
      </w:r>
    </w:p>
    <w:p w14:paraId="3134C48D" w14:textId="71975FDE" w:rsidR="00F76B72" w:rsidRDefault="00F76B72" w:rsidP="0052424D">
      <w:pPr>
        <w:spacing w:after="120" w:line="360" w:lineRule="auto"/>
      </w:pPr>
      <w:r>
        <w:t>A rather interesting study by Kingma and van Marken Lichtenbelt (2015) further empha</w:t>
      </w:r>
      <w:r w:rsidR="00F06FB0">
        <w:t>sizes the role of gender</w:t>
      </w:r>
      <w:r>
        <w:t>, focusing on thermal comfort.  They advocate for a better model of thermal demand that represents the actual occupants of buildings.  Citing evidence that women prefer warmer temperatures on average, they argue that buildings are typically set to match standards based on male metabolic rates and that these are fu</w:t>
      </w:r>
      <w:r w:rsidR="00F06FB0">
        <w:t xml:space="preserve">ndamentally different from </w:t>
      </w:r>
      <w:r>
        <w:t>women’s.  In a context of comparing green to conventional buildings, men and women may be impacted differently if a green building is too hot (initially favoring women) or too cold (</w:t>
      </w:r>
      <w:r w:rsidR="00F06FB0">
        <w:t>having little</w:t>
      </w:r>
      <w:r>
        <w:t xml:space="preserve"> impact</w:t>
      </w:r>
      <w:r w:rsidR="00F06FB0">
        <w:t xml:space="preserve"> on</w:t>
      </w:r>
      <w:r>
        <w:t xml:space="preserve"> men initially).</w:t>
      </w:r>
    </w:p>
    <w:p w14:paraId="5745B3B2" w14:textId="77777777" w:rsidR="008D0378" w:rsidRDefault="008D0378" w:rsidP="0052424D">
      <w:pPr>
        <w:spacing w:after="120" w:line="360" w:lineRule="auto"/>
      </w:pPr>
    </w:p>
    <w:p w14:paraId="50651BE1" w14:textId="46E1FC02" w:rsidR="00F76B72" w:rsidRDefault="00F76B72" w:rsidP="0052424D">
      <w:pPr>
        <w:spacing w:after="120" w:line="360" w:lineRule="auto"/>
      </w:pPr>
      <w:r>
        <w:lastRenderedPageBreak/>
        <w:t>As an example of the green building literature, the Center for the Built Environment conducted a large analysis of green versus conventional building comfort (</w:t>
      </w:r>
      <w:r w:rsidRPr="000620E1">
        <w:t>C</w:t>
      </w:r>
      <w:r>
        <w:t>enter for the Built Environment, 2006).  Of the 181 buildings in the survey, 21 were either LEED ce</w:t>
      </w:r>
      <w:r w:rsidR="00BB4AB4">
        <w:t>rtified or owner designated as ‘green’</w:t>
      </w:r>
      <w:r>
        <w:t xml:space="preserve">.  </w:t>
      </w:r>
      <w:r w:rsidR="00735ACB">
        <w:t>T</w:t>
      </w:r>
      <w:r>
        <w:t xml:space="preserve">hey find green buildings better in some categories (thermal comfort, air quality) but </w:t>
      </w:r>
      <w:r w:rsidR="00BB4AB4">
        <w:t>doing poorly in others</w:t>
      </w:r>
      <w:r>
        <w:t xml:space="preserve"> such as acoustical quality.  </w:t>
      </w:r>
      <w:r w:rsidR="00BB4AB4">
        <w:t>L</w:t>
      </w:r>
      <w:r>
        <w:t xml:space="preserve">ike much of the literature, they survey building occupants without any identifying information about whether they are able to self-select in or out of buildings.  This </w:t>
      </w:r>
      <w:r w:rsidR="00BB4AB4">
        <w:t>is</w:t>
      </w:r>
      <w:r>
        <w:t xml:space="preserve"> a recurring </w:t>
      </w:r>
      <w:r w:rsidR="00BB4AB4">
        <w:t>issue</w:t>
      </w:r>
      <w:r>
        <w:t xml:space="preserve"> in the literature- a lack of comparison and inclusion of both assigned and transi</w:t>
      </w:r>
      <w:r w:rsidR="00BB4AB4">
        <w:t>ent</w:t>
      </w:r>
      <w:r>
        <w:t xml:space="preserve"> occupants.</w:t>
      </w:r>
    </w:p>
    <w:p w14:paraId="51EB6B97" w14:textId="1B4B3DB9" w:rsidR="00F76B72" w:rsidRDefault="00F76B72" w:rsidP="0052424D">
      <w:pPr>
        <w:spacing w:after="120" w:line="360" w:lineRule="auto"/>
      </w:pPr>
      <w:r>
        <w:t xml:space="preserve">Holmgren, Kabanshi, and Sorqvist (2017) </w:t>
      </w:r>
      <w:r w:rsidR="00BB4AB4">
        <w:t>conduct</w:t>
      </w:r>
      <w:r>
        <w:t xml:space="preserve"> a more rigorous approach to questions of building comfort and green labels.  They conduct a small laboratory experiment where labelling of a laboratory workspace as having a “low carbon footprint” is interacted with temperature.  They find that environmentally concerned participants tend to like the low carbon, or</w:t>
      </w:r>
      <w:r w:rsidR="00BB4AB4">
        <w:t xml:space="preserve"> green</w:t>
      </w:r>
      <w:r>
        <w:t xml:space="preserve"> labeled space more.  They are also willing to tolerate higher temperatures in the green space (give higher acceptability scores) relative to othe</w:t>
      </w:r>
      <w:r w:rsidR="00BB4AB4">
        <w:t>rwise same non-green spaces</w:t>
      </w:r>
      <w:r>
        <w:t xml:space="preserve"> within limits. An unfortunate limitation on this </w:t>
      </w:r>
      <w:r w:rsidR="00735ACB">
        <w:t>r</w:t>
      </w:r>
      <w:r>
        <w:t>esearch is that it only measures a short-term situation- the green effect they find may dissipate with long, repeat exposure to only mildly uncomfortable spaces consistent with most building occupant behavior.</w:t>
      </w:r>
    </w:p>
    <w:p w14:paraId="4F8B6C6D" w14:textId="77777777" w:rsidR="00F76B72" w:rsidRDefault="00F76B72" w:rsidP="0052424D">
      <w:pPr>
        <w:spacing w:after="120" w:line="360" w:lineRule="auto"/>
      </w:pPr>
      <w:r>
        <w:t>As a</w:t>
      </w:r>
      <w:r w:rsidR="00D72242">
        <w:t>nother</w:t>
      </w:r>
      <w:r>
        <w:t xml:space="preserve"> example, Paul and Taylor (2008) study a mix of one green and two conventional buildings on university campuses with a similar variety of questions to the survey </w:t>
      </w:r>
      <w:r w:rsidR="00D72242">
        <w:t>used in this study</w:t>
      </w:r>
      <w:r>
        <w:t>.  However, Paul and Taylor d</w:t>
      </w:r>
      <w:r w:rsidR="00D72242">
        <w:t>o no</w:t>
      </w:r>
      <w:r>
        <w:t>t analyze the impact on</w:t>
      </w:r>
      <w:r w:rsidR="00D72242">
        <w:t xml:space="preserve"> the</w:t>
      </w:r>
      <w:r>
        <w:t xml:space="preserve"> more transient students and only sample university employees who are assigned space.  While this places their study on the more stringent side of the green building research spectrum, it is limited </w:t>
      </w:r>
      <w:r w:rsidR="00D72242">
        <w:t>by this</w:t>
      </w:r>
      <w:r>
        <w:t>.  Still, they</w:t>
      </w:r>
      <w:r w:rsidR="00D72242">
        <w:t xml:space="preserve"> do</w:t>
      </w:r>
      <w:r>
        <w:t xml:space="preserve"> find similar results for our assigned subgroup- little to no difference in satisfaction from being placed i</w:t>
      </w:r>
      <w:r w:rsidR="00E8788F">
        <w:t>n a green building versus conventional.  It appears that</w:t>
      </w:r>
      <w:r>
        <w:t xml:space="preserve"> if green buildings do have some advantage for occupants, it comes from being able to self-select into the right environment rather than being placed </w:t>
      </w:r>
      <w:r w:rsidR="00E8788F">
        <w:t>without regard</w:t>
      </w:r>
      <w:r>
        <w:t xml:space="preserve"> to preferences.</w:t>
      </w:r>
    </w:p>
    <w:p w14:paraId="296FCDB3" w14:textId="2B544339" w:rsidR="006B32C4" w:rsidRPr="008D0378" w:rsidRDefault="00F76B72" w:rsidP="0052424D">
      <w:pPr>
        <w:spacing w:after="120" w:line="360" w:lineRule="auto"/>
      </w:pPr>
      <w:r>
        <w:t>Finally, green buildings have other value than building comfort.  Kok and Quigley (2013) note substantial energy savin</w:t>
      </w:r>
      <w:r w:rsidR="00E8788F">
        <w:t>gs potential relative to matching</w:t>
      </w:r>
      <w:r>
        <w:t xml:space="preserve"> conventional buildings.  </w:t>
      </w:r>
      <w:r w:rsidR="00735ACB">
        <w:t>T</w:t>
      </w:r>
      <w:r>
        <w:t>hese savings are found to be well incorporated into the rents of green space</w:t>
      </w:r>
      <w:r w:rsidR="00A8598B">
        <w:t>s</w:t>
      </w:r>
      <w:r>
        <w:t xml:space="preserve"> and so is less of a direct remunerative advantage to occupants</w:t>
      </w:r>
      <w:r w:rsidR="00A8598B">
        <w:t>,</w:t>
      </w:r>
      <w:r>
        <w:t xml:space="preserve"> ev</w:t>
      </w:r>
      <w:r w:rsidR="008D0378">
        <w:t>en if good for the environment.</w:t>
      </w:r>
    </w:p>
    <w:p w14:paraId="4207CC4C" w14:textId="77777777" w:rsidR="00F76B72" w:rsidRDefault="00F76B72" w:rsidP="0052424D">
      <w:pPr>
        <w:pStyle w:val="Heading1"/>
        <w:spacing w:line="360" w:lineRule="auto"/>
        <w:rPr>
          <w:rFonts w:cs="Times New Roman"/>
        </w:rPr>
      </w:pPr>
      <w:bookmarkStart w:id="42" w:name="_Toc479624324"/>
      <w:bookmarkStart w:id="43" w:name="_Toc479624366"/>
      <w:bookmarkStart w:id="44" w:name="_Toc479624459"/>
      <w:bookmarkStart w:id="45" w:name="_Toc482127010"/>
      <w:bookmarkStart w:id="46" w:name="_Toc482127040"/>
      <w:bookmarkStart w:id="47" w:name="_Toc482187990"/>
      <w:r w:rsidRPr="00072995">
        <w:rPr>
          <w:rFonts w:cs="Times New Roman"/>
        </w:rPr>
        <w:t>Methodology</w:t>
      </w:r>
      <w:bookmarkEnd w:id="42"/>
      <w:bookmarkEnd w:id="43"/>
      <w:bookmarkEnd w:id="44"/>
      <w:bookmarkEnd w:id="45"/>
      <w:bookmarkEnd w:id="46"/>
      <w:bookmarkEnd w:id="47"/>
    </w:p>
    <w:p w14:paraId="40355EC5" w14:textId="4D7A2442" w:rsidR="00F76B72" w:rsidRPr="00C10D76" w:rsidRDefault="00F76B72" w:rsidP="0052424D">
      <w:pPr>
        <w:spacing w:line="360" w:lineRule="auto"/>
      </w:pPr>
      <w:r>
        <w:t xml:space="preserve">This section outlines the study methodology in four parts.  First, the general research environment- the buildings that occupants use are </w:t>
      </w:r>
      <w:r w:rsidR="00A8598B">
        <w:t>discussed</w:t>
      </w:r>
      <w:r>
        <w:t>.  Then, the population surveyed is outlined and contrasted to the general population.  The survey design is then highlighted and finally the statistical approach is outlined in greater depth.</w:t>
      </w:r>
    </w:p>
    <w:p w14:paraId="5A817944" w14:textId="77777777" w:rsidR="00F76B72" w:rsidRPr="006D4BCB" w:rsidRDefault="00F76B72" w:rsidP="0052424D">
      <w:pPr>
        <w:pStyle w:val="ListParagraph"/>
        <w:spacing w:after="120" w:line="360" w:lineRule="auto"/>
        <w:outlineLvl w:val="1"/>
      </w:pPr>
      <w:bookmarkStart w:id="48" w:name="_Toc479624325"/>
      <w:bookmarkStart w:id="49" w:name="_Toc479624367"/>
      <w:bookmarkStart w:id="50" w:name="_Toc479624460"/>
      <w:bookmarkStart w:id="51" w:name="_Toc482127011"/>
      <w:bookmarkStart w:id="52" w:name="_Toc482127041"/>
      <w:bookmarkStart w:id="53" w:name="_Toc482187991"/>
      <w:r w:rsidRPr="00AD4CB5">
        <w:lastRenderedPageBreak/>
        <w:t>Research Environment</w:t>
      </w:r>
      <w:bookmarkEnd w:id="48"/>
      <w:bookmarkEnd w:id="49"/>
      <w:bookmarkEnd w:id="50"/>
      <w:bookmarkEnd w:id="51"/>
      <w:bookmarkEnd w:id="52"/>
      <w:bookmarkEnd w:id="53"/>
    </w:p>
    <w:p w14:paraId="34160D68" w14:textId="77777777" w:rsidR="00F76B72" w:rsidRDefault="00F76B72" w:rsidP="0052424D">
      <w:pPr>
        <w:spacing w:line="360" w:lineRule="auto"/>
      </w:pPr>
      <w:r>
        <w:t>Yale F&amp;ES owns a variety of valuable resources.  In addition to</w:t>
      </w:r>
      <w:r w:rsidR="00A8598B">
        <w:t xml:space="preserve"> a reputation</w:t>
      </w:r>
      <w:r>
        <w:t xml:space="preserve"> for excellence in research and teaching and several thousand acres of productive forest, it owns and occupies six buildings on</w:t>
      </w:r>
      <w:r w:rsidR="00A8598B">
        <w:t xml:space="preserve"> the Yale University</w:t>
      </w:r>
      <w:r>
        <w:t xml:space="preserve"> campus.  These buildings, built between 1878 and 2009 and continually updated, have a contrasting characteristic that provides </w:t>
      </w:r>
      <w:r w:rsidR="00A8598B">
        <w:t>the basis</w:t>
      </w:r>
      <w:r>
        <w:t xml:space="preserve"> for research on the impact of green buildings on </w:t>
      </w:r>
      <w:r w:rsidR="00A8598B">
        <w:t xml:space="preserve">productivity and satisfaction.  </w:t>
      </w:r>
      <w:r>
        <w:t xml:space="preserve">The set of buildings in comparison is novel due to the inclusion of Yale University’s greenest building- Kroon Hall.  Designed in 2005 by Hopkins Architects, Kroon Hall </w:t>
      </w:r>
      <w:r w:rsidR="00A8598B">
        <w:t>is</w:t>
      </w:r>
      <w:r>
        <w:t xml:space="preserve"> intended to be at the very forefront of sustainability and environmental innovation.  </w:t>
      </w:r>
      <w:r w:rsidRPr="00991596">
        <w:t xml:space="preserve">After its construction, </w:t>
      </w:r>
      <w:r>
        <w:t>it</w:t>
      </w:r>
      <w:r w:rsidRPr="00991596">
        <w:t xml:space="preserve"> was awarded the US Green Building Council’s (USGBC) highest certification for green building</w:t>
      </w:r>
      <w:r>
        <w:t>-</w:t>
      </w:r>
      <w:r w:rsidRPr="00991596">
        <w:t xml:space="preserve"> LEED Platinum. The certification is based on points received by implementing a checklist of</w:t>
      </w:r>
      <w:r>
        <w:t xml:space="preserve"> green features. For Kroon Hall, </w:t>
      </w:r>
      <w:r w:rsidRPr="00991596">
        <w:t xml:space="preserve">these include geothermal wells, adiabatic cooling, </w:t>
      </w:r>
      <w:r>
        <w:t>exotic</w:t>
      </w:r>
      <w:r w:rsidRPr="00991596">
        <w:t xml:space="preserve"> air handlers, high efficiency heat pumps</w:t>
      </w:r>
      <w:r>
        <w:t>,</w:t>
      </w:r>
      <w:r w:rsidRPr="00991596">
        <w:t xml:space="preserve"> and </w:t>
      </w:r>
      <w:r>
        <w:t xml:space="preserve">a </w:t>
      </w:r>
      <w:r w:rsidRPr="00991596">
        <w:t xml:space="preserve">100-kilowatt photovoltaic </w:t>
      </w:r>
      <w:r>
        <w:t>system</w:t>
      </w:r>
      <w:r w:rsidRPr="00991596">
        <w:t xml:space="preserve">. </w:t>
      </w:r>
      <w:r>
        <w:t xml:space="preserve"> In total, Kroon received</w:t>
      </w:r>
      <w:r w:rsidRPr="00991596">
        <w:t xml:space="preserve"> 97 point</w:t>
      </w:r>
      <w:r>
        <w:t>s on the LEED checklist, far</w:t>
      </w:r>
      <w:r w:rsidRPr="00991596">
        <w:t xml:space="preserve"> </w:t>
      </w:r>
      <w:r w:rsidR="00A8598B">
        <w:t>exceeding</w:t>
      </w:r>
      <w:r w:rsidRPr="00991596">
        <w:t xml:space="preserve"> the 80 points needed </w:t>
      </w:r>
      <w:r w:rsidR="00A8598B">
        <w:t>for</w:t>
      </w:r>
      <w:r w:rsidRPr="00991596">
        <w:t xml:space="preserve"> Platinum </w:t>
      </w:r>
      <w:r>
        <w:t>certification</w:t>
      </w:r>
    </w:p>
    <w:p w14:paraId="4D0D113E" w14:textId="77777777" w:rsidR="00F76B72" w:rsidRDefault="00F76B72" w:rsidP="0052424D">
      <w:pPr>
        <w:spacing w:after="120" w:line="360" w:lineRule="auto"/>
      </w:pPr>
      <w:r>
        <w:t xml:space="preserve">The key source of identifying variation on the green building effect in this study is a comparison of satisfaction, work impact, etc. ratings </w:t>
      </w:r>
      <w:r w:rsidR="00A8598B">
        <w:t>by</w:t>
      </w:r>
      <w:r>
        <w:t xml:space="preserve"> Kroon Hall users to those</w:t>
      </w:r>
      <w:r w:rsidR="00A8598B">
        <w:t xml:space="preserve"> from respondents</w:t>
      </w:r>
      <w:r>
        <w:t xml:space="preserve"> who primarily use the other five buildings at Yale F&amp;ES.  These other buildings are relatively standard institutional structures.  While some are aged, they have undergone sufficient renovation that they remain comparable to </w:t>
      </w:r>
      <w:r w:rsidR="00A8598B">
        <w:t>many</w:t>
      </w:r>
      <w:r>
        <w:t xml:space="preserve"> U.S. office spaces, at least on the interior.  In the econometric model, the replies from occupants of these buildings, which constitute roughly half of the FES faculty, staff, and student body, are grouped to form a baseline.  Despite differences in age and </w:t>
      </w:r>
      <w:r w:rsidR="00A8598B">
        <w:t xml:space="preserve">design, the five structures are </w:t>
      </w:r>
      <w:r>
        <w:t xml:space="preserve">comparatively similar relative to Kroon Hall.  </w:t>
      </w:r>
      <w:r w:rsidR="00A8598B">
        <w:t>T</w:t>
      </w:r>
      <w:r>
        <w:t>he six structures occupied in this study are outlined:</w:t>
      </w:r>
    </w:p>
    <w:p w14:paraId="095B55C9" w14:textId="77777777" w:rsidR="00F76B72" w:rsidRPr="00BB7F32" w:rsidRDefault="00F76B72" w:rsidP="0052424D">
      <w:pPr>
        <w:spacing w:after="120" w:line="360" w:lineRule="auto"/>
      </w:pPr>
      <w:r w:rsidRPr="007732C0">
        <w:rPr>
          <w:u w:val="single"/>
        </w:rPr>
        <w:t>Kroon Hall</w:t>
      </w:r>
      <w:r>
        <w:t xml:space="preserve"> at</w:t>
      </w:r>
      <w:r w:rsidRPr="00BB7F32">
        <w:t xml:space="preserve"> 1</w:t>
      </w:r>
      <w:r>
        <w:t>95 Prospect Street was completed in 2009.  It’s the largest structure at F&amp;ES</w:t>
      </w:r>
      <w:r w:rsidR="00A8598B">
        <w:t xml:space="preserve"> at 52,635 square feet and is </w:t>
      </w:r>
      <w:r>
        <w:t>four-stor</w:t>
      </w:r>
      <w:r w:rsidR="00A8598B">
        <w:t>ies in height</w:t>
      </w:r>
      <w:r>
        <w:t xml:space="preserve">.  In addition to </w:t>
      </w:r>
      <w:r w:rsidR="00A8598B">
        <w:t>LEED status, it is known for</w:t>
      </w:r>
      <w:r>
        <w:t xml:space="preserve"> imposing natural wood and concrete and</w:t>
      </w:r>
      <w:r w:rsidR="00A8598B">
        <w:t xml:space="preserve"> an</w:t>
      </w:r>
      <w:r>
        <w:t xml:space="preserve"> open floor plan.  Kroon Hall contains the college dean</w:t>
      </w:r>
      <w:r w:rsidRPr="00BB7F32">
        <w:t xml:space="preserve"> </w:t>
      </w:r>
      <w:r>
        <w:t>and several faculty and staff offices.  A large a</w:t>
      </w:r>
      <w:r w:rsidRPr="00BB7F32">
        <w:t xml:space="preserve">uditorium, </w:t>
      </w:r>
      <w:r>
        <w:t xml:space="preserve">classrooms, and student </w:t>
      </w:r>
      <w:r w:rsidRPr="00BB7F32">
        <w:t>spaces</w:t>
      </w:r>
      <w:r>
        <w:t xml:space="preserve"> are distributed throughout as are three research centers.  This structure is serviced by central heat and cooling and utilizes an integrated open plenum ventilation system for distribution with several hundred floor-mount low flow vents.  Heating and cooling is aided by guided occupant response- a system informs occupants when windows should be opened or closed to assist the central system based on a comparison </w:t>
      </w:r>
      <w:r w:rsidR="00A8598B">
        <w:t>of indoor and</w:t>
      </w:r>
      <w:r>
        <w:t xml:space="preserve"> outdoor environment</w:t>
      </w:r>
      <w:r w:rsidR="00A8598B">
        <w:t>s</w:t>
      </w:r>
      <w:r>
        <w:t>.</w:t>
      </w:r>
    </w:p>
    <w:p w14:paraId="0FF6C6D4" w14:textId="77777777" w:rsidR="00F76B72" w:rsidRDefault="00F76B72" w:rsidP="0052424D">
      <w:pPr>
        <w:spacing w:after="120" w:line="360" w:lineRule="auto"/>
      </w:pPr>
      <w:r w:rsidRPr="007732C0">
        <w:rPr>
          <w:u w:val="single"/>
        </w:rPr>
        <w:t>Sage Hall</w:t>
      </w:r>
      <w:r>
        <w:t xml:space="preserve"> at 205 Prospect Street is F&amp;ES’s next largest bui</w:t>
      </w:r>
      <w:r w:rsidR="00162C8A">
        <w:t>lding.  Built in 1924, it is four-stories and 27,698 square feet such that</w:t>
      </w:r>
      <w:r>
        <w:t xml:space="preserve"> it houses several faculty, staff, and student researchers.  It also houses a large auditorium, classrooms, lounges, </w:t>
      </w:r>
      <w:r w:rsidR="00A8598B">
        <w:t xml:space="preserve">a </w:t>
      </w:r>
      <w:r>
        <w:t xml:space="preserve">computing lab, and research centers.  Heating and air conditioning are accomplished by a mix of radiators, window units, and wall systems as space allows and conditions </w:t>
      </w:r>
      <w:r>
        <w:lastRenderedPageBreak/>
        <w:t xml:space="preserve">warrant.  While perhaps not the most efficient system from a central planner perspective, it allows a great deal </w:t>
      </w:r>
      <w:r w:rsidR="00A8598B">
        <w:t>of</w:t>
      </w:r>
      <w:r>
        <w:t xml:space="preserve"> tailoring to the occupant.</w:t>
      </w:r>
    </w:p>
    <w:p w14:paraId="09367F72" w14:textId="77777777" w:rsidR="00F76B72" w:rsidRPr="00BB7F32" w:rsidRDefault="00162C8A" w:rsidP="0052424D">
      <w:pPr>
        <w:spacing w:after="120" w:line="360" w:lineRule="auto"/>
      </w:pPr>
      <w:r w:rsidRPr="007732C0">
        <w:rPr>
          <w:u w:val="single"/>
        </w:rPr>
        <w:t>Greeley Memorial Laboratory</w:t>
      </w:r>
      <w:r>
        <w:t xml:space="preserve"> at</w:t>
      </w:r>
      <w:r w:rsidR="00F76B72" w:rsidRPr="00BB7F32">
        <w:t xml:space="preserve"> 3</w:t>
      </w:r>
      <w:r>
        <w:t>70 Prospect Street was</w:t>
      </w:r>
      <w:r w:rsidR="00F76B72">
        <w:t xml:space="preserve"> built in 1959</w:t>
      </w:r>
      <w:r>
        <w:t xml:space="preserve"> but recently underwent extensive renovation.  It is a two-story, 24,246 square foot structure served by central heating and air conditioning</w:t>
      </w:r>
      <w:r w:rsidR="00F76B72">
        <w:t>.</w:t>
      </w:r>
      <w:r>
        <w:t xml:space="preserve">  It houses several faculty and staff in both open and closed office floor plans.  It also has one classroom, ten laboratory spaces, and an adjacent 4,278 square foot greenhouse</w:t>
      </w:r>
      <w:r w:rsidR="00F76B72">
        <w:t>.</w:t>
      </w:r>
    </w:p>
    <w:p w14:paraId="0AC3F662" w14:textId="1FADB1A8" w:rsidR="00F76B72" w:rsidRPr="00BB7F32" w:rsidRDefault="00F76B72" w:rsidP="0052424D">
      <w:pPr>
        <w:spacing w:after="120" w:line="360" w:lineRule="auto"/>
      </w:pPr>
      <w:r w:rsidRPr="007732C0">
        <w:rPr>
          <w:u w:val="single"/>
        </w:rPr>
        <w:t>Marsh Hall</w:t>
      </w:r>
      <w:r>
        <w:t xml:space="preserve"> at</w:t>
      </w:r>
      <w:r w:rsidRPr="00BB7F32">
        <w:t xml:space="preserve"> 36</w:t>
      </w:r>
      <w:r>
        <w:t xml:space="preserve">0 Prospect Street </w:t>
      </w:r>
      <w:r w:rsidR="00935E3E">
        <w:t xml:space="preserve">is thought of as the </w:t>
      </w:r>
      <w:r w:rsidR="004F2534">
        <w:t xml:space="preserve">original </w:t>
      </w:r>
      <w:r w:rsidR="00935E3E">
        <w:t xml:space="preserve">home of the </w:t>
      </w:r>
      <w:r w:rsidR="004F2534">
        <w:t>S</w:t>
      </w:r>
      <w:r w:rsidR="00935E3E">
        <w:t xml:space="preserve">chool of </w:t>
      </w:r>
      <w:r w:rsidR="004F2534">
        <w:t>F</w:t>
      </w:r>
      <w:r w:rsidR="00935E3E">
        <w:t>orestry.  As such, public spaces have preserved the extensive wood interior from 1878 and furniture.  Updates to offices have occurred over the years and is not different from many offices in these spaces.</w:t>
      </w:r>
      <w:r>
        <w:t xml:space="preserve"> </w:t>
      </w:r>
      <w:r w:rsidR="00935E3E">
        <w:t xml:space="preserve"> It is a 3-1/2 story structure with</w:t>
      </w:r>
      <w:r>
        <w:t xml:space="preserve"> 13,048 square feet</w:t>
      </w:r>
      <w:r w:rsidR="00935E3E">
        <w:t xml:space="preserve"> of functional space built in the Victorian style.</w:t>
      </w:r>
      <w:r>
        <w:t xml:space="preserve">  </w:t>
      </w:r>
      <w:r w:rsidR="00935E3E">
        <w:t>It</w:t>
      </w:r>
      <w:r>
        <w:t xml:space="preserve"> houses</w:t>
      </w:r>
      <w:r w:rsidR="00935E3E">
        <w:t xml:space="preserve"> several faculty, staff, a </w:t>
      </w:r>
      <w:r>
        <w:t>seminar room</w:t>
      </w:r>
      <w:r w:rsidR="00935E3E">
        <w:t>,</w:t>
      </w:r>
      <w:r>
        <w:t xml:space="preserve"> two research centers</w:t>
      </w:r>
      <w:r w:rsidR="00935E3E">
        <w:t>, and the world’s creakiest staircase</w:t>
      </w:r>
      <w:r>
        <w:t>.</w:t>
      </w:r>
      <w:r w:rsidR="00935E3E">
        <w:t xml:space="preserve">  Marsh Hall is serviced by radiator heating controlled by central thermostats on each floor.  Air conditioning comes from several window units throughout.</w:t>
      </w:r>
    </w:p>
    <w:p w14:paraId="1ACFC966" w14:textId="77777777" w:rsidR="00F76B72" w:rsidRPr="00BB7F32" w:rsidRDefault="00F76B72" w:rsidP="0052424D">
      <w:pPr>
        <w:spacing w:after="120" w:line="360" w:lineRule="auto"/>
      </w:pPr>
      <w:r w:rsidRPr="007732C0">
        <w:rPr>
          <w:u w:val="single"/>
        </w:rPr>
        <w:t>30</w:t>
      </w:r>
      <w:r w:rsidR="00935E3E" w:rsidRPr="007732C0">
        <w:rPr>
          <w:u w:val="single"/>
        </w:rPr>
        <w:t>1 Prospect Street</w:t>
      </w:r>
      <w:r w:rsidR="00935E3E">
        <w:t xml:space="preserve"> </w:t>
      </w:r>
      <w:r w:rsidR="000E0627">
        <w:t xml:space="preserve">is a </w:t>
      </w:r>
      <w:r w:rsidR="009123F0">
        <w:t>12,932-square</w:t>
      </w:r>
      <w:r w:rsidR="003A5883">
        <w:t xml:space="preserve"> f</w:t>
      </w:r>
      <w:r w:rsidR="009123F0">
        <w:t>oo</w:t>
      </w:r>
      <w:r w:rsidR="000E0627">
        <w:t>t, three-story structure</w:t>
      </w:r>
      <w:r w:rsidR="00935E3E">
        <w:t xml:space="preserve"> built in 1907</w:t>
      </w:r>
      <w:r w:rsidR="000E0627">
        <w:t>.</w:t>
      </w:r>
      <w:r>
        <w:t xml:space="preserve"> </w:t>
      </w:r>
      <w:r w:rsidR="00935E3E">
        <w:t xml:space="preserve"> It h</w:t>
      </w:r>
      <w:r w:rsidRPr="00BB7F32">
        <w:t xml:space="preserve">ouses faculty, staff, and one seminar </w:t>
      </w:r>
      <w:r w:rsidR="00935E3E">
        <w:t>space</w:t>
      </w:r>
      <w:r w:rsidR="000E0627">
        <w:t>.  It is also home to four active Yale F&amp;ES research centers</w:t>
      </w:r>
      <w:r>
        <w:t>.</w:t>
      </w:r>
      <w:r w:rsidR="000E0627">
        <w:t xml:space="preserve">  The public spaces remain dated while offices have undergone modest renovation.  Heat is provided by radiators that are approximately controlled by central, locked thermostats, and then can be individually adjusted down.  Window air conditioners are pervasive</w:t>
      </w:r>
      <w:r w:rsidR="00DB230C">
        <w:t>,</w:t>
      </w:r>
      <w:r w:rsidR="000E0627">
        <w:t xml:space="preserve"> as with Marsh Hall, resulting in the usual northeastern </w:t>
      </w:r>
      <w:r w:rsidR="00DB230C">
        <w:t>chestnut or porcupine</w:t>
      </w:r>
      <w:r w:rsidR="000E0627">
        <w:t xml:space="preserve"> appearance.</w:t>
      </w:r>
    </w:p>
    <w:p w14:paraId="306DFF95" w14:textId="77777777" w:rsidR="00F76B72" w:rsidRDefault="00F76B72" w:rsidP="0052424D">
      <w:pPr>
        <w:spacing w:after="120" w:line="360" w:lineRule="auto"/>
      </w:pPr>
      <w:r w:rsidRPr="007732C0">
        <w:rPr>
          <w:u w:val="single"/>
        </w:rPr>
        <w:t>3</w:t>
      </w:r>
      <w:r w:rsidR="00DB230C" w:rsidRPr="007732C0">
        <w:rPr>
          <w:u w:val="single"/>
        </w:rPr>
        <w:t>80 Edwards Street</w:t>
      </w:r>
      <w:r w:rsidR="00DB230C">
        <w:t xml:space="preserve"> is a four-story structure with 10,475 square feet of space </w:t>
      </w:r>
      <w:r>
        <w:t>built in 1907</w:t>
      </w:r>
      <w:r w:rsidR="00DB230C">
        <w:t>.  It too maintains public spaces in classic form while housing faculty, staff</w:t>
      </w:r>
      <w:r w:rsidR="00AA545C">
        <w:t>, researchers</w:t>
      </w:r>
      <w:r w:rsidR="00DB230C">
        <w:t xml:space="preserve">, </w:t>
      </w:r>
      <w:r w:rsidR="00AA545C">
        <w:t xml:space="preserve">a seminar space, </w:t>
      </w:r>
      <w:r w:rsidR="00DB230C">
        <w:t>research center, and resi</w:t>
      </w:r>
      <w:r w:rsidR="00AA545C">
        <w:t>dent journal in updated fashion</w:t>
      </w:r>
      <w:r>
        <w:t>.</w:t>
      </w:r>
      <w:r w:rsidR="00AA545C">
        <w:t xml:space="preserve">  Unlike its aged counterparts, 380 Edwards is served by updated central heating and air conditioning throughout.  But as with the other structure, this has not prevented the appears of supplemental heating and cooling devices.</w:t>
      </w:r>
    </w:p>
    <w:p w14:paraId="06F2D372" w14:textId="77777777" w:rsidR="00F76B72" w:rsidRDefault="00F76B72" w:rsidP="0052424D">
      <w:pPr>
        <w:pStyle w:val="ListParagraph"/>
        <w:spacing w:after="120" w:line="360" w:lineRule="auto"/>
        <w:outlineLvl w:val="1"/>
      </w:pPr>
      <w:bookmarkStart w:id="54" w:name="_Toc479624326"/>
      <w:bookmarkStart w:id="55" w:name="_Toc479624368"/>
      <w:bookmarkStart w:id="56" w:name="_Toc479624461"/>
      <w:bookmarkStart w:id="57" w:name="_Toc482127012"/>
      <w:bookmarkStart w:id="58" w:name="_Toc482127042"/>
      <w:bookmarkStart w:id="59" w:name="_Toc482187992"/>
      <w:r>
        <w:t>Survey population and response rate</w:t>
      </w:r>
      <w:bookmarkEnd w:id="54"/>
      <w:bookmarkEnd w:id="55"/>
      <w:bookmarkEnd w:id="56"/>
      <w:bookmarkEnd w:id="57"/>
      <w:bookmarkEnd w:id="58"/>
      <w:bookmarkEnd w:id="59"/>
    </w:p>
    <w:p w14:paraId="2CA66780" w14:textId="1A134105" w:rsidR="00F76B72" w:rsidRDefault="00F76B72" w:rsidP="0052424D">
      <w:pPr>
        <w:spacing w:after="120" w:line="360" w:lineRule="auto"/>
      </w:pPr>
      <w:r>
        <w:t xml:space="preserve">The opportunity to contribute to the survey in this </w:t>
      </w:r>
      <w:r w:rsidR="00E454E4">
        <w:t>study</w:t>
      </w:r>
      <w:r>
        <w:t xml:space="preserve"> was extended to the entire population of Yale F&amp;ES using an online collection platform.  Of the F&amp;ES population of 602 at the </w:t>
      </w:r>
      <w:r w:rsidR="00E454E4">
        <w:t xml:space="preserve">survey moment, </w:t>
      </w:r>
      <w:r>
        <w:t>includ</w:t>
      </w:r>
      <w:r w:rsidR="00E454E4">
        <w:t>ing</w:t>
      </w:r>
      <w:r>
        <w:t xml:space="preserve"> students, faculty, staff, and visiting researchers, a response rate of 53.7-percent was achieved.  The response rate </w:t>
      </w:r>
      <w:r w:rsidR="00E454E4">
        <w:t>i</w:t>
      </w:r>
      <w:r>
        <w:t xml:space="preserve">s similar </w:t>
      </w:r>
      <w:r w:rsidR="00E454E4">
        <w:t>for</w:t>
      </w:r>
      <w:r>
        <w:t xml:space="preserve"> faculty and staff at 55.0-percent, and students and visiting researchers at 52.4-percent. The response rate </w:t>
      </w:r>
      <w:r w:rsidR="00E454E4">
        <w:t>is</w:t>
      </w:r>
      <w:r>
        <w:t xml:space="preserve"> also similar along gender lines, at 51.2-percent and 49.7-percent for women and men, respectively.  Nevertheless, the survey data is weighted for responsiveness along these </w:t>
      </w:r>
      <w:r w:rsidR="00E454E4">
        <w:t>characteristics</w:t>
      </w:r>
      <w:r>
        <w:t xml:space="preserve"> using nonresponse and post-stratification weights following standard survey </w:t>
      </w:r>
      <w:r>
        <w:lastRenderedPageBreak/>
        <w:t xml:space="preserve">methodologies.  This is </w:t>
      </w:r>
      <w:r w:rsidR="00E454E4">
        <w:t>undertaken</w:t>
      </w:r>
      <w:r>
        <w:t xml:space="preserve"> as the former is expected to substantially impact how respondents interact with the building and the latter is an important factor in comfort according to the literature (i.e. </w:t>
      </w:r>
      <w:r w:rsidR="00EC1A1F">
        <w:t>Kingma and Lichtenbelt, 2015).</w:t>
      </w:r>
    </w:p>
    <w:p w14:paraId="06DD5DFD" w14:textId="6E8B983C" w:rsidR="00F76B72" w:rsidRPr="005B7536" w:rsidRDefault="00F76B72" w:rsidP="0052424D">
      <w:pPr>
        <w:spacing w:after="120" w:line="360" w:lineRule="auto"/>
      </w:pPr>
      <w:r>
        <w:t>Survey weighting</w:t>
      </w:r>
      <w:r w:rsidR="007732C0">
        <w:t xml:space="preserve"> </w:t>
      </w:r>
      <w:r>
        <w:t>ensure</w:t>
      </w:r>
      <w:r w:rsidR="00EC1A1F">
        <w:t>s</w:t>
      </w:r>
      <w:r>
        <w:t xml:space="preserve"> the </w:t>
      </w:r>
      <w:r w:rsidR="001E6146">
        <w:t>data</w:t>
      </w:r>
      <w:r w:rsidR="00EC1A1F">
        <w:t xml:space="preserve"> represent</w:t>
      </w:r>
      <w:r>
        <w:t xml:space="preserve"> the </w:t>
      </w:r>
      <w:r w:rsidR="007732C0">
        <w:t>F&amp;ES</w:t>
      </w:r>
      <w:r>
        <w:t xml:space="preserve"> population rather than the </w:t>
      </w:r>
      <w:r w:rsidR="007732C0">
        <w:t>general U.S.</w:t>
      </w:r>
      <w:r>
        <w:t xml:space="preserve"> population.  This supports internal validity rather than attempting to address external validity concerns</w:t>
      </w:r>
      <w:r w:rsidR="002F2DE0">
        <w:t xml:space="preserve"> while using a small sample</w:t>
      </w:r>
      <w:r>
        <w:t xml:space="preserve">.  The results are generally found at a high level of statistical significance, however.  The student subpopulation at F&amp;ES surveyed has </w:t>
      </w:r>
      <w:r w:rsidR="002F2DE0">
        <w:t xml:space="preserve">also </w:t>
      </w:r>
      <w:r>
        <w:t xml:space="preserve">already entered the workforce and so this study informs on at least some share of the general workforce.  </w:t>
      </w:r>
      <w:r w:rsidRPr="005B7536">
        <w:t xml:space="preserve">The limited scope </w:t>
      </w:r>
      <w:r>
        <w:t>of the survey means</w:t>
      </w:r>
      <w:r w:rsidRPr="005B7536">
        <w:t xml:space="preserve"> complex stratification or clustering</w:t>
      </w:r>
      <w:r>
        <w:t xml:space="preserve"> techniques are not needed</w:t>
      </w:r>
      <w:r w:rsidR="00C2434D">
        <w:t xml:space="preserve"> </w:t>
      </w:r>
      <w:r>
        <w:t>-</w:t>
      </w:r>
      <w:r w:rsidRPr="005B7536">
        <w:t xml:space="preserve"> a single strata and a cluster of one</w:t>
      </w:r>
      <w:r>
        <w:t xml:space="preserve"> is applicable</w:t>
      </w:r>
      <w:r w:rsidRPr="005B7536">
        <w:t xml:space="preserve">.  </w:t>
      </w:r>
      <w:r>
        <w:t>The</w:t>
      </w:r>
      <w:r w:rsidRPr="005B7536">
        <w:t xml:space="preserve"> simple weighting strategy</w:t>
      </w:r>
      <w:r w:rsidR="002F2DE0">
        <w:t xml:space="preserve"> follows standard convention</w:t>
      </w:r>
      <w:r>
        <w:t xml:space="preserve">: </w:t>
      </w:r>
      <w:r w:rsidRPr="005B7536">
        <w:t>W</w:t>
      </w:r>
      <w:r>
        <w:t>eight</w:t>
      </w:r>
      <w:r w:rsidRPr="005B7536">
        <w:t>(Final,i)=W</w:t>
      </w:r>
      <w:r>
        <w:t>eight</w:t>
      </w:r>
      <w:r w:rsidRPr="005B7536">
        <w:t>(Selection,i)*W</w:t>
      </w:r>
      <w:r>
        <w:t>eight</w:t>
      </w:r>
      <w:r w:rsidRPr="005B7536">
        <w:t>(Nonresponse,i)*W</w:t>
      </w:r>
      <w:r>
        <w:t>eight(Post</w:t>
      </w:r>
      <w:r w:rsidRPr="005B7536">
        <w:t>stratification,i) where W</w:t>
      </w:r>
      <w:r>
        <w:t>eight</w:t>
      </w:r>
      <w:r w:rsidRPr="005B7536">
        <w:t>(Selection,i)=1 in our survey due to full sampling of the population, W</w:t>
      </w:r>
      <w:r>
        <w:t>eight</w:t>
      </w:r>
      <w:r w:rsidRPr="005B7536">
        <w:t>(Nonresponse,i) is the inverse of the response rate for key respon</w:t>
      </w:r>
      <w:r>
        <w:t>se categories of faculty and staff</w:t>
      </w:r>
      <w:r w:rsidRPr="005B7536">
        <w:t xml:space="preserve"> versus stu</w:t>
      </w:r>
      <w:r>
        <w:t>dent body, and Weight(Post</w:t>
      </w:r>
      <w:r w:rsidRPr="005B7536">
        <w:t xml:space="preserve">stratification,i) is </w:t>
      </w:r>
      <w:r>
        <w:t>used</w:t>
      </w:r>
      <w:r w:rsidRPr="005B7536">
        <w:t xml:space="preserve"> to account for small proportional differences in gender response rate</w:t>
      </w:r>
      <w:r>
        <w:t>s</w:t>
      </w:r>
      <w:r w:rsidRPr="005B7536">
        <w:t xml:space="preserve"> relative to the F&amp;ES population (Heeringa, West, &amp; Berglund; 2010).  </w:t>
      </w:r>
      <w:r>
        <w:t>W</w:t>
      </w:r>
      <w:r w:rsidRPr="005B7536">
        <w:t xml:space="preserve">hile </w:t>
      </w:r>
      <w:r>
        <w:t>the use of strata</w:t>
      </w:r>
      <w:r w:rsidRPr="005B7536">
        <w:t xml:space="preserve"> is known to reduc</w:t>
      </w:r>
      <w:r>
        <w:t xml:space="preserve">e standard errors, </w:t>
      </w:r>
      <w:r w:rsidRPr="005B7536">
        <w:t>and clustering and weighting increase standard errors, only weighting is applied in this survey.  The standard errors are</w:t>
      </w:r>
      <w:r>
        <w:t xml:space="preserve"> then</w:t>
      </w:r>
      <w:r w:rsidRPr="005B7536">
        <w:t xml:space="preserve"> equal or greater than would be derived in a perfect survey</w:t>
      </w:r>
      <w:r>
        <w:t xml:space="preserve"> </w:t>
      </w:r>
      <w:r w:rsidRPr="005B7536">
        <w:t xml:space="preserve">and the </w:t>
      </w:r>
      <w:r>
        <w:t xml:space="preserve">statistical </w:t>
      </w:r>
      <w:r w:rsidRPr="005B7536">
        <w:t>significance of results are a lower bound.  Finally, due to the simple survey design, Taylor series linearization</w:t>
      </w:r>
      <w:r>
        <w:t>, the generally accepted default,</w:t>
      </w:r>
      <w:r w:rsidRPr="005B7536">
        <w:t xml:space="preserve"> is retained</w:t>
      </w:r>
      <w:r>
        <w:t xml:space="preserve"> in computing sampling variance</w:t>
      </w:r>
      <w:r w:rsidRPr="005B7536">
        <w:t>.</w:t>
      </w:r>
    </w:p>
    <w:p w14:paraId="756B6722" w14:textId="195909E8" w:rsidR="00F76B72" w:rsidRDefault="00EC1A1F" w:rsidP="0052424D">
      <w:pPr>
        <w:spacing w:after="120" w:line="360" w:lineRule="auto"/>
      </w:pPr>
      <w:r>
        <w:t>Table 1 presents survey weighted summary statistics.</w:t>
      </w:r>
      <w:r w:rsidR="00CC4F21">
        <w:t xml:space="preserve">  60-percent of respondents report Kroon Hall as their primary F&amp;ES building- this is 34-percent of faculty &amp; staff and 84-percent of students.  90-percent of faculty &amp; staff have a dedicated office while only 2-percent of students indicate so.  </w:t>
      </w:r>
      <w:r w:rsidR="00FC0851">
        <w:t xml:space="preserve">The faculty &amp; staff are also slightly older than the U.S. population and the students younger.  The nature of the school also implies levels of education exceeding the national average.  </w:t>
      </w:r>
    </w:p>
    <w:tbl>
      <w:tblPr>
        <w:tblW w:w="8340" w:type="dxa"/>
        <w:tblLook w:val="04A0" w:firstRow="1" w:lastRow="0" w:firstColumn="1" w:lastColumn="0" w:noHBand="0" w:noVBand="1"/>
      </w:tblPr>
      <w:tblGrid>
        <w:gridCol w:w="3092"/>
        <w:gridCol w:w="1160"/>
        <w:gridCol w:w="2763"/>
        <w:gridCol w:w="1325"/>
      </w:tblGrid>
      <w:tr w:rsidR="00F76B72" w:rsidRPr="0097644E" w14:paraId="735C2A82" w14:textId="77777777" w:rsidTr="00F76B72">
        <w:trPr>
          <w:trHeight w:val="315"/>
        </w:trPr>
        <w:tc>
          <w:tcPr>
            <w:tcW w:w="8340" w:type="dxa"/>
            <w:gridSpan w:val="4"/>
            <w:tcBorders>
              <w:top w:val="nil"/>
              <w:left w:val="nil"/>
              <w:bottom w:val="single" w:sz="4" w:space="0" w:color="auto"/>
              <w:right w:val="nil"/>
            </w:tcBorders>
            <w:shd w:val="clear" w:color="000000" w:fill="D9D9D9"/>
            <w:noWrap/>
            <w:vAlign w:val="bottom"/>
            <w:hideMark/>
          </w:tcPr>
          <w:p w14:paraId="34607458" w14:textId="77777777" w:rsidR="00F76B72" w:rsidRPr="0097644E" w:rsidRDefault="00F76B72" w:rsidP="00F76B72">
            <w:pPr>
              <w:keepNext/>
              <w:spacing w:after="0" w:line="240" w:lineRule="auto"/>
              <w:rPr>
                <w:rFonts w:eastAsia="Times New Roman"/>
                <w:b/>
                <w:bCs/>
                <w:color w:val="000000"/>
                <w:sz w:val="24"/>
                <w:szCs w:val="24"/>
              </w:rPr>
            </w:pPr>
            <w:r w:rsidRPr="0097644E">
              <w:rPr>
                <w:rFonts w:eastAsia="Times New Roman"/>
                <w:b/>
                <w:bCs/>
                <w:color w:val="000000"/>
                <w:sz w:val="24"/>
                <w:szCs w:val="24"/>
              </w:rPr>
              <w:lastRenderedPageBreak/>
              <w:t>Table 1 | Summary statistics</w:t>
            </w:r>
          </w:p>
        </w:tc>
      </w:tr>
      <w:tr w:rsidR="00F76B72" w:rsidRPr="0097644E" w14:paraId="220D823E" w14:textId="77777777" w:rsidTr="00F76B72">
        <w:trPr>
          <w:trHeight w:val="315"/>
        </w:trPr>
        <w:tc>
          <w:tcPr>
            <w:tcW w:w="3092" w:type="dxa"/>
            <w:tcBorders>
              <w:top w:val="single" w:sz="4" w:space="0" w:color="auto"/>
              <w:left w:val="nil"/>
              <w:bottom w:val="single" w:sz="4" w:space="0" w:color="auto"/>
              <w:right w:val="nil"/>
            </w:tcBorders>
            <w:shd w:val="clear" w:color="000000" w:fill="F2F2F2"/>
            <w:noWrap/>
            <w:vAlign w:val="bottom"/>
            <w:hideMark/>
          </w:tcPr>
          <w:p w14:paraId="31D7B590"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Variable</w:t>
            </w:r>
          </w:p>
        </w:tc>
        <w:tc>
          <w:tcPr>
            <w:tcW w:w="1160" w:type="dxa"/>
            <w:tcBorders>
              <w:top w:val="single" w:sz="4" w:space="0" w:color="auto"/>
              <w:left w:val="nil"/>
              <w:bottom w:val="single" w:sz="4" w:space="0" w:color="auto"/>
              <w:right w:val="nil"/>
            </w:tcBorders>
            <w:shd w:val="clear" w:color="000000" w:fill="F2F2F2"/>
            <w:noWrap/>
            <w:vAlign w:val="bottom"/>
            <w:hideMark/>
          </w:tcPr>
          <w:p w14:paraId="3B5D245D"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Overall</w:t>
            </w:r>
          </w:p>
        </w:tc>
        <w:tc>
          <w:tcPr>
            <w:tcW w:w="2763" w:type="dxa"/>
            <w:tcBorders>
              <w:top w:val="single" w:sz="4" w:space="0" w:color="auto"/>
              <w:left w:val="nil"/>
              <w:bottom w:val="single" w:sz="4" w:space="0" w:color="auto"/>
              <w:right w:val="nil"/>
            </w:tcBorders>
            <w:shd w:val="clear" w:color="000000" w:fill="F2F2F2"/>
            <w:noWrap/>
            <w:vAlign w:val="bottom"/>
            <w:hideMark/>
          </w:tcPr>
          <w:p w14:paraId="7F48CF76" w14:textId="77777777" w:rsidR="00F76B72" w:rsidRPr="0097644E" w:rsidRDefault="00F76B72" w:rsidP="00F76B72">
            <w:pPr>
              <w:keepNext/>
              <w:spacing w:after="0" w:line="240" w:lineRule="auto"/>
              <w:jc w:val="center"/>
              <w:rPr>
                <w:rFonts w:eastAsia="Times New Roman"/>
                <w:color w:val="000000"/>
                <w:sz w:val="24"/>
                <w:szCs w:val="24"/>
              </w:rPr>
            </w:pPr>
            <w:r w:rsidRPr="0097644E">
              <w:rPr>
                <w:rFonts w:eastAsia="Times New Roman"/>
                <w:color w:val="000000"/>
                <w:sz w:val="24"/>
                <w:szCs w:val="24"/>
              </w:rPr>
              <w:t>Faculty and staff</w:t>
            </w:r>
          </w:p>
        </w:tc>
        <w:tc>
          <w:tcPr>
            <w:tcW w:w="1325" w:type="dxa"/>
            <w:tcBorders>
              <w:top w:val="single" w:sz="4" w:space="0" w:color="auto"/>
              <w:left w:val="nil"/>
              <w:bottom w:val="single" w:sz="4" w:space="0" w:color="auto"/>
              <w:right w:val="nil"/>
            </w:tcBorders>
            <w:shd w:val="clear" w:color="000000" w:fill="F2F2F2"/>
            <w:noWrap/>
            <w:vAlign w:val="bottom"/>
            <w:hideMark/>
          </w:tcPr>
          <w:p w14:paraId="274BCD3E"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Students</w:t>
            </w:r>
          </w:p>
        </w:tc>
      </w:tr>
      <w:tr w:rsidR="00F76B72" w:rsidRPr="0097644E" w14:paraId="0368BDDE" w14:textId="77777777" w:rsidTr="00F76B72">
        <w:trPr>
          <w:trHeight w:val="315"/>
        </w:trPr>
        <w:tc>
          <w:tcPr>
            <w:tcW w:w="3092" w:type="dxa"/>
            <w:tcBorders>
              <w:top w:val="single" w:sz="4" w:space="0" w:color="auto"/>
              <w:left w:val="nil"/>
              <w:bottom w:val="nil"/>
              <w:right w:val="nil"/>
            </w:tcBorders>
            <w:shd w:val="clear" w:color="000000" w:fill="F2F2F2"/>
            <w:noWrap/>
            <w:vAlign w:val="bottom"/>
            <w:hideMark/>
          </w:tcPr>
          <w:p w14:paraId="7B4A3945"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Kroon</w:t>
            </w:r>
            <w:r>
              <w:rPr>
                <w:rFonts w:eastAsia="Times New Roman"/>
                <w:color w:val="000000"/>
              </w:rPr>
              <w:t xml:space="preserve"> Hall</w:t>
            </w:r>
          </w:p>
        </w:tc>
        <w:tc>
          <w:tcPr>
            <w:tcW w:w="1160" w:type="dxa"/>
            <w:tcBorders>
              <w:top w:val="single" w:sz="4" w:space="0" w:color="auto"/>
              <w:left w:val="nil"/>
              <w:bottom w:val="nil"/>
              <w:right w:val="nil"/>
            </w:tcBorders>
            <w:shd w:val="clear" w:color="000000" w:fill="F2F2F2"/>
            <w:noWrap/>
            <w:vAlign w:val="bottom"/>
            <w:hideMark/>
          </w:tcPr>
          <w:p w14:paraId="69840779"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0.60</w:t>
            </w:r>
          </w:p>
        </w:tc>
        <w:tc>
          <w:tcPr>
            <w:tcW w:w="2763" w:type="dxa"/>
            <w:tcBorders>
              <w:top w:val="single" w:sz="4" w:space="0" w:color="auto"/>
              <w:left w:val="nil"/>
              <w:bottom w:val="nil"/>
              <w:right w:val="nil"/>
            </w:tcBorders>
            <w:shd w:val="clear" w:color="000000" w:fill="F2F2F2"/>
            <w:noWrap/>
            <w:vAlign w:val="bottom"/>
            <w:hideMark/>
          </w:tcPr>
          <w:p w14:paraId="091F8D18"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0.34</w:t>
            </w:r>
          </w:p>
        </w:tc>
        <w:tc>
          <w:tcPr>
            <w:tcW w:w="1325" w:type="dxa"/>
            <w:tcBorders>
              <w:top w:val="single" w:sz="4" w:space="0" w:color="auto"/>
              <w:left w:val="nil"/>
              <w:bottom w:val="nil"/>
              <w:right w:val="nil"/>
            </w:tcBorders>
            <w:shd w:val="clear" w:color="000000" w:fill="F2F2F2"/>
            <w:noWrap/>
            <w:vAlign w:val="bottom"/>
            <w:hideMark/>
          </w:tcPr>
          <w:p w14:paraId="1A7486EC"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0.84</w:t>
            </w:r>
          </w:p>
        </w:tc>
      </w:tr>
      <w:tr w:rsidR="00F76B72" w:rsidRPr="0097644E" w14:paraId="0743EDAF" w14:textId="77777777" w:rsidTr="00F76B72">
        <w:trPr>
          <w:trHeight w:val="315"/>
        </w:trPr>
        <w:tc>
          <w:tcPr>
            <w:tcW w:w="3092" w:type="dxa"/>
            <w:tcBorders>
              <w:top w:val="nil"/>
              <w:left w:val="nil"/>
              <w:bottom w:val="nil"/>
              <w:right w:val="nil"/>
            </w:tcBorders>
            <w:shd w:val="clear" w:color="000000" w:fill="F2F2F2"/>
            <w:noWrap/>
            <w:vAlign w:val="bottom"/>
            <w:hideMark/>
          </w:tcPr>
          <w:p w14:paraId="64488E9D"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 </w:t>
            </w:r>
          </w:p>
        </w:tc>
        <w:tc>
          <w:tcPr>
            <w:tcW w:w="1160" w:type="dxa"/>
            <w:tcBorders>
              <w:top w:val="nil"/>
              <w:left w:val="nil"/>
              <w:bottom w:val="nil"/>
              <w:right w:val="nil"/>
            </w:tcBorders>
            <w:shd w:val="clear" w:color="000000" w:fill="F2F2F2"/>
            <w:noWrap/>
            <w:vAlign w:val="bottom"/>
            <w:hideMark/>
          </w:tcPr>
          <w:p w14:paraId="4E941A3D"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(0.03)</w:t>
            </w:r>
          </w:p>
        </w:tc>
        <w:tc>
          <w:tcPr>
            <w:tcW w:w="2763" w:type="dxa"/>
            <w:tcBorders>
              <w:top w:val="nil"/>
              <w:left w:val="nil"/>
              <w:bottom w:val="nil"/>
              <w:right w:val="nil"/>
            </w:tcBorders>
            <w:shd w:val="clear" w:color="000000" w:fill="F2F2F2"/>
            <w:noWrap/>
            <w:vAlign w:val="bottom"/>
            <w:hideMark/>
          </w:tcPr>
          <w:p w14:paraId="22BF8402"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(0.04)</w:t>
            </w:r>
          </w:p>
        </w:tc>
        <w:tc>
          <w:tcPr>
            <w:tcW w:w="1325" w:type="dxa"/>
            <w:tcBorders>
              <w:top w:val="nil"/>
              <w:left w:val="nil"/>
              <w:bottom w:val="nil"/>
              <w:right w:val="nil"/>
            </w:tcBorders>
            <w:shd w:val="clear" w:color="000000" w:fill="F2F2F2"/>
            <w:noWrap/>
            <w:vAlign w:val="bottom"/>
            <w:hideMark/>
          </w:tcPr>
          <w:p w14:paraId="2837FF25"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(0.03)</w:t>
            </w:r>
          </w:p>
        </w:tc>
      </w:tr>
      <w:tr w:rsidR="00F76B72" w:rsidRPr="0097644E" w14:paraId="109097C0" w14:textId="77777777" w:rsidTr="00F76B72">
        <w:trPr>
          <w:trHeight w:val="315"/>
        </w:trPr>
        <w:tc>
          <w:tcPr>
            <w:tcW w:w="3092" w:type="dxa"/>
            <w:tcBorders>
              <w:top w:val="nil"/>
              <w:left w:val="nil"/>
              <w:bottom w:val="nil"/>
              <w:right w:val="nil"/>
            </w:tcBorders>
            <w:shd w:val="clear" w:color="000000" w:fill="F2F2F2"/>
            <w:noWrap/>
            <w:vAlign w:val="bottom"/>
            <w:hideMark/>
          </w:tcPr>
          <w:p w14:paraId="540211BD"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Fac</w:t>
            </w:r>
            <w:r>
              <w:rPr>
                <w:rFonts w:eastAsia="Times New Roman"/>
                <w:color w:val="000000"/>
              </w:rPr>
              <w:t>ulty &amp; staff</w:t>
            </w:r>
          </w:p>
        </w:tc>
        <w:tc>
          <w:tcPr>
            <w:tcW w:w="1160" w:type="dxa"/>
            <w:tcBorders>
              <w:top w:val="nil"/>
              <w:left w:val="nil"/>
              <w:bottom w:val="nil"/>
              <w:right w:val="nil"/>
            </w:tcBorders>
            <w:shd w:val="clear" w:color="000000" w:fill="F2F2F2"/>
            <w:noWrap/>
            <w:vAlign w:val="bottom"/>
            <w:hideMark/>
          </w:tcPr>
          <w:p w14:paraId="6E6F5E38"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0.48</w:t>
            </w:r>
          </w:p>
        </w:tc>
        <w:tc>
          <w:tcPr>
            <w:tcW w:w="2763" w:type="dxa"/>
            <w:tcBorders>
              <w:top w:val="nil"/>
              <w:left w:val="nil"/>
              <w:bottom w:val="nil"/>
              <w:right w:val="nil"/>
            </w:tcBorders>
            <w:shd w:val="clear" w:color="000000" w:fill="F2F2F2"/>
            <w:noWrap/>
            <w:vAlign w:val="bottom"/>
            <w:hideMark/>
          </w:tcPr>
          <w:p w14:paraId="417E6D06"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1</w:t>
            </w:r>
          </w:p>
        </w:tc>
        <w:tc>
          <w:tcPr>
            <w:tcW w:w="1325" w:type="dxa"/>
            <w:tcBorders>
              <w:top w:val="nil"/>
              <w:left w:val="nil"/>
              <w:bottom w:val="nil"/>
              <w:right w:val="nil"/>
            </w:tcBorders>
            <w:shd w:val="clear" w:color="000000" w:fill="F2F2F2"/>
            <w:noWrap/>
            <w:vAlign w:val="bottom"/>
            <w:hideMark/>
          </w:tcPr>
          <w:p w14:paraId="2A296190"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w:t>
            </w:r>
          </w:p>
        </w:tc>
      </w:tr>
      <w:tr w:rsidR="00F76B72" w:rsidRPr="0097644E" w14:paraId="6D075B57" w14:textId="77777777" w:rsidTr="00F76B72">
        <w:trPr>
          <w:trHeight w:val="315"/>
        </w:trPr>
        <w:tc>
          <w:tcPr>
            <w:tcW w:w="3092" w:type="dxa"/>
            <w:tcBorders>
              <w:top w:val="nil"/>
              <w:left w:val="nil"/>
              <w:bottom w:val="nil"/>
              <w:right w:val="nil"/>
            </w:tcBorders>
            <w:shd w:val="clear" w:color="000000" w:fill="F2F2F2"/>
            <w:noWrap/>
            <w:vAlign w:val="bottom"/>
            <w:hideMark/>
          </w:tcPr>
          <w:p w14:paraId="161A4A57"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 </w:t>
            </w:r>
          </w:p>
        </w:tc>
        <w:tc>
          <w:tcPr>
            <w:tcW w:w="1160" w:type="dxa"/>
            <w:tcBorders>
              <w:top w:val="nil"/>
              <w:left w:val="nil"/>
              <w:bottom w:val="nil"/>
              <w:right w:val="nil"/>
            </w:tcBorders>
            <w:shd w:val="clear" w:color="000000" w:fill="F2F2F2"/>
            <w:noWrap/>
            <w:vAlign w:val="bottom"/>
            <w:hideMark/>
          </w:tcPr>
          <w:p w14:paraId="09A297D1"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(0.03)</w:t>
            </w:r>
          </w:p>
        </w:tc>
        <w:tc>
          <w:tcPr>
            <w:tcW w:w="2763" w:type="dxa"/>
            <w:tcBorders>
              <w:top w:val="nil"/>
              <w:left w:val="nil"/>
              <w:bottom w:val="nil"/>
              <w:right w:val="nil"/>
            </w:tcBorders>
            <w:shd w:val="clear" w:color="000000" w:fill="F2F2F2"/>
            <w:noWrap/>
            <w:vAlign w:val="bottom"/>
            <w:hideMark/>
          </w:tcPr>
          <w:p w14:paraId="3DA6E6D9"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w:t>
            </w:r>
          </w:p>
        </w:tc>
        <w:tc>
          <w:tcPr>
            <w:tcW w:w="1325" w:type="dxa"/>
            <w:tcBorders>
              <w:top w:val="nil"/>
              <w:left w:val="nil"/>
              <w:bottom w:val="nil"/>
              <w:right w:val="nil"/>
            </w:tcBorders>
            <w:shd w:val="clear" w:color="000000" w:fill="F2F2F2"/>
            <w:noWrap/>
            <w:vAlign w:val="bottom"/>
            <w:hideMark/>
          </w:tcPr>
          <w:p w14:paraId="46F2D5F8"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w:t>
            </w:r>
          </w:p>
        </w:tc>
      </w:tr>
      <w:tr w:rsidR="00F76B72" w:rsidRPr="0097644E" w14:paraId="583D16B9" w14:textId="77777777" w:rsidTr="00F76B72">
        <w:trPr>
          <w:trHeight w:val="315"/>
        </w:trPr>
        <w:tc>
          <w:tcPr>
            <w:tcW w:w="3092" w:type="dxa"/>
            <w:tcBorders>
              <w:top w:val="nil"/>
              <w:left w:val="nil"/>
              <w:bottom w:val="nil"/>
              <w:right w:val="nil"/>
            </w:tcBorders>
            <w:shd w:val="clear" w:color="000000" w:fill="F2F2F2"/>
            <w:noWrap/>
            <w:vAlign w:val="bottom"/>
            <w:hideMark/>
          </w:tcPr>
          <w:p w14:paraId="4E48070D"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Kroon</w:t>
            </w:r>
            <w:r>
              <w:rPr>
                <w:rFonts w:eastAsia="Times New Roman"/>
                <w:color w:val="000000"/>
              </w:rPr>
              <w:t>*Faculty &amp; staff</w:t>
            </w:r>
          </w:p>
        </w:tc>
        <w:tc>
          <w:tcPr>
            <w:tcW w:w="1160" w:type="dxa"/>
            <w:tcBorders>
              <w:top w:val="nil"/>
              <w:left w:val="nil"/>
              <w:bottom w:val="nil"/>
              <w:right w:val="nil"/>
            </w:tcBorders>
            <w:shd w:val="clear" w:color="000000" w:fill="F2F2F2"/>
            <w:noWrap/>
            <w:vAlign w:val="bottom"/>
            <w:hideMark/>
          </w:tcPr>
          <w:p w14:paraId="3C434DAC"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0.17</w:t>
            </w:r>
          </w:p>
        </w:tc>
        <w:tc>
          <w:tcPr>
            <w:tcW w:w="2763" w:type="dxa"/>
            <w:tcBorders>
              <w:top w:val="nil"/>
              <w:left w:val="nil"/>
              <w:bottom w:val="nil"/>
              <w:right w:val="nil"/>
            </w:tcBorders>
            <w:shd w:val="clear" w:color="000000" w:fill="F2F2F2"/>
            <w:noWrap/>
            <w:vAlign w:val="bottom"/>
            <w:hideMark/>
          </w:tcPr>
          <w:p w14:paraId="7D07920D"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0.34</w:t>
            </w:r>
          </w:p>
        </w:tc>
        <w:tc>
          <w:tcPr>
            <w:tcW w:w="1325" w:type="dxa"/>
            <w:tcBorders>
              <w:top w:val="nil"/>
              <w:left w:val="nil"/>
              <w:bottom w:val="nil"/>
              <w:right w:val="nil"/>
            </w:tcBorders>
            <w:shd w:val="clear" w:color="000000" w:fill="F2F2F2"/>
            <w:noWrap/>
            <w:vAlign w:val="bottom"/>
            <w:hideMark/>
          </w:tcPr>
          <w:p w14:paraId="267B035F"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w:t>
            </w:r>
          </w:p>
        </w:tc>
      </w:tr>
      <w:tr w:rsidR="00F76B72" w:rsidRPr="0097644E" w14:paraId="3FD61B95" w14:textId="77777777" w:rsidTr="00F76B72">
        <w:trPr>
          <w:trHeight w:val="315"/>
        </w:trPr>
        <w:tc>
          <w:tcPr>
            <w:tcW w:w="3092" w:type="dxa"/>
            <w:tcBorders>
              <w:top w:val="nil"/>
              <w:left w:val="nil"/>
              <w:bottom w:val="nil"/>
              <w:right w:val="nil"/>
            </w:tcBorders>
            <w:shd w:val="clear" w:color="000000" w:fill="F2F2F2"/>
            <w:noWrap/>
            <w:vAlign w:val="bottom"/>
            <w:hideMark/>
          </w:tcPr>
          <w:p w14:paraId="3A9D8E6D"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 </w:t>
            </w:r>
          </w:p>
        </w:tc>
        <w:tc>
          <w:tcPr>
            <w:tcW w:w="1160" w:type="dxa"/>
            <w:tcBorders>
              <w:top w:val="nil"/>
              <w:left w:val="nil"/>
              <w:bottom w:val="nil"/>
              <w:right w:val="nil"/>
            </w:tcBorders>
            <w:shd w:val="clear" w:color="000000" w:fill="F2F2F2"/>
            <w:noWrap/>
            <w:vAlign w:val="bottom"/>
            <w:hideMark/>
          </w:tcPr>
          <w:p w14:paraId="496DAF8F"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(0.02)</w:t>
            </w:r>
          </w:p>
        </w:tc>
        <w:tc>
          <w:tcPr>
            <w:tcW w:w="2763" w:type="dxa"/>
            <w:tcBorders>
              <w:top w:val="nil"/>
              <w:left w:val="nil"/>
              <w:bottom w:val="nil"/>
              <w:right w:val="nil"/>
            </w:tcBorders>
            <w:shd w:val="clear" w:color="000000" w:fill="F2F2F2"/>
            <w:noWrap/>
            <w:vAlign w:val="bottom"/>
            <w:hideMark/>
          </w:tcPr>
          <w:p w14:paraId="0FF4D120"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(0.04)</w:t>
            </w:r>
          </w:p>
        </w:tc>
        <w:tc>
          <w:tcPr>
            <w:tcW w:w="1325" w:type="dxa"/>
            <w:tcBorders>
              <w:top w:val="nil"/>
              <w:left w:val="nil"/>
              <w:bottom w:val="nil"/>
              <w:right w:val="nil"/>
            </w:tcBorders>
            <w:shd w:val="clear" w:color="000000" w:fill="F2F2F2"/>
            <w:noWrap/>
            <w:vAlign w:val="bottom"/>
            <w:hideMark/>
          </w:tcPr>
          <w:p w14:paraId="3E0779BD"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w:t>
            </w:r>
          </w:p>
        </w:tc>
      </w:tr>
      <w:tr w:rsidR="00F76B72" w:rsidRPr="0097644E" w14:paraId="24A469FA" w14:textId="77777777" w:rsidTr="00F76B72">
        <w:trPr>
          <w:trHeight w:val="315"/>
        </w:trPr>
        <w:tc>
          <w:tcPr>
            <w:tcW w:w="3092" w:type="dxa"/>
            <w:tcBorders>
              <w:top w:val="nil"/>
              <w:left w:val="nil"/>
              <w:bottom w:val="nil"/>
              <w:right w:val="nil"/>
            </w:tcBorders>
            <w:shd w:val="clear" w:color="000000" w:fill="F2F2F2"/>
            <w:noWrap/>
            <w:vAlign w:val="bottom"/>
            <w:hideMark/>
          </w:tcPr>
          <w:p w14:paraId="13ECE764"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Office</w:t>
            </w:r>
          </w:p>
        </w:tc>
        <w:tc>
          <w:tcPr>
            <w:tcW w:w="1160" w:type="dxa"/>
            <w:tcBorders>
              <w:top w:val="nil"/>
              <w:left w:val="nil"/>
              <w:bottom w:val="nil"/>
              <w:right w:val="nil"/>
            </w:tcBorders>
            <w:shd w:val="clear" w:color="000000" w:fill="F2F2F2"/>
            <w:noWrap/>
            <w:vAlign w:val="bottom"/>
            <w:hideMark/>
          </w:tcPr>
          <w:p w14:paraId="0275AD04"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0.45</w:t>
            </w:r>
          </w:p>
        </w:tc>
        <w:tc>
          <w:tcPr>
            <w:tcW w:w="2763" w:type="dxa"/>
            <w:tcBorders>
              <w:top w:val="nil"/>
              <w:left w:val="nil"/>
              <w:bottom w:val="nil"/>
              <w:right w:val="nil"/>
            </w:tcBorders>
            <w:shd w:val="clear" w:color="000000" w:fill="F2F2F2"/>
            <w:noWrap/>
            <w:vAlign w:val="bottom"/>
            <w:hideMark/>
          </w:tcPr>
          <w:p w14:paraId="777B2314"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0.90</w:t>
            </w:r>
          </w:p>
        </w:tc>
        <w:tc>
          <w:tcPr>
            <w:tcW w:w="1325" w:type="dxa"/>
            <w:tcBorders>
              <w:top w:val="nil"/>
              <w:left w:val="nil"/>
              <w:bottom w:val="nil"/>
              <w:right w:val="nil"/>
            </w:tcBorders>
            <w:shd w:val="clear" w:color="000000" w:fill="F2F2F2"/>
            <w:noWrap/>
            <w:vAlign w:val="bottom"/>
            <w:hideMark/>
          </w:tcPr>
          <w:p w14:paraId="49FDB20D"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0.02</w:t>
            </w:r>
          </w:p>
        </w:tc>
      </w:tr>
      <w:tr w:rsidR="00F76B72" w:rsidRPr="0097644E" w14:paraId="33739009" w14:textId="77777777" w:rsidTr="00F76B72">
        <w:trPr>
          <w:trHeight w:val="315"/>
        </w:trPr>
        <w:tc>
          <w:tcPr>
            <w:tcW w:w="3092" w:type="dxa"/>
            <w:tcBorders>
              <w:top w:val="nil"/>
              <w:left w:val="nil"/>
              <w:bottom w:val="nil"/>
              <w:right w:val="nil"/>
            </w:tcBorders>
            <w:shd w:val="clear" w:color="000000" w:fill="F2F2F2"/>
            <w:noWrap/>
            <w:vAlign w:val="bottom"/>
            <w:hideMark/>
          </w:tcPr>
          <w:p w14:paraId="528259B6"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 </w:t>
            </w:r>
          </w:p>
        </w:tc>
        <w:tc>
          <w:tcPr>
            <w:tcW w:w="1160" w:type="dxa"/>
            <w:tcBorders>
              <w:top w:val="nil"/>
              <w:left w:val="nil"/>
              <w:bottom w:val="nil"/>
              <w:right w:val="nil"/>
            </w:tcBorders>
            <w:shd w:val="clear" w:color="000000" w:fill="F2F2F2"/>
            <w:noWrap/>
            <w:vAlign w:val="bottom"/>
            <w:hideMark/>
          </w:tcPr>
          <w:p w14:paraId="6DB8764D"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(0.03)</w:t>
            </w:r>
          </w:p>
        </w:tc>
        <w:tc>
          <w:tcPr>
            <w:tcW w:w="2763" w:type="dxa"/>
            <w:tcBorders>
              <w:top w:val="nil"/>
              <w:left w:val="nil"/>
              <w:bottom w:val="nil"/>
              <w:right w:val="nil"/>
            </w:tcBorders>
            <w:shd w:val="clear" w:color="000000" w:fill="F2F2F2"/>
            <w:noWrap/>
            <w:vAlign w:val="bottom"/>
            <w:hideMark/>
          </w:tcPr>
          <w:p w14:paraId="589F6A59"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(0.03)</w:t>
            </w:r>
          </w:p>
        </w:tc>
        <w:tc>
          <w:tcPr>
            <w:tcW w:w="1325" w:type="dxa"/>
            <w:tcBorders>
              <w:top w:val="nil"/>
              <w:left w:val="nil"/>
              <w:bottom w:val="nil"/>
              <w:right w:val="nil"/>
            </w:tcBorders>
            <w:shd w:val="clear" w:color="000000" w:fill="F2F2F2"/>
            <w:noWrap/>
            <w:vAlign w:val="bottom"/>
            <w:hideMark/>
          </w:tcPr>
          <w:p w14:paraId="76BFB444"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(0.01)</w:t>
            </w:r>
          </w:p>
        </w:tc>
      </w:tr>
      <w:tr w:rsidR="00F76B72" w:rsidRPr="0097644E" w14:paraId="063EB564" w14:textId="77777777" w:rsidTr="00F76B72">
        <w:trPr>
          <w:trHeight w:val="315"/>
        </w:trPr>
        <w:tc>
          <w:tcPr>
            <w:tcW w:w="3092" w:type="dxa"/>
            <w:tcBorders>
              <w:top w:val="nil"/>
              <w:left w:val="nil"/>
              <w:bottom w:val="nil"/>
              <w:right w:val="nil"/>
            </w:tcBorders>
            <w:shd w:val="clear" w:color="000000" w:fill="F2F2F2"/>
            <w:noWrap/>
            <w:vAlign w:val="bottom"/>
            <w:hideMark/>
          </w:tcPr>
          <w:p w14:paraId="73698282"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Kroon</w:t>
            </w:r>
            <w:r>
              <w:rPr>
                <w:rFonts w:eastAsia="Times New Roman"/>
                <w:color w:val="000000"/>
              </w:rPr>
              <w:t xml:space="preserve"> Hall*</w:t>
            </w:r>
            <w:r w:rsidRPr="0097644E">
              <w:rPr>
                <w:rFonts w:eastAsia="Times New Roman"/>
                <w:color w:val="000000"/>
              </w:rPr>
              <w:t>Office</w:t>
            </w:r>
          </w:p>
        </w:tc>
        <w:tc>
          <w:tcPr>
            <w:tcW w:w="1160" w:type="dxa"/>
            <w:tcBorders>
              <w:top w:val="nil"/>
              <w:left w:val="nil"/>
              <w:bottom w:val="nil"/>
              <w:right w:val="nil"/>
            </w:tcBorders>
            <w:shd w:val="clear" w:color="000000" w:fill="F2F2F2"/>
            <w:noWrap/>
            <w:vAlign w:val="bottom"/>
            <w:hideMark/>
          </w:tcPr>
          <w:p w14:paraId="31C09BE1"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0.15</w:t>
            </w:r>
          </w:p>
        </w:tc>
        <w:tc>
          <w:tcPr>
            <w:tcW w:w="2763" w:type="dxa"/>
            <w:tcBorders>
              <w:top w:val="nil"/>
              <w:left w:val="nil"/>
              <w:bottom w:val="nil"/>
              <w:right w:val="nil"/>
            </w:tcBorders>
            <w:shd w:val="clear" w:color="000000" w:fill="F2F2F2"/>
            <w:noWrap/>
            <w:vAlign w:val="bottom"/>
            <w:hideMark/>
          </w:tcPr>
          <w:p w14:paraId="4528DAE2"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0.29</w:t>
            </w:r>
          </w:p>
        </w:tc>
        <w:tc>
          <w:tcPr>
            <w:tcW w:w="1325" w:type="dxa"/>
            <w:tcBorders>
              <w:top w:val="nil"/>
              <w:left w:val="nil"/>
              <w:bottom w:val="nil"/>
              <w:right w:val="nil"/>
            </w:tcBorders>
            <w:shd w:val="clear" w:color="000000" w:fill="F2F2F2"/>
            <w:noWrap/>
            <w:vAlign w:val="bottom"/>
            <w:hideMark/>
          </w:tcPr>
          <w:p w14:paraId="4B61E944"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0.01</w:t>
            </w:r>
          </w:p>
        </w:tc>
      </w:tr>
      <w:tr w:rsidR="00F76B72" w:rsidRPr="0097644E" w14:paraId="58F0EF64" w14:textId="77777777" w:rsidTr="00F76B72">
        <w:trPr>
          <w:trHeight w:val="315"/>
        </w:trPr>
        <w:tc>
          <w:tcPr>
            <w:tcW w:w="3092" w:type="dxa"/>
            <w:tcBorders>
              <w:top w:val="nil"/>
              <w:left w:val="nil"/>
              <w:bottom w:val="nil"/>
              <w:right w:val="nil"/>
            </w:tcBorders>
            <w:shd w:val="clear" w:color="000000" w:fill="F2F2F2"/>
            <w:noWrap/>
            <w:vAlign w:val="bottom"/>
            <w:hideMark/>
          </w:tcPr>
          <w:p w14:paraId="2EC16F15"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 </w:t>
            </w:r>
          </w:p>
        </w:tc>
        <w:tc>
          <w:tcPr>
            <w:tcW w:w="1160" w:type="dxa"/>
            <w:tcBorders>
              <w:top w:val="nil"/>
              <w:left w:val="nil"/>
              <w:bottom w:val="nil"/>
              <w:right w:val="nil"/>
            </w:tcBorders>
            <w:shd w:val="clear" w:color="000000" w:fill="F2F2F2"/>
            <w:noWrap/>
            <w:vAlign w:val="bottom"/>
            <w:hideMark/>
          </w:tcPr>
          <w:p w14:paraId="4DCF437B"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(0.02)</w:t>
            </w:r>
          </w:p>
        </w:tc>
        <w:tc>
          <w:tcPr>
            <w:tcW w:w="2763" w:type="dxa"/>
            <w:tcBorders>
              <w:top w:val="nil"/>
              <w:left w:val="nil"/>
              <w:bottom w:val="nil"/>
              <w:right w:val="nil"/>
            </w:tcBorders>
            <w:shd w:val="clear" w:color="000000" w:fill="F2F2F2"/>
            <w:noWrap/>
            <w:vAlign w:val="bottom"/>
            <w:hideMark/>
          </w:tcPr>
          <w:p w14:paraId="235CB122"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(0.04)</w:t>
            </w:r>
          </w:p>
        </w:tc>
        <w:tc>
          <w:tcPr>
            <w:tcW w:w="1325" w:type="dxa"/>
            <w:tcBorders>
              <w:top w:val="nil"/>
              <w:left w:val="nil"/>
              <w:bottom w:val="nil"/>
              <w:right w:val="nil"/>
            </w:tcBorders>
            <w:shd w:val="clear" w:color="000000" w:fill="F2F2F2"/>
            <w:noWrap/>
            <w:vAlign w:val="bottom"/>
            <w:hideMark/>
          </w:tcPr>
          <w:p w14:paraId="36042AF6"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(0.01)</w:t>
            </w:r>
          </w:p>
        </w:tc>
      </w:tr>
      <w:tr w:rsidR="00F76B72" w:rsidRPr="0097644E" w14:paraId="76275A53" w14:textId="77777777" w:rsidTr="00F76B72">
        <w:trPr>
          <w:trHeight w:val="315"/>
        </w:trPr>
        <w:tc>
          <w:tcPr>
            <w:tcW w:w="3092" w:type="dxa"/>
            <w:tcBorders>
              <w:top w:val="nil"/>
              <w:left w:val="nil"/>
              <w:bottom w:val="nil"/>
              <w:right w:val="nil"/>
            </w:tcBorders>
            <w:shd w:val="clear" w:color="000000" w:fill="F2F2F2"/>
            <w:noWrap/>
            <w:vAlign w:val="bottom"/>
            <w:hideMark/>
          </w:tcPr>
          <w:p w14:paraId="2E1CA8DE"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Age</w:t>
            </w:r>
          </w:p>
        </w:tc>
        <w:tc>
          <w:tcPr>
            <w:tcW w:w="1160" w:type="dxa"/>
            <w:tcBorders>
              <w:top w:val="nil"/>
              <w:left w:val="nil"/>
              <w:bottom w:val="nil"/>
              <w:right w:val="nil"/>
            </w:tcBorders>
            <w:shd w:val="clear" w:color="000000" w:fill="F2F2F2"/>
            <w:noWrap/>
            <w:vAlign w:val="bottom"/>
            <w:hideMark/>
          </w:tcPr>
          <w:p w14:paraId="1C8728D0"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36.34</w:t>
            </w:r>
          </w:p>
        </w:tc>
        <w:tc>
          <w:tcPr>
            <w:tcW w:w="2763" w:type="dxa"/>
            <w:tcBorders>
              <w:top w:val="nil"/>
              <w:left w:val="nil"/>
              <w:bottom w:val="nil"/>
              <w:right w:val="nil"/>
            </w:tcBorders>
            <w:shd w:val="clear" w:color="000000" w:fill="F2F2F2"/>
            <w:noWrap/>
            <w:vAlign w:val="bottom"/>
            <w:hideMark/>
          </w:tcPr>
          <w:p w14:paraId="08357714"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45.30</w:t>
            </w:r>
          </w:p>
        </w:tc>
        <w:tc>
          <w:tcPr>
            <w:tcW w:w="1325" w:type="dxa"/>
            <w:tcBorders>
              <w:top w:val="nil"/>
              <w:left w:val="nil"/>
              <w:bottom w:val="nil"/>
              <w:right w:val="nil"/>
            </w:tcBorders>
            <w:shd w:val="clear" w:color="000000" w:fill="F2F2F2"/>
            <w:noWrap/>
            <w:vAlign w:val="bottom"/>
            <w:hideMark/>
          </w:tcPr>
          <w:p w14:paraId="0625E0A2"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27.97</w:t>
            </w:r>
          </w:p>
        </w:tc>
      </w:tr>
      <w:tr w:rsidR="00F76B72" w:rsidRPr="0097644E" w14:paraId="65D0E52C" w14:textId="77777777" w:rsidTr="00F76B72">
        <w:trPr>
          <w:trHeight w:val="315"/>
        </w:trPr>
        <w:tc>
          <w:tcPr>
            <w:tcW w:w="3092" w:type="dxa"/>
            <w:tcBorders>
              <w:top w:val="nil"/>
              <w:left w:val="nil"/>
              <w:bottom w:val="nil"/>
              <w:right w:val="nil"/>
            </w:tcBorders>
            <w:shd w:val="clear" w:color="000000" w:fill="F2F2F2"/>
            <w:noWrap/>
            <w:vAlign w:val="bottom"/>
            <w:hideMark/>
          </w:tcPr>
          <w:p w14:paraId="5EC11A30"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 </w:t>
            </w:r>
          </w:p>
        </w:tc>
        <w:tc>
          <w:tcPr>
            <w:tcW w:w="1160" w:type="dxa"/>
            <w:tcBorders>
              <w:top w:val="nil"/>
              <w:left w:val="nil"/>
              <w:bottom w:val="nil"/>
              <w:right w:val="nil"/>
            </w:tcBorders>
            <w:shd w:val="clear" w:color="000000" w:fill="F2F2F2"/>
            <w:noWrap/>
            <w:vAlign w:val="bottom"/>
            <w:hideMark/>
          </w:tcPr>
          <w:p w14:paraId="31167CFA"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(0.80)</w:t>
            </w:r>
          </w:p>
        </w:tc>
        <w:tc>
          <w:tcPr>
            <w:tcW w:w="2763" w:type="dxa"/>
            <w:tcBorders>
              <w:top w:val="nil"/>
              <w:left w:val="nil"/>
              <w:bottom w:val="nil"/>
              <w:right w:val="nil"/>
            </w:tcBorders>
            <w:shd w:val="clear" w:color="000000" w:fill="F2F2F2"/>
            <w:noWrap/>
            <w:vAlign w:val="bottom"/>
            <w:hideMark/>
          </w:tcPr>
          <w:p w14:paraId="46C55EFB"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(1.14)</w:t>
            </w:r>
          </w:p>
        </w:tc>
        <w:tc>
          <w:tcPr>
            <w:tcW w:w="1325" w:type="dxa"/>
            <w:tcBorders>
              <w:top w:val="nil"/>
              <w:left w:val="nil"/>
              <w:bottom w:val="nil"/>
              <w:right w:val="nil"/>
            </w:tcBorders>
            <w:shd w:val="clear" w:color="000000" w:fill="F2F2F2"/>
            <w:noWrap/>
            <w:vAlign w:val="bottom"/>
            <w:hideMark/>
          </w:tcPr>
          <w:p w14:paraId="1CD9AD0F"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(0.44)</w:t>
            </w:r>
          </w:p>
        </w:tc>
      </w:tr>
      <w:tr w:rsidR="00F76B72" w:rsidRPr="0097644E" w14:paraId="0C1EDEE4" w14:textId="77777777" w:rsidTr="00F76B72">
        <w:trPr>
          <w:trHeight w:val="315"/>
        </w:trPr>
        <w:tc>
          <w:tcPr>
            <w:tcW w:w="3092" w:type="dxa"/>
            <w:tcBorders>
              <w:top w:val="nil"/>
              <w:left w:val="nil"/>
              <w:bottom w:val="nil"/>
              <w:right w:val="nil"/>
            </w:tcBorders>
            <w:shd w:val="clear" w:color="000000" w:fill="F2F2F2"/>
            <w:noWrap/>
            <w:vAlign w:val="bottom"/>
            <w:hideMark/>
          </w:tcPr>
          <w:p w14:paraId="19F4C930"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Female</w:t>
            </w:r>
          </w:p>
        </w:tc>
        <w:tc>
          <w:tcPr>
            <w:tcW w:w="1160" w:type="dxa"/>
            <w:tcBorders>
              <w:top w:val="nil"/>
              <w:left w:val="nil"/>
              <w:bottom w:val="nil"/>
              <w:right w:val="nil"/>
            </w:tcBorders>
            <w:shd w:val="clear" w:color="000000" w:fill="F2F2F2"/>
            <w:noWrap/>
            <w:vAlign w:val="bottom"/>
            <w:hideMark/>
          </w:tcPr>
          <w:p w14:paraId="5ED7081C"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0.53</w:t>
            </w:r>
          </w:p>
        </w:tc>
        <w:tc>
          <w:tcPr>
            <w:tcW w:w="2763" w:type="dxa"/>
            <w:tcBorders>
              <w:top w:val="nil"/>
              <w:left w:val="nil"/>
              <w:bottom w:val="nil"/>
              <w:right w:val="nil"/>
            </w:tcBorders>
            <w:shd w:val="clear" w:color="000000" w:fill="F2F2F2"/>
            <w:noWrap/>
            <w:vAlign w:val="bottom"/>
            <w:hideMark/>
          </w:tcPr>
          <w:p w14:paraId="7A5EF38F"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0.57</w:t>
            </w:r>
          </w:p>
        </w:tc>
        <w:tc>
          <w:tcPr>
            <w:tcW w:w="1325" w:type="dxa"/>
            <w:tcBorders>
              <w:top w:val="nil"/>
              <w:left w:val="nil"/>
              <w:bottom w:val="nil"/>
              <w:right w:val="nil"/>
            </w:tcBorders>
            <w:shd w:val="clear" w:color="000000" w:fill="F2F2F2"/>
            <w:noWrap/>
            <w:vAlign w:val="bottom"/>
            <w:hideMark/>
          </w:tcPr>
          <w:p w14:paraId="27B2A98A"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0.49</w:t>
            </w:r>
          </w:p>
        </w:tc>
      </w:tr>
      <w:tr w:rsidR="00F76B72" w:rsidRPr="0097644E" w14:paraId="6B29111C" w14:textId="77777777" w:rsidTr="00F76B72">
        <w:trPr>
          <w:trHeight w:val="315"/>
        </w:trPr>
        <w:tc>
          <w:tcPr>
            <w:tcW w:w="3092" w:type="dxa"/>
            <w:tcBorders>
              <w:top w:val="nil"/>
              <w:left w:val="nil"/>
              <w:bottom w:val="single" w:sz="4" w:space="0" w:color="auto"/>
              <w:right w:val="nil"/>
            </w:tcBorders>
            <w:shd w:val="clear" w:color="000000" w:fill="F2F2F2"/>
            <w:noWrap/>
            <w:vAlign w:val="bottom"/>
            <w:hideMark/>
          </w:tcPr>
          <w:p w14:paraId="17597672" w14:textId="77777777" w:rsidR="00F76B72" w:rsidRPr="0097644E" w:rsidRDefault="00F76B72" w:rsidP="00F76B72">
            <w:pPr>
              <w:keepNext/>
              <w:spacing w:after="0" w:line="240" w:lineRule="auto"/>
              <w:rPr>
                <w:rFonts w:eastAsia="Times New Roman"/>
                <w:color w:val="000000"/>
              </w:rPr>
            </w:pPr>
            <w:r w:rsidRPr="0097644E">
              <w:rPr>
                <w:rFonts w:eastAsia="Times New Roman"/>
                <w:color w:val="000000"/>
              </w:rPr>
              <w:t> </w:t>
            </w:r>
          </w:p>
        </w:tc>
        <w:tc>
          <w:tcPr>
            <w:tcW w:w="1160" w:type="dxa"/>
            <w:tcBorders>
              <w:top w:val="nil"/>
              <w:left w:val="nil"/>
              <w:bottom w:val="single" w:sz="4" w:space="0" w:color="auto"/>
              <w:right w:val="nil"/>
            </w:tcBorders>
            <w:shd w:val="clear" w:color="000000" w:fill="F2F2F2"/>
            <w:noWrap/>
            <w:vAlign w:val="bottom"/>
            <w:hideMark/>
          </w:tcPr>
          <w:p w14:paraId="5E21ADEE"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(0.03)</w:t>
            </w:r>
          </w:p>
        </w:tc>
        <w:tc>
          <w:tcPr>
            <w:tcW w:w="2763" w:type="dxa"/>
            <w:tcBorders>
              <w:top w:val="nil"/>
              <w:left w:val="nil"/>
              <w:bottom w:val="single" w:sz="4" w:space="0" w:color="auto"/>
              <w:right w:val="nil"/>
            </w:tcBorders>
            <w:shd w:val="clear" w:color="000000" w:fill="F2F2F2"/>
            <w:noWrap/>
            <w:vAlign w:val="bottom"/>
            <w:hideMark/>
          </w:tcPr>
          <w:p w14:paraId="4D1A7E58"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(0.04)</w:t>
            </w:r>
          </w:p>
        </w:tc>
        <w:tc>
          <w:tcPr>
            <w:tcW w:w="1325" w:type="dxa"/>
            <w:tcBorders>
              <w:top w:val="nil"/>
              <w:left w:val="nil"/>
              <w:bottom w:val="single" w:sz="4" w:space="0" w:color="auto"/>
              <w:right w:val="nil"/>
            </w:tcBorders>
            <w:shd w:val="clear" w:color="000000" w:fill="F2F2F2"/>
            <w:noWrap/>
            <w:vAlign w:val="bottom"/>
            <w:hideMark/>
          </w:tcPr>
          <w:p w14:paraId="0C6DCB9E" w14:textId="77777777" w:rsidR="00F76B72" w:rsidRPr="0097644E" w:rsidRDefault="00F76B72" w:rsidP="00F76B72">
            <w:pPr>
              <w:keepNext/>
              <w:spacing w:after="0" w:line="240" w:lineRule="auto"/>
              <w:jc w:val="center"/>
              <w:rPr>
                <w:rFonts w:eastAsia="Times New Roman"/>
                <w:color w:val="000000"/>
              </w:rPr>
            </w:pPr>
            <w:r w:rsidRPr="0097644E">
              <w:rPr>
                <w:rFonts w:eastAsia="Times New Roman"/>
                <w:color w:val="000000"/>
              </w:rPr>
              <w:t>(0.04)</w:t>
            </w:r>
          </w:p>
        </w:tc>
      </w:tr>
      <w:tr w:rsidR="00F76B72" w:rsidRPr="0097644E" w14:paraId="2197775E" w14:textId="77777777" w:rsidTr="00F76B72">
        <w:trPr>
          <w:trHeight w:val="315"/>
        </w:trPr>
        <w:tc>
          <w:tcPr>
            <w:tcW w:w="8340" w:type="dxa"/>
            <w:gridSpan w:val="4"/>
            <w:tcBorders>
              <w:top w:val="single" w:sz="4" w:space="0" w:color="auto"/>
              <w:left w:val="nil"/>
              <w:bottom w:val="nil"/>
              <w:right w:val="nil"/>
            </w:tcBorders>
            <w:shd w:val="clear" w:color="000000" w:fill="F2F2F2"/>
            <w:noWrap/>
            <w:hideMark/>
          </w:tcPr>
          <w:p w14:paraId="21825F87" w14:textId="77777777" w:rsidR="00F76B72" w:rsidRPr="0097644E" w:rsidRDefault="00F76B72" w:rsidP="00F76B72">
            <w:pPr>
              <w:keepNext/>
              <w:spacing w:after="0" w:line="240" w:lineRule="auto"/>
              <w:rPr>
                <w:rFonts w:eastAsia="Times New Roman"/>
                <w:color w:val="000000"/>
                <w:sz w:val="18"/>
                <w:szCs w:val="18"/>
              </w:rPr>
            </w:pPr>
            <w:r w:rsidRPr="0097644E">
              <w:rPr>
                <w:rFonts w:eastAsia="Times New Roman"/>
                <w:color w:val="000000"/>
                <w:sz w:val="18"/>
                <w:szCs w:val="18"/>
              </w:rPr>
              <w:t>Survey weighted statistics</w:t>
            </w:r>
            <w:r>
              <w:rPr>
                <w:rFonts w:eastAsia="Times New Roman"/>
                <w:color w:val="000000"/>
                <w:sz w:val="18"/>
                <w:szCs w:val="18"/>
              </w:rPr>
              <w:t xml:space="preserve"> with standard errors in parentheses</w:t>
            </w:r>
            <w:r w:rsidRPr="0097644E">
              <w:rPr>
                <w:rFonts w:eastAsia="Times New Roman"/>
                <w:color w:val="000000"/>
                <w:sz w:val="18"/>
                <w:szCs w:val="18"/>
              </w:rPr>
              <w:t>.</w:t>
            </w:r>
            <w:r>
              <w:rPr>
                <w:rFonts w:eastAsia="Times New Roman"/>
                <w:color w:val="000000"/>
                <w:sz w:val="18"/>
                <w:szCs w:val="18"/>
              </w:rPr>
              <w:t xml:space="preserve">  There are 323 responses in the survey, suggesting a 53.7-percent response rate.  However, only </w:t>
            </w:r>
            <w:r w:rsidRPr="0097644E">
              <w:rPr>
                <w:rFonts w:eastAsia="Times New Roman"/>
                <w:color w:val="000000"/>
                <w:sz w:val="18"/>
                <w:szCs w:val="18"/>
              </w:rPr>
              <w:t>259 observations</w:t>
            </w:r>
            <w:r>
              <w:rPr>
                <w:rFonts w:eastAsia="Times New Roman"/>
                <w:color w:val="000000"/>
                <w:sz w:val="18"/>
                <w:szCs w:val="18"/>
              </w:rPr>
              <w:t xml:space="preserve"> are complete to include age and gender indicators, a 43.0-percent effective response</w:t>
            </w:r>
            <w:r w:rsidRPr="0097644E">
              <w:rPr>
                <w:rFonts w:eastAsia="Times New Roman"/>
                <w:color w:val="000000"/>
                <w:sz w:val="18"/>
                <w:szCs w:val="18"/>
              </w:rPr>
              <w:t>.</w:t>
            </w:r>
          </w:p>
        </w:tc>
      </w:tr>
    </w:tbl>
    <w:p w14:paraId="4ACB02E7" w14:textId="77777777" w:rsidR="00F76B72" w:rsidRPr="00BA755E" w:rsidRDefault="00F76B72" w:rsidP="0052424D">
      <w:pPr>
        <w:spacing w:before="240" w:after="120" w:line="360" w:lineRule="auto"/>
        <w:ind w:firstLine="720"/>
        <w:outlineLvl w:val="1"/>
      </w:pPr>
      <w:bookmarkStart w:id="60" w:name="_Toc479624327"/>
      <w:bookmarkStart w:id="61" w:name="_Toc479624369"/>
      <w:bookmarkStart w:id="62" w:name="_Toc479624462"/>
      <w:bookmarkStart w:id="63" w:name="_Toc482127013"/>
      <w:bookmarkStart w:id="64" w:name="_Toc482127043"/>
      <w:bookmarkStart w:id="65" w:name="_Toc482187993"/>
      <w:r w:rsidRPr="00BA755E">
        <w:t>Survey Design</w:t>
      </w:r>
      <w:bookmarkEnd w:id="60"/>
      <w:bookmarkEnd w:id="61"/>
      <w:bookmarkEnd w:id="62"/>
      <w:bookmarkEnd w:id="63"/>
      <w:bookmarkEnd w:id="64"/>
      <w:bookmarkEnd w:id="65"/>
    </w:p>
    <w:p w14:paraId="693B22C5" w14:textId="5B535851" w:rsidR="00F76B72" w:rsidRPr="00991596" w:rsidRDefault="00F76B72" w:rsidP="0052424D">
      <w:pPr>
        <w:spacing w:after="120" w:line="360" w:lineRule="auto"/>
      </w:pPr>
      <w:r>
        <w:t xml:space="preserve">The survey was </w:t>
      </w:r>
      <w:r w:rsidR="001A45FA">
        <w:t>offered</w:t>
      </w:r>
      <w:r>
        <w:t xml:space="preserve"> throughout April 2015 and</w:t>
      </w:r>
      <w:r w:rsidRPr="00991596">
        <w:t xml:space="preserve"> </w:t>
      </w:r>
      <w:r w:rsidR="001A45FA">
        <w:t>queried</w:t>
      </w:r>
      <w:r w:rsidRPr="00991596">
        <w:t xml:space="preserve"> respondent usage and satisfaction with F&amp;ES facilities on campus, </w:t>
      </w:r>
      <w:r>
        <w:t>basic demographics</w:t>
      </w:r>
      <w:r w:rsidRPr="00991596">
        <w:t xml:space="preserve">, and a </w:t>
      </w:r>
      <w:r>
        <w:t>few questions of less general interest</w:t>
      </w:r>
      <w:r w:rsidRPr="00991596">
        <w:t xml:space="preserve">.  The core </w:t>
      </w:r>
      <w:r>
        <w:t>survey was</w:t>
      </w:r>
      <w:r w:rsidRPr="00991596">
        <w:t xml:space="preserve"> a set of nine questions on </w:t>
      </w:r>
      <w:r>
        <w:t xml:space="preserve">the satisfaction with, and impact on productivity </w:t>
      </w:r>
      <w:r w:rsidR="007C1507">
        <w:t>from</w:t>
      </w:r>
      <w:r>
        <w:t xml:space="preserve"> building characteristics categorized as</w:t>
      </w:r>
      <w:r w:rsidRPr="00991596">
        <w:t xml:space="preserve"> acoustics, aesthetics, air quality, sustainability features, furniture, lighting, functionality, thermal comfort, and other (with an option to write in text).  </w:t>
      </w:r>
      <w:r>
        <w:t>For each category, respondents</w:t>
      </w:r>
      <w:r w:rsidRPr="00991596">
        <w:t xml:space="preserve"> were asked </w:t>
      </w:r>
      <w:r>
        <w:t xml:space="preserve">about the </w:t>
      </w:r>
      <w:r w:rsidRPr="00991596">
        <w:t>importance</w:t>
      </w:r>
      <w:r>
        <w:t xml:space="preserve"> of the category</w:t>
      </w:r>
      <w:r w:rsidR="0009098A">
        <w:t xml:space="preserve"> and</w:t>
      </w:r>
      <w:r w:rsidRPr="00991596">
        <w:t xml:space="preserve"> satisfaction</w:t>
      </w:r>
      <w:r>
        <w:t xml:space="preserve"> with the F&amp;ES building they most use</w:t>
      </w:r>
      <w:r w:rsidR="007C1507">
        <w:t xml:space="preserve">, </w:t>
      </w:r>
      <w:r>
        <w:t>impact on their productivity in that building</w:t>
      </w:r>
      <w:r w:rsidRPr="00991596">
        <w:t>, and</w:t>
      </w:r>
      <w:r w:rsidR="007C1507">
        <w:t xml:space="preserve"> </w:t>
      </w:r>
      <w:r>
        <w:t>impact on amount of</w:t>
      </w:r>
      <w:r w:rsidRPr="00991596">
        <w:t xml:space="preserve"> time </w:t>
      </w:r>
      <w:r>
        <w:t>spent in the building.  R</w:t>
      </w:r>
      <w:r w:rsidRPr="00991596">
        <w:t xml:space="preserve">espondents ranked </w:t>
      </w:r>
      <w:r w:rsidR="007C1507">
        <w:t>from response=1 for</w:t>
      </w:r>
      <w:r w:rsidRPr="00991596">
        <w:t xml:space="preserve"> very unimportant, very dissatisfied, greatly interfere, or a lot less time</w:t>
      </w:r>
      <w:r>
        <w:t>,</w:t>
      </w:r>
      <w:r w:rsidRPr="00991596">
        <w:t xml:space="preserve"> to</w:t>
      </w:r>
      <w:r>
        <w:t xml:space="preserve"> </w:t>
      </w:r>
      <w:r w:rsidR="007C1507">
        <w:t xml:space="preserve">response=5 for </w:t>
      </w:r>
      <w:r w:rsidRPr="00991596">
        <w:t>very important, very satisfied, greatly enhance, or a lot more time</w:t>
      </w:r>
      <w:r w:rsidR="007C1507">
        <w:t xml:space="preserve"> </w:t>
      </w:r>
      <w:r>
        <w:t>as applicable</w:t>
      </w:r>
      <w:r w:rsidR="007C1507">
        <w:t xml:space="preserve"> in discrete increments</w:t>
      </w:r>
      <w:r w:rsidRPr="00991596">
        <w:t>.</w:t>
      </w:r>
      <w:r>
        <w:t xml:space="preserve">  This data offers a substantial picture of respondent experiences with green Kroon Hall </w:t>
      </w:r>
      <w:r w:rsidR="007C1507">
        <w:t>and</w:t>
      </w:r>
      <w:r>
        <w:t xml:space="preserve"> traditional buildings.  In total, nine built environment characteristics are analyzed for their impact on four satisfaction and importance measures.  This offers </w:t>
      </w:r>
      <w:r w:rsidRPr="00991596">
        <w:t xml:space="preserve">54 data points per </w:t>
      </w:r>
      <w:r>
        <w:t xml:space="preserve">respondent, measured at a resolution of a </w:t>
      </w:r>
      <w:r w:rsidR="007C1507">
        <w:t>five-point scale</w:t>
      </w:r>
      <w:r>
        <w:t xml:space="preserve">.  Respondents were also queried on how they adjust the building environment with a dichotomous choice for </w:t>
      </w:r>
      <w:r w:rsidR="007C1507">
        <w:t>ten</w:t>
      </w:r>
      <w:r>
        <w:t xml:space="preserve"> adaptation options</w:t>
      </w:r>
      <w:r w:rsidRPr="00991596">
        <w:t xml:space="preserve">: open and close windows, doors, raise and lower window blinds, adjust building thermostats, air vents, bring in portable heaters, fans, wear different clothing, </w:t>
      </w:r>
      <w:r w:rsidR="007C1507">
        <w:t>do nothing, and</w:t>
      </w:r>
      <w:r w:rsidRPr="00991596">
        <w:t xml:space="preserve"> other (with an</w:t>
      </w:r>
      <w:r>
        <w:t>other write-in</w:t>
      </w:r>
      <w:r w:rsidRPr="00991596">
        <w:t xml:space="preserve"> opt</w:t>
      </w:r>
      <w:r w:rsidR="00CD7DF1">
        <w:t>ion).  The analysis to follow focuses on thermal comfort while extended results are included in the appendix.</w:t>
      </w:r>
    </w:p>
    <w:p w14:paraId="1CB1CB04" w14:textId="77777777" w:rsidR="00F76B72" w:rsidRPr="002B46AA" w:rsidRDefault="00F76B72" w:rsidP="0052424D">
      <w:pPr>
        <w:pStyle w:val="ListParagraph"/>
        <w:spacing w:after="120" w:line="360" w:lineRule="auto"/>
        <w:outlineLvl w:val="1"/>
      </w:pPr>
      <w:bookmarkStart w:id="66" w:name="_Toc479624328"/>
      <w:bookmarkStart w:id="67" w:name="_Toc479624370"/>
      <w:bookmarkStart w:id="68" w:name="_Toc479624463"/>
      <w:bookmarkStart w:id="69" w:name="_Toc482127014"/>
      <w:bookmarkStart w:id="70" w:name="_Toc482127044"/>
      <w:bookmarkStart w:id="71" w:name="_Toc482187994"/>
      <w:r w:rsidRPr="002B46AA">
        <w:lastRenderedPageBreak/>
        <w:t>Econometric model</w:t>
      </w:r>
      <w:bookmarkEnd w:id="66"/>
      <w:bookmarkEnd w:id="67"/>
      <w:bookmarkEnd w:id="68"/>
      <w:bookmarkEnd w:id="69"/>
      <w:bookmarkEnd w:id="70"/>
      <w:bookmarkEnd w:id="71"/>
    </w:p>
    <w:p w14:paraId="6BC61E0F" w14:textId="55135E34" w:rsidR="00F76B72" w:rsidRPr="00991596" w:rsidRDefault="00344DA2" w:rsidP="0052424D">
      <w:pPr>
        <w:spacing w:after="120" w:line="360" w:lineRule="auto"/>
      </w:pPr>
      <w:r>
        <w:t>The econometric model</w:t>
      </w:r>
      <w:r w:rsidR="00F76B72">
        <w:t xml:space="preserve"> attempt</w:t>
      </w:r>
      <w:r>
        <w:t>s</w:t>
      </w:r>
      <w:r w:rsidR="00F76B72">
        <w:t xml:space="preserve"> to identify whether there is an impact </w:t>
      </w:r>
      <w:r>
        <w:t>on occupant satisfaction and productivity from</w:t>
      </w:r>
      <w:r w:rsidR="00F76B72" w:rsidRPr="00991596">
        <w:t xml:space="preserve"> LEED certified Kroon Hall</w:t>
      </w:r>
      <w:r>
        <w:t>.</w:t>
      </w:r>
      <w:r w:rsidR="00F76B72" w:rsidRPr="00991596">
        <w:t xml:space="preserve"> </w:t>
      </w:r>
      <w:r>
        <w:t xml:space="preserve"> It also attempts to identify whether</w:t>
      </w:r>
      <w:r w:rsidR="00F76B72">
        <w:t xml:space="preserve"> adaptive behavior differs</w:t>
      </w:r>
      <w:r w:rsidR="00F76B72" w:rsidRPr="00991596">
        <w:t xml:space="preserve">.  </w:t>
      </w:r>
      <w:r w:rsidR="00F76B72">
        <w:t xml:space="preserve">An ordered probit model is estimated for each experience and impact category to capture to the fullest extent the </w:t>
      </w:r>
      <w:r>
        <w:t>influence</w:t>
      </w:r>
      <w:r w:rsidR="00F76B72">
        <w:t xml:space="preserve"> of the green structure</w:t>
      </w:r>
      <w:r>
        <w:t xml:space="preserve"> in</w:t>
      </w:r>
      <w:r w:rsidR="00F76B72">
        <w:t xml:space="preserve">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76B72" w:rsidRPr="00991596" w14:paraId="45AB3851" w14:textId="77777777" w:rsidTr="00F76B72">
        <w:tc>
          <w:tcPr>
            <w:tcW w:w="8815" w:type="dxa"/>
          </w:tcPr>
          <w:p w14:paraId="2A7C1BD6" w14:textId="77777777" w:rsidR="00F76B72" w:rsidRPr="00991596" w:rsidRDefault="001219E7" w:rsidP="0052424D">
            <w:pPr>
              <w:spacing w:after="120" w:line="360" w:lineRule="auto"/>
            </w:pPr>
            <m:oMathPara>
              <m:oMath>
                <m:sSub>
                  <m:sSubPr>
                    <m:ctrlPr>
                      <w:rPr>
                        <w:rFonts w:ascii="Cambria Math" w:eastAsiaTheme="minorEastAsia" w:hAnsi="Cambria Math"/>
                        <w:i/>
                      </w:rPr>
                    </m:ctrlPr>
                  </m:sSubPr>
                  <m:e>
                    <m:r>
                      <w:rPr>
                        <w:rFonts w:ascii="Cambria Math" w:eastAsiaTheme="minorEastAsia" w:hAnsi="Cambria Math"/>
                      </w:rPr>
                      <m:t>Cat</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KroonPrimary+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Kroon*Office+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Office+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Age+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Gender+ε</m:t>
                </m:r>
              </m:oMath>
            </m:oMathPara>
          </w:p>
        </w:tc>
        <w:tc>
          <w:tcPr>
            <w:tcW w:w="535" w:type="dxa"/>
          </w:tcPr>
          <w:p w14:paraId="7644BA47" w14:textId="77777777" w:rsidR="00F76B72" w:rsidRPr="00991596" w:rsidRDefault="00F76B72" w:rsidP="0052424D">
            <w:pPr>
              <w:spacing w:after="120" w:line="360" w:lineRule="auto"/>
            </w:pPr>
            <w:r w:rsidRPr="00991596">
              <w:t>(1)</w:t>
            </w:r>
          </w:p>
        </w:tc>
      </w:tr>
    </w:tbl>
    <w:p w14:paraId="549C6573" w14:textId="40A5C12A" w:rsidR="00F76B72" w:rsidRPr="00991596" w:rsidRDefault="00F76B72" w:rsidP="0052424D">
      <w:pPr>
        <w:spacing w:after="120" w:line="360" w:lineRule="auto"/>
        <w:rPr>
          <w:rFonts w:eastAsiaTheme="minorEastAsia"/>
        </w:rPr>
      </w:pPr>
      <w:r>
        <w:rPr>
          <w:rFonts w:eastAsiaTheme="minorEastAsia"/>
        </w:rPr>
        <w:t xml:space="preserve">where </w:t>
      </w:r>
      <w:r>
        <w:rPr>
          <w:rFonts w:eastAsiaTheme="minorEastAsia"/>
          <w:i/>
        </w:rPr>
        <w:t>i</w:t>
      </w:r>
      <w:r>
        <w:rPr>
          <w:rFonts w:eastAsiaTheme="minorEastAsia"/>
        </w:rPr>
        <w:t xml:space="preserve"> indicat</w:t>
      </w:r>
      <w:r w:rsidR="00016525">
        <w:rPr>
          <w:rFonts w:eastAsiaTheme="minorEastAsia"/>
        </w:rPr>
        <w:t>e</w:t>
      </w:r>
      <w:r>
        <w:rPr>
          <w:rFonts w:eastAsiaTheme="minorEastAsia"/>
        </w:rPr>
        <w:t xml:space="preserve">s the four measures (importance, satisfaction, work impact, time impact), </w:t>
      </w:r>
      <w:r>
        <w:rPr>
          <w:rFonts w:eastAsiaTheme="minorEastAsia"/>
          <w:i/>
        </w:rPr>
        <w:t>j</w:t>
      </w:r>
      <w:r>
        <w:rPr>
          <w:rFonts w:eastAsiaTheme="minorEastAsia"/>
        </w:rPr>
        <w:t xml:space="preserve"> indica</w:t>
      </w:r>
      <w:r w:rsidR="00016525">
        <w:rPr>
          <w:rFonts w:eastAsiaTheme="minorEastAsia"/>
        </w:rPr>
        <w:t>te</w:t>
      </w:r>
      <w:r>
        <w:rPr>
          <w:rFonts w:eastAsiaTheme="minorEastAsia"/>
        </w:rPr>
        <w:t xml:space="preserve">s the nine building characteristics (thermal impact, acoustics, aesthetics, etc.), and </w:t>
      </w:r>
      <w:r w:rsidRPr="00991596">
        <w:rPr>
          <w:rFonts w:eastAsiaTheme="minorEastAsia"/>
        </w:rPr>
        <w:t>subscript</w:t>
      </w:r>
      <w:r>
        <w:rPr>
          <w:rFonts w:eastAsiaTheme="minorEastAsia"/>
        </w:rPr>
        <w:t>s for individual observations are suppressed for clarity.</w:t>
      </w:r>
      <w:r w:rsidRPr="00991596">
        <w:rPr>
          <w:rFonts w:eastAsiaTheme="minorEastAsia"/>
        </w:rPr>
        <w:t xml:space="preserve"> </w:t>
      </w:r>
      <w:r>
        <w:rPr>
          <w:rFonts w:eastAsiaTheme="minorEastAsia"/>
        </w:rPr>
        <w:t xml:space="preserve"> </w:t>
      </w:r>
      <w:r w:rsidRPr="00991596">
        <w:rPr>
          <w:rFonts w:eastAsiaTheme="minorEastAsia"/>
          <w:i/>
        </w:rPr>
        <w:t>Cat</w:t>
      </w:r>
      <w:r w:rsidR="00336DA0">
        <w:rPr>
          <w:rFonts w:eastAsiaTheme="minorEastAsia"/>
          <w:i/>
          <w:vertAlign w:val="subscript"/>
        </w:rPr>
        <w:t>ij</w:t>
      </w:r>
      <w:r w:rsidRPr="00991596">
        <w:rPr>
          <w:rFonts w:eastAsiaTheme="minorEastAsia"/>
        </w:rPr>
        <w:t xml:space="preserve"> </w:t>
      </w:r>
      <w:r w:rsidR="00336DA0">
        <w:rPr>
          <w:rFonts w:eastAsiaTheme="minorEastAsia"/>
        </w:rPr>
        <w:t>is a five-point ordinal response subcategory.  The independent variables are</w:t>
      </w:r>
      <w:r w:rsidRPr="00991596">
        <w:rPr>
          <w:rFonts w:eastAsiaTheme="minorEastAsia"/>
        </w:rPr>
        <w:t xml:space="preserve"> </w:t>
      </w:r>
      <w:r w:rsidRPr="00991596">
        <w:rPr>
          <w:rFonts w:eastAsiaTheme="minorEastAsia"/>
          <w:i/>
        </w:rPr>
        <w:t>KroonPrimary</w:t>
      </w:r>
      <w:r w:rsidRPr="00991596">
        <w:rPr>
          <w:rFonts w:eastAsiaTheme="minorEastAsia"/>
        </w:rPr>
        <w:t xml:space="preserve">=1 if Kroon Hall is the respondent’s </w:t>
      </w:r>
      <w:r>
        <w:rPr>
          <w:rFonts w:eastAsiaTheme="minorEastAsia"/>
        </w:rPr>
        <w:t xml:space="preserve">self-reported </w:t>
      </w:r>
      <w:r w:rsidRPr="00991596">
        <w:rPr>
          <w:rFonts w:eastAsiaTheme="minorEastAsia"/>
        </w:rPr>
        <w:t xml:space="preserve">primary F&amp;ES building, </w:t>
      </w:r>
      <w:r w:rsidRPr="00991596">
        <w:rPr>
          <w:rFonts w:eastAsiaTheme="minorEastAsia"/>
          <w:i/>
        </w:rPr>
        <w:t>Office</w:t>
      </w:r>
      <w:r w:rsidRPr="00991596">
        <w:rPr>
          <w:rFonts w:eastAsiaTheme="minorEastAsia"/>
        </w:rPr>
        <w:t xml:space="preserve">=1 if they have an office at F&amp;ES, </w:t>
      </w:r>
      <w:r w:rsidRPr="00991596">
        <w:rPr>
          <w:rFonts w:eastAsiaTheme="minorEastAsia"/>
          <w:i/>
        </w:rPr>
        <w:t>Kroon*Office</w:t>
      </w:r>
      <w:r w:rsidRPr="00991596">
        <w:rPr>
          <w:rFonts w:eastAsiaTheme="minorEastAsia"/>
        </w:rPr>
        <w:t xml:space="preserve"> as interaction term, </w:t>
      </w:r>
      <w:r w:rsidRPr="00991596">
        <w:rPr>
          <w:rFonts w:eastAsiaTheme="minorEastAsia"/>
          <w:i/>
        </w:rPr>
        <w:t>Age</w:t>
      </w:r>
      <w:r w:rsidR="00336DA0">
        <w:rPr>
          <w:rFonts w:eastAsiaTheme="minorEastAsia"/>
        </w:rPr>
        <w:t>,</w:t>
      </w:r>
      <w:r w:rsidRPr="00991596">
        <w:rPr>
          <w:rFonts w:eastAsiaTheme="minorEastAsia"/>
        </w:rPr>
        <w:t xml:space="preserve"> and </w:t>
      </w:r>
      <w:r w:rsidRPr="00991596">
        <w:rPr>
          <w:rFonts w:eastAsiaTheme="minorEastAsia"/>
          <w:i/>
        </w:rPr>
        <w:t>Female</w:t>
      </w:r>
      <w:r w:rsidR="00336DA0">
        <w:rPr>
          <w:rFonts w:eastAsiaTheme="minorEastAsia"/>
          <w:i/>
        </w:rPr>
        <w:t>=1</w:t>
      </w:r>
      <w:r w:rsidRPr="00991596">
        <w:rPr>
          <w:rFonts w:eastAsiaTheme="minorEastAsia"/>
        </w:rPr>
        <w:t xml:space="preserve"> as expected.</w:t>
      </w:r>
      <w:r>
        <w:rPr>
          <w:rFonts w:eastAsiaTheme="minorEastAsia"/>
        </w:rPr>
        <w:t xml:space="preserve">  </w:t>
      </w:r>
      <w:r w:rsidRPr="00991596">
        <w:rPr>
          <w:rFonts w:eastAsiaTheme="minorEastAsia"/>
        </w:rPr>
        <w:t>In select</w:t>
      </w:r>
      <w:r>
        <w:rPr>
          <w:rFonts w:eastAsiaTheme="minorEastAsia"/>
        </w:rPr>
        <w:t>ing</w:t>
      </w:r>
      <w:r w:rsidRPr="00991596">
        <w:rPr>
          <w:rFonts w:eastAsiaTheme="minorEastAsia"/>
        </w:rPr>
        <w:t xml:space="preserve"> </w:t>
      </w:r>
      <w:r>
        <w:rPr>
          <w:rFonts w:eastAsiaTheme="minorEastAsia"/>
        </w:rPr>
        <w:t>the</w:t>
      </w:r>
      <w:r w:rsidRPr="00991596">
        <w:rPr>
          <w:rFonts w:eastAsiaTheme="minorEastAsia"/>
        </w:rPr>
        <w:t xml:space="preserve"> independent variables, Frontczak &amp; Wargocki (2011) and Kingma &amp; Lichtenbelt (2015) </w:t>
      </w:r>
      <w:r>
        <w:rPr>
          <w:rFonts w:eastAsiaTheme="minorEastAsia"/>
        </w:rPr>
        <w:t>emphasize</w:t>
      </w:r>
      <w:r w:rsidRPr="00991596">
        <w:rPr>
          <w:rFonts w:eastAsiaTheme="minorEastAsia"/>
        </w:rPr>
        <w:t xml:space="preserve"> </w:t>
      </w:r>
      <w:r>
        <w:rPr>
          <w:rFonts w:eastAsiaTheme="minorEastAsia"/>
        </w:rPr>
        <w:t xml:space="preserve">age and gender </w:t>
      </w:r>
      <w:r w:rsidRPr="00991596">
        <w:rPr>
          <w:rFonts w:eastAsiaTheme="minorEastAsia"/>
        </w:rPr>
        <w:t>a</w:t>
      </w:r>
      <w:r w:rsidR="00336DA0">
        <w:rPr>
          <w:rFonts w:eastAsiaTheme="minorEastAsia"/>
        </w:rPr>
        <w:t>s</w:t>
      </w:r>
      <w:r w:rsidRPr="00991596">
        <w:rPr>
          <w:rFonts w:eastAsiaTheme="minorEastAsia"/>
        </w:rPr>
        <w:t xml:space="preserve"> important factors </w:t>
      </w:r>
      <w:r>
        <w:rPr>
          <w:rFonts w:eastAsiaTheme="minorEastAsia"/>
        </w:rPr>
        <w:t>influencing</w:t>
      </w:r>
      <w:r w:rsidRPr="00991596">
        <w:rPr>
          <w:rFonts w:eastAsiaTheme="minorEastAsia"/>
        </w:rPr>
        <w:t xml:space="preserve"> indoor comf</w:t>
      </w:r>
      <w:r>
        <w:rPr>
          <w:rFonts w:eastAsiaTheme="minorEastAsia"/>
        </w:rPr>
        <w:t xml:space="preserve">ort.  A </w:t>
      </w:r>
      <w:r w:rsidRPr="00991596">
        <w:rPr>
          <w:rFonts w:eastAsiaTheme="minorEastAsia"/>
        </w:rPr>
        <w:t>second version</w:t>
      </w:r>
      <w:r>
        <w:rPr>
          <w:rFonts w:eastAsiaTheme="minorEastAsia"/>
        </w:rPr>
        <w:t xml:space="preserve"> using</w:t>
      </w:r>
      <w:r w:rsidRPr="00991596">
        <w:rPr>
          <w:rFonts w:eastAsiaTheme="minorEastAsia"/>
        </w:rPr>
        <w:t xml:space="preserve"> </w:t>
      </w:r>
      <w:r w:rsidRPr="00991596">
        <w:rPr>
          <w:rFonts w:eastAsiaTheme="minorEastAsia"/>
          <w:i/>
        </w:rPr>
        <w:t>FacStaffOther</w:t>
      </w:r>
      <w:r w:rsidRPr="00991596">
        <w:rPr>
          <w:rFonts w:eastAsiaTheme="minorEastAsia"/>
        </w:rPr>
        <w:t>=1 if the respondent is faculty, staff, or has indicated a role such as visiting research fellow or postdoc</w:t>
      </w:r>
      <w:r>
        <w:rPr>
          <w:rFonts w:eastAsiaTheme="minorEastAsia"/>
        </w:rPr>
        <w:t xml:space="preserve"> rather than using </w:t>
      </w:r>
      <w:r>
        <w:rPr>
          <w:rFonts w:eastAsiaTheme="minorEastAsia"/>
          <w:i/>
        </w:rPr>
        <w:t>Office</w:t>
      </w:r>
      <w:r>
        <w:rPr>
          <w:rFonts w:eastAsiaTheme="minorEastAsia"/>
        </w:rPr>
        <w:t xml:space="preserve"> results in qualitatively same results</w:t>
      </w:r>
      <w:r w:rsidRPr="00991596">
        <w:rPr>
          <w:rFonts w:eastAsiaTheme="minorEastAsia"/>
        </w:rPr>
        <w:t>.</w:t>
      </w:r>
      <w:r>
        <w:rPr>
          <w:rFonts w:eastAsiaTheme="minorEastAsia"/>
        </w:rPr>
        <w:t xml:space="preserve">  The co</w:t>
      </w:r>
      <w:r w:rsidR="00336DA0">
        <w:rPr>
          <w:rFonts w:eastAsiaTheme="minorEastAsia"/>
        </w:rPr>
        <w:t xml:space="preserve">rrelation between being faculty or </w:t>
      </w:r>
      <w:r>
        <w:rPr>
          <w:rFonts w:eastAsiaTheme="minorEastAsia"/>
        </w:rPr>
        <w:t xml:space="preserve">staff and having an office is expectedly high- only students in </w:t>
      </w:r>
      <w:r w:rsidR="00336DA0">
        <w:rPr>
          <w:rFonts w:eastAsiaTheme="minorEastAsia"/>
        </w:rPr>
        <w:t>special</w:t>
      </w:r>
      <w:r>
        <w:rPr>
          <w:rFonts w:eastAsiaTheme="minorEastAsia"/>
        </w:rPr>
        <w:t xml:space="preserve"> research roles and doctoral students generally receive</w:t>
      </w:r>
      <w:r w:rsidR="00336DA0">
        <w:rPr>
          <w:rFonts w:eastAsiaTheme="minorEastAsia"/>
        </w:rPr>
        <w:t xml:space="preserve"> an</w:t>
      </w:r>
      <w:r>
        <w:rPr>
          <w:rFonts w:eastAsiaTheme="minorEastAsia"/>
        </w:rPr>
        <w:t xml:space="preserve"> office assignment.  Th</w:t>
      </w:r>
      <w:r w:rsidR="00336DA0">
        <w:rPr>
          <w:rFonts w:eastAsiaTheme="minorEastAsia"/>
        </w:rPr>
        <w:t>is</w:t>
      </w:r>
      <w:r>
        <w:rPr>
          <w:rFonts w:eastAsiaTheme="minorEastAsia"/>
        </w:rPr>
        <w:t xml:space="preserve"> assignment is similar to that of faculty and staff for these </w:t>
      </w:r>
      <w:r w:rsidR="00336DA0">
        <w:rPr>
          <w:rFonts w:eastAsiaTheme="minorEastAsia"/>
        </w:rPr>
        <w:t>researchers</w:t>
      </w:r>
      <w:r>
        <w:rPr>
          <w:rFonts w:eastAsiaTheme="minorEastAsia"/>
        </w:rPr>
        <w:t xml:space="preserve">- exogenously determined for the individual and thus the assignment characteristic of office is </w:t>
      </w:r>
      <w:r w:rsidR="00336DA0">
        <w:rPr>
          <w:rFonts w:eastAsiaTheme="minorEastAsia"/>
        </w:rPr>
        <w:t>retained for office-using students</w:t>
      </w:r>
      <w:r>
        <w:rPr>
          <w:rFonts w:eastAsiaTheme="minorEastAsia"/>
        </w:rPr>
        <w:t>.</w:t>
      </w:r>
      <w:r w:rsidR="00336DA0">
        <w:rPr>
          <w:rFonts w:eastAsiaTheme="minorEastAsia"/>
        </w:rPr>
        <w:t xml:space="preserve">  </w:t>
      </w:r>
      <w:r>
        <w:rPr>
          <w:rFonts w:eastAsiaTheme="minorEastAsia"/>
        </w:rPr>
        <w:t>Equation</w:t>
      </w:r>
      <w:r w:rsidRPr="00991596">
        <w:rPr>
          <w:rFonts w:eastAsiaTheme="minorEastAsia"/>
        </w:rPr>
        <w:t xml:space="preserve"> (1) </w:t>
      </w:r>
      <w:r>
        <w:rPr>
          <w:rFonts w:eastAsiaTheme="minorEastAsia"/>
        </w:rPr>
        <w:t>is</w:t>
      </w:r>
      <w:r w:rsidRPr="00991596">
        <w:rPr>
          <w:rFonts w:eastAsiaTheme="minorEastAsia"/>
        </w:rPr>
        <w:t xml:space="preserve"> estimated for each of our 54 </w:t>
      </w:r>
      <w:r w:rsidRPr="00991596">
        <w:rPr>
          <w:rFonts w:eastAsiaTheme="minorEastAsia"/>
          <w:i/>
        </w:rPr>
        <w:t>Cat</w:t>
      </w:r>
      <w:r w:rsidRPr="00991596">
        <w:rPr>
          <w:rFonts w:eastAsiaTheme="minorEastAsia"/>
          <w:i/>
          <w:vertAlign w:val="subscript"/>
        </w:rPr>
        <w:t>i</w:t>
      </w:r>
      <w:r>
        <w:rPr>
          <w:rFonts w:eastAsiaTheme="minorEastAsia"/>
          <w:i/>
          <w:vertAlign w:val="subscript"/>
        </w:rPr>
        <w:t>j</w:t>
      </w:r>
      <w:r w:rsidRPr="00991596">
        <w:rPr>
          <w:rFonts w:eastAsiaTheme="minorEastAsia"/>
          <w:i/>
        </w:rPr>
        <w:t xml:space="preserve"> </w:t>
      </w:r>
      <w:r w:rsidRPr="00991596">
        <w:rPr>
          <w:rFonts w:eastAsiaTheme="minorEastAsia"/>
        </w:rPr>
        <w:t>ordinal</w:t>
      </w:r>
      <w:r>
        <w:rPr>
          <w:rFonts w:eastAsiaTheme="minorEastAsia"/>
        </w:rPr>
        <w:t xml:space="preserve"> response categories.  However, the category with the greatest energy impact potential, thermal comfort, is the focus of th</w:t>
      </w:r>
      <w:r w:rsidR="00336DA0">
        <w:rPr>
          <w:rFonts w:eastAsiaTheme="minorEastAsia"/>
        </w:rPr>
        <w:t>is</w:t>
      </w:r>
      <w:r>
        <w:rPr>
          <w:rFonts w:eastAsiaTheme="minorEastAsia"/>
        </w:rPr>
        <w:t xml:space="preserve"> analysis while the breadth of results occupies the appendix</w:t>
      </w:r>
      <w:r w:rsidRPr="00991596">
        <w:rPr>
          <w:rFonts w:eastAsiaTheme="minorEastAsia"/>
        </w:rPr>
        <w:t>.</w:t>
      </w:r>
      <w:r>
        <w:rPr>
          <w:rFonts w:eastAsiaTheme="minorEastAsia"/>
        </w:rPr>
        <w:t xml:space="preserve">  </w:t>
      </w:r>
      <w:r w:rsidR="00336DA0">
        <w:rPr>
          <w:rFonts w:eastAsiaTheme="minorEastAsia"/>
        </w:rPr>
        <w:t>T</w:t>
      </w:r>
      <w:r>
        <w:rPr>
          <w:rFonts w:eastAsiaTheme="minorEastAsia"/>
        </w:rPr>
        <w:t xml:space="preserve">he </w:t>
      </w:r>
      <w:r w:rsidR="00336DA0">
        <w:rPr>
          <w:rFonts w:eastAsiaTheme="minorEastAsia"/>
        </w:rPr>
        <w:t>coefficients</w:t>
      </w:r>
      <w:r w:rsidRPr="00991596">
        <w:rPr>
          <w:rFonts w:eastAsiaTheme="minorEastAsia"/>
        </w:rPr>
        <w:t xml:space="preserve"> on the usage of Kroon</w:t>
      </w:r>
      <w:r>
        <w:rPr>
          <w:rFonts w:eastAsiaTheme="minorEastAsia"/>
        </w:rPr>
        <w:t xml:space="preserve"> Hall</w:t>
      </w:r>
      <w:r w:rsidRPr="00991596">
        <w:rPr>
          <w:rFonts w:eastAsiaTheme="minorEastAsia"/>
        </w:rPr>
        <w:t xml:space="preserve"> versus the rest of the F&amp;ES inventory</w:t>
      </w:r>
      <w:r w:rsidR="00336DA0">
        <w:rPr>
          <w:rFonts w:eastAsiaTheme="minorEastAsia"/>
        </w:rPr>
        <w:t>,</w:t>
      </w:r>
      <w:r>
        <w:rPr>
          <w:rFonts w:eastAsiaTheme="minorEastAsia"/>
        </w:rPr>
        <w:t xml:space="preserve"> and interaction of </w:t>
      </w:r>
      <w:r w:rsidRPr="00336DA0">
        <w:rPr>
          <w:rFonts w:eastAsiaTheme="minorEastAsia"/>
          <w:i/>
        </w:rPr>
        <w:t>Kroon Hall</w:t>
      </w:r>
      <w:r>
        <w:rPr>
          <w:rFonts w:eastAsiaTheme="minorEastAsia"/>
        </w:rPr>
        <w:t xml:space="preserve"> and </w:t>
      </w:r>
      <w:r w:rsidR="00336DA0" w:rsidRPr="00336DA0">
        <w:rPr>
          <w:rFonts w:eastAsiaTheme="minorEastAsia"/>
          <w:i/>
        </w:rPr>
        <w:t>O</w:t>
      </w:r>
      <w:r w:rsidRPr="00336DA0">
        <w:rPr>
          <w:rFonts w:eastAsiaTheme="minorEastAsia"/>
          <w:i/>
        </w:rPr>
        <w:t>ffice</w:t>
      </w:r>
      <w:r>
        <w:rPr>
          <w:rFonts w:eastAsiaTheme="minorEastAsia"/>
        </w:rPr>
        <w:t xml:space="preserve"> </w:t>
      </w:r>
      <w:r w:rsidRPr="00991596">
        <w:rPr>
          <w:rFonts w:eastAsiaTheme="minorEastAsia"/>
        </w:rPr>
        <w:t>are of primary interest.</w:t>
      </w:r>
    </w:p>
    <w:p w14:paraId="0EECC772" w14:textId="77777777" w:rsidR="00F76B72" w:rsidRPr="00991596" w:rsidRDefault="00F76B72" w:rsidP="0052424D">
      <w:pPr>
        <w:spacing w:after="120" w:line="360" w:lineRule="auto"/>
        <w:rPr>
          <w:rFonts w:eastAsiaTheme="minorEastAsia"/>
        </w:rPr>
      </w:pPr>
      <w:r>
        <w:rPr>
          <w:rFonts w:eastAsiaTheme="minorEastAsia"/>
        </w:rPr>
        <w:t>The next</w:t>
      </w:r>
      <w:r w:rsidRPr="00991596">
        <w:rPr>
          <w:rFonts w:eastAsiaTheme="minorEastAsia"/>
        </w:rPr>
        <w:t xml:space="preserve"> measure </w:t>
      </w:r>
      <w:r>
        <w:rPr>
          <w:rFonts w:eastAsiaTheme="minorEastAsia"/>
        </w:rPr>
        <w:t>is</w:t>
      </w:r>
      <w:r w:rsidRPr="00991596">
        <w:rPr>
          <w:rFonts w:eastAsiaTheme="minorEastAsia"/>
        </w:rPr>
        <w:t xml:space="preserve"> whether use of </w:t>
      </w:r>
      <w:r>
        <w:rPr>
          <w:rFonts w:eastAsiaTheme="minorEastAsia"/>
        </w:rPr>
        <w:t>the green</w:t>
      </w:r>
      <w:r w:rsidRPr="00991596">
        <w:rPr>
          <w:rFonts w:eastAsiaTheme="minorEastAsia"/>
        </w:rPr>
        <w:t xml:space="preserve"> building results in </w:t>
      </w:r>
      <w:r>
        <w:rPr>
          <w:rFonts w:eastAsiaTheme="minorEastAsia"/>
        </w:rPr>
        <w:t>a difference in</w:t>
      </w:r>
      <w:r w:rsidRPr="00991596">
        <w:rPr>
          <w:rFonts w:eastAsiaTheme="minorEastAsia"/>
        </w:rPr>
        <w:t xml:space="preserve"> </w:t>
      </w:r>
      <w:r w:rsidR="00336DA0">
        <w:rPr>
          <w:rFonts w:eastAsiaTheme="minorEastAsia"/>
        </w:rPr>
        <w:t>effort</w:t>
      </w:r>
      <w:r w:rsidRPr="00991596">
        <w:rPr>
          <w:rFonts w:eastAsiaTheme="minorEastAsia"/>
        </w:rPr>
        <w:t xml:space="preserve"> to modify the indoor climate by </w:t>
      </w:r>
      <w:r>
        <w:rPr>
          <w:rFonts w:eastAsiaTheme="minorEastAsia"/>
        </w:rPr>
        <w:t>occupants</w:t>
      </w:r>
      <w:r w:rsidRPr="00991596">
        <w:rPr>
          <w:rFonts w:eastAsiaTheme="minorEastAsia"/>
        </w:rPr>
        <w:t>.  To explore this</w:t>
      </w:r>
      <w:r>
        <w:rPr>
          <w:rFonts w:eastAsiaTheme="minorEastAsia"/>
        </w:rPr>
        <w:t>,</w:t>
      </w:r>
      <w:r w:rsidRPr="00991596">
        <w:rPr>
          <w:rFonts w:eastAsiaTheme="minorEastAsia"/>
        </w:rPr>
        <w:t xml:space="preserve"> a dependent variable indicating whether the respondent adjusts thermostats, vents, </w:t>
      </w:r>
      <w:r>
        <w:rPr>
          <w:rFonts w:eastAsiaTheme="minorEastAsia"/>
        </w:rPr>
        <w:t>and seven other adaptive behaviors as well as a do-nothing response option are estimated in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76B72" w:rsidRPr="00991596" w14:paraId="5C79FEEA" w14:textId="77777777" w:rsidTr="00F76B72">
        <w:tc>
          <w:tcPr>
            <w:tcW w:w="8815" w:type="dxa"/>
          </w:tcPr>
          <w:p w14:paraId="2CAC0BA6" w14:textId="77777777" w:rsidR="00F76B72" w:rsidRPr="00991596" w:rsidRDefault="001219E7" w:rsidP="0052424D">
            <w:pPr>
              <w:spacing w:after="120" w:line="360" w:lineRule="auto"/>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Adaptive</m:t>
                      </m:r>
                    </m:e>
                  </m:mr>
                  <m:mr>
                    <m:e>
                      <m:sSub>
                        <m:sSubPr>
                          <m:ctrlPr>
                            <w:rPr>
                              <w:rFonts w:ascii="Cambria Math" w:eastAsiaTheme="minorEastAsia" w:hAnsi="Cambria Math"/>
                              <w:i/>
                            </w:rPr>
                          </m:ctrlPr>
                        </m:sSubPr>
                        <m:e>
                          <m:r>
                            <w:rPr>
                              <w:rFonts w:ascii="Cambria Math" w:eastAsiaTheme="minorEastAsia" w:hAnsi="Cambria Math"/>
                            </w:rPr>
                            <m:t>Behavior</m:t>
                          </m:r>
                        </m:e>
                        <m:sub>
                          <m:r>
                            <w:rPr>
                              <w:rFonts w:ascii="Cambria Math" w:eastAsiaTheme="minorEastAsia" w:hAnsi="Cambria Math"/>
                            </w:rPr>
                            <m:t>i</m:t>
                          </m:r>
                        </m:sub>
                      </m:sSub>
                    </m:e>
                  </m:mr>
                </m:m>
                <m:r>
                  <w:rPr>
                    <w:rFonts w:ascii="Cambria Math" w:eastAsiaTheme="minorEastAsia" w:hAnsi="Cambria Math"/>
                  </w:rPr>
                  <m:t>=</m:t>
                </m:r>
                <m:r>
                  <m:rPr>
                    <m:sty m:val="bi"/>
                  </m:rPr>
                  <w:rPr>
                    <w:rFonts w:ascii="Cambria Math" w:eastAsiaTheme="minorEastAsia" w:hAnsi="Cambria Math"/>
                  </w:rPr>
                  <m:t>βX</m:t>
                </m:r>
                <m:r>
                  <w:rPr>
                    <w:rFonts w:ascii="Cambria Math" w:eastAsiaTheme="minorEastAsia" w:hAnsi="Cambria Math"/>
                  </w:rPr>
                  <m:t>+ε</m:t>
                </m:r>
              </m:oMath>
            </m:oMathPara>
          </w:p>
        </w:tc>
        <w:tc>
          <w:tcPr>
            <w:tcW w:w="535" w:type="dxa"/>
          </w:tcPr>
          <w:p w14:paraId="5F47B1B9" w14:textId="77777777" w:rsidR="00F76B72" w:rsidRPr="00991596" w:rsidRDefault="00F76B72" w:rsidP="0052424D">
            <w:pPr>
              <w:spacing w:after="120" w:line="360" w:lineRule="auto"/>
            </w:pPr>
            <w:r w:rsidRPr="00991596">
              <w:t>(2)</w:t>
            </w:r>
          </w:p>
        </w:tc>
      </w:tr>
    </w:tbl>
    <w:p w14:paraId="4F3548C0" w14:textId="55EB7A01" w:rsidR="00F76B72" w:rsidRDefault="00F76B72" w:rsidP="0052424D">
      <w:pPr>
        <w:spacing w:after="120" w:line="360" w:lineRule="auto"/>
        <w:rPr>
          <w:rFonts w:eastAsiaTheme="minorEastAsia"/>
        </w:rPr>
      </w:pPr>
      <w:r w:rsidRPr="00991596">
        <w:rPr>
          <w:rFonts w:eastAsiaTheme="minorEastAsia"/>
        </w:rPr>
        <w:t xml:space="preserve">where </w:t>
      </w:r>
      <w:r w:rsidRPr="00991596">
        <w:rPr>
          <w:rFonts w:eastAsiaTheme="minorEastAsia"/>
          <w:b/>
        </w:rPr>
        <w:t>X</w:t>
      </w:r>
      <w:r w:rsidRPr="00991596">
        <w:rPr>
          <w:rFonts w:eastAsiaTheme="minorEastAsia"/>
        </w:rPr>
        <w:t xml:space="preserve"> is the </w:t>
      </w:r>
      <w:r>
        <w:rPr>
          <w:rFonts w:eastAsiaTheme="minorEastAsia"/>
        </w:rPr>
        <w:t>vector</w:t>
      </w:r>
      <w:r w:rsidRPr="00991596">
        <w:rPr>
          <w:rFonts w:eastAsiaTheme="minorEastAsia"/>
        </w:rPr>
        <w:t xml:space="preserve"> of right hand side</w:t>
      </w:r>
      <w:r>
        <w:rPr>
          <w:rFonts w:eastAsiaTheme="minorEastAsia"/>
        </w:rPr>
        <w:t xml:space="preserve"> variables from </w:t>
      </w:r>
      <w:r w:rsidRPr="00991596">
        <w:rPr>
          <w:rFonts w:eastAsiaTheme="minorEastAsia"/>
        </w:rPr>
        <w:t xml:space="preserve">equation (1), and </w:t>
      </w:r>
      <w:r w:rsidRPr="00991596">
        <w:rPr>
          <w:rFonts w:eastAsiaTheme="minorEastAsia"/>
          <w:i/>
        </w:rPr>
        <w:t>AdaptiveBehavior</w:t>
      </w:r>
      <w:r w:rsidRPr="00991596">
        <w:rPr>
          <w:rFonts w:eastAsiaTheme="minorEastAsia"/>
          <w:i/>
          <w:vertAlign w:val="subscript"/>
        </w:rPr>
        <w:t>i</w:t>
      </w:r>
      <w:r w:rsidRPr="00991596">
        <w:rPr>
          <w:rFonts w:eastAsiaTheme="minorEastAsia"/>
          <w:i/>
        </w:rPr>
        <w:t xml:space="preserve"> </w:t>
      </w:r>
      <w:r w:rsidRPr="00991596">
        <w:rPr>
          <w:rFonts w:eastAsiaTheme="minorEastAsia"/>
        </w:rPr>
        <w:t xml:space="preserve">is </w:t>
      </w:r>
      <w:r>
        <w:rPr>
          <w:rFonts w:eastAsiaTheme="minorEastAsia"/>
        </w:rPr>
        <w:t xml:space="preserve">a dichotomous choice measure of whether the respondent engages in the stated behavior.  This specification is estimated by two methods.  First, each behavior is taken separately using a survey weighted probit model.  This indicates which sorts of behavior have the highest probability of occurring, but not about </w:t>
      </w:r>
      <w:r>
        <w:rPr>
          <w:rFonts w:eastAsiaTheme="minorEastAsia"/>
        </w:rPr>
        <w:lastRenderedPageBreak/>
        <w:t xml:space="preserve">how many </w:t>
      </w:r>
      <w:r w:rsidR="00336DA0">
        <w:rPr>
          <w:rFonts w:eastAsiaTheme="minorEastAsia"/>
        </w:rPr>
        <w:t xml:space="preserve">behaviors </w:t>
      </w:r>
      <w:r>
        <w:rPr>
          <w:rFonts w:eastAsiaTheme="minorEastAsia"/>
        </w:rPr>
        <w:t>are engaged in by individual</w:t>
      </w:r>
      <w:r w:rsidR="00336DA0">
        <w:rPr>
          <w:rFonts w:eastAsiaTheme="minorEastAsia"/>
        </w:rPr>
        <w:t>s</w:t>
      </w:r>
      <w:r>
        <w:rPr>
          <w:rFonts w:eastAsiaTheme="minorEastAsia"/>
        </w:rPr>
        <w:t xml:space="preserve"> on average.  Second, the individual behaviors are transformed into a count </w:t>
      </w:r>
      <w:r w:rsidR="008A5D6C">
        <w:rPr>
          <w:rFonts w:eastAsiaTheme="minorEastAsia"/>
        </w:rPr>
        <w:t xml:space="preserve">dependent </w:t>
      </w:r>
      <w:r>
        <w:rPr>
          <w:rFonts w:eastAsiaTheme="minorEastAsia"/>
        </w:rPr>
        <w:t>variable of how many behaviors are engaged in.  This has the disadvantage of implicitly weighing each behavior equally while some are costlier to the building’s bottom line.  The advantage is it suggests the severity of the environmental mismatch through how many adaptive behaviors are undertaken.  As a final exploration, the marginal effects of the Kroon hall treatment on level of thermal comfort satisfaction are explored.</w:t>
      </w:r>
      <w:r w:rsidR="00336DA0">
        <w:rPr>
          <w:rFonts w:eastAsiaTheme="minorEastAsia"/>
        </w:rPr>
        <w:t xml:space="preserve">  This is more relevant for the F&amp;ES administration than general audience.</w:t>
      </w:r>
    </w:p>
    <w:p w14:paraId="4A34BD40" w14:textId="33F4B6D0" w:rsidR="00F76B72" w:rsidRDefault="00F76B72" w:rsidP="0052424D">
      <w:pPr>
        <w:spacing w:after="120" w:line="360" w:lineRule="auto"/>
        <w:rPr>
          <w:rFonts w:eastAsiaTheme="minorEastAsia"/>
        </w:rPr>
      </w:pPr>
      <w:r>
        <w:rPr>
          <w:rFonts w:eastAsiaTheme="minorEastAsia"/>
        </w:rPr>
        <w:t xml:space="preserve">Key to the novelty of the results, the population under study is composed of two groups which are materially different in both purpose at the university and the methodological implication.  One group, non-office students, can select into and out of Kroon Hall and any other F&amp;ES building.  They choose which building to spend time in and designate as their primary.  This self-selection implies the coefficient on Kroon Hall cannot be interpreted in the </w:t>
      </w:r>
      <w:r w:rsidR="008E0E32">
        <w:rPr>
          <w:rFonts w:eastAsiaTheme="minorEastAsia"/>
        </w:rPr>
        <w:t xml:space="preserve">strict </w:t>
      </w:r>
      <w:r>
        <w:rPr>
          <w:rFonts w:eastAsiaTheme="minorEastAsia"/>
        </w:rPr>
        <w:t xml:space="preserve">context of a quasi-random experiment.  It is likely that students who select Kroon Hall do so because they prefer it over the baseline options.  One way to check for evidence of this is through the coefficient </w:t>
      </w:r>
      <w:r w:rsidR="00336DA0">
        <w:rPr>
          <w:rFonts w:eastAsiaTheme="minorEastAsia"/>
        </w:rPr>
        <w:t xml:space="preserve">on Kroon Hall estimated on the </w:t>
      </w:r>
      <w:r w:rsidR="00336DA0" w:rsidRPr="00336DA0">
        <w:rPr>
          <w:rFonts w:eastAsiaTheme="minorEastAsia"/>
          <w:i/>
        </w:rPr>
        <w:t>i</w:t>
      </w:r>
      <w:r w:rsidRPr="00336DA0">
        <w:rPr>
          <w:rFonts w:eastAsiaTheme="minorEastAsia"/>
          <w:i/>
        </w:rPr>
        <w:t>mportance</w:t>
      </w:r>
      <w:r>
        <w:rPr>
          <w:rFonts w:eastAsiaTheme="minorEastAsia"/>
        </w:rPr>
        <w:t xml:space="preserve"> </w:t>
      </w:r>
      <w:r w:rsidR="00336DA0">
        <w:rPr>
          <w:rFonts w:eastAsiaTheme="minorEastAsia"/>
        </w:rPr>
        <w:t>dependent variable</w:t>
      </w:r>
      <w:r>
        <w:rPr>
          <w:rFonts w:eastAsiaTheme="minorEastAsia"/>
        </w:rPr>
        <w:t xml:space="preserve"> as in column 1 of Table 2.  In a</w:t>
      </w:r>
      <w:r w:rsidR="00336DA0">
        <w:rPr>
          <w:rFonts w:eastAsiaTheme="minorEastAsia"/>
        </w:rPr>
        <w:t xml:space="preserve"> true random experiment</w:t>
      </w:r>
      <w:r>
        <w:rPr>
          <w:rFonts w:eastAsiaTheme="minorEastAsia"/>
        </w:rPr>
        <w:t xml:space="preserve"> or setting that mimics it, the importance of any attribute should not differ between treatment and control groups yet </w:t>
      </w:r>
      <w:r w:rsidR="00336DA0">
        <w:rPr>
          <w:rFonts w:eastAsiaTheme="minorEastAsia"/>
        </w:rPr>
        <w:t xml:space="preserve">it </w:t>
      </w:r>
      <w:r>
        <w:rPr>
          <w:rFonts w:eastAsiaTheme="minorEastAsia"/>
        </w:rPr>
        <w:t>is statistically significant for the Kroon Hall</w:t>
      </w:r>
      <w:r w:rsidR="00336DA0">
        <w:rPr>
          <w:rFonts w:eastAsiaTheme="minorEastAsia"/>
        </w:rPr>
        <w:t xml:space="preserve"> student</w:t>
      </w:r>
      <w:r>
        <w:rPr>
          <w:rFonts w:eastAsiaTheme="minorEastAsia"/>
        </w:rPr>
        <w:t xml:space="preserve"> group.  An exception </w:t>
      </w:r>
      <w:r w:rsidR="00336DA0">
        <w:rPr>
          <w:rFonts w:eastAsiaTheme="minorEastAsia"/>
        </w:rPr>
        <w:t xml:space="preserve">to this </w:t>
      </w:r>
      <w:r>
        <w:rPr>
          <w:rFonts w:eastAsiaTheme="minorEastAsia"/>
        </w:rPr>
        <w:t xml:space="preserve">occurs when the treatment results in the treated developing an affinity for the category being tested- the attribute becomes important after exposure.  This exception cannot be tested </w:t>
      </w:r>
      <w:r w:rsidR="00336DA0">
        <w:rPr>
          <w:rFonts w:eastAsiaTheme="minorEastAsia"/>
        </w:rPr>
        <w:t>with</w:t>
      </w:r>
      <w:r>
        <w:rPr>
          <w:rFonts w:eastAsiaTheme="minorEastAsia"/>
        </w:rPr>
        <w:t xml:space="preserve"> the survey, unfortunately.</w:t>
      </w:r>
    </w:p>
    <w:p w14:paraId="644D0F5F" w14:textId="2F1762A0" w:rsidR="00F76B72" w:rsidRPr="00D20F9F" w:rsidRDefault="00E76AE3" w:rsidP="0052424D">
      <w:pPr>
        <w:spacing w:after="120" w:line="360" w:lineRule="auto"/>
        <w:rPr>
          <w:rFonts w:eastAsiaTheme="minorEastAsia"/>
        </w:rPr>
      </w:pPr>
      <w:r>
        <w:rPr>
          <w:rFonts w:eastAsiaTheme="minorEastAsia"/>
        </w:rPr>
        <w:t>E</w:t>
      </w:r>
      <w:r w:rsidR="00F76B72">
        <w:rPr>
          <w:rFonts w:eastAsiaTheme="minorEastAsia"/>
        </w:rPr>
        <w:t>stimates o</w:t>
      </w:r>
      <w:r w:rsidR="0009098A">
        <w:rPr>
          <w:rFonts w:eastAsiaTheme="minorEastAsia"/>
        </w:rPr>
        <w:t>n the second group in the study,</w:t>
      </w:r>
      <w:r w:rsidR="00F76B72">
        <w:rPr>
          <w:rFonts w:eastAsiaTheme="minorEastAsia"/>
        </w:rPr>
        <w:t xml:space="preserve"> those with an office at F&amp;ES</w:t>
      </w:r>
      <w:r w:rsidR="0009098A">
        <w:rPr>
          <w:rFonts w:eastAsiaTheme="minorEastAsia"/>
        </w:rPr>
        <w:t>,</w:t>
      </w:r>
      <w:r w:rsidR="00F76B72">
        <w:rPr>
          <w:rFonts w:eastAsiaTheme="minorEastAsia"/>
        </w:rPr>
        <w:t xml:space="preserve"> </w:t>
      </w:r>
      <w:r>
        <w:rPr>
          <w:rFonts w:eastAsiaTheme="minorEastAsia"/>
        </w:rPr>
        <w:t>adheres to a more rigorous</w:t>
      </w:r>
      <w:r w:rsidR="00F76B72">
        <w:rPr>
          <w:rFonts w:eastAsiaTheme="minorEastAsia"/>
        </w:rPr>
        <w:t xml:space="preserve"> interpretation.  Assignment to an office in Kroon Hall or elsewhere, whether faculty and staff or the few students placed through research roles</w:t>
      </w:r>
      <w:r>
        <w:rPr>
          <w:rFonts w:eastAsiaTheme="minorEastAsia"/>
        </w:rPr>
        <w:t>,</w:t>
      </w:r>
      <w:r w:rsidR="00F76B72">
        <w:rPr>
          <w:rFonts w:eastAsiaTheme="minorEastAsia"/>
        </w:rPr>
        <w:t xml:space="preserve"> is effectively assigned </w:t>
      </w:r>
      <w:r w:rsidR="0009098A">
        <w:rPr>
          <w:rFonts w:eastAsiaTheme="minorEastAsia"/>
        </w:rPr>
        <w:t>irrespective of</w:t>
      </w:r>
      <w:r>
        <w:rPr>
          <w:rFonts w:eastAsiaTheme="minorEastAsia"/>
        </w:rPr>
        <w:t xml:space="preserve"> preferences.  In other words, w</w:t>
      </w:r>
      <w:r w:rsidR="00F76B72">
        <w:rPr>
          <w:rFonts w:eastAsiaTheme="minorEastAsia"/>
        </w:rPr>
        <w:t>hether the office is in Kroon Hall or the baseline building group is entirely independent of the person.  Rather, office assignment has to do with the F&amp;ES administrative division’s location or the research center.  Importantly, there is no reason to believe</w:t>
      </w:r>
      <w:r w:rsidR="008E0E32">
        <w:rPr>
          <w:rFonts w:eastAsiaTheme="minorEastAsia"/>
        </w:rPr>
        <w:t xml:space="preserve"> that most</w:t>
      </w:r>
      <w:r w:rsidR="00F76B72">
        <w:rPr>
          <w:rFonts w:eastAsiaTheme="minorEastAsia"/>
        </w:rPr>
        <w:t xml:space="preserve"> personnel select into or are hired by these divisions or research projects because of an interest in being seated in Kroon Hall or not.  Because of this independence of assignment, the treatment of Kroon Hall can be taken </w:t>
      </w:r>
      <w:r w:rsidR="00111D74">
        <w:rPr>
          <w:rFonts w:eastAsiaTheme="minorEastAsia"/>
        </w:rPr>
        <w:t>as more rigorous</w:t>
      </w:r>
      <w:r w:rsidR="00F76B72">
        <w:rPr>
          <w:rFonts w:eastAsiaTheme="minorEastAsia"/>
        </w:rPr>
        <w:t xml:space="preserve"> for the office subgroup.  This adds to the validity of the coefficients discovered- they represent the treatment of Kroon Hall on the treated, unaffected by self-selection.  The </w:t>
      </w:r>
      <w:r w:rsidR="00E74777">
        <w:rPr>
          <w:rFonts w:eastAsiaTheme="minorEastAsia"/>
        </w:rPr>
        <w:t>estimation</w:t>
      </w:r>
      <w:r w:rsidR="00F76B72">
        <w:rPr>
          <w:rFonts w:eastAsiaTheme="minorEastAsia"/>
        </w:rPr>
        <w:t xml:space="preserve"> could still indicate a statistically significant coeffici</w:t>
      </w:r>
      <w:r w:rsidR="00E74777">
        <w:rPr>
          <w:rFonts w:eastAsiaTheme="minorEastAsia"/>
        </w:rPr>
        <w:t>ent on importance of attributes</w:t>
      </w:r>
      <w:r w:rsidR="00F76B72">
        <w:rPr>
          <w:rFonts w:eastAsiaTheme="minorEastAsia"/>
        </w:rPr>
        <w:t xml:space="preserve"> under the </w:t>
      </w:r>
      <w:r w:rsidR="00E74777">
        <w:rPr>
          <w:rFonts w:eastAsiaTheme="minorEastAsia"/>
        </w:rPr>
        <w:t>circumstance</w:t>
      </w:r>
      <w:r w:rsidR="00F76B72">
        <w:rPr>
          <w:rFonts w:eastAsiaTheme="minorEastAsia"/>
        </w:rPr>
        <w:t xml:space="preserve"> that an affinity has developed from treatment.  This is generally not found in the results to follow</w:t>
      </w:r>
      <w:r w:rsidR="00E74777">
        <w:rPr>
          <w:rFonts w:eastAsiaTheme="minorEastAsia"/>
        </w:rPr>
        <w:t>, however</w:t>
      </w:r>
      <w:r w:rsidR="0009098A">
        <w:rPr>
          <w:rFonts w:eastAsiaTheme="minorEastAsia"/>
        </w:rPr>
        <w:t>.</w:t>
      </w:r>
    </w:p>
    <w:p w14:paraId="7B53A885" w14:textId="77777777" w:rsidR="00F76B72" w:rsidRPr="00072995" w:rsidRDefault="00F76B72" w:rsidP="0052424D">
      <w:pPr>
        <w:pStyle w:val="Heading1"/>
        <w:spacing w:line="360" w:lineRule="auto"/>
        <w:rPr>
          <w:rFonts w:cs="Times New Roman"/>
        </w:rPr>
      </w:pPr>
      <w:bookmarkStart w:id="72" w:name="_Toc479624329"/>
      <w:bookmarkStart w:id="73" w:name="_Toc479624371"/>
      <w:bookmarkStart w:id="74" w:name="_Toc479624464"/>
      <w:bookmarkStart w:id="75" w:name="_Toc482127015"/>
      <w:bookmarkStart w:id="76" w:name="_Toc482127045"/>
      <w:bookmarkStart w:id="77" w:name="_Toc482187995"/>
      <w:r w:rsidRPr="00072995">
        <w:rPr>
          <w:rFonts w:cs="Times New Roman"/>
        </w:rPr>
        <w:lastRenderedPageBreak/>
        <w:t>Results</w:t>
      </w:r>
      <w:bookmarkEnd w:id="72"/>
      <w:bookmarkEnd w:id="73"/>
      <w:bookmarkEnd w:id="74"/>
      <w:bookmarkEnd w:id="75"/>
      <w:bookmarkEnd w:id="76"/>
      <w:bookmarkEnd w:id="77"/>
    </w:p>
    <w:p w14:paraId="5374DD91" w14:textId="222ADBAC" w:rsidR="00F76B72" w:rsidRDefault="00F76B72" w:rsidP="0052424D">
      <w:pPr>
        <w:spacing w:after="120" w:line="360" w:lineRule="auto"/>
      </w:pPr>
      <w:r w:rsidRPr="005B7536">
        <w:t xml:space="preserve">Equation (1) </w:t>
      </w:r>
      <w:r>
        <w:t>is</w:t>
      </w:r>
      <w:r w:rsidR="00136CC1">
        <w:t xml:space="preserve"> estimated </w:t>
      </w:r>
      <w:r w:rsidR="005C5131">
        <w:t>by</w:t>
      </w:r>
      <w:r w:rsidRPr="005B7536">
        <w:t xml:space="preserve"> ordered probit</w:t>
      </w:r>
      <w:r>
        <w:t xml:space="preserve"> </w:t>
      </w:r>
      <w:r w:rsidR="005C5131">
        <w:t>regression to match the literature.  Th</w:t>
      </w:r>
      <w:r w:rsidR="0009098A">
        <w:t>is</w:t>
      </w:r>
      <w:r w:rsidR="005C5131">
        <w:t xml:space="preserve"> selection </w:t>
      </w:r>
      <w:r>
        <w:t>makes less restrictive assumptions about the</w:t>
      </w:r>
      <w:r w:rsidR="005C5131">
        <w:t xml:space="preserve"> structure of the data, specifically the error term,</w:t>
      </w:r>
      <w:r w:rsidR="00136CC1">
        <w:t xml:space="preserve"> </w:t>
      </w:r>
      <w:r>
        <w:t>than</w:t>
      </w:r>
      <w:r w:rsidR="005C5131">
        <w:t xml:space="preserve"> the</w:t>
      </w:r>
      <w:r w:rsidR="00136CC1">
        <w:t xml:space="preserve"> </w:t>
      </w:r>
      <w:r>
        <w:t xml:space="preserve">logistic alternative. </w:t>
      </w:r>
      <w:r w:rsidRPr="005B7536">
        <w:t xml:space="preserve"> </w:t>
      </w:r>
      <w:r>
        <w:t xml:space="preserve">Unfortunately, while more appropriate for this sort of analysis, </w:t>
      </w:r>
      <w:r w:rsidRPr="005B7536">
        <w:t>ordered probit coefficients are difficult to interpret</w:t>
      </w:r>
      <w:r>
        <w:t xml:space="preserve"> as they </w:t>
      </w:r>
      <w:r w:rsidR="00136CC1">
        <w:t>represent</w:t>
      </w:r>
      <w:r>
        <w:t xml:space="preserve"> a change in z-scores</w:t>
      </w:r>
      <w:r w:rsidRPr="005B7536">
        <w:t xml:space="preserve">.  </w:t>
      </w:r>
      <w:r w:rsidR="00136CC1">
        <w:t>C</w:t>
      </w:r>
      <w:r w:rsidRPr="005B7536">
        <w:t>alculated marginal effects are at a specific point</w:t>
      </w:r>
      <w:r w:rsidR="00136CC1">
        <w:t xml:space="preserve"> as well</w:t>
      </w:r>
      <w:r w:rsidRPr="005B7536">
        <w:t xml:space="preserve">, holding </w:t>
      </w:r>
      <w:r>
        <w:t>all else</w:t>
      </w:r>
      <w:r w:rsidRPr="005B7536">
        <w:t xml:space="preserve"> at means or other significant value.  This is further complicated in an ordered probit model</w:t>
      </w:r>
      <w:r>
        <w:t>.  T</w:t>
      </w:r>
      <w:r w:rsidRPr="005B7536">
        <w:t xml:space="preserve">he probabilities are calculated of moving </w:t>
      </w:r>
      <w:r>
        <w:t>between</w:t>
      </w:r>
      <w:r w:rsidRPr="005B7536">
        <w:t xml:space="preserve"> each dependent variable </w:t>
      </w:r>
      <w:r>
        <w:t xml:space="preserve">respondent </w:t>
      </w:r>
      <w:r w:rsidRPr="005B7536">
        <w:t>score, from one through five, for each independent variable</w:t>
      </w:r>
      <w:r>
        <w:t>-</w:t>
      </w:r>
      <w:r w:rsidRPr="005B7536">
        <w:t xml:space="preserve"> a large </w:t>
      </w:r>
      <w:r>
        <w:t>set of results which are</w:t>
      </w:r>
      <w:r w:rsidRPr="005B7536">
        <w:t xml:space="preserve"> </w:t>
      </w:r>
      <w:r w:rsidR="00136CC1">
        <w:t>mostly</w:t>
      </w:r>
      <w:r>
        <w:t xml:space="preserve"> not particularly useful</w:t>
      </w:r>
      <w:r w:rsidRPr="005B7536">
        <w:t xml:space="preserve"> outside </w:t>
      </w:r>
      <w:r w:rsidR="00136CC1">
        <w:t>F&amp;ES.  Simpler</w:t>
      </w:r>
      <w:r>
        <w:t xml:space="preserve"> and to the point of the research, significance and sign indicate which groups, if any, are impacted by</w:t>
      </w:r>
      <w:r w:rsidR="00136CC1">
        <w:t xml:space="preserve"> the Kroon Hall</w:t>
      </w:r>
      <w:r>
        <w:t xml:space="preserve"> green building treatment.</w:t>
      </w:r>
    </w:p>
    <w:p w14:paraId="5D1D27B2" w14:textId="77777777" w:rsidR="00AE22A9" w:rsidRDefault="00F76B72" w:rsidP="0052424D">
      <w:pPr>
        <w:spacing w:after="120" w:line="360" w:lineRule="auto"/>
      </w:pPr>
      <w:r>
        <w:t>The results</w:t>
      </w:r>
      <w:r w:rsidR="00DC17A6">
        <w:t xml:space="preserve"> on thermal comfort importance</w:t>
      </w:r>
      <w:r>
        <w:t>, satisfaction, work impact</w:t>
      </w:r>
      <w:r w:rsidR="00DC17A6">
        <w:t>, and time impact</w:t>
      </w:r>
      <w:r>
        <w:t xml:space="preserve"> are presented in Table 2.  From the model specification, t</w:t>
      </w:r>
      <w:r w:rsidRPr="005B7536">
        <w:t>he base category</w:t>
      </w:r>
      <w:r>
        <w:t xml:space="preserve"> are primarily F&amp;ES master’s students</w:t>
      </w:r>
      <w:r w:rsidR="00DE48A2">
        <w:t>,</w:t>
      </w:r>
      <w:r>
        <w:t xml:space="preserve"> </w:t>
      </w:r>
      <w:r w:rsidRPr="005B7536">
        <w:t>not</w:t>
      </w:r>
      <w:r>
        <w:t xml:space="preserve"> based in</w:t>
      </w:r>
      <w:r w:rsidRPr="005B7536">
        <w:t xml:space="preserve"> Kroon Hall,</w:t>
      </w:r>
      <w:r>
        <w:t xml:space="preserve"> </w:t>
      </w:r>
      <w:r w:rsidRPr="005B7536">
        <w:t>do not have an office</w:t>
      </w:r>
      <w:r>
        <w:t>, and</w:t>
      </w:r>
      <w:r w:rsidR="00DE48A2">
        <w:t xml:space="preserve"> male</w:t>
      </w:r>
      <w:r>
        <w:t>.  This base category may self-select into Kroon Hall versus other F&amp;ES buildings in the survey</w:t>
      </w:r>
      <w:r w:rsidR="00EC41ED">
        <w:t xml:space="preserve"> and are more generally</w:t>
      </w:r>
      <w:r>
        <w:t xml:space="preserve"> transient in nature</w:t>
      </w:r>
      <w:r w:rsidR="00EC41ED">
        <w:t xml:space="preserve"> without assigned office space.</w:t>
      </w:r>
      <w:r>
        <w:t xml:space="preserve">  The coefficient on Kroon Hall identifies the effect of Kroon Hall on this population.  The more rigorously interpretable effect of Kroon Hall on the F&amp;ES group with an office is found by linear combination of </w:t>
      </w:r>
      <w:r w:rsidRPr="00DE48A2">
        <w:rPr>
          <w:i/>
        </w:rPr>
        <w:t>Kroon Hall</w:t>
      </w:r>
      <w:r>
        <w:t xml:space="preserve"> and </w:t>
      </w:r>
      <w:r w:rsidRPr="00DE48A2">
        <w:rPr>
          <w:i/>
        </w:rPr>
        <w:t>Kroon*Office</w:t>
      </w:r>
      <w:r>
        <w:t xml:space="preserve">.  This is provided at the bottom of Table 2 for each </w:t>
      </w:r>
      <w:r w:rsidR="00DE48A2">
        <w:t>factor</w:t>
      </w:r>
      <w:r>
        <w:t>.</w:t>
      </w:r>
    </w:p>
    <w:tbl>
      <w:tblPr>
        <w:tblW w:w="5000" w:type="pct"/>
        <w:tblLook w:val="04A0" w:firstRow="1" w:lastRow="0" w:firstColumn="1" w:lastColumn="0" w:noHBand="0" w:noVBand="1"/>
      </w:tblPr>
      <w:tblGrid>
        <w:gridCol w:w="2137"/>
        <w:gridCol w:w="1781"/>
        <w:gridCol w:w="1835"/>
        <w:gridCol w:w="1832"/>
        <w:gridCol w:w="1775"/>
      </w:tblGrid>
      <w:tr w:rsidR="00AE22A9" w:rsidRPr="00957E11" w14:paraId="60F1CECB" w14:textId="77777777" w:rsidTr="00655EBF">
        <w:trPr>
          <w:trHeight w:val="300"/>
        </w:trPr>
        <w:tc>
          <w:tcPr>
            <w:tcW w:w="5000" w:type="pct"/>
            <w:gridSpan w:val="5"/>
            <w:tcBorders>
              <w:top w:val="nil"/>
              <w:left w:val="nil"/>
              <w:bottom w:val="single" w:sz="4" w:space="0" w:color="auto"/>
              <w:right w:val="nil"/>
            </w:tcBorders>
            <w:shd w:val="clear" w:color="000000" w:fill="D0CECE"/>
            <w:noWrap/>
            <w:vAlign w:val="bottom"/>
            <w:hideMark/>
          </w:tcPr>
          <w:p w14:paraId="3AFB978D" w14:textId="77777777" w:rsidR="00AE22A9" w:rsidRPr="00957E11" w:rsidRDefault="00AE22A9" w:rsidP="00655EBF">
            <w:pPr>
              <w:keepNext/>
              <w:spacing w:after="0" w:line="240" w:lineRule="auto"/>
              <w:rPr>
                <w:rFonts w:eastAsia="Times New Roman"/>
                <w:b/>
                <w:bCs/>
                <w:color w:val="000000"/>
              </w:rPr>
            </w:pPr>
            <w:r>
              <w:rPr>
                <w:rFonts w:eastAsia="Times New Roman"/>
                <w:b/>
                <w:bCs/>
                <w:color w:val="000000"/>
              </w:rPr>
              <w:t>Table 2</w:t>
            </w:r>
            <w:r w:rsidRPr="00957E11">
              <w:rPr>
                <w:rFonts w:eastAsia="Times New Roman"/>
                <w:b/>
                <w:bCs/>
                <w:color w:val="000000"/>
              </w:rPr>
              <w:t xml:space="preserve"> | Thermal comfort order</w:t>
            </w:r>
            <w:r>
              <w:rPr>
                <w:rFonts w:eastAsia="Times New Roman"/>
                <w:b/>
                <w:bCs/>
                <w:color w:val="000000"/>
              </w:rPr>
              <w:t>ed</w:t>
            </w:r>
            <w:r w:rsidRPr="00957E11">
              <w:rPr>
                <w:rFonts w:eastAsia="Times New Roman"/>
                <w:b/>
                <w:bCs/>
                <w:color w:val="000000"/>
              </w:rPr>
              <w:t xml:space="preserve"> probit results</w:t>
            </w:r>
          </w:p>
        </w:tc>
      </w:tr>
      <w:tr w:rsidR="00AE22A9" w:rsidRPr="00957E11" w14:paraId="74D120D3" w14:textId="77777777" w:rsidTr="00655EBF">
        <w:trPr>
          <w:trHeight w:val="300"/>
        </w:trPr>
        <w:tc>
          <w:tcPr>
            <w:tcW w:w="1135" w:type="pct"/>
            <w:tcBorders>
              <w:top w:val="nil"/>
              <w:left w:val="nil"/>
              <w:bottom w:val="nil"/>
              <w:right w:val="nil"/>
            </w:tcBorders>
            <w:shd w:val="clear" w:color="000000" w:fill="F2F2F2"/>
            <w:noWrap/>
            <w:vAlign w:val="bottom"/>
            <w:hideMark/>
          </w:tcPr>
          <w:p w14:paraId="37972208" w14:textId="77777777" w:rsidR="00AE22A9" w:rsidRPr="00957E11" w:rsidRDefault="00AE22A9" w:rsidP="00655EBF">
            <w:pPr>
              <w:keepNext/>
              <w:spacing w:after="0" w:line="240" w:lineRule="auto"/>
              <w:rPr>
                <w:rFonts w:eastAsia="Times New Roman"/>
                <w:b/>
                <w:bCs/>
                <w:color w:val="000000"/>
              </w:rPr>
            </w:pPr>
            <w:r w:rsidRPr="00957E11">
              <w:rPr>
                <w:rFonts w:eastAsia="Times New Roman"/>
                <w:b/>
                <w:bCs/>
                <w:color w:val="000000"/>
              </w:rPr>
              <w:t> </w:t>
            </w:r>
          </w:p>
        </w:tc>
        <w:tc>
          <w:tcPr>
            <w:tcW w:w="953" w:type="pct"/>
            <w:tcBorders>
              <w:top w:val="nil"/>
              <w:left w:val="nil"/>
              <w:bottom w:val="nil"/>
              <w:right w:val="nil"/>
            </w:tcBorders>
            <w:shd w:val="clear" w:color="000000" w:fill="F2F2F2"/>
            <w:noWrap/>
            <w:vAlign w:val="bottom"/>
            <w:hideMark/>
          </w:tcPr>
          <w:p w14:paraId="3C01500B"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(1)</w:t>
            </w:r>
          </w:p>
        </w:tc>
        <w:tc>
          <w:tcPr>
            <w:tcW w:w="982" w:type="pct"/>
            <w:tcBorders>
              <w:top w:val="nil"/>
              <w:left w:val="nil"/>
              <w:bottom w:val="nil"/>
              <w:right w:val="nil"/>
            </w:tcBorders>
            <w:shd w:val="clear" w:color="000000" w:fill="F2F2F2"/>
            <w:noWrap/>
            <w:vAlign w:val="bottom"/>
            <w:hideMark/>
          </w:tcPr>
          <w:p w14:paraId="1968863F"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(2)</w:t>
            </w:r>
          </w:p>
        </w:tc>
        <w:tc>
          <w:tcPr>
            <w:tcW w:w="980" w:type="pct"/>
            <w:tcBorders>
              <w:top w:val="nil"/>
              <w:left w:val="nil"/>
              <w:bottom w:val="nil"/>
              <w:right w:val="nil"/>
            </w:tcBorders>
            <w:shd w:val="clear" w:color="000000" w:fill="F2F2F2"/>
            <w:noWrap/>
            <w:vAlign w:val="bottom"/>
            <w:hideMark/>
          </w:tcPr>
          <w:p w14:paraId="59F2E6F7"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(3)</w:t>
            </w:r>
          </w:p>
        </w:tc>
        <w:tc>
          <w:tcPr>
            <w:tcW w:w="949" w:type="pct"/>
            <w:tcBorders>
              <w:top w:val="nil"/>
              <w:left w:val="nil"/>
              <w:bottom w:val="nil"/>
              <w:right w:val="nil"/>
            </w:tcBorders>
            <w:shd w:val="clear" w:color="000000" w:fill="F2F2F2"/>
            <w:noWrap/>
            <w:vAlign w:val="bottom"/>
            <w:hideMark/>
          </w:tcPr>
          <w:p w14:paraId="569387E4"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(4)</w:t>
            </w:r>
          </w:p>
        </w:tc>
      </w:tr>
      <w:tr w:rsidR="00AE22A9" w:rsidRPr="00957E11" w14:paraId="79003AAE" w14:textId="77777777" w:rsidTr="00655EBF">
        <w:trPr>
          <w:trHeight w:val="300"/>
        </w:trPr>
        <w:tc>
          <w:tcPr>
            <w:tcW w:w="1135" w:type="pct"/>
            <w:tcBorders>
              <w:top w:val="nil"/>
              <w:left w:val="nil"/>
              <w:bottom w:val="single" w:sz="4" w:space="0" w:color="auto"/>
              <w:right w:val="nil"/>
            </w:tcBorders>
            <w:shd w:val="clear" w:color="000000" w:fill="F2F2F2"/>
            <w:noWrap/>
            <w:vAlign w:val="bottom"/>
            <w:hideMark/>
          </w:tcPr>
          <w:p w14:paraId="15E5272E"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 </w:t>
            </w:r>
          </w:p>
        </w:tc>
        <w:tc>
          <w:tcPr>
            <w:tcW w:w="953" w:type="pct"/>
            <w:tcBorders>
              <w:top w:val="nil"/>
              <w:left w:val="nil"/>
              <w:bottom w:val="single" w:sz="4" w:space="0" w:color="auto"/>
              <w:right w:val="nil"/>
            </w:tcBorders>
            <w:shd w:val="clear" w:color="000000" w:fill="F2F2F2"/>
            <w:noWrap/>
            <w:vAlign w:val="bottom"/>
            <w:hideMark/>
          </w:tcPr>
          <w:p w14:paraId="131CD22D"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Importance</w:t>
            </w:r>
          </w:p>
        </w:tc>
        <w:tc>
          <w:tcPr>
            <w:tcW w:w="982" w:type="pct"/>
            <w:tcBorders>
              <w:top w:val="nil"/>
              <w:left w:val="nil"/>
              <w:bottom w:val="single" w:sz="4" w:space="0" w:color="auto"/>
              <w:right w:val="nil"/>
            </w:tcBorders>
            <w:shd w:val="clear" w:color="000000" w:fill="F2F2F2"/>
            <w:noWrap/>
            <w:vAlign w:val="bottom"/>
            <w:hideMark/>
          </w:tcPr>
          <w:p w14:paraId="53B7C03E"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Satisfaction</w:t>
            </w:r>
          </w:p>
        </w:tc>
        <w:tc>
          <w:tcPr>
            <w:tcW w:w="980" w:type="pct"/>
            <w:tcBorders>
              <w:top w:val="nil"/>
              <w:left w:val="nil"/>
              <w:bottom w:val="single" w:sz="4" w:space="0" w:color="auto"/>
              <w:right w:val="nil"/>
            </w:tcBorders>
            <w:shd w:val="clear" w:color="000000" w:fill="F2F2F2"/>
            <w:noWrap/>
            <w:vAlign w:val="bottom"/>
            <w:hideMark/>
          </w:tcPr>
          <w:p w14:paraId="4B56F7B2"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Work impact</w:t>
            </w:r>
          </w:p>
        </w:tc>
        <w:tc>
          <w:tcPr>
            <w:tcW w:w="949" w:type="pct"/>
            <w:tcBorders>
              <w:top w:val="nil"/>
              <w:left w:val="nil"/>
              <w:bottom w:val="single" w:sz="4" w:space="0" w:color="auto"/>
              <w:right w:val="nil"/>
            </w:tcBorders>
            <w:shd w:val="clear" w:color="000000" w:fill="F2F2F2"/>
            <w:noWrap/>
            <w:vAlign w:val="bottom"/>
            <w:hideMark/>
          </w:tcPr>
          <w:p w14:paraId="62693417"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Time impact</w:t>
            </w:r>
          </w:p>
        </w:tc>
      </w:tr>
      <w:tr w:rsidR="00AE22A9" w:rsidRPr="00957E11" w14:paraId="6295217D" w14:textId="77777777" w:rsidTr="00655EBF">
        <w:trPr>
          <w:trHeight w:val="300"/>
        </w:trPr>
        <w:tc>
          <w:tcPr>
            <w:tcW w:w="1135" w:type="pct"/>
            <w:tcBorders>
              <w:top w:val="nil"/>
              <w:left w:val="nil"/>
              <w:bottom w:val="nil"/>
              <w:right w:val="nil"/>
            </w:tcBorders>
            <w:shd w:val="clear" w:color="000000" w:fill="F2F2F2"/>
            <w:noWrap/>
            <w:vAlign w:val="bottom"/>
            <w:hideMark/>
          </w:tcPr>
          <w:p w14:paraId="18D82DBC" w14:textId="77777777" w:rsidR="00AE22A9" w:rsidRPr="00957E11" w:rsidRDefault="00AE22A9" w:rsidP="00655EBF">
            <w:pPr>
              <w:keepNext/>
              <w:spacing w:after="0" w:line="240" w:lineRule="auto"/>
              <w:rPr>
                <w:rFonts w:eastAsia="Times New Roman"/>
                <w:color w:val="000000"/>
              </w:rPr>
            </w:pPr>
            <w:r>
              <w:rPr>
                <w:rFonts w:eastAsia="Times New Roman"/>
                <w:color w:val="000000"/>
              </w:rPr>
              <w:t>Kroon H</w:t>
            </w:r>
            <w:r w:rsidRPr="00957E11">
              <w:rPr>
                <w:rFonts w:eastAsia="Times New Roman"/>
                <w:color w:val="000000"/>
              </w:rPr>
              <w:t>all</w:t>
            </w:r>
          </w:p>
        </w:tc>
        <w:tc>
          <w:tcPr>
            <w:tcW w:w="953" w:type="pct"/>
            <w:tcBorders>
              <w:top w:val="nil"/>
              <w:left w:val="nil"/>
              <w:bottom w:val="nil"/>
              <w:right w:val="nil"/>
            </w:tcBorders>
            <w:shd w:val="clear" w:color="000000" w:fill="F2F2F2"/>
            <w:noWrap/>
            <w:vAlign w:val="bottom"/>
            <w:hideMark/>
          </w:tcPr>
          <w:p w14:paraId="385F36FA"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-0.672**</w:t>
            </w:r>
          </w:p>
        </w:tc>
        <w:tc>
          <w:tcPr>
            <w:tcW w:w="982" w:type="pct"/>
            <w:tcBorders>
              <w:top w:val="nil"/>
              <w:left w:val="nil"/>
              <w:bottom w:val="nil"/>
              <w:right w:val="nil"/>
            </w:tcBorders>
            <w:shd w:val="clear" w:color="000000" w:fill="F2F2F2"/>
            <w:noWrap/>
            <w:vAlign w:val="bottom"/>
            <w:hideMark/>
          </w:tcPr>
          <w:p w14:paraId="37CCD8B5"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0.777***</w:t>
            </w:r>
          </w:p>
        </w:tc>
        <w:tc>
          <w:tcPr>
            <w:tcW w:w="980" w:type="pct"/>
            <w:tcBorders>
              <w:top w:val="nil"/>
              <w:left w:val="nil"/>
              <w:bottom w:val="nil"/>
              <w:right w:val="nil"/>
            </w:tcBorders>
            <w:shd w:val="clear" w:color="000000" w:fill="F2F2F2"/>
            <w:noWrap/>
            <w:vAlign w:val="bottom"/>
            <w:hideMark/>
          </w:tcPr>
          <w:p w14:paraId="48A260F5"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0.560**</w:t>
            </w:r>
          </w:p>
        </w:tc>
        <w:tc>
          <w:tcPr>
            <w:tcW w:w="949" w:type="pct"/>
            <w:tcBorders>
              <w:top w:val="nil"/>
              <w:left w:val="nil"/>
              <w:bottom w:val="nil"/>
              <w:right w:val="nil"/>
            </w:tcBorders>
            <w:shd w:val="clear" w:color="000000" w:fill="F2F2F2"/>
            <w:noWrap/>
            <w:vAlign w:val="bottom"/>
            <w:hideMark/>
          </w:tcPr>
          <w:p w14:paraId="186E829B"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0.681***</w:t>
            </w:r>
          </w:p>
        </w:tc>
      </w:tr>
      <w:tr w:rsidR="00AE22A9" w:rsidRPr="00957E11" w14:paraId="71580DC5" w14:textId="77777777" w:rsidTr="00655EBF">
        <w:trPr>
          <w:trHeight w:val="300"/>
        </w:trPr>
        <w:tc>
          <w:tcPr>
            <w:tcW w:w="1135" w:type="pct"/>
            <w:tcBorders>
              <w:top w:val="nil"/>
              <w:left w:val="nil"/>
              <w:bottom w:val="nil"/>
              <w:right w:val="nil"/>
            </w:tcBorders>
            <w:shd w:val="clear" w:color="000000" w:fill="F2F2F2"/>
            <w:noWrap/>
            <w:vAlign w:val="bottom"/>
            <w:hideMark/>
          </w:tcPr>
          <w:p w14:paraId="0E32A68F"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 </w:t>
            </w:r>
          </w:p>
        </w:tc>
        <w:tc>
          <w:tcPr>
            <w:tcW w:w="953" w:type="pct"/>
            <w:tcBorders>
              <w:top w:val="nil"/>
              <w:left w:val="nil"/>
              <w:bottom w:val="nil"/>
              <w:right w:val="nil"/>
            </w:tcBorders>
            <w:shd w:val="clear" w:color="000000" w:fill="F2F2F2"/>
            <w:noWrap/>
            <w:vAlign w:val="bottom"/>
            <w:hideMark/>
          </w:tcPr>
          <w:p w14:paraId="482C6FE0"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(0.336)</w:t>
            </w:r>
          </w:p>
        </w:tc>
        <w:tc>
          <w:tcPr>
            <w:tcW w:w="982" w:type="pct"/>
            <w:tcBorders>
              <w:top w:val="nil"/>
              <w:left w:val="nil"/>
              <w:bottom w:val="nil"/>
              <w:right w:val="nil"/>
            </w:tcBorders>
            <w:shd w:val="clear" w:color="000000" w:fill="F2F2F2"/>
            <w:noWrap/>
            <w:vAlign w:val="bottom"/>
            <w:hideMark/>
          </w:tcPr>
          <w:p w14:paraId="6BCCB97E"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(0.216)</w:t>
            </w:r>
          </w:p>
        </w:tc>
        <w:tc>
          <w:tcPr>
            <w:tcW w:w="980" w:type="pct"/>
            <w:tcBorders>
              <w:top w:val="nil"/>
              <w:left w:val="nil"/>
              <w:bottom w:val="nil"/>
              <w:right w:val="nil"/>
            </w:tcBorders>
            <w:shd w:val="clear" w:color="000000" w:fill="F2F2F2"/>
            <w:noWrap/>
            <w:vAlign w:val="bottom"/>
            <w:hideMark/>
          </w:tcPr>
          <w:p w14:paraId="27F4FDCD"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(0.217)</w:t>
            </w:r>
          </w:p>
        </w:tc>
        <w:tc>
          <w:tcPr>
            <w:tcW w:w="949" w:type="pct"/>
            <w:tcBorders>
              <w:top w:val="nil"/>
              <w:left w:val="nil"/>
              <w:bottom w:val="nil"/>
              <w:right w:val="nil"/>
            </w:tcBorders>
            <w:shd w:val="clear" w:color="000000" w:fill="F2F2F2"/>
            <w:noWrap/>
            <w:vAlign w:val="bottom"/>
            <w:hideMark/>
          </w:tcPr>
          <w:p w14:paraId="7CB97204"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(0.258)</w:t>
            </w:r>
          </w:p>
        </w:tc>
      </w:tr>
      <w:tr w:rsidR="00AE22A9" w:rsidRPr="00957E11" w14:paraId="62976977" w14:textId="77777777" w:rsidTr="00655EBF">
        <w:trPr>
          <w:trHeight w:val="300"/>
        </w:trPr>
        <w:tc>
          <w:tcPr>
            <w:tcW w:w="1135" w:type="pct"/>
            <w:tcBorders>
              <w:top w:val="nil"/>
              <w:left w:val="nil"/>
              <w:bottom w:val="nil"/>
              <w:right w:val="nil"/>
            </w:tcBorders>
            <w:shd w:val="clear" w:color="000000" w:fill="F2F2F2"/>
            <w:noWrap/>
            <w:vAlign w:val="bottom"/>
            <w:hideMark/>
          </w:tcPr>
          <w:p w14:paraId="5A152465"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Kroon*Office</w:t>
            </w:r>
          </w:p>
        </w:tc>
        <w:tc>
          <w:tcPr>
            <w:tcW w:w="953" w:type="pct"/>
            <w:tcBorders>
              <w:top w:val="nil"/>
              <w:left w:val="nil"/>
              <w:bottom w:val="nil"/>
              <w:right w:val="nil"/>
            </w:tcBorders>
            <w:shd w:val="clear" w:color="000000" w:fill="F2F2F2"/>
            <w:noWrap/>
            <w:vAlign w:val="bottom"/>
            <w:hideMark/>
          </w:tcPr>
          <w:p w14:paraId="78220AD5"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0.631</w:t>
            </w:r>
          </w:p>
        </w:tc>
        <w:tc>
          <w:tcPr>
            <w:tcW w:w="982" w:type="pct"/>
            <w:tcBorders>
              <w:top w:val="nil"/>
              <w:left w:val="nil"/>
              <w:bottom w:val="nil"/>
              <w:right w:val="nil"/>
            </w:tcBorders>
            <w:shd w:val="clear" w:color="000000" w:fill="F2F2F2"/>
            <w:noWrap/>
            <w:vAlign w:val="bottom"/>
            <w:hideMark/>
          </w:tcPr>
          <w:p w14:paraId="4D068CE8"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-0.888***</w:t>
            </w:r>
          </w:p>
        </w:tc>
        <w:tc>
          <w:tcPr>
            <w:tcW w:w="980" w:type="pct"/>
            <w:tcBorders>
              <w:top w:val="nil"/>
              <w:left w:val="nil"/>
              <w:bottom w:val="nil"/>
              <w:right w:val="nil"/>
            </w:tcBorders>
            <w:shd w:val="clear" w:color="000000" w:fill="F2F2F2"/>
            <w:noWrap/>
            <w:vAlign w:val="bottom"/>
            <w:hideMark/>
          </w:tcPr>
          <w:p w14:paraId="0F58801E"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-0.595*</w:t>
            </w:r>
          </w:p>
        </w:tc>
        <w:tc>
          <w:tcPr>
            <w:tcW w:w="949" w:type="pct"/>
            <w:tcBorders>
              <w:top w:val="nil"/>
              <w:left w:val="nil"/>
              <w:bottom w:val="nil"/>
              <w:right w:val="nil"/>
            </w:tcBorders>
            <w:shd w:val="clear" w:color="000000" w:fill="F2F2F2"/>
            <w:noWrap/>
            <w:vAlign w:val="bottom"/>
            <w:hideMark/>
          </w:tcPr>
          <w:p w14:paraId="5137BE96"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-0.917***</w:t>
            </w:r>
          </w:p>
        </w:tc>
      </w:tr>
      <w:tr w:rsidR="00AE22A9" w:rsidRPr="00957E11" w14:paraId="0E8889C0" w14:textId="77777777" w:rsidTr="00655EBF">
        <w:trPr>
          <w:trHeight w:val="300"/>
        </w:trPr>
        <w:tc>
          <w:tcPr>
            <w:tcW w:w="1135" w:type="pct"/>
            <w:tcBorders>
              <w:top w:val="nil"/>
              <w:left w:val="nil"/>
              <w:bottom w:val="nil"/>
              <w:right w:val="nil"/>
            </w:tcBorders>
            <w:shd w:val="clear" w:color="000000" w:fill="F2F2F2"/>
            <w:noWrap/>
            <w:vAlign w:val="bottom"/>
            <w:hideMark/>
          </w:tcPr>
          <w:p w14:paraId="65B5E66D"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 </w:t>
            </w:r>
          </w:p>
        </w:tc>
        <w:tc>
          <w:tcPr>
            <w:tcW w:w="953" w:type="pct"/>
            <w:tcBorders>
              <w:top w:val="nil"/>
              <w:left w:val="nil"/>
              <w:bottom w:val="nil"/>
              <w:right w:val="nil"/>
            </w:tcBorders>
            <w:shd w:val="clear" w:color="000000" w:fill="F2F2F2"/>
            <w:noWrap/>
            <w:vAlign w:val="bottom"/>
            <w:hideMark/>
          </w:tcPr>
          <w:p w14:paraId="0E55C888"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(0.421)</w:t>
            </w:r>
          </w:p>
        </w:tc>
        <w:tc>
          <w:tcPr>
            <w:tcW w:w="982" w:type="pct"/>
            <w:tcBorders>
              <w:top w:val="nil"/>
              <w:left w:val="nil"/>
              <w:bottom w:val="nil"/>
              <w:right w:val="nil"/>
            </w:tcBorders>
            <w:shd w:val="clear" w:color="000000" w:fill="F2F2F2"/>
            <w:noWrap/>
            <w:vAlign w:val="bottom"/>
            <w:hideMark/>
          </w:tcPr>
          <w:p w14:paraId="0BFAB039"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(0.311)</w:t>
            </w:r>
          </w:p>
        </w:tc>
        <w:tc>
          <w:tcPr>
            <w:tcW w:w="980" w:type="pct"/>
            <w:tcBorders>
              <w:top w:val="nil"/>
              <w:left w:val="nil"/>
              <w:bottom w:val="nil"/>
              <w:right w:val="nil"/>
            </w:tcBorders>
            <w:shd w:val="clear" w:color="000000" w:fill="F2F2F2"/>
            <w:noWrap/>
            <w:vAlign w:val="bottom"/>
            <w:hideMark/>
          </w:tcPr>
          <w:p w14:paraId="2B4731A2"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(0.327)</w:t>
            </w:r>
          </w:p>
        </w:tc>
        <w:tc>
          <w:tcPr>
            <w:tcW w:w="949" w:type="pct"/>
            <w:tcBorders>
              <w:top w:val="nil"/>
              <w:left w:val="nil"/>
              <w:bottom w:val="nil"/>
              <w:right w:val="nil"/>
            </w:tcBorders>
            <w:shd w:val="clear" w:color="000000" w:fill="F2F2F2"/>
            <w:noWrap/>
            <w:vAlign w:val="bottom"/>
            <w:hideMark/>
          </w:tcPr>
          <w:p w14:paraId="6547CCCC"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(0.342)</w:t>
            </w:r>
          </w:p>
        </w:tc>
      </w:tr>
      <w:tr w:rsidR="00AE22A9" w:rsidRPr="00957E11" w14:paraId="54CEC2AF" w14:textId="77777777" w:rsidTr="00655EBF">
        <w:trPr>
          <w:trHeight w:val="300"/>
        </w:trPr>
        <w:tc>
          <w:tcPr>
            <w:tcW w:w="1135" w:type="pct"/>
            <w:tcBorders>
              <w:top w:val="nil"/>
              <w:left w:val="nil"/>
              <w:bottom w:val="nil"/>
              <w:right w:val="nil"/>
            </w:tcBorders>
            <w:shd w:val="clear" w:color="000000" w:fill="F2F2F2"/>
            <w:noWrap/>
            <w:vAlign w:val="bottom"/>
            <w:hideMark/>
          </w:tcPr>
          <w:p w14:paraId="271943D9"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Office</w:t>
            </w:r>
          </w:p>
        </w:tc>
        <w:tc>
          <w:tcPr>
            <w:tcW w:w="953" w:type="pct"/>
            <w:tcBorders>
              <w:top w:val="nil"/>
              <w:left w:val="nil"/>
              <w:bottom w:val="nil"/>
              <w:right w:val="nil"/>
            </w:tcBorders>
            <w:shd w:val="clear" w:color="000000" w:fill="F2F2F2"/>
            <w:noWrap/>
            <w:vAlign w:val="bottom"/>
            <w:hideMark/>
          </w:tcPr>
          <w:p w14:paraId="0F4C9F0C"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-0.129</w:t>
            </w:r>
          </w:p>
        </w:tc>
        <w:tc>
          <w:tcPr>
            <w:tcW w:w="982" w:type="pct"/>
            <w:tcBorders>
              <w:top w:val="nil"/>
              <w:left w:val="nil"/>
              <w:bottom w:val="nil"/>
              <w:right w:val="nil"/>
            </w:tcBorders>
            <w:shd w:val="clear" w:color="000000" w:fill="F2F2F2"/>
            <w:noWrap/>
            <w:vAlign w:val="bottom"/>
            <w:hideMark/>
          </w:tcPr>
          <w:p w14:paraId="097E4037"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0.027</w:t>
            </w:r>
          </w:p>
        </w:tc>
        <w:tc>
          <w:tcPr>
            <w:tcW w:w="980" w:type="pct"/>
            <w:tcBorders>
              <w:top w:val="nil"/>
              <w:left w:val="nil"/>
              <w:bottom w:val="nil"/>
              <w:right w:val="nil"/>
            </w:tcBorders>
            <w:shd w:val="clear" w:color="000000" w:fill="F2F2F2"/>
            <w:noWrap/>
            <w:vAlign w:val="bottom"/>
            <w:hideMark/>
          </w:tcPr>
          <w:p w14:paraId="4B7241F1"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-0.112</w:t>
            </w:r>
          </w:p>
        </w:tc>
        <w:tc>
          <w:tcPr>
            <w:tcW w:w="949" w:type="pct"/>
            <w:tcBorders>
              <w:top w:val="nil"/>
              <w:left w:val="nil"/>
              <w:bottom w:val="nil"/>
              <w:right w:val="nil"/>
            </w:tcBorders>
            <w:shd w:val="clear" w:color="000000" w:fill="F2F2F2"/>
            <w:noWrap/>
            <w:vAlign w:val="bottom"/>
            <w:hideMark/>
          </w:tcPr>
          <w:p w14:paraId="79588AB9"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0.230</w:t>
            </w:r>
          </w:p>
        </w:tc>
      </w:tr>
      <w:tr w:rsidR="00AE22A9" w:rsidRPr="00957E11" w14:paraId="4F7F556F" w14:textId="77777777" w:rsidTr="00655EBF">
        <w:trPr>
          <w:trHeight w:val="300"/>
        </w:trPr>
        <w:tc>
          <w:tcPr>
            <w:tcW w:w="1135" w:type="pct"/>
            <w:tcBorders>
              <w:top w:val="nil"/>
              <w:left w:val="nil"/>
              <w:bottom w:val="nil"/>
              <w:right w:val="nil"/>
            </w:tcBorders>
            <w:shd w:val="clear" w:color="000000" w:fill="F2F2F2"/>
            <w:noWrap/>
            <w:vAlign w:val="bottom"/>
            <w:hideMark/>
          </w:tcPr>
          <w:p w14:paraId="1B0F8792"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 </w:t>
            </w:r>
          </w:p>
        </w:tc>
        <w:tc>
          <w:tcPr>
            <w:tcW w:w="953" w:type="pct"/>
            <w:tcBorders>
              <w:top w:val="nil"/>
              <w:left w:val="nil"/>
              <w:bottom w:val="nil"/>
              <w:right w:val="nil"/>
            </w:tcBorders>
            <w:shd w:val="clear" w:color="000000" w:fill="F2F2F2"/>
            <w:noWrap/>
            <w:vAlign w:val="bottom"/>
            <w:hideMark/>
          </w:tcPr>
          <w:p w14:paraId="3DD0B744"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(0.351)</w:t>
            </w:r>
          </w:p>
        </w:tc>
        <w:tc>
          <w:tcPr>
            <w:tcW w:w="982" w:type="pct"/>
            <w:tcBorders>
              <w:top w:val="nil"/>
              <w:left w:val="nil"/>
              <w:bottom w:val="nil"/>
              <w:right w:val="nil"/>
            </w:tcBorders>
            <w:shd w:val="clear" w:color="000000" w:fill="F2F2F2"/>
            <w:noWrap/>
            <w:vAlign w:val="bottom"/>
            <w:hideMark/>
          </w:tcPr>
          <w:p w14:paraId="0B1393A2"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(0.249)</w:t>
            </w:r>
          </w:p>
        </w:tc>
        <w:tc>
          <w:tcPr>
            <w:tcW w:w="980" w:type="pct"/>
            <w:tcBorders>
              <w:top w:val="nil"/>
              <w:left w:val="nil"/>
              <w:bottom w:val="nil"/>
              <w:right w:val="nil"/>
            </w:tcBorders>
            <w:shd w:val="clear" w:color="000000" w:fill="F2F2F2"/>
            <w:noWrap/>
            <w:vAlign w:val="bottom"/>
            <w:hideMark/>
          </w:tcPr>
          <w:p w14:paraId="09135EDC"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(0.239)</w:t>
            </w:r>
          </w:p>
        </w:tc>
        <w:tc>
          <w:tcPr>
            <w:tcW w:w="949" w:type="pct"/>
            <w:tcBorders>
              <w:top w:val="nil"/>
              <w:left w:val="nil"/>
              <w:bottom w:val="nil"/>
              <w:right w:val="nil"/>
            </w:tcBorders>
            <w:shd w:val="clear" w:color="000000" w:fill="F2F2F2"/>
            <w:noWrap/>
            <w:vAlign w:val="bottom"/>
            <w:hideMark/>
          </w:tcPr>
          <w:p w14:paraId="472AC975"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(0.261)</w:t>
            </w:r>
          </w:p>
        </w:tc>
      </w:tr>
      <w:tr w:rsidR="00AE22A9" w:rsidRPr="00957E11" w14:paraId="5B943AFF" w14:textId="77777777" w:rsidTr="00655EBF">
        <w:trPr>
          <w:trHeight w:val="300"/>
        </w:trPr>
        <w:tc>
          <w:tcPr>
            <w:tcW w:w="1135" w:type="pct"/>
            <w:tcBorders>
              <w:top w:val="nil"/>
              <w:left w:val="nil"/>
              <w:bottom w:val="nil"/>
              <w:right w:val="nil"/>
            </w:tcBorders>
            <w:shd w:val="clear" w:color="000000" w:fill="F2F2F2"/>
            <w:noWrap/>
            <w:vAlign w:val="bottom"/>
            <w:hideMark/>
          </w:tcPr>
          <w:p w14:paraId="62FD6B8C"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Age</w:t>
            </w:r>
          </w:p>
        </w:tc>
        <w:tc>
          <w:tcPr>
            <w:tcW w:w="953" w:type="pct"/>
            <w:tcBorders>
              <w:top w:val="nil"/>
              <w:left w:val="nil"/>
              <w:bottom w:val="nil"/>
              <w:right w:val="nil"/>
            </w:tcBorders>
            <w:shd w:val="clear" w:color="000000" w:fill="F2F2F2"/>
            <w:noWrap/>
            <w:vAlign w:val="bottom"/>
            <w:hideMark/>
          </w:tcPr>
          <w:p w14:paraId="2F13CD1A"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-0.006</w:t>
            </w:r>
          </w:p>
        </w:tc>
        <w:tc>
          <w:tcPr>
            <w:tcW w:w="982" w:type="pct"/>
            <w:tcBorders>
              <w:top w:val="nil"/>
              <w:left w:val="nil"/>
              <w:bottom w:val="nil"/>
              <w:right w:val="nil"/>
            </w:tcBorders>
            <w:shd w:val="clear" w:color="000000" w:fill="F2F2F2"/>
            <w:noWrap/>
            <w:vAlign w:val="bottom"/>
            <w:hideMark/>
          </w:tcPr>
          <w:p w14:paraId="25B01FDC"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0.004</w:t>
            </w:r>
          </w:p>
        </w:tc>
        <w:tc>
          <w:tcPr>
            <w:tcW w:w="980" w:type="pct"/>
            <w:tcBorders>
              <w:top w:val="nil"/>
              <w:left w:val="nil"/>
              <w:bottom w:val="nil"/>
              <w:right w:val="nil"/>
            </w:tcBorders>
            <w:shd w:val="clear" w:color="000000" w:fill="F2F2F2"/>
            <w:noWrap/>
            <w:vAlign w:val="bottom"/>
            <w:hideMark/>
          </w:tcPr>
          <w:p w14:paraId="70C30459"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0.00</w:t>
            </w:r>
            <w:r>
              <w:rPr>
                <w:rFonts w:eastAsia="Times New Roman"/>
                <w:color w:val="000000"/>
              </w:rPr>
              <w:t>8</w:t>
            </w:r>
          </w:p>
        </w:tc>
        <w:tc>
          <w:tcPr>
            <w:tcW w:w="949" w:type="pct"/>
            <w:tcBorders>
              <w:top w:val="nil"/>
              <w:left w:val="nil"/>
              <w:bottom w:val="nil"/>
              <w:right w:val="nil"/>
            </w:tcBorders>
            <w:shd w:val="clear" w:color="000000" w:fill="F2F2F2"/>
            <w:noWrap/>
            <w:vAlign w:val="bottom"/>
            <w:hideMark/>
          </w:tcPr>
          <w:p w14:paraId="048ACAD7"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0.0118*</w:t>
            </w:r>
          </w:p>
        </w:tc>
      </w:tr>
      <w:tr w:rsidR="00AE22A9" w:rsidRPr="00957E11" w14:paraId="6AA6857D" w14:textId="77777777" w:rsidTr="00655EBF">
        <w:trPr>
          <w:trHeight w:val="300"/>
        </w:trPr>
        <w:tc>
          <w:tcPr>
            <w:tcW w:w="1135" w:type="pct"/>
            <w:tcBorders>
              <w:top w:val="nil"/>
              <w:left w:val="nil"/>
              <w:bottom w:val="nil"/>
              <w:right w:val="nil"/>
            </w:tcBorders>
            <w:shd w:val="clear" w:color="000000" w:fill="F2F2F2"/>
            <w:noWrap/>
            <w:vAlign w:val="bottom"/>
            <w:hideMark/>
          </w:tcPr>
          <w:p w14:paraId="60A83EDF"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 </w:t>
            </w:r>
          </w:p>
        </w:tc>
        <w:tc>
          <w:tcPr>
            <w:tcW w:w="953" w:type="pct"/>
            <w:tcBorders>
              <w:top w:val="nil"/>
              <w:left w:val="nil"/>
              <w:bottom w:val="nil"/>
              <w:right w:val="nil"/>
            </w:tcBorders>
            <w:shd w:val="clear" w:color="000000" w:fill="F2F2F2"/>
            <w:noWrap/>
            <w:vAlign w:val="bottom"/>
            <w:hideMark/>
          </w:tcPr>
          <w:p w14:paraId="3180E2FB"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(0.00</w:t>
            </w:r>
            <w:r>
              <w:rPr>
                <w:rFonts w:eastAsia="Times New Roman"/>
                <w:color w:val="000000"/>
              </w:rPr>
              <w:t>6</w:t>
            </w:r>
            <w:r w:rsidRPr="00957E11">
              <w:rPr>
                <w:rFonts w:eastAsia="Times New Roman"/>
                <w:color w:val="000000"/>
              </w:rPr>
              <w:t>)</w:t>
            </w:r>
          </w:p>
        </w:tc>
        <w:tc>
          <w:tcPr>
            <w:tcW w:w="982" w:type="pct"/>
            <w:tcBorders>
              <w:top w:val="nil"/>
              <w:left w:val="nil"/>
              <w:bottom w:val="nil"/>
              <w:right w:val="nil"/>
            </w:tcBorders>
            <w:shd w:val="clear" w:color="000000" w:fill="F2F2F2"/>
            <w:noWrap/>
            <w:vAlign w:val="bottom"/>
            <w:hideMark/>
          </w:tcPr>
          <w:p w14:paraId="3890753A"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(0.007)</w:t>
            </w:r>
          </w:p>
        </w:tc>
        <w:tc>
          <w:tcPr>
            <w:tcW w:w="980" w:type="pct"/>
            <w:tcBorders>
              <w:top w:val="nil"/>
              <w:left w:val="nil"/>
              <w:bottom w:val="nil"/>
              <w:right w:val="nil"/>
            </w:tcBorders>
            <w:shd w:val="clear" w:color="000000" w:fill="F2F2F2"/>
            <w:noWrap/>
            <w:vAlign w:val="bottom"/>
            <w:hideMark/>
          </w:tcPr>
          <w:p w14:paraId="18EDF4D6"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(0.00</w:t>
            </w:r>
            <w:r>
              <w:rPr>
                <w:rFonts w:eastAsia="Times New Roman"/>
                <w:color w:val="000000"/>
              </w:rPr>
              <w:t>7</w:t>
            </w:r>
            <w:r w:rsidRPr="00957E11">
              <w:rPr>
                <w:rFonts w:eastAsia="Times New Roman"/>
                <w:color w:val="000000"/>
              </w:rPr>
              <w:t>)</w:t>
            </w:r>
          </w:p>
        </w:tc>
        <w:tc>
          <w:tcPr>
            <w:tcW w:w="949" w:type="pct"/>
            <w:tcBorders>
              <w:top w:val="nil"/>
              <w:left w:val="nil"/>
              <w:bottom w:val="nil"/>
              <w:right w:val="nil"/>
            </w:tcBorders>
            <w:shd w:val="clear" w:color="000000" w:fill="F2F2F2"/>
            <w:noWrap/>
            <w:vAlign w:val="bottom"/>
            <w:hideMark/>
          </w:tcPr>
          <w:p w14:paraId="7BD66325"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(0.00</w:t>
            </w:r>
            <w:r>
              <w:rPr>
                <w:rFonts w:eastAsia="Times New Roman"/>
                <w:color w:val="000000"/>
              </w:rPr>
              <w:t>7</w:t>
            </w:r>
            <w:r w:rsidRPr="00957E11">
              <w:rPr>
                <w:rFonts w:eastAsia="Times New Roman"/>
                <w:color w:val="000000"/>
              </w:rPr>
              <w:t>)</w:t>
            </w:r>
          </w:p>
        </w:tc>
      </w:tr>
      <w:tr w:rsidR="00AE22A9" w:rsidRPr="00957E11" w14:paraId="496FA322" w14:textId="77777777" w:rsidTr="00655EBF">
        <w:trPr>
          <w:trHeight w:val="300"/>
        </w:trPr>
        <w:tc>
          <w:tcPr>
            <w:tcW w:w="1135" w:type="pct"/>
            <w:tcBorders>
              <w:top w:val="nil"/>
              <w:left w:val="nil"/>
              <w:bottom w:val="nil"/>
              <w:right w:val="nil"/>
            </w:tcBorders>
            <w:shd w:val="clear" w:color="000000" w:fill="F2F2F2"/>
            <w:noWrap/>
            <w:vAlign w:val="bottom"/>
            <w:hideMark/>
          </w:tcPr>
          <w:p w14:paraId="115C00C7"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Female</w:t>
            </w:r>
          </w:p>
        </w:tc>
        <w:tc>
          <w:tcPr>
            <w:tcW w:w="953" w:type="pct"/>
            <w:tcBorders>
              <w:top w:val="nil"/>
              <w:left w:val="nil"/>
              <w:bottom w:val="nil"/>
              <w:right w:val="nil"/>
            </w:tcBorders>
            <w:shd w:val="clear" w:color="000000" w:fill="F2F2F2"/>
            <w:noWrap/>
            <w:vAlign w:val="bottom"/>
            <w:hideMark/>
          </w:tcPr>
          <w:p w14:paraId="11968925"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0.388**</w:t>
            </w:r>
          </w:p>
        </w:tc>
        <w:tc>
          <w:tcPr>
            <w:tcW w:w="982" w:type="pct"/>
            <w:tcBorders>
              <w:top w:val="nil"/>
              <w:left w:val="nil"/>
              <w:bottom w:val="nil"/>
              <w:right w:val="nil"/>
            </w:tcBorders>
            <w:shd w:val="clear" w:color="000000" w:fill="F2F2F2"/>
            <w:noWrap/>
            <w:vAlign w:val="bottom"/>
            <w:hideMark/>
          </w:tcPr>
          <w:p w14:paraId="5718026B"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-0.00</w:t>
            </w:r>
            <w:r>
              <w:rPr>
                <w:rFonts w:eastAsia="Times New Roman"/>
                <w:color w:val="000000"/>
              </w:rPr>
              <w:t>9</w:t>
            </w:r>
          </w:p>
        </w:tc>
        <w:tc>
          <w:tcPr>
            <w:tcW w:w="980" w:type="pct"/>
            <w:tcBorders>
              <w:top w:val="nil"/>
              <w:left w:val="nil"/>
              <w:bottom w:val="nil"/>
              <w:right w:val="nil"/>
            </w:tcBorders>
            <w:shd w:val="clear" w:color="000000" w:fill="F2F2F2"/>
            <w:noWrap/>
            <w:vAlign w:val="bottom"/>
            <w:hideMark/>
          </w:tcPr>
          <w:p w14:paraId="4F21A2A1"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-0.0405</w:t>
            </w:r>
          </w:p>
        </w:tc>
        <w:tc>
          <w:tcPr>
            <w:tcW w:w="949" w:type="pct"/>
            <w:tcBorders>
              <w:top w:val="nil"/>
              <w:left w:val="nil"/>
              <w:bottom w:val="nil"/>
              <w:right w:val="nil"/>
            </w:tcBorders>
            <w:shd w:val="clear" w:color="000000" w:fill="F2F2F2"/>
            <w:noWrap/>
            <w:vAlign w:val="bottom"/>
            <w:hideMark/>
          </w:tcPr>
          <w:p w14:paraId="5868D992"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0.000</w:t>
            </w:r>
            <w:r>
              <w:rPr>
                <w:rFonts w:eastAsia="Times New Roman"/>
                <w:color w:val="000000"/>
              </w:rPr>
              <w:t>4</w:t>
            </w:r>
          </w:p>
        </w:tc>
      </w:tr>
      <w:tr w:rsidR="00AE22A9" w:rsidRPr="00957E11" w14:paraId="1858CCEB" w14:textId="77777777" w:rsidTr="00655EBF">
        <w:trPr>
          <w:trHeight w:val="300"/>
        </w:trPr>
        <w:tc>
          <w:tcPr>
            <w:tcW w:w="1135" w:type="pct"/>
            <w:tcBorders>
              <w:top w:val="nil"/>
              <w:left w:val="nil"/>
              <w:bottom w:val="nil"/>
              <w:right w:val="nil"/>
            </w:tcBorders>
            <w:shd w:val="clear" w:color="000000" w:fill="F2F2F2"/>
            <w:noWrap/>
            <w:vAlign w:val="bottom"/>
            <w:hideMark/>
          </w:tcPr>
          <w:p w14:paraId="5AD23B2C"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 </w:t>
            </w:r>
          </w:p>
        </w:tc>
        <w:tc>
          <w:tcPr>
            <w:tcW w:w="953" w:type="pct"/>
            <w:tcBorders>
              <w:top w:val="nil"/>
              <w:left w:val="nil"/>
              <w:bottom w:val="nil"/>
              <w:right w:val="nil"/>
            </w:tcBorders>
            <w:shd w:val="clear" w:color="000000" w:fill="F2F2F2"/>
            <w:noWrap/>
            <w:vAlign w:val="bottom"/>
            <w:hideMark/>
          </w:tcPr>
          <w:p w14:paraId="4E34EF6F"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(0.155)</w:t>
            </w:r>
          </w:p>
        </w:tc>
        <w:tc>
          <w:tcPr>
            <w:tcW w:w="982" w:type="pct"/>
            <w:tcBorders>
              <w:top w:val="nil"/>
              <w:left w:val="nil"/>
              <w:bottom w:val="nil"/>
              <w:right w:val="nil"/>
            </w:tcBorders>
            <w:shd w:val="clear" w:color="000000" w:fill="F2F2F2"/>
            <w:noWrap/>
            <w:vAlign w:val="bottom"/>
            <w:hideMark/>
          </w:tcPr>
          <w:p w14:paraId="5FD2571B"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(0.140)</w:t>
            </w:r>
          </w:p>
        </w:tc>
        <w:tc>
          <w:tcPr>
            <w:tcW w:w="980" w:type="pct"/>
            <w:tcBorders>
              <w:top w:val="nil"/>
              <w:left w:val="nil"/>
              <w:bottom w:val="nil"/>
              <w:right w:val="nil"/>
            </w:tcBorders>
            <w:shd w:val="clear" w:color="000000" w:fill="F2F2F2"/>
            <w:noWrap/>
            <w:vAlign w:val="bottom"/>
            <w:hideMark/>
          </w:tcPr>
          <w:p w14:paraId="23648239"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(0.133)</w:t>
            </w:r>
          </w:p>
        </w:tc>
        <w:tc>
          <w:tcPr>
            <w:tcW w:w="949" w:type="pct"/>
            <w:tcBorders>
              <w:top w:val="nil"/>
              <w:left w:val="nil"/>
              <w:bottom w:val="nil"/>
              <w:right w:val="nil"/>
            </w:tcBorders>
            <w:shd w:val="clear" w:color="000000" w:fill="F2F2F2"/>
            <w:noWrap/>
            <w:vAlign w:val="bottom"/>
            <w:hideMark/>
          </w:tcPr>
          <w:p w14:paraId="61E48F42"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(0.140)</w:t>
            </w:r>
          </w:p>
        </w:tc>
      </w:tr>
      <w:tr w:rsidR="00AE22A9" w:rsidRPr="00957E11" w14:paraId="3E69E057" w14:textId="77777777" w:rsidTr="00655EBF">
        <w:trPr>
          <w:trHeight w:val="300"/>
        </w:trPr>
        <w:tc>
          <w:tcPr>
            <w:tcW w:w="1135" w:type="pct"/>
            <w:tcBorders>
              <w:top w:val="nil"/>
              <w:left w:val="nil"/>
              <w:bottom w:val="single" w:sz="4" w:space="0" w:color="auto"/>
              <w:right w:val="nil"/>
            </w:tcBorders>
            <w:shd w:val="clear" w:color="000000" w:fill="F2F2F2"/>
            <w:noWrap/>
            <w:vAlign w:val="bottom"/>
            <w:hideMark/>
          </w:tcPr>
          <w:p w14:paraId="21BA031A" w14:textId="77777777" w:rsidR="00AE22A9" w:rsidRPr="00957E11" w:rsidRDefault="00AE22A9" w:rsidP="00655EBF">
            <w:pPr>
              <w:keepNext/>
              <w:spacing w:after="0" w:line="240" w:lineRule="auto"/>
              <w:rPr>
                <w:rFonts w:eastAsia="Times New Roman"/>
                <w:color w:val="000000"/>
              </w:rPr>
            </w:pPr>
            <w:r w:rsidRPr="00957E11">
              <w:rPr>
                <w:rFonts w:eastAsia="Times New Roman"/>
                <w:color w:val="000000"/>
              </w:rPr>
              <w:t>Observations</w:t>
            </w:r>
          </w:p>
        </w:tc>
        <w:tc>
          <w:tcPr>
            <w:tcW w:w="953" w:type="pct"/>
            <w:tcBorders>
              <w:top w:val="nil"/>
              <w:left w:val="nil"/>
              <w:bottom w:val="single" w:sz="4" w:space="0" w:color="auto"/>
              <w:right w:val="nil"/>
            </w:tcBorders>
            <w:shd w:val="clear" w:color="000000" w:fill="F2F2F2"/>
            <w:noWrap/>
            <w:vAlign w:val="bottom"/>
            <w:hideMark/>
          </w:tcPr>
          <w:p w14:paraId="7815CAF8"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258</w:t>
            </w:r>
          </w:p>
        </w:tc>
        <w:tc>
          <w:tcPr>
            <w:tcW w:w="982" w:type="pct"/>
            <w:tcBorders>
              <w:top w:val="nil"/>
              <w:left w:val="nil"/>
              <w:bottom w:val="single" w:sz="4" w:space="0" w:color="auto"/>
              <w:right w:val="nil"/>
            </w:tcBorders>
            <w:shd w:val="clear" w:color="000000" w:fill="F2F2F2"/>
            <w:noWrap/>
            <w:vAlign w:val="bottom"/>
            <w:hideMark/>
          </w:tcPr>
          <w:p w14:paraId="771873B7"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255</w:t>
            </w:r>
          </w:p>
        </w:tc>
        <w:tc>
          <w:tcPr>
            <w:tcW w:w="980" w:type="pct"/>
            <w:tcBorders>
              <w:top w:val="nil"/>
              <w:left w:val="nil"/>
              <w:bottom w:val="single" w:sz="4" w:space="0" w:color="auto"/>
              <w:right w:val="nil"/>
            </w:tcBorders>
            <w:shd w:val="clear" w:color="000000" w:fill="F2F2F2"/>
            <w:noWrap/>
            <w:vAlign w:val="bottom"/>
            <w:hideMark/>
          </w:tcPr>
          <w:p w14:paraId="001C3BC7"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254</w:t>
            </w:r>
          </w:p>
        </w:tc>
        <w:tc>
          <w:tcPr>
            <w:tcW w:w="949" w:type="pct"/>
            <w:tcBorders>
              <w:top w:val="nil"/>
              <w:left w:val="nil"/>
              <w:bottom w:val="single" w:sz="4" w:space="0" w:color="auto"/>
              <w:right w:val="nil"/>
            </w:tcBorders>
            <w:shd w:val="clear" w:color="000000" w:fill="F2F2F2"/>
            <w:noWrap/>
            <w:vAlign w:val="bottom"/>
            <w:hideMark/>
          </w:tcPr>
          <w:p w14:paraId="562E045A" w14:textId="77777777" w:rsidR="00AE22A9" w:rsidRPr="00957E11" w:rsidRDefault="00AE22A9" w:rsidP="00655EBF">
            <w:pPr>
              <w:keepNext/>
              <w:spacing w:after="0" w:line="240" w:lineRule="auto"/>
              <w:jc w:val="center"/>
              <w:rPr>
                <w:rFonts w:eastAsia="Times New Roman"/>
                <w:color w:val="000000"/>
              </w:rPr>
            </w:pPr>
            <w:r w:rsidRPr="00957E11">
              <w:rPr>
                <w:rFonts w:eastAsia="Times New Roman"/>
                <w:color w:val="000000"/>
              </w:rPr>
              <w:t>248</w:t>
            </w:r>
          </w:p>
        </w:tc>
      </w:tr>
      <w:tr w:rsidR="00AE22A9" w:rsidRPr="00957E11" w14:paraId="532CBA9B" w14:textId="77777777" w:rsidTr="00655EBF">
        <w:trPr>
          <w:trHeight w:val="300"/>
        </w:trPr>
        <w:tc>
          <w:tcPr>
            <w:tcW w:w="1135" w:type="pct"/>
            <w:tcBorders>
              <w:top w:val="nil"/>
              <w:left w:val="nil"/>
              <w:right w:val="nil"/>
            </w:tcBorders>
            <w:shd w:val="clear" w:color="000000" w:fill="F2F2F2"/>
            <w:noWrap/>
            <w:vAlign w:val="bottom"/>
          </w:tcPr>
          <w:p w14:paraId="7ED04431" w14:textId="77777777" w:rsidR="00AE22A9" w:rsidRPr="00957E11" w:rsidRDefault="00AE22A9" w:rsidP="00655EBF">
            <w:pPr>
              <w:keepNext/>
              <w:spacing w:after="0" w:line="240" w:lineRule="auto"/>
              <w:rPr>
                <w:rFonts w:eastAsia="Times New Roman"/>
                <w:color w:val="000000"/>
              </w:rPr>
            </w:pPr>
            <w:r>
              <w:rPr>
                <w:rFonts w:eastAsia="Times New Roman"/>
                <w:color w:val="000000"/>
              </w:rPr>
              <w:t>Combination:</w:t>
            </w:r>
          </w:p>
        </w:tc>
        <w:tc>
          <w:tcPr>
            <w:tcW w:w="953" w:type="pct"/>
            <w:tcBorders>
              <w:top w:val="nil"/>
              <w:left w:val="nil"/>
              <w:right w:val="nil"/>
            </w:tcBorders>
            <w:shd w:val="clear" w:color="000000" w:fill="F2F2F2"/>
            <w:noWrap/>
            <w:vAlign w:val="bottom"/>
          </w:tcPr>
          <w:p w14:paraId="16D4FCCC" w14:textId="77777777" w:rsidR="00AE22A9" w:rsidRPr="00957E11" w:rsidRDefault="00AE22A9" w:rsidP="00655EBF">
            <w:pPr>
              <w:keepNext/>
              <w:spacing w:after="0" w:line="240" w:lineRule="auto"/>
              <w:jc w:val="center"/>
              <w:rPr>
                <w:rFonts w:eastAsia="Times New Roman"/>
                <w:color w:val="000000"/>
              </w:rPr>
            </w:pPr>
            <w:r>
              <w:rPr>
                <w:rFonts w:eastAsia="Times New Roman"/>
                <w:color w:val="000000"/>
              </w:rPr>
              <w:t>-0.041</w:t>
            </w:r>
          </w:p>
        </w:tc>
        <w:tc>
          <w:tcPr>
            <w:tcW w:w="982" w:type="pct"/>
            <w:tcBorders>
              <w:top w:val="nil"/>
              <w:left w:val="nil"/>
              <w:right w:val="nil"/>
            </w:tcBorders>
            <w:shd w:val="clear" w:color="000000" w:fill="F2F2F2"/>
            <w:noWrap/>
            <w:vAlign w:val="bottom"/>
          </w:tcPr>
          <w:p w14:paraId="03F2CE4B" w14:textId="77777777" w:rsidR="00AE22A9" w:rsidRPr="00957E11" w:rsidRDefault="00AE22A9" w:rsidP="00655EBF">
            <w:pPr>
              <w:keepNext/>
              <w:spacing w:after="0" w:line="240" w:lineRule="auto"/>
              <w:jc w:val="center"/>
              <w:rPr>
                <w:rFonts w:eastAsia="Times New Roman"/>
                <w:color w:val="000000"/>
              </w:rPr>
            </w:pPr>
            <w:r>
              <w:rPr>
                <w:rFonts w:eastAsia="Times New Roman"/>
                <w:color w:val="000000"/>
              </w:rPr>
              <w:t>-0.110</w:t>
            </w:r>
          </w:p>
        </w:tc>
        <w:tc>
          <w:tcPr>
            <w:tcW w:w="980" w:type="pct"/>
            <w:tcBorders>
              <w:top w:val="nil"/>
              <w:left w:val="nil"/>
              <w:right w:val="nil"/>
            </w:tcBorders>
            <w:shd w:val="clear" w:color="000000" w:fill="F2F2F2"/>
            <w:noWrap/>
            <w:vAlign w:val="bottom"/>
          </w:tcPr>
          <w:p w14:paraId="14E0BEDB" w14:textId="77777777" w:rsidR="00AE22A9" w:rsidRPr="00957E11" w:rsidRDefault="00AE22A9" w:rsidP="00655EBF">
            <w:pPr>
              <w:keepNext/>
              <w:spacing w:after="0" w:line="240" w:lineRule="auto"/>
              <w:jc w:val="center"/>
              <w:rPr>
                <w:rFonts w:eastAsia="Times New Roman"/>
                <w:color w:val="000000"/>
              </w:rPr>
            </w:pPr>
            <w:r>
              <w:rPr>
                <w:rFonts w:eastAsia="Times New Roman"/>
                <w:color w:val="000000"/>
              </w:rPr>
              <w:t>-0.036</w:t>
            </w:r>
          </w:p>
        </w:tc>
        <w:tc>
          <w:tcPr>
            <w:tcW w:w="949" w:type="pct"/>
            <w:tcBorders>
              <w:top w:val="nil"/>
              <w:left w:val="nil"/>
              <w:right w:val="nil"/>
            </w:tcBorders>
            <w:shd w:val="clear" w:color="000000" w:fill="F2F2F2"/>
            <w:noWrap/>
            <w:vAlign w:val="bottom"/>
          </w:tcPr>
          <w:p w14:paraId="0D06A676" w14:textId="77777777" w:rsidR="00AE22A9" w:rsidRPr="00957E11" w:rsidRDefault="00AE22A9" w:rsidP="00655EBF">
            <w:pPr>
              <w:keepNext/>
              <w:spacing w:after="0" w:line="240" w:lineRule="auto"/>
              <w:jc w:val="center"/>
              <w:rPr>
                <w:rFonts w:eastAsia="Times New Roman"/>
                <w:color w:val="000000"/>
              </w:rPr>
            </w:pPr>
            <w:r>
              <w:rPr>
                <w:rFonts w:eastAsia="Times New Roman"/>
                <w:color w:val="000000"/>
              </w:rPr>
              <w:t>-0.236</w:t>
            </w:r>
          </w:p>
        </w:tc>
      </w:tr>
      <w:tr w:rsidR="00AE22A9" w:rsidRPr="00957E11" w14:paraId="2B29A04C" w14:textId="77777777" w:rsidTr="00655EBF">
        <w:trPr>
          <w:trHeight w:val="300"/>
        </w:trPr>
        <w:tc>
          <w:tcPr>
            <w:tcW w:w="1135" w:type="pct"/>
            <w:tcBorders>
              <w:top w:val="nil"/>
              <w:left w:val="nil"/>
              <w:bottom w:val="single" w:sz="4" w:space="0" w:color="auto"/>
              <w:right w:val="nil"/>
            </w:tcBorders>
            <w:shd w:val="clear" w:color="000000" w:fill="F2F2F2"/>
            <w:noWrap/>
            <w:vAlign w:val="bottom"/>
          </w:tcPr>
          <w:p w14:paraId="75FFBFEC" w14:textId="77777777" w:rsidR="00AE22A9" w:rsidRDefault="00AE22A9" w:rsidP="00655EBF">
            <w:pPr>
              <w:keepNext/>
              <w:spacing w:after="0" w:line="240" w:lineRule="auto"/>
              <w:rPr>
                <w:rFonts w:eastAsia="Times New Roman"/>
                <w:color w:val="000000"/>
              </w:rPr>
            </w:pPr>
            <w:r>
              <w:rPr>
                <w:rFonts w:eastAsia="Times New Roman"/>
                <w:color w:val="000000"/>
              </w:rPr>
              <w:t>Kroon+Kroon*Office</w:t>
            </w:r>
          </w:p>
        </w:tc>
        <w:tc>
          <w:tcPr>
            <w:tcW w:w="953" w:type="pct"/>
            <w:tcBorders>
              <w:top w:val="nil"/>
              <w:left w:val="nil"/>
              <w:bottom w:val="single" w:sz="4" w:space="0" w:color="auto"/>
              <w:right w:val="nil"/>
            </w:tcBorders>
            <w:shd w:val="clear" w:color="000000" w:fill="F2F2F2"/>
            <w:noWrap/>
            <w:vAlign w:val="bottom"/>
          </w:tcPr>
          <w:p w14:paraId="6F72A4FC" w14:textId="77777777" w:rsidR="00AE22A9" w:rsidRPr="00957E11" w:rsidRDefault="00AE22A9" w:rsidP="00655EBF">
            <w:pPr>
              <w:keepNext/>
              <w:spacing w:after="0" w:line="240" w:lineRule="auto"/>
              <w:jc w:val="center"/>
              <w:rPr>
                <w:rFonts w:eastAsia="Times New Roman"/>
                <w:color w:val="000000"/>
              </w:rPr>
            </w:pPr>
            <w:r>
              <w:rPr>
                <w:rFonts w:eastAsia="Times New Roman"/>
                <w:color w:val="000000"/>
              </w:rPr>
              <w:t>(0.254)</w:t>
            </w:r>
          </w:p>
        </w:tc>
        <w:tc>
          <w:tcPr>
            <w:tcW w:w="982" w:type="pct"/>
            <w:tcBorders>
              <w:top w:val="nil"/>
              <w:left w:val="nil"/>
              <w:bottom w:val="single" w:sz="4" w:space="0" w:color="auto"/>
              <w:right w:val="nil"/>
            </w:tcBorders>
            <w:shd w:val="clear" w:color="000000" w:fill="F2F2F2"/>
            <w:noWrap/>
            <w:vAlign w:val="bottom"/>
          </w:tcPr>
          <w:p w14:paraId="1C305940" w14:textId="77777777" w:rsidR="00AE22A9" w:rsidRPr="00957E11" w:rsidRDefault="00AE22A9" w:rsidP="00655EBF">
            <w:pPr>
              <w:keepNext/>
              <w:spacing w:after="0" w:line="240" w:lineRule="auto"/>
              <w:jc w:val="center"/>
              <w:rPr>
                <w:rFonts w:eastAsia="Times New Roman"/>
                <w:color w:val="000000"/>
              </w:rPr>
            </w:pPr>
            <w:r>
              <w:rPr>
                <w:rFonts w:eastAsia="Times New Roman"/>
                <w:color w:val="000000"/>
              </w:rPr>
              <w:t>(0.225)</w:t>
            </w:r>
          </w:p>
        </w:tc>
        <w:tc>
          <w:tcPr>
            <w:tcW w:w="980" w:type="pct"/>
            <w:tcBorders>
              <w:top w:val="nil"/>
              <w:left w:val="nil"/>
              <w:bottom w:val="single" w:sz="4" w:space="0" w:color="auto"/>
              <w:right w:val="nil"/>
            </w:tcBorders>
            <w:shd w:val="clear" w:color="000000" w:fill="F2F2F2"/>
            <w:noWrap/>
            <w:vAlign w:val="bottom"/>
          </w:tcPr>
          <w:p w14:paraId="05DCAFEA" w14:textId="77777777" w:rsidR="00AE22A9" w:rsidRPr="00957E11" w:rsidRDefault="00AE22A9" w:rsidP="00655EBF">
            <w:pPr>
              <w:keepNext/>
              <w:spacing w:after="0" w:line="240" w:lineRule="auto"/>
              <w:jc w:val="center"/>
              <w:rPr>
                <w:rFonts w:eastAsia="Times New Roman"/>
                <w:color w:val="000000"/>
              </w:rPr>
            </w:pPr>
            <w:r>
              <w:rPr>
                <w:rFonts w:eastAsia="Times New Roman"/>
                <w:color w:val="000000"/>
              </w:rPr>
              <w:t>(0.244)</w:t>
            </w:r>
          </w:p>
        </w:tc>
        <w:tc>
          <w:tcPr>
            <w:tcW w:w="949" w:type="pct"/>
            <w:tcBorders>
              <w:top w:val="nil"/>
              <w:left w:val="nil"/>
              <w:bottom w:val="single" w:sz="4" w:space="0" w:color="auto"/>
              <w:right w:val="nil"/>
            </w:tcBorders>
            <w:shd w:val="clear" w:color="000000" w:fill="F2F2F2"/>
            <w:noWrap/>
            <w:vAlign w:val="bottom"/>
          </w:tcPr>
          <w:p w14:paraId="7E55584E" w14:textId="77777777" w:rsidR="00AE22A9" w:rsidRPr="00957E11" w:rsidRDefault="00AE22A9" w:rsidP="00655EBF">
            <w:pPr>
              <w:keepNext/>
              <w:spacing w:after="0" w:line="240" w:lineRule="auto"/>
              <w:jc w:val="center"/>
              <w:rPr>
                <w:rFonts w:eastAsia="Times New Roman"/>
                <w:color w:val="000000"/>
              </w:rPr>
            </w:pPr>
            <w:r>
              <w:rPr>
                <w:rFonts w:eastAsia="Times New Roman"/>
                <w:color w:val="000000"/>
              </w:rPr>
              <w:t>(0.215)</w:t>
            </w:r>
          </w:p>
        </w:tc>
      </w:tr>
      <w:tr w:rsidR="00AE22A9" w:rsidRPr="00957E11" w14:paraId="09AF2320" w14:textId="77777777" w:rsidTr="00655EBF">
        <w:trPr>
          <w:trHeight w:val="300"/>
        </w:trPr>
        <w:tc>
          <w:tcPr>
            <w:tcW w:w="5000" w:type="pct"/>
            <w:gridSpan w:val="5"/>
            <w:tcBorders>
              <w:top w:val="single" w:sz="4" w:space="0" w:color="auto"/>
              <w:left w:val="nil"/>
              <w:bottom w:val="nil"/>
              <w:right w:val="nil"/>
            </w:tcBorders>
            <w:shd w:val="clear" w:color="000000" w:fill="F2F2F2"/>
            <w:noWrap/>
            <w:hideMark/>
          </w:tcPr>
          <w:p w14:paraId="76F7561A" w14:textId="77777777" w:rsidR="00AE22A9" w:rsidRPr="00957E11" w:rsidRDefault="00AE22A9" w:rsidP="00655EBF">
            <w:pPr>
              <w:keepNext/>
              <w:spacing w:after="0" w:line="240" w:lineRule="auto"/>
              <w:rPr>
                <w:rFonts w:eastAsia="Times New Roman"/>
                <w:color w:val="000000"/>
                <w:sz w:val="18"/>
                <w:szCs w:val="18"/>
              </w:rPr>
            </w:pPr>
            <w:r w:rsidRPr="00957E11">
              <w:rPr>
                <w:rFonts w:eastAsia="Times New Roman"/>
                <w:color w:val="000000"/>
                <w:sz w:val="18"/>
                <w:szCs w:val="18"/>
              </w:rPr>
              <w:t>Standard errors in parentheses: *** p&lt;0.01, ** p&lt;0.05, * p&lt;0.1</w:t>
            </w:r>
          </w:p>
        </w:tc>
      </w:tr>
    </w:tbl>
    <w:p w14:paraId="2F942BA4" w14:textId="1EFAC35B" w:rsidR="00EB5C8B" w:rsidRPr="00AE22A9" w:rsidRDefault="00F76B72" w:rsidP="00AE22A9">
      <w:pPr>
        <w:spacing w:before="240" w:after="120" w:line="360" w:lineRule="auto"/>
      </w:pPr>
      <w:r>
        <w:t xml:space="preserve"> </w:t>
      </w:r>
      <w:r w:rsidR="00562E10">
        <w:t>Through</w:t>
      </w:r>
      <w:r>
        <w:t xml:space="preserve"> th</w:t>
      </w:r>
      <w:r w:rsidR="00EB5C8B">
        <w:t>e model</w:t>
      </w:r>
      <w:r>
        <w:t xml:space="preserve"> specification, the faculty and staff with a Kroon Hall office are compared to those with an office elsewhere </w:t>
      </w:r>
      <w:r w:rsidR="00DE48A2">
        <w:t>at</w:t>
      </w:r>
      <w:r w:rsidR="00562E10">
        <w:t xml:space="preserve"> F&amp;ES and</w:t>
      </w:r>
      <w:r w:rsidR="00EB5C8B">
        <w:t xml:space="preserve"> the students in Kroon Hall are compared to </w:t>
      </w:r>
      <w:r w:rsidR="00562E10">
        <w:t>students</w:t>
      </w:r>
      <w:r w:rsidR="00EB5C8B">
        <w:t xml:space="preserve"> elsewhere</w:t>
      </w:r>
      <w:r w:rsidR="00562E10">
        <w:t xml:space="preserve">.  </w:t>
      </w:r>
      <w:r w:rsidR="00562E10">
        <w:lastRenderedPageBreak/>
        <w:t>Then</w:t>
      </w:r>
      <w:r w:rsidR="00EB5C8B">
        <w:t xml:space="preserve"> by comp</w:t>
      </w:r>
      <w:r w:rsidR="006B3611">
        <w:t>arison</w:t>
      </w:r>
      <w:r w:rsidR="00562E10">
        <w:t>,</w:t>
      </w:r>
      <w:r w:rsidR="00EB5C8B">
        <w:t xml:space="preserve"> a difference-in-difference</w:t>
      </w:r>
      <w:r w:rsidR="008E0E32">
        <w:t>s</w:t>
      </w:r>
      <w:r w:rsidR="000F4B26">
        <w:t xml:space="preserve"> (DID)</w:t>
      </w:r>
      <w:r w:rsidR="00EB5C8B">
        <w:t xml:space="preserve"> approach is reached</w:t>
      </w:r>
      <w:r w:rsidR="002429D2">
        <w:t xml:space="preserve"> as illustrated in Figure 1</w:t>
      </w:r>
      <w:r w:rsidR="00EB5C8B">
        <w:t>.</w:t>
      </w:r>
      <w:r w:rsidR="00562E10">
        <w:t xml:space="preserve">  Comparing the coefficients on Kroon Hall</w:t>
      </w:r>
      <w:r w:rsidR="006B3611">
        <w:t xml:space="preserve"> indicating</w:t>
      </w:r>
      <w:r w:rsidR="00562E10">
        <w:t xml:space="preserve"> the effect on the student group</w:t>
      </w:r>
      <w:r w:rsidR="006B3611">
        <w:t>,</w:t>
      </w:r>
      <w:r w:rsidR="00562E10">
        <w:t xml:space="preserve"> to the combination on </w:t>
      </w:r>
      <w:r w:rsidR="00562E10">
        <w:rPr>
          <w:rFonts w:eastAsia="Times New Roman"/>
          <w:color w:val="000000"/>
        </w:rPr>
        <w:t xml:space="preserve">Kroon+Kroon*Office for the faculty &amp; staff group arrives at this </w:t>
      </w:r>
      <w:r w:rsidR="00F45619">
        <w:rPr>
          <w:rFonts w:eastAsia="Times New Roman"/>
          <w:color w:val="000000"/>
        </w:rPr>
        <w:t>difference-in-difference</w:t>
      </w:r>
      <w:r w:rsidR="008E0E32">
        <w:rPr>
          <w:rFonts w:eastAsia="Times New Roman"/>
          <w:color w:val="000000"/>
        </w:rPr>
        <w:t>s</w:t>
      </w:r>
      <w:r w:rsidR="00F45619">
        <w:rPr>
          <w:rFonts w:eastAsia="Times New Roman"/>
          <w:color w:val="000000"/>
        </w:rPr>
        <w:t xml:space="preserve"> result.</w:t>
      </w:r>
      <w:r w:rsidR="006E7F9C">
        <w:rPr>
          <w:rFonts w:eastAsia="Times New Roman"/>
          <w:color w:val="000000"/>
        </w:rPr>
        <w:t xml:space="preserve">  The da</w:t>
      </w:r>
      <w:r w:rsidR="006B3611">
        <w:rPr>
          <w:rFonts w:eastAsia="Times New Roman"/>
          <w:color w:val="000000"/>
        </w:rPr>
        <w:t xml:space="preserve">ta itself does </w:t>
      </w:r>
      <w:r w:rsidR="006E7F9C">
        <w:rPr>
          <w:rFonts w:eastAsia="Times New Roman"/>
          <w:color w:val="000000"/>
        </w:rPr>
        <w:t>not</w:t>
      </w:r>
      <w:r w:rsidR="006B3611">
        <w:rPr>
          <w:rFonts w:eastAsia="Times New Roman"/>
          <w:color w:val="000000"/>
        </w:rPr>
        <w:t xml:space="preserve"> have an</w:t>
      </w:r>
      <w:r w:rsidR="006E7F9C">
        <w:rPr>
          <w:rFonts w:eastAsia="Times New Roman"/>
          <w:color w:val="000000"/>
        </w:rPr>
        <w:t xml:space="preserve"> explicit time</w:t>
      </w:r>
      <w:r w:rsidR="006B3611">
        <w:rPr>
          <w:rFonts w:eastAsia="Times New Roman"/>
          <w:color w:val="000000"/>
        </w:rPr>
        <w:t xml:space="preserve"> component as</w:t>
      </w:r>
      <w:r w:rsidR="006E7F9C">
        <w:rPr>
          <w:rFonts w:eastAsia="Times New Roman"/>
          <w:color w:val="000000"/>
        </w:rPr>
        <w:t xml:space="preserve"> in </w:t>
      </w:r>
      <w:r w:rsidR="006B3611">
        <w:rPr>
          <w:rFonts w:eastAsia="Times New Roman"/>
          <w:color w:val="000000"/>
        </w:rPr>
        <w:t>most DID</w:t>
      </w:r>
      <w:r w:rsidR="000F4B26">
        <w:rPr>
          <w:rFonts w:eastAsia="Times New Roman"/>
          <w:color w:val="000000"/>
        </w:rPr>
        <w:t xml:space="preserve"> applications</w:t>
      </w:r>
      <w:r w:rsidR="004E7150">
        <w:rPr>
          <w:rFonts w:eastAsia="Times New Roman"/>
          <w:color w:val="000000"/>
        </w:rPr>
        <w:t>,</w:t>
      </w:r>
      <w:r w:rsidR="000F4B26">
        <w:rPr>
          <w:rFonts w:eastAsia="Times New Roman"/>
          <w:color w:val="000000"/>
        </w:rPr>
        <w:t xml:space="preserve"> but rather an implied one</w:t>
      </w:r>
      <w:r w:rsidR="004D0EBB">
        <w:rPr>
          <w:rFonts w:eastAsia="Times New Roman"/>
          <w:color w:val="000000"/>
        </w:rPr>
        <w:t xml:space="preserve"> from </w:t>
      </w:r>
      <w:r w:rsidR="004E7150">
        <w:rPr>
          <w:rFonts w:eastAsia="Times New Roman"/>
          <w:color w:val="000000"/>
        </w:rPr>
        <w:t xml:space="preserve">the </w:t>
      </w:r>
      <w:r w:rsidR="004D0EBB">
        <w:rPr>
          <w:rFonts w:eastAsia="Times New Roman"/>
          <w:color w:val="000000"/>
        </w:rPr>
        <w:t xml:space="preserve">extended treatment of using F&amp;ES facilities.  </w:t>
      </w:r>
      <w:r w:rsidR="00BF54C0">
        <w:rPr>
          <w:rFonts w:eastAsia="Times New Roman"/>
          <w:color w:val="000000"/>
        </w:rPr>
        <w:t xml:space="preserve">From the timing of the survey implementation, the time component ranges from at least one academic year for the newest of students, to </w:t>
      </w:r>
      <w:r w:rsidR="004E7150">
        <w:rPr>
          <w:rFonts w:eastAsia="Times New Roman"/>
          <w:color w:val="000000"/>
        </w:rPr>
        <w:t>eight</w:t>
      </w:r>
      <w:r w:rsidR="00BF54C0">
        <w:rPr>
          <w:rFonts w:eastAsia="Times New Roman"/>
          <w:color w:val="000000"/>
        </w:rPr>
        <w:t xml:space="preserve"> years for some of the faculty</w:t>
      </w:r>
      <w:r w:rsidR="004E7150">
        <w:rPr>
          <w:rFonts w:eastAsia="Times New Roman"/>
          <w:color w:val="000000"/>
        </w:rPr>
        <w:t xml:space="preserve"> (the age of Kroon Hall)</w:t>
      </w:r>
      <w:r w:rsidR="00BF54C0">
        <w:rPr>
          <w:rFonts w:eastAsia="Times New Roman"/>
          <w:color w:val="000000"/>
        </w:rPr>
        <w:t>.</w:t>
      </w:r>
      <w:r w:rsidR="006E7F9C">
        <w:rPr>
          <w:rFonts w:eastAsia="Times New Roman"/>
          <w:color w:val="000000"/>
        </w:rPr>
        <w:t xml:space="preserve"> </w:t>
      </w:r>
    </w:p>
    <w:tbl>
      <w:tblPr>
        <w:tblStyle w:val="TableGrid"/>
        <w:tblW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tblGrid>
      <w:tr w:rsidR="006F4312" w14:paraId="7C26FA3D" w14:textId="77777777" w:rsidTr="001219E7">
        <w:tc>
          <w:tcPr>
            <w:tcW w:w="236" w:type="dxa"/>
          </w:tcPr>
          <w:p w14:paraId="19841BB0" w14:textId="77777777" w:rsidR="006F4312" w:rsidRDefault="006F4312" w:rsidP="001219E7">
            <w:pPr>
              <w:widowControl w:val="0"/>
              <w:autoSpaceDE w:val="0"/>
              <w:autoSpaceDN w:val="0"/>
              <w:adjustRightInd w:val="0"/>
            </w:pPr>
            <w:r>
              <w:rPr>
                <w:noProof/>
              </w:rPr>
              <w:drawing>
                <wp:inline distT="0" distB="0" distL="0" distR="0" wp14:anchorId="51FC1839" wp14:editId="1B892167">
                  <wp:extent cx="4572000" cy="2743200"/>
                  <wp:effectExtent l="0" t="0" r="0" b="0"/>
                  <wp:docPr id="6" name="Chart 6">
                    <a:extLst xmlns:a="http://schemas.openxmlformats.org/drawingml/2006/main">
                      <a:ext uri="{FF2B5EF4-FFF2-40B4-BE49-F238E27FC236}">
                        <a16:creationId xmlns:a16="http://schemas.microsoft.com/office/drawing/2014/main" id="{145C970F-C80F-4335-934C-EB1AA212B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6F4312" w14:paraId="00121D56" w14:textId="77777777" w:rsidTr="001219E7">
        <w:trPr>
          <w:trHeight w:val="342"/>
        </w:trPr>
        <w:tc>
          <w:tcPr>
            <w:tcW w:w="236" w:type="dxa"/>
          </w:tcPr>
          <w:p w14:paraId="7E5AE50D" w14:textId="77777777" w:rsidR="006F4312" w:rsidRPr="008C2655" w:rsidRDefault="006F4312" w:rsidP="001219E7">
            <w:pPr>
              <w:widowControl w:val="0"/>
              <w:autoSpaceDE w:val="0"/>
              <w:autoSpaceDN w:val="0"/>
              <w:adjustRightInd w:val="0"/>
              <w:rPr>
                <w:b/>
              </w:rPr>
            </w:pPr>
            <w:r>
              <w:rPr>
                <w:b/>
              </w:rPr>
              <w:t>Figure 1 |</w:t>
            </w:r>
            <w:r w:rsidRPr="008C2655">
              <w:rPr>
                <w:b/>
              </w:rPr>
              <w:t xml:space="preserve"> </w:t>
            </w:r>
            <w:r w:rsidRPr="006F4312">
              <w:rPr>
                <w:b/>
              </w:rPr>
              <w:t>Illustration of difference-in-differences identification strategy using green building satisfaction</w:t>
            </w:r>
            <w:r>
              <w:rPr>
                <w:b/>
              </w:rPr>
              <w:t xml:space="preserve"> ordered probit estimates.</w:t>
            </w:r>
          </w:p>
        </w:tc>
      </w:tr>
    </w:tbl>
    <w:p w14:paraId="23936A15" w14:textId="77777777" w:rsidR="00AE22A9" w:rsidRDefault="005B64B5" w:rsidP="00AE22A9">
      <w:pPr>
        <w:spacing w:before="240" w:after="120" w:line="360" w:lineRule="auto"/>
      </w:pPr>
      <w:r>
        <w:t>I</w:t>
      </w:r>
      <w:r w:rsidR="00F76B72">
        <w:t>t is clear that the</w:t>
      </w:r>
      <w:r w:rsidR="00C43ECC">
        <w:t xml:space="preserve"> non-office</w:t>
      </w:r>
      <w:r w:rsidR="00F76B72">
        <w:t xml:space="preserve"> student population </w:t>
      </w:r>
      <w:r>
        <w:t>receives</w:t>
      </w:r>
      <w:r w:rsidR="00F76B72">
        <w:t xml:space="preserve"> a statistically significant</w:t>
      </w:r>
      <w:r>
        <w:t>, positive</w:t>
      </w:r>
      <w:r w:rsidR="00F76B72">
        <w:t xml:space="preserve"> effect of Kroon Hall on general satisfaction, work</w:t>
      </w:r>
      <w:r>
        <w:t xml:space="preserve">, and time impact.  </w:t>
      </w:r>
      <w:r w:rsidR="00F76B72">
        <w:t xml:space="preserve">The linear combination coefficients for office users in Kroon Hall </w:t>
      </w:r>
      <w:r>
        <w:t>are all statistically insignificant in comparison</w:t>
      </w:r>
      <w:r w:rsidR="00F76B72">
        <w:t>.  These members o</w:t>
      </w:r>
      <w:r>
        <w:t>f F&amp;ES are made no better off</w:t>
      </w:r>
      <w:r w:rsidR="00F76B72">
        <w:t xml:space="preserve"> statistically than </w:t>
      </w:r>
      <w:r>
        <w:t>office users throughout F&amp;ES</w:t>
      </w:r>
      <w:r w:rsidR="00F76B72">
        <w:t xml:space="preserve">.  The comparison of these results </w:t>
      </w:r>
      <w:r>
        <w:t xml:space="preserve">suggests </w:t>
      </w:r>
      <w:r w:rsidR="00F76B72">
        <w:t xml:space="preserve">an important takeaway- choice is an important driver of satisfaction.  </w:t>
      </w:r>
      <w:r>
        <w:t>E</w:t>
      </w:r>
      <w:r w:rsidR="00F76B72">
        <w:t xml:space="preserve">xperience </w:t>
      </w:r>
      <w:r>
        <w:t xml:space="preserve">with F&amp;ES cautions that I </w:t>
      </w:r>
      <w:r w:rsidR="00F76B72">
        <w:t xml:space="preserve">cannot reject an alternative explanation- green ‘vanity architecture’ has primarily </w:t>
      </w:r>
      <w:r>
        <w:t>improved the</w:t>
      </w:r>
      <w:r w:rsidR="00F76B72">
        <w:t xml:space="preserve"> public spaces rather than office environment</w:t>
      </w:r>
      <w:r>
        <w:t xml:space="preserve"> of Kroon Hall relative to the comparison group</w:t>
      </w:r>
      <w:r w:rsidR="00F76B72">
        <w:t>.</w:t>
      </w:r>
    </w:p>
    <w:p w14:paraId="5ECC4F0D" w14:textId="336C604E" w:rsidR="00F76B72" w:rsidRDefault="00F76B72" w:rsidP="00AE22A9">
      <w:pPr>
        <w:spacing w:after="120" w:line="360" w:lineRule="auto"/>
      </w:pPr>
      <w:r>
        <w:t xml:space="preserve">To </w:t>
      </w:r>
      <w:r w:rsidR="00E46770">
        <w:t>reinforce</w:t>
      </w:r>
      <w:r>
        <w:t xml:space="preserve"> reader confidence in the results, equation (1) is also estimated separately </w:t>
      </w:r>
      <w:r w:rsidR="008D0378">
        <w:t xml:space="preserve">by whether </w:t>
      </w:r>
      <w:r>
        <w:t xml:space="preserve">respondents </w:t>
      </w:r>
      <w:r w:rsidR="008D0378">
        <w:t>have an</w:t>
      </w:r>
      <w:r>
        <w:t xml:space="preserve"> office and the coeff</w:t>
      </w:r>
      <w:r w:rsidR="008D0378">
        <w:t>icients presented in Table 2a. This</w:t>
      </w:r>
      <w:r>
        <w:t xml:space="preserve"> estimation reduces to:</w:t>
      </w:r>
    </w:p>
    <w:p w14:paraId="5F018F72" w14:textId="77777777" w:rsidR="00F76B72" w:rsidRPr="00335EA3" w:rsidRDefault="001219E7" w:rsidP="0052424D">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Cat</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KroonPrimary+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Age+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Gender+ε</m:t>
          </m:r>
        </m:oMath>
      </m:oMathPara>
    </w:p>
    <w:p w14:paraId="59E8ED91" w14:textId="68A6FE68" w:rsidR="00F76B72" w:rsidRDefault="00F76B72" w:rsidP="0052424D">
      <w:pPr>
        <w:spacing w:line="360" w:lineRule="auto"/>
      </w:pPr>
      <w:r>
        <w:t>for the</w:t>
      </w:r>
      <w:r w:rsidR="00E46770">
        <w:t xml:space="preserve"> two, </w:t>
      </w:r>
      <w:r w:rsidR="00E46770">
        <w:rPr>
          <w:i/>
        </w:rPr>
        <w:t>k,</w:t>
      </w:r>
      <w:r>
        <w:t xml:space="preserve"> separate groups</w:t>
      </w:r>
      <w:r w:rsidR="00E46770">
        <w:t xml:space="preserve"> of office and non-office members of F&amp;ES</w:t>
      </w:r>
      <w:r>
        <w:t xml:space="preserve">.  It is perhaps clearer </w:t>
      </w:r>
      <w:r w:rsidR="00E46770">
        <w:t>in this specification</w:t>
      </w:r>
      <w:r>
        <w:t xml:space="preserve"> that the Kroon Hall coefficient is interpretable as a treatment effect while controlling for age </w:t>
      </w:r>
      <w:r>
        <w:lastRenderedPageBreak/>
        <w:t>and gender differences.  The coefficients in Table 2a reporting the Kroon hall treatment for non-office and office</w:t>
      </w:r>
      <w:r w:rsidR="00E46770">
        <w:t xml:space="preserve"> subgroups separately</w:t>
      </w:r>
      <w:r>
        <w:t xml:space="preserve"> are qualitatively same to the Table 2 coefficients.  </w:t>
      </w:r>
      <w:r w:rsidR="00E46770">
        <w:t>T</w:t>
      </w:r>
      <w:r>
        <w:t xml:space="preserve">he </w:t>
      </w:r>
      <w:r w:rsidRPr="00186CCA">
        <w:rPr>
          <w:i/>
        </w:rPr>
        <w:t>Non-office</w:t>
      </w:r>
      <w:r>
        <w:t xml:space="preserve"> coefficients in Table 2a correspond to the </w:t>
      </w:r>
      <w:r w:rsidRPr="00186CCA">
        <w:rPr>
          <w:i/>
        </w:rPr>
        <w:t>Kroon Hall</w:t>
      </w:r>
      <w:r>
        <w:t xml:space="preserve"> treatment in Table 2 and the </w:t>
      </w:r>
      <w:r w:rsidRPr="00186CCA">
        <w:rPr>
          <w:i/>
        </w:rPr>
        <w:t>Office</w:t>
      </w:r>
      <w:r>
        <w:t xml:space="preserve"> coefficients correspond to the linear combination </w:t>
      </w:r>
      <w:r w:rsidRPr="00186CCA">
        <w:rPr>
          <w:i/>
        </w:rPr>
        <w:t>Kroon+Kroon*Office</w:t>
      </w:r>
      <w:r>
        <w:t>.  Small</w:t>
      </w:r>
      <w:r w:rsidR="00E46770">
        <w:t xml:space="preserve"> coefficient</w:t>
      </w:r>
      <w:r>
        <w:t xml:space="preserve"> differences occur, however, as estimating the model separately </w:t>
      </w:r>
      <w:r w:rsidR="008D0378">
        <w:t>un-constrains</w:t>
      </w:r>
      <w:r>
        <w:t xml:space="preserve"> the coefficients on age and female. </w:t>
      </w:r>
    </w:p>
    <w:tbl>
      <w:tblPr>
        <w:tblW w:w="5000" w:type="pct"/>
        <w:tblLook w:val="04A0" w:firstRow="1" w:lastRow="0" w:firstColumn="1" w:lastColumn="0" w:noHBand="0" w:noVBand="1"/>
      </w:tblPr>
      <w:tblGrid>
        <w:gridCol w:w="1658"/>
        <w:gridCol w:w="1900"/>
        <w:gridCol w:w="1955"/>
        <w:gridCol w:w="1952"/>
        <w:gridCol w:w="1895"/>
      </w:tblGrid>
      <w:tr w:rsidR="00F76B72" w:rsidRPr="00EA14EA" w14:paraId="7BBFA465" w14:textId="77777777" w:rsidTr="00F76B72">
        <w:trPr>
          <w:trHeight w:val="300"/>
        </w:trPr>
        <w:tc>
          <w:tcPr>
            <w:tcW w:w="5000" w:type="pct"/>
            <w:gridSpan w:val="5"/>
            <w:tcBorders>
              <w:top w:val="nil"/>
              <w:left w:val="nil"/>
              <w:bottom w:val="single" w:sz="4" w:space="0" w:color="auto"/>
              <w:right w:val="nil"/>
            </w:tcBorders>
            <w:shd w:val="clear" w:color="000000" w:fill="D0CECE"/>
            <w:noWrap/>
            <w:hideMark/>
          </w:tcPr>
          <w:p w14:paraId="57EEB5C1" w14:textId="77777777" w:rsidR="00F76B72" w:rsidRPr="00EA14EA" w:rsidRDefault="00F76B72" w:rsidP="00F76B72">
            <w:pPr>
              <w:keepNext/>
              <w:spacing w:after="0" w:line="240" w:lineRule="auto"/>
              <w:rPr>
                <w:rFonts w:eastAsia="Times New Roman"/>
                <w:b/>
                <w:bCs/>
                <w:color w:val="000000"/>
              </w:rPr>
            </w:pPr>
            <w:r>
              <w:rPr>
                <w:rFonts w:eastAsia="Times New Roman"/>
                <w:b/>
                <w:bCs/>
                <w:color w:val="000000"/>
              </w:rPr>
              <w:t>Table 2</w:t>
            </w:r>
            <w:r w:rsidRPr="00EA14EA">
              <w:rPr>
                <w:rFonts w:eastAsia="Times New Roman"/>
                <w:b/>
                <w:bCs/>
                <w:color w:val="000000"/>
              </w:rPr>
              <w:t>a | Coefficients on Kroon Hall from estimatin</w:t>
            </w:r>
            <w:r>
              <w:rPr>
                <w:rFonts w:eastAsia="Times New Roman"/>
                <w:b/>
                <w:bCs/>
                <w:color w:val="000000"/>
              </w:rPr>
              <w:t>g</w:t>
            </w:r>
            <w:r w:rsidRPr="00EA14EA">
              <w:rPr>
                <w:rFonts w:eastAsia="Times New Roman"/>
                <w:b/>
                <w:bCs/>
                <w:color w:val="000000"/>
              </w:rPr>
              <w:t xml:space="preserve"> non-office and office groups separately </w:t>
            </w:r>
          </w:p>
        </w:tc>
      </w:tr>
      <w:tr w:rsidR="00F76B72" w:rsidRPr="00EA14EA" w14:paraId="23DE4694" w14:textId="77777777" w:rsidTr="00F76B72">
        <w:trPr>
          <w:trHeight w:val="300"/>
        </w:trPr>
        <w:tc>
          <w:tcPr>
            <w:tcW w:w="879" w:type="pct"/>
            <w:tcBorders>
              <w:top w:val="nil"/>
              <w:left w:val="nil"/>
              <w:bottom w:val="nil"/>
              <w:right w:val="nil"/>
            </w:tcBorders>
            <w:shd w:val="clear" w:color="000000" w:fill="F2F2F2"/>
            <w:noWrap/>
            <w:vAlign w:val="bottom"/>
            <w:hideMark/>
          </w:tcPr>
          <w:p w14:paraId="0212BD7E" w14:textId="77777777" w:rsidR="00F76B72" w:rsidRPr="00EA14EA" w:rsidRDefault="00F76B72" w:rsidP="00F76B72">
            <w:pPr>
              <w:keepNext/>
              <w:spacing w:after="0" w:line="240" w:lineRule="auto"/>
              <w:rPr>
                <w:rFonts w:eastAsia="Times New Roman"/>
                <w:b/>
                <w:bCs/>
                <w:color w:val="000000"/>
              </w:rPr>
            </w:pPr>
            <w:r w:rsidRPr="00EA14EA">
              <w:rPr>
                <w:rFonts w:eastAsia="Times New Roman"/>
                <w:b/>
                <w:bCs/>
                <w:color w:val="000000"/>
              </w:rPr>
              <w:t> </w:t>
            </w:r>
          </w:p>
        </w:tc>
        <w:tc>
          <w:tcPr>
            <w:tcW w:w="1016" w:type="pct"/>
            <w:tcBorders>
              <w:top w:val="nil"/>
              <w:left w:val="nil"/>
              <w:bottom w:val="nil"/>
              <w:right w:val="nil"/>
            </w:tcBorders>
            <w:shd w:val="clear" w:color="000000" w:fill="F2F2F2"/>
            <w:noWrap/>
            <w:vAlign w:val="bottom"/>
            <w:hideMark/>
          </w:tcPr>
          <w:p w14:paraId="23FC358F"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(1)</w:t>
            </w:r>
          </w:p>
        </w:tc>
        <w:tc>
          <w:tcPr>
            <w:tcW w:w="1047" w:type="pct"/>
            <w:tcBorders>
              <w:top w:val="nil"/>
              <w:left w:val="nil"/>
              <w:bottom w:val="nil"/>
              <w:right w:val="nil"/>
            </w:tcBorders>
            <w:shd w:val="clear" w:color="000000" w:fill="F2F2F2"/>
            <w:noWrap/>
            <w:vAlign w:val="bottom"/>
            <w:hideMark/>
          </w:tcPr>
          <w:p w14:paraId="1D9F7DEE"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(2)</w:t>
            </w:r>
          </w:p>
        </w:tc>
        <w:tc>
          <w:tcPr>
            <w:tcW w:w="1045" w:type="pct"/>
            <w:tcBorders>
              <w:top w:val="nil"/>
              <w:left w:val="nil"/>
              <w:bottom w:val="nil"/>
              <w:right w:val="nil"/>
            </w:tcBorders>
            <w:shd w:val="clear" w:color="000000" w:fill="F2F2F2"/>
            <w:noWrap/>
            <w:vAlign w:val="bottom"/>
            <w:hideMark/>
          </w:tcPr>
          <w:p w14:paraId="0AAEC8D0"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(3)</w:t>
            </w:r>
          </w:p>
        </w:tc>
        <w:tc>
          <w:tcPr>
            <w:tcW w:w="1013" w:type="pct"/>
            <w:tcBorders>
              <w:top w:val="nil"/>
              <w:left w:val="nil"/>
              <w:bottom w:val="nil"/>
              <w:right w:val="nil"/>
            </w:tcBorders>
            <w:shd w:val="clear" w:color="000000" w:fill="F2F2F2"/>
            <w:noWrap/>
            <w:vAlign w:val="bottom"/>
            <w:hideMark/>
          </w:tcPr>
          <w:p w14:paraId="6E5A93A0"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(4)</w:t>
            </w:r>
          </w:p>
        </w:tc>
      </w:tr>
      <w:tr w:rsidR="00F76B72" w:rsidRPr="00EA14EA" w14:paraId="491F581F" w14:textId="77777777" w:rsidTr="00F76B72">
        <w:trPr>
          <w:trHeight w:val="300"/>
        </w:trPr>
        <w:tc>
          <w:tcPr>
            <w:tcW w:w="879" w:type="pct"/>
            <w:tcBorders>
              <w:top w:val="nil"/>
              <w:left w:val="nil"/>
              <w:bottom w:val="single" w:sz="4" w:space="0" w:color="auto"/>
              <w:right w:val="nil"/>
            </w:tcBorders>
            <w:shd w:val="clear" w:color="000000" w:fill="F2F2F2"/>
            <w:noWrap/>
            <w:vAlign w:val="bottom"/>
            <w:hideMark/>
          </w:tcPr>
          <w:p w14:paraId="21467382" w14:textId="77777777" w:rsidR="00F76B72" w:rsidRPr="00EA14EA" w:rsidRDefault="00F76B72" w:rsidP="00F76B72">
            <w:pPr>
              <w:keepNext/>
              <w:spacing w:after="0" w:line="240" w:lineRule="auto"/>
              <w:rPr>
                <w:rFonts w:eastAsia="Times New Roman"/>
                <w:b/>
                <w:bCs/>
                <w:color w:val="000000"/>
              </w:rPr>
            </w:pPr>
            <w:r w:rsidRPr="00EA14EA">
              <w:rPr>
                <w:rFonts w:eastAsia="Times New Roman"/>
                <w:b/>
                <w:bCs/>
                <w:color w:val="000000"/>
              </w:rPr>
              <w:t> </w:t>
            </w:r>
          </w:p>
        </w:tc>
        <w:tc>
          <w:tcPr>
            <w:tcW w:w="1016" w:type="pct"/>
            <w:tcBorders>
              <w:top w:val="nil"/>
              <w:left w:val="nil"/>
              <w:bottom w:val="single" w:sz="4" w:space="0" w:color="auto"/>
              <w:right w:val="nil"/>
            </w:tcBorders>
            <w:shd w:val="clear" w:color="000000" w:fill="F2F2F2"/>
            <w:noWrap/>
            <w:vAlign w:val="bottom"/>
            <w:hideMark/>
          </w:tcPr>
          <w:p w14:paraId="26CA109A"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Importance</w:t>
            </w:r>
          </w:p>
        </w:tc>
        <w:tc>
          <w:tcPr>
            <w:tcW w:w="1047" w:type="pct"/>
            <w:tcBorders>
              <w:top w:val="nil"/>
              <w:left w:val="nil"/>
              <w:bottom w:val="single" w:sz="4" w:space="0" w:color="auto"/>
              <w:right w:val="nil"/>
            </w:tcBorders>
            <w:shd w:val="clear" w:color="000000" w:fill="F2F2F2"/>
            <w:noWrap/>
            <w:vAlign w:val="bottom"/>
            <w:hideMark/>
          </w:tcPr>
          <w:p w14:paraId="30EBBDA3"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Satisfaction</w:t>
            </w:r>
          </w:p>
        </w:tc>
        <w:tc>
          <w:tcPr>
            <w:tcW w:w="1045" w:type="pct"/>
            <w:tcBorders>
              <w:top w:val="nil"/>
              <w:left w:val="nil"/>
              <w:bottom w:val="single" w:sz="4" w:space="0" w:color="auto"/>
              <w:right w:val="nil"/>
            </w:tcBorders>
            <w:shd w:val="clear" w:color="000000" w:fill="F2F2F2"/>
            <w:noWrap/>
            <w:vAlign w:val="bottom"/>
            <w:hideMark/>
          </w:tcPr>
          <w:p w14:paraId="5ED6D9F3"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Work impact</w:t>
            </w:r>
          </w:p>
        </w:tc>
        <w:tc>
          <w:tcPr>
            <w:tcW w:w="1013" w:type="pct"/>
            <w:tcBorders>
              <w:top w:val="nil"/>
              <w:left w:val="nil"/>
              <w:bottom w:val="single" w:sz="4" w:space="0" w:color="auto"/>
              <w:right w:val="nil"/>
            </w:tcBorders>
            <w:shd w:val="clear" w:color="000000" w:fill="F2F2F2"/>
            <w:noWrap/>
            <w:vAlign w:val="bottom"/>
            <w:hideMark/>
          </w:tcPr>
          <w:p w14:paraId="737420E8"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Time impact</w:t>
            </w:r>
          </w:p>
        </w:tc>
      </w:tr>
      <w:tr w:rsidR="00F76B72" w:rsidRPr="00EA14EA" w14:paraId="126144AF" w14:textId="77777777" w:rsidTr="00F76B72">
        <w:trPr>
          <w:trHeight w:val="300"/>
        </w:trPr>
        <w:tc>
          <w:tcPr>
            <w:tcW w:w="879" w:type="pct"/>
            <w:tcBorders>
              <w:top w:val="nil"/>
              <w:left w:val="nil"/>
              <w:bottom w:val="nil"/>
              <w:right w:val="nil"/>
            </w:tcBorders>
            <w:shd w:val="clear" w:color="000000" w:fill="F2F2F2"/>
            <w:noWrap/>
            <w:vAlign w:val="bottom"/>
            <w:hideMark/>
          </w:tcPr>
          <w:p w14:paraId="52847035" w14:textId="77777777" w:rsidR="00F76B72" w:rsidRPr="00EA14EA" w:rsidRDefault="00F76B72" w:rsidP="00F76B72">
            <w:pPr>
              <w:keepNext/>
              <w:spacing w:after="0" w:line="240" w:lineRule="auto"/>
              <w:rPr>
                <w:rFonts w:eastAsia="Times New Roman"/>
                <w:color w:val="000000"/>
              </w:rPr>
            </w:pPr>
            <w:r w:rsidRPr="00EA14EA">
              <w:rPr>
                <w:rFonts w:eastAsia="Times New Roman"/>
                <w:color w:val="000000"/>
              </w:rPr>
              <w:t>Non-office</w:t>
            </w:r>
          </w:p>
        </w:tc>
        <w:tc>
          <w:tcPr>
            <w:tcW w:w="1016" w:type="pct"/>
            <w:tcBorders>
              <w:top w:val="nil"/>
              <w:left w:val="nil"/>
              <w:bottom w:val="nil"/>
              <w:right w:val="nil"/>
            </w:tcBorders>
            <w:shd w:val="clear" w:color="000000" w:fill="F2F2F2"/>
            <w:noWrap/>
            <w:vAlign w:val="bottom"/>
            <w:hideMark/>
          </w:tcPr>
          <w:p w14:paraId="3DD17E04"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-0.692**</w:t>
            </w:r>
          </w:p>
        </w:tc>
        <w:tc>
          <w:tcPr>
            <w:tcW w:w="1047" w:type="pct"/>
            <w:tcBorders>
              <w:top w:val="nil"/>
              <w:left w:val="nil"/>
              <w:bottom w:val="nil"/>
              <w:right w:val="nil"/>
            </w:tcBorders>
            <w:shd w:val="clear" w:color="000000" w:fill="F2F2F2"/>
            <w:noWrap/>
            <w:vAlign w:val="bottom"/>
            <w:hideMark/>
          </w:tcPr>
          <w:p w14:paraId="28DC3459"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0.904***</w:t>
            </w:r>
          </w:p>
        </w:tc>
        <w:tc>
          <w:tcPr>
            <w:tcW w:w="1045" w:type="pct"/>
            <w:tcBorders>
              <w:top w:val="nil"/>
              <w:left w:val="nil"/>
              <w:bottom w:val="nil"/>
              <w:right w:val="nil"/>
            </w:tcBorders>
            <w:shd w:val="clear" w:color="000000" w:fill="F2F2F2"/>
            <w:noWrap/>
            <w:vAlign w:val="bottom"/>
            <w:hideMark/>
          </w:tcPr>
          <w:p w14:paraId="22D10C75"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0.659***</w:t>
            </w:r>
          </w:p>
        </w:tc>
        <w:tc>
          <w:tcPr>
            <w:tcW w:w="1013" w:type="pct"/>
            <w:tcBorders>
              <w:top w:val="nil"/>
              <w:left w:val="nil"/>
              <w:bottom w:val="nil"/>
              <w:right w:val="nil"/>
            </w:tcBorders>
            <w:shd w:val="clear" w:color="000000" w:fill="F2F2F2"/>
            <w:noWrap/>
            <w:vAlign w:val="bottom"/>
            <w:hideMark/>
          </w:tcPr>
          <w:p w14:paraId="48D79AFA"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0.627***</w:t>
            </w:r>
          </w:p>
        </w:tc>
      </w:tr>
      <w:tr w:rsidR="00F76B72" w:rsidRPr="00EA14EA" w14:paraId="46791EFF" w14:textId="77777777" w:rsidTr="00F76B72">
        <w:trPr>
          <w:trHeight w:val="300"/>
        </w:trPr>
        <w:tc>
          <w:tcPr>
            <w:tcW w:w="879" w:type="pct"/>
            <w:tcBorders>
              <w:top w:val="nil"/>
              <w:left w:val="nil"/>
              <w:bottom w:val="single" w:sz="4" w:space="0" w:color="auto"/>
              <w:right w:val="nil"/>
            </w:tcBorders>
            <w:shd w:val="clear" w:color="000000" w:fill="F2F2F2"/>
            <w:noWrap/>
            <w:vAlign w:val="bottom"/>
            <w:hideMark/>
          </w:tcPr>
          <w:p w14:paraId="3894BB93" w14:textId="77777777" w:rsidR="00F76B72" w:rsidRPr="00EA14EA" w:rsidRDefault="00F76B72" w:rsidP="00F76B72">
            <w:pPr>
              <w:keepNext/>
              <w:spacing w:after="0" w:line="240" w:lineRule="auto"/>
              <w:rPr>
                <w:rFonts w:eastAsia="Times New Roman"/>
                <w:color w:val="000000"/>
              </w:rPr>
            </w:pPr>
            <w:r w:rsidRPr="00EA14EA">
              <w:rPr>
                <w:rFonts w:eastAsia="Times New Roman"/>
                <w:color w:val="000000"/>
              </w:rPr>
              <w:t> </w:t>
            </w:r>
          </w:p>
        </w:tc>
        <w:tc>
          <w:tcPr>
            <w:tcW w:w="1016" w:type="pct"/>
            <w:tcBorders>
              <w:top w:val="nil"/>
              <w:left w:val="nil"/>
              <w:bottom w:val="single" w:sz="4" w:space="0" w:color="auto"/>
              <w:right w:val="nil"/>
            </w:tcBorders>
            <w:shd w:val="clear" w:color="000000" w:fill="F2F2F2"/>
            <w:noWrap/>
            <w:vAlign w:val="bottom"/>
            <w:hideMark/>
          </w:tcPr>
          <w:p w14:paraId="3CECD39D"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(0.339)</w:t>
            </w:r>
          </w:p>
        </w:tc>
        <w:tc>
          <w:tcPr>
            <w:tcW w:w="1047" w:type="pct"/>
            <w:tcBorders>
              <w:top w:val="nil"/>
              <w:left w:val="nil"/>
              <w:bottom w:val="single" w:sz="4" w:space="0" w:color="auto"/>
              <w:right w:val="nil"/>
            </w:tcBorders>
            <w:shd w:val="clear" w:color="000000" w:fill="F2F2F2"/>
            <w:noWrap/>
            <w:vAlign w:val="bottom"/>
            <w:hideMark/>
          </w:tcPr>
          <w:p w14:paraId="647F0660"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(0.228)</w:t>
            </w:r>
          </w:p>
        </w:tc>
        <w:tc>
          <w:tcPr>
            <w:tcW w:w="1045" w:type="pct"/>
            <w:tcBorders>
              <w:top w:val="nil"/>
              <w:left w:val="nil"/>
              <w:bottom w:val="single" w:sz="4" w:space="0" w:color="auto"/>
              <w:right w:val="nil"/>
            </w:tcBorders>
            <w:shd w:val="clear" w:color="000000" w:fill="F2F2F2"/>
            <w:noWrap/>
            <w:vAlign w:val="bottom"/>
            <w:hideMark/>
          </w:tcPr>
          <w:p w14:paraId="782470A1"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(0.235)</w:t>
            </w:r>
          </w:p>
        </w:tc>
        <w:tc>
          <w:tcPr>
            <w:tcW w:w="1013" w:type="pct"/>
            <w:tcBorders>
              <w:top w:val="nil"/>
              <w:left w:val="nil"/>
              <w:bottom w:val="single" w:sz="4" w:space="0" w:color="auto"/>
              <w:right w:val="nil"/>
            </w:tcBorders>
            <w:shd w:val="clear" w:color="000000" w:fill="F2F2F2"/>
            <w:noWrap/>
            <w:vAlign w:val="bottom"/>
            <w:hideMark/>
          </w:tcPr>
          <w:p w14:paraId="2901D5F0"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(0.240)</w:t>
            </w:r>
          </w:p>
        </w:tc>
      </w:tr>
      <w:tr w:rsidR="00F76B72" w:rsidRPr="00EA14EA" w14:paraId="795AF3B2" w14:textId="77777777" w:rsidTr="00F76B72">
        <w:trPr>
          <w:trHeight w:val="300"/>
        </w:trPr>
        <w:tc>
          <w:tcPr>
            <w:tcW w:w="879" w:type="pct"/>
            <w:tcBorders>
              <w:top w:val="single" w:sz="4" w:space="0" w:color="auto"/>
              <w:left w:val="nil"/>
              <w:bottom w:val="nil"/>
              <w:right w:val="nil"/>
            </w:tcBorders>
            <w:shd w:val="clear" w:color="000000" w:fill="F2F2F2"/>
            <w:noWrap/>
            <w:vAlign w:val="bottom"/>
            <w:hideMark/>
          </w:tcPr>
          <w:p w14:paraId="2FA6E911" w14:textId="77777777" w:rsidR="00F76B72" w:rsidRPr="00EA14EA" w:rsidRDefault="00F76B72" w:rsidP="00F76B72">
            <w:pPr>
              <w:keepNext/>
              <w:spacing w:after="0" w:line="240" w:lineRule="auto"/>
              <w:rPr>
                <w:rFonts w:eastAsia="Times New Roman"/>
                <w:color w:val="000000"/>
              </w:rPr>
            </w:pPr>
            <w:r w:rsidRPr="00EA14EA">
              <w:rPr>
                <w:rFonts w:eastAsia="Times New Roman"/>
                <w:color w:val="000000"/>
              </w:rPr>
              <w:t>Office</w:t>
            </w:r>
          </w:p>
        </w:tc>
        <w:tc>
          <w:tcPr>
            <w:tcW w:w="1016" w:type="pct"/>
            <w:tcBorders>
              <w:top w:val="single" w:sz="4" w:space="0" w:color="auto"/>
              <w:left w:val="nil"/>
              <w:bottom w:val="nil"/>
              <w:right w:val="nil"/>
            </w:tcBorders>
            <w:shd w:val="clear" w:color="000000" w:fill="F2F2F2"/>
            <w:noWrap/>
            <w:vAlign w:val="bottom"/>
            <w:hideMark/>
          </w:tcPr>
          <w:p w14:paraId="3147EF25"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-0.051</w:t>
            </w:r>
          </w:p>
        </w:tc>
        <w:tc>
          <w:tcPr>
            <w:tcW w:w="1047" w:type="pct"/>
            <w:tcBorders>
              <w:top w:val="single" w:sz="4" w:space="0" w:color="auto"/>
              <w:left w:val="nil"/>
              <w:bottom w:val="nil"/>
              <w:right w:val="nil"/>
            </w:tcBorders>
            <w:shd w:val="clear" w:color="000000" w:fill="F2F2F2"/>
            <w:noWrap/>
            <w:vAlign w:val="bottom"/>
            <w:hideMark/>
          </w:tcPr>
          <w:p w14:paraId="2FAE1A3C"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-0.090</w:t>
            </w:r>
          </w:p>
        </w:tc>
        <w:tc>
          <w:tcPr>
            <w:tcW w:w="1045" w:type="pct"/>
            <w:tcBorders>
              <w:top w:val="single" w:sz="4" w:space="0" w:color="auto"/>
              <w:left w:val="nil"/>
              <w:bottom w:val="nil"/>
              <w:right w:val="nil"/>
            </w:tcBorders>
            <w:shd w:val="clear" w:color="000000" w:fill="F2F2F2"/>
            <w:noWrap/>
            <w:vAlign w:val="bottom"/>
            <w:hideMark/>
          </w:tcPr>
          <w:p w14:paraId="453147B0"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-0.022</w:t>
            </w:r>
          </w:p>
        </w:tc>
        <w:tc>
          <w:tcPr>
            <w:tcW w:w="1013" w:type="pct"/>
            <w:tcBorders>
              <w:top w:val="single" w:sz="4" w:space="0" w:color="auto"/>
              <w:left w:val="nil"/>
              <w:bottom w:val="nil"/>
              <w:right w:val="nil"/>
            </w:tcBorders>
            <w:shd w:val="clear" w:color="000000" w:fill="F2F2F2"/>
            <w:noWrap/>
            <w:vAlign w:val="bottom"/>
            <w:hideMark/>
          </w:tcPr>
          <w:p w14:paraId="0E980741"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-0.285</w:t>
            </w:r>
          </w:p>
        </w:tc>
      </w:tr>
      <w:tr w:rsidR="00F76B72" w:rsidRPr="00EA14EA" w14:paraId="72A8F3ED" w14:textId="77777777" w:rsidTr="00F76B72">
        <w:trPr>
          <w:trHeight w:val="300"/>
        </w:trPr>
        <w:tc>
          <w:tcPr>
            <w:tcW w:w="879" w:type="pct"/>
            <w:tcBorders>
              <w:top w:val="nil"/>
              <w:left w:val="nil"/>
              <w:bottom w:val="single" w:sz="4" w:space="0" w:color="auto"/>
              <w:right w:val="nil"/>
            </w:tcBorders>
            <w:shd w:val="clear" w:color="000000" w:fill="F2F2F2"/>
            <w:noWrap/>
            <w:vAlign w:val="bottom"/>
            <w:hideMark/>
          </w:tcPr>
          <w:p w14:paraId="3143DE83" w14:textId="77777777" w:rsidR="00F76B72" w:rsidRPr="00EA14EA" w:rsidRDefault="00F76B72" w:rsidP="00F76B72">
            <w:pPr>
              <w:keepNext/>
              <w:spacing w:after="0" w:line="240" w:lineRule="auto"/>
              <w:rPr>
                <w:rFonts w:eastAsia="Times New Roman"/>
                <w:color w:val="000000"/>
              </w:rPr>
            </w:pPr>
            <w:r w:rsidRPr="00EA14EA">
              <w:rPr>
                <w:rFonts w:eastAsia="Times New Roman"/>
                <w:color w:val="000000"/>
              </w:rPr>
              <w:t> </w:t>
            </w:r>
          </w:p>
        </w:tc>
        <w:tc>
          <w:tcPr>
            <w:tcW w:w="1016" w:type="pct"/>
            <w:tcBorders>
              <w:top w:val="nil"/>
              <w:left w:val="nil"/>
              <w:bottom w:val="single" w:sz="4" w:space="0" w:color="auto"/>
              <w:right w:val="nil"/>
            </w:tcBorders>
            <w:shd w:val="clear" w:color="000000" w:fill="F2F2F2"/>
            <w:noWrap/>
            <w:vAlign w:val="bottom"/>
            <w:hideMark/>
          </w:tcPr>
          <w:p w14:paraId="13BC2255"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(0.248)</w:t>
            </w:r>
          </w:p>
        </w:tc>
        <w:tc>
          <w:tcPr>
            <w:tcW w:w="1047" w:type="pct"/>
            <w:tcBorders>
              <w:top w:val="nil"/>
              <w:left w:val="nil"/>
              <w:bottom w:val="single" w:sz="4" w:space="0" w:color="auto"/>
              <w:right w:val="nil"/>
            </w:tcBorders>
            <w:shd w:val="clear" w:color="000000" w:fill="F2F2F2"/>
            <w:noWrap/>
            <w:vAlign w:val="bottom"/>
            <w:hideMark/>
          </w:tcPr>
          <w:p w14:paraId="337DC915"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(0.214)</w:t>
            </w:r>
          </w:p>
        </w:tc>
        <w:tc>
          <w:tcPr>
            <w:tcW w:w="1045" w:type="pct"/>
            <w:tcBorders>
              <w:top w:val="nil"/>
              <w:left w:val="nil"/>
              <w:bottom w:val="single" w:sz="4" w:space="0" w:color="auto"/>
              <w:right w:val="nil"/>
            </w:tcBorders>
            <w:shd w:val="clear" w:color="000000" w:fill="F2F2F2"/>
            <w:noWrap/>
            <w:vAlign w:val="bottom"/>
            <w:hideMark/>
          </w:tcPr>
          <w:p w14:paraId="7B97F8ED"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(0.233)</w:t>
            </w:r>
          </w:p>
        </w:tc>
        <w:tc>
          <w:tcPr>
            <w:tcW w:w="1013" w:type="pct"/>
            <w:tcBorders>
              <w:top w:val="nil"/>
              <w:left w:val="nil"/>
              <w:bottom w:val="single" w:sz="4" w:space="0" w:color="auto"/>
              <w:right w:val="nil"/>
            </w:tcBorders>
            <w:shd w:val="clear" w:color="000000" w:fill="F2F2F2"/>
            <w:noWrap/>
            <w:vAlign w:val="bottom"/>
            <w:hideMark/>
          </w:tcPr>
          <w:p w14:paraId="1035952F" w14:textId="77777777" w:rsidR="00F76B72" w:rsidRPr="00EA14EA" w:rsidRDefault="00F76B72" w:rsidP="00E46770">
            <w:pPr>
              <w:keepNext/>
              <w:spacing w:after="0" w:line="240" w:lineRule="auto"/>
              <w:jc w:val="center"/>
              <w:rPr>
                <w:rFonts w:eastAsia="Times New Roman"/>
                <w:color w:val="000000"/>
              </w:rPr>
            </w:pPr>
            <w:r w:rsidRPr="00EA14EA">
              <w:rPr>
                <w:rFonts w:eastAsia="Times New Roman"/>
                <w:color w:val="000000"/>
              </w:rPr>
              <w:t>(0.251)</w:t>
            </w:r>
          </w:p>
        </w:tc>
      </w:tr>
      <w:tr w:rsidR="00F76B72" w:rsidRPr="00EA14EA" w14:paraId="3F7AADFE" w14:textId="77777777" w:rsidTr="00F76B72">
        <w:trPr>
          <w:trHeight w:val="300"/>
        </w:trPr>
        <w:tc>
          <w:tcPr>
            <w:tcW w:w="5000" w:type="pct"/>
            <w:gridSpan w:val="5"/>
            <w:tcBorders>
              <w:top w:val="single" w:sz="4" w:space="0" w:color="auto"/>
              <w:left w:val="nil"/>
              <w:bottom w:val="nil"/>
              <w:right w:val="nil"/>
            </w:tcBorders>
            <w:shd w:val="clear" w:color="000000" w:fill="F2F2F2"/>
            <w:noWrap/>
            <w:hideMark/>
          </w:tcPr>
          <w:p w14:paraId="56A2D2B8" w14:textId="77777777" w:rsidR="00F76B72" w:rsidRPr="00EA14EA" w:rsidRDefault="00F76B72" w:rsidP="00F76B72">
            <w:pPr>
              <w:keepNext/>
              <w:spacing w:after="0" w:line="240" w:lineRule="auto"/>
              <w:rPr>
                <w:rFonts w:eastAsia="Times New Roman"/>
                <w:color w:val="000000"/>
                <w:sz w:val="18"/>
                <w:szCs w:val="18"/>
              </w:rPr>
            </w:pPr>
            <w:r>
              <w:rPr>
                <w:rFonts w:eastAsia="Times New Roman"/>
                <w:color w:val="000000"/>
                <w:sz w:val="18"/>
                <w:szCs w:val="18"/>
              </w:rPr>
              <w:t xml:space="preserve">Only the quasi-treatment coefficient on Kroon Hall is reported while age and gender coefficients are included in the estimation as </w:t>
            </w:r>
            <w:r w:rsidR="001C191D">
              <w:rPr>
                <w:rFonts w:eastAsia="Times New Roman"/>
                <w:color w:val="000000"/>
                <w:sz w:val="18"/>
                <w:szCs w:val="18"/>
              </w:rPr>
              <w:t>with</w:t>
            </w:r>
            <w:r>
              <w:rPr>
                <w:rFonts w:eastAsia="Times New Roman"/>
                <w:color w:val="000000"/>
                <w:sz w:val="18"/>
                <w:szCs w:val="18"/>
              </w:rPr>
              <w:t xml:space="preserve"> the primary results in Table 2.  </w:t>
            </w:r>
            <w:r w:rsidRPr="00EA14EA">
              <w:rPr>
                <w:rFonts w:eastAsia="Times New Roman"/>
                <w:color w:val="000000"/>
                <w:sz w:val="18"/>
                <w:szCs w:val="18"/>
              </w:rPr>
              <w:t>Standard errors in parentheses: *** p&lt;0.01, ** p&lt;0.05, * p&lt;0.1</w:t>
            </w:r>
          </w:p>
        </w:tc>
      </w:tr>
    </w:tbl>
    <w:p w14:paraId="6071B83F" w14:textId="7788AA35" w:rsidR="00F76B72" w:rsidRDefault="00F76B72" w:rsidP="0052424D">
      <w:pPr>
        <w:spacing w:before="240" w:line="360" w:lineRule="auto"/>
      </w:pPr>
      <w:r>
        <w:t xml:space="preserve">This </w:t>
      </w:r>
      <w:r w:rsidR="006055E8">
        <w:t>study</w:t>
      </w:r>
      <w:r>
        <w:t xml:space="preserve"> now analyzes</w:t>
      </w:r>
      <w:r w:rsidRPr="00991596">
        <w:t xml:space="preserve"> how respondents adjust </w:t>
      </w:r>
      <w:r>
        <w:t>the building atmosphere</w:t>
      </w:r>
      <w:r w:rsidRPr="00991596">
        <w:t xml:space="preserve"> when it doesn’t fit </w:t>
      </w:r>
      <w:r>
        <w:t>preferences</w:t>
      </w:r>
      <w:r w:rsidRPr="00991596">
        <w:t>.  This question is</w:t>
      </w:r>
      <w:r>
        <w:t xml:space="preserve"> clearly</w:t>
      </w:r>
      <w:r w:rsidRPr="00991596">
        <w:t xml:space="preserve"> important in the context of running </w:t>
      </w:r>
      <w:r>
        <w:t>a building efficiently.  I</w:t>
      </w:r>
      <w:r w:rsidRPr="00991596">
        <w:t xml:space="preserve">f a significant </w:t>
      </w:r>
      <w:r>
        <w:t>share of residents</w:t>
      </w:r>
      <w:r w:rsidRPr="00991596">
        <w:t xml:space="preserve"> behav</w:t>
      </w:r>
      <w:r>
        <w:t>e in ways c</w:t>
      </w:r>
      <w:r w:rsidRPr="00991596">
        <w:t xml:space="preserve">ounter </w:t>
      </w:r>
      <w:r>
        <w:t xml:space="preserve">to </w:t>
      </w:r>
      <w:r w:rsidRPr="00991596">
        <w:t xml:space="preserve">efficient operation, it may require a different set of operating parameters </w:t>
      </w:r>
      <w:r w:rsidR="001C191D">
        <w:t>such that</w:t>
      </w:r>
      <w:r w:rsidRPr="00991596">
        <w:t xml:space="preserve"> marginal savings from reduc</w:t>
      </w:r>
      <w:r>
        <w:t>ing</w:t>
      </w:r>
      <w:r w:rsidRPr="00991596">
        <w:t xml:space="preserve"> </w:t>
      </w:r>
      <w:r w:rsidR="001C191D">
        <w:t>counter-efficient behavior meet</w:t>
      </w:r>
      <w:r w:rsidRPr="00991596">
        <w:t xml:space="preserve"> </w:t>
      </w:r>
      <w:r w:rsidR="001C191D">
        <w:t>any corresponding</w:t>
      </w:r>
      <w:r w:rsidRPr="00991596">
        <w:t xml:space="preserve"> increase in marginal costs from operating the building.  In </w:t>
      </w:r>
      <w:r>
        <w:t>other words</w:t>
      </w:r>
      <w:r w:rsidRPr="00991596">
        <w:t xml:space="preserve">, </w:t>
      </w:r>
      <w:r w:rsidR="006055E8">
        <w:t>it may be worthwhile to</w:t>
      </w:r>
      <w:r w:rsidRPr="00991596">
        <w:t xml:space="preserve"> increas</w:t>
      </w:r>
      <w:r w:rsidR="006055E8">
        <w:t>e</w:t>
      </w:r>
      <w:r w:rsidRPr="00991596">
        <w:t xml:space="preserve"> the building’s temperature such that </w:t>
      </w:r>
      <w:r w:rsidR="0014384D">
        <w:t>fewer</w:t>
      </w:r>
      <w:r w:rsidR="0014384D" w:rsidRPr="00991596">
        <w:t xml:space="preserve"> </w:t>
      </w:r>
      <w:r w:rsidRPr="00991596">
        <w:t>portable heaters ar</w:t>
      </w:r>
      <w:r>
        <w:t>e brought in during the winter</w:t>
      </w:r>
      <w:r w:rsidRPr="00991596">
        <w:t xml:space="preserve">.  </w:t>
      </w:r>
      <w:r>
        <w:t>Table 3</w:t>
      </w:r>
      <w:r w:rsidRPr="00991596">
        <w:t xml:space="preserve"> </w:t>
      </w:r>
      <w:r w:rsidR="006055E8">
        <w:t>presents</w:t>
      </w:r>
      <w:r w:rsidRPr="00991596">
        <w:t xml:space="preserve"> the results from a set of probit regressions </w:t>
      </w:r>
      <w:r>
        <w:t>where</w:t>
      </w:r>
      <w:r w:rsidRPr="00991596">
        <w:t xml:space="preserve"> the dependent</w:t>
      </w:r>
      <w:r>
        <w:t xml:space="preserve"> variable is </w:t>
      </w:r>
      <w:r w:rsidR="006055E8">
        <w:t>equal to</w:t>
      </w:r>
      <w:r>
        <w:t xml:space="preserve"> one</w:t>
      </w:r>
      <w:r w:rsidRPr="00991596">
        <w:t xml:space="preserve"> </w:t>
      </w:r>
      <w:r w:rsidR="006055E8">
        <w:t>if</w:t>
      </w:r>
      <w:r w:rsidRPr="00991596">
        <w:t xml:space="preserve"> the adaptive behavior is indicated.  Column </w:t>
      </w:r>
      <w:r>
        <w:t>(7</w:t>
      </w:r>
      <w:r w:rsidRPr="00991596">
        <w:t>)</w:t>
      </w:r>
      <w:r>
        <w:t xml:space="preserve"> on operating a portable heater</w:t>
      </w:r>
      <w:r w:rsidRPr="00991596">
        <w:t xml:space="preserve"> may be of greatest concern from an energy saving perspective.  </w:t>
      </w:r>
      <w:r>
        <w:t>The survey finds that</w:t>
      </w:r>
      <w:r w:rsidRPr="00991596">
        <w:t xml:space="preserve"> across F&amp;ES facilities, </w:t>
      </w:r>
      <w:r>
        <w:t xml:space="preserve">more than one in ten users brings in a space heater.  However, this is highly concentrated in the office group of </w:t>
      </w:r>
      <w:r w:rsidRPr="00991596">
        <w:t>faculty, staff, and researchers</w:t>
      </w:r>
      <w:r w:rsidR="006055E8">
        <w:t xml:space="preserve"> as nearly one-</w:t>
      </w:r>
      <w:r>
        <w:t>quarter admit to bringing a heater in</w:t>
      </w:r>
      <w:r w:rsidR="006055E8">
        <w:t>to</w:t>
      </w:r>
      <w:r>
        <w:t xml:space="preserve"> </w:t>
      </w:r>
      <w:r w:rsidR="006055E8">
        <w:t>the</w:t>
      </w:r>
      <w:r>
        <w:t xml:space="preserve"> office.  The analysis finds, however, that the </w:t>
      </w:r>
      <w:r w:rsidRPr="00991596">
        <w:t xml:space="preserve">Kroon Hall faculty are no different from </w:t>
      </w:r>
      <w:r>
        <w:t xml:space="preserve">counterparts </w:t>
      </w:r>
      <w:r w:rsidRPr="00991596">
        <w:t>residing in other F&amp;ES spaces</w:t>
      </w:r>
      <w:r>
        <w:t xml:space="preserve"> in this regard.  In fact only</w:t>
      </w:r>
      <w:r w:rsidRPr="00991596">
        <w:t xml:space="preserve"> </w:t>
      </w:r>
      <w:r>
        <w:t>a</w:t>
      </w:r>
      <w:r w:rsidRPr="00991596">
        <w:t xml:space="preserve">djusting thermostats and air vents </w:t>
      </w:r>
      <w:r>
        <w:t xml:space="preserve">are statistically different for Kroon Hall office users and these can be explained by building design.  Kroon Hall thermostats differ from most structures in that they allow the user to only slightly modify the temperature rather than </w:t>
      </w:r>
      <w:r w:rsidR="006055E8">
        <w:t xml:space="preserve">granting </w:t>
      </w:r>
      <w:r>
        <w:t>full control.  In contrast, Kroon Hall has far more vents</w:t>
      </w:r>
      <w:r w:rsidR="006055E8">
        <w:t xml:space="preserve"> to adjust than most buildings-</w:t>
      </w:r>
      <w:r>
        <w:t xml:space="preserve"> several hun</w:t>
      </w:r>
      <w:r w:rsidR="006055E8">
        <w:t>dred dispersed across the floor</w:t>
      </w:r>
      <w:r w:rsidRPr="00991596">
        <w:t xml:space="preserve">.  </w:t>
      </w:r>
    </w:p>
    <w:p w14:paraId="05B633F7" w14:textId="24AD4877" w:rsidR="00F76B72" w:rsidRDefault="00F76B72" w:rsidP="00AE22A9">
      <w:pPr>
        <w:spacing w:line="360" w:lineRule="auto"/>
      </w:pPr>
      <w:r w:rsidRPr="00991596">
        <w:t xml:space="preserve">A qualitative analysis of the text submitted </w:t>
      </w:r>
      <w:r>
        <w:t>in conjunction with</w:t>
      </w:r>
      <w:r w:rsidRPr="00991596">
        <w:t xml:space="preserve"> the Other category </w:t>
      </w:r>
      <w:r>
        <w:t xml:space="preserve">(10) </w:t>
      </w:r>
      <w:r w:rsidRPr="00991596">
        <w:t xml:space="preserve">also </w:t>
      </w:r>
      <w:r w:rsidR="006055E8">
        <w:t>suggests</w:t>
      </w:r>
      <w:r w:rsidRPr="00991596">
        <w:t xml:space="preserve"> </w:t>
      </w:r>
      <w:r>
        <w:t>general</w:t>
      </w:r>
      <w:r w:rsidR="006055E8">
        <w:t xml:space="preserve"> building atmosphere mismatches.  This is</w:t>
      </w:r>
      <w:r>
        <w:t xml:space="preserve"> not specific</w:t>
      </w:r>
      <w:r w:rsidR="006055E8">
        <w:t xml:space="preserve"> to</w:t>
      </w:r>
      <w:r>
        <w:t xml:space="preserve"> Kroon Hall but for office users in general</w:t>
      </w:r>
      <w:r w:rsidR="006055E8">
        <w:t xml:space="preserve">.  The majority of </w:t>
      </w:r>
      <w:r w:rsidRPr="00991596">
        <w:t>responses discuss strategies to compensate for excessively hot temperatures, either from weather in the summer or from</w:t>
      </w:r>
      <w:r>
        <w:t xml:space="preserve"> building system</w:t>
      </w:r>
      <w:r w:rsidR="00AE22A9">
        <w:t>s</w:t>
      </w:r>
      <w:r w:rsidRPr="00991596">
        <w:t xml:space="preserve">.  These are as extreme as leaving on hot </w:t>
      </w:r>
      <w:r w:rsidRPr="00991596">
        <w:lastRenderedPageBreak/>
        <w:t>summer days</w:t>
      </w:r>
      <w:r w:rsidR="00AE22A9">
        <w:t>,</w:t>
      </w:r>
      <w:r>
        <w:t xml:space="preserve"> reducing productivity,</w:t>
      </w:r>
      <w:r w:rsidRPr="00991596">
        <w:t xml:space="preserve"> and turning on window air conditioners in the winter to offset the building heating system</w:t>
      </w:r>
      <w:r w:rsidR="00AE22A9">
        <w:t>,</w:t>
      </w:r>
      <w:r>
        <w:t xml:space="preserve"> a surprising waste</w:t>
      </w:r>
      <w:r w:rsidRPr="00991596">
        <w:t xml:space="preserve">.  </w:t>
      </w:r>
      <w:r>
        <w:t>O</w:t>
      </w:r>
      <w:r w:rsidRPr="00991596">
        <w:t>bviously</w:t>
      </w:r>
      <w:r>
        <w:t>, this is</w:t>
      </w:r>
      <w:r w:rsidRPr="00991596">
        <w:t xml:space="preserve"> an extremely inefficient method</w:t>
      </w:r>
      <w:r>
        <w:t xml:space="preserve"> to compensate</w:t>
      </w:r>
      <w:r w:rsidR="006055E8">
        <w:t xml:space="preserve"> from a building operation</w:t>
      </w:r>
      <w:r w:rsidRPr="00991596">
        <w:t xml:space="preserve"> s</w:t>
      </w:r>
      <w:r>
        <w:t>tandpoint.  It is also likely not</w:t>
      </w:r>
      <w:r w:rsidRPr="00991596">
        <w:t xml:space="preserve"> preferred </w:t>
      </w:r>
      <w:r>
        <w:t>by the respondent</w:t>
      </w:r>
      <w:r w:rsidRPr="00991596">
        <w:t xml:space="preserve">.  </w:t>
      </w:r>
      <w:r>
        <w:t>A</w:t>
      </w:r>
      <w:r w:rsidRPr="00991596">
        <w:t xml:space="preserve"> subcategory</w:t>
      </w:r>
      <w:r w:rsidR="006055E8">
        <w:t>,</w:t>
      </w:r>
      <w:r w:rsidRPr="00991596">
        <w:t xml:space="preserve"> </w:t>
      </w:r>
      <w:r w:rsidR="006055E8">
        <w:t>Do n</w:t>
      </w:r>
      <w:r w:rsidRPr="006055E8">
        <w:t>othing</w:t>
      </w:r>
      <w:r w:rsidR="006055E8">
        <w:t xml:space="preserve"> (9)</w:t>
      </w:r>
      <w:r w:rsidRPr="00340907">
        <w:rPr>
          <w:i/>
        </w:rPr>
        <w:t xml:space="preserve"> </w:t>
      </w:r>
      <w:r w:rsidR="006055E8">
        <w:t>is</w:t>
      </w:r>
      <w:r>
        <w:t xml:space="preserve"> also offered in the survey </w:t>
      </w:r>
      <w:r w:rsidRPr="00991596">
        <w:t xml:space="preserve">but </w:t>
      </w:r>
      <w:r>
        <w:t xml:space="preserve">only 16 respondents </w:t>
      </w:r>
      <w:r w:rsidRPr="00991596">
        <w:t xml:space="preserve">indicated this.  </w:t>
      </w:r>
      <w:r w:rsidR="006055E8">
        <w:t>As such,</w:t>
      </w:r>
      <w:r w:rsidRPr="00991596">
        <w:t xml:space="preserve"> nearly every user attempts to adjust F&amp;ES building climates</w:t>
      </w:r>
      <w:r>
        <w:t xml:space="preserve"> in at least some way</w:t>
      </w:r>
      <w:r w:rsidRPr="00991596">
        <w:t xml:space="preserve">.  </w:t>
      </w:r>
      <w:r>
        <w:t>Finally, Table 3 includes a row reporting the percent of respondents who reply yes to the adaptive behavior</w:t>
      </w:r>
      <w:r w:rsidRPr="00991596">
        <w:t>.</w:t>
      </w:r>
      <w:r>
        <w:t xml:space="preserve">  Despite</w:t>
      </w:r>
      <w:r w:rsidR="00AE22A9">
        <w:t xml:space="preserve"> the </w:t>
      </w:r>
      <w:r>
        <w:t xml:space="preserve">discussion of costly adaptation strategies, it is reassuring to note a far larger share of respondents adapt by less costly means for the building operator.  The largest </w:t>
      </w:r>
      <w:r w:rsidR="006055E8">
        <w:t xml:space="preserve">adaptation </w:t>
      </w:r>
      <w:r>
        <w:t>share is found in adjusting clothing which</w:t>
      </w:r>
      <w:r w:rsidR="006055E8">
        <w:t xml:space="preserve"> likely</w:t>
      </w:r>
      <w:r>
        <w:t xml:space="preserve"> has no </w:t>
      </w:r>
      <w:r w:rsidR="00AE22A9">
        <w:t xml:space="preserve">negative </w:t>
      </w:r>
      <w:r>
        <w:t xml:space="preserve">impact on building energy usage. </w:t>
      </w:r>
    </w:p>
    <w:p w14:paraId="39F42D7F" w14:textId="77777777" w:rsidR="00F76B72" w:rsidRPr="005B7536" w:rsidRDefault="00F76B72" w:rsidP="00F76B72">
      <w:pPr>
        <w:spacing w:after="120" w:line="240" w:lineRule="auto"/>
        <w:rPr>
          <w:b/>
        </w:rPr>
      </w:pPr>
      <w:r w:rsidRPr="00991596">
        <w:br w:type="page"/>
      </w:r>
      <w:r w:rsidRPr="00AB0CA7">
        <w:rPr>
          <w:noProof/>
        </w:rPr>
        <w:lastRenderedPageBreak/>
        <w:drawing>
          <wp:inline distT="0" distB="0" distL="0" distR="0" wp14:anchorId="0518D428" wp14:editId="248FB1E3">
            <wp:extent cx="8229600" cy="3736335"/>
            <wp:effectExtent l="0" t="953"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29600" cy="3736335"/>
                    </a:xfrm>
                    <a:prstGeom prst="rect">
                      <a:avLst/>
                    </a:prstGeom>
                    <a:noFill/>
                    <a:ln>
                      <a:noFill/>
                    </a:ln>
                  </pic:spPr>
                </pic:pic>
              </a:graphicData>
            </a:graphic>
          </wp:inline>
        </w:drawing>
      </w:r>
    </w:p>
    <w:p w14:paraId="0BBB47DF" w14:textId="1CD598B6" w:rsidR="00F76B72" w:rsidRDefault="00F76B72" w:rsidP="0052424D">
      <w:pPr>
        <w:widowControl w:val="0"/>
        <w:autoSpaceDE w:val="0"/>
        <w:autoSpaceDN w:val="0"/>
        <w:adjustRightInd w:val="0"/>
        <w:spacing w:line="360" w:lineRule="auto"/>
      </w:pPr>
      <w:r>
        <w:lastRenderedPageBreak/>
        <w:t>A</w:t>
      </w:r>
      <w:r w:rsidRPr="00991596">
        <w:t>nother perspective on adaptive behaviors</w:t>
      </w:r>
      <w:r>
        <w:t xml:space="preserve"> is offered in Table 4</w:t>
      </w:r>
      <w:r w:rsidRPr="00991596">
        <w:t xml:space="preserve">.  Here the dependent variable is a count of </w:t>
      </w:r>
      <w:r>
        <w:t xml:space="preserve">the </w:t>
      </w:r>
      <w:r w:rsidRPr="00991596">
        <w:t>adaptiv</w:t>
      </w:r>
      <w:r>
        <w:t>e behavior categories from Table 3.  This implicitly assumes</w:t>
      </w:r>
      <w:r w:rsidRPr="00991596">
        <w:t xml:space="preserve"> equal importance</w:t>
      </w:r>
      <w:r>
        <w:t xml:space="preserve"> </w:t>
      </w:r>
      <w:r w:rsidR="00C56734">
        <w:t xml:space="preserve">which is not accurate from an energy usage </w:t>
      </w:r>
      <w:r w:rsidRPr="00991596">
        <w:t>perspective.</w:t>
      </w:r>
      <w:r>
        <w:t xml:space="preserve">  The advantage is to account for the number of potential adaptive behaviors engaged in by a representative individual.</w:t>
      </w:r>
      <w:r w:rsidRPr="00991596">
        <w:t xml:space="preserve">  The model from equation (2) is</w:t>
      </w:r>
      <w:r>
        <w:t xml:space="preserve"> </w:t>
      </w:r>
      <w:r w:rsidRPr="00991596">
        <w:t xml:space="preserve">estimated with a negative binomial regression </w:t>
      </w:r>
      <w:r>
        <w:t>as</w:t>
      </w:r>
      <w:r w:rsidRPr="00991596">
        <w:t xml:space="preserve"> appropriate for survey non-ordinal, count dependent variables.  Note again the significance of </w:t>
      </w:r>
      <w:r w:rsidRPr="001934F8">
        <w:rPr>
          <w:i/>
        </w:rPr>
        <w:t xml:space="preserve">Office </w:t>
      </w:r>
      <w:r w:rsidRPr="00991596">
        <w:t xml:space="preserve">and </w:t>
      </w:r>
      <w:r w:rsidRPr="001934F8">
        <w:rPr>
          <w:i/>
        </w:rPr>
        <w:t>Female</w:t>
      </w:r>
      <w:r>
        <w:t xml:space="preserve"> but</w:t>
      </w:r>
      <w:r w:rsidRPr="00991596">
        <w:t xml:space="preserve"> not </w:t>
      </w:r>
      <w:r w:rsidRPr="001934F8">
        <w:rPr>
          <w:i/>
        </w:rPr>
        <w:t>Kroon</w:t>
      </w:r>
      <w:r>
        <w:rPr>
          <w:i/>
        </w:rPr>
        <w:t xml:space="preserve"> Hall</w:t>
      </w:r>
      <w:r w:rsidRPr="00991596">
        <w:t xml:space="preserve"> or </w:t>
      </w:r>
      <w:r>
        <w:t xml:space="preserve">interaction term </w:t>
      </w:r>
      <w:r w:rsidRPr="001934F8">
        <w:rPr>
          <w:i/>
        </w:rPr>
        <w:t>Kroon*Office</w:t>
      </w:r>
      <w:r w:rsidRPr="00991596">
        <w:t xml:space="preserve">.  Both office </w:t>
      </w:r>
      <w:r>
        <w:t>users</w:t>
      </w:r>
      <w:r w:rsidR="00C56734">
        <w:t xml:space="preserve"> in general</w:t>
      </w:r>
      <w:r w:rsidRPr="00991596">
        <w:t xml:space="preserve"> and </w:t>
      </w:r>
      <w:r>
        <w:t>women</w:t>
      </w:r>
      <w:r w:rsidRPr="00991596">
        <w:t xml:space="preserve"> are more likely to engage in a greater variety of</w:t>
      </w:r>
      <w:r>
        <w:t xml:space="preserve"> adaptive</w:t>
      </w:r>
      <w:r w:rsidRPr="00991596">
        <w:t xml:space="preserve"> behaviors</w:t>
      </w:r>
      <w:r>
        <w:t>.</w:t>
      </w:r>
      <w:r w:rsidR="00C56734">
        <w:t xml:space="preserve">  The results are also presented as incidence-rate ratios.  This is an alternative method to display results rather than separate estimation.</w:t>
      </w:r>
    </w:p>
    <w:tbl>
      <w:tblPr>
        <w:tblW w:w="6300" w:type="dxa"/>
        <w:tblLook w:val="04A0" w:firstRow="1" w:lastRow="0" w:firstColumn="1" w:lastColumn="0" w:noHBand="0" w:noVBand="1"/>
      </w:tblPr>
      <w:tblGrid>
        <w:gridCol w:w="3690"/>
        <w:gridCol w:w="1260"/>
        <w:gridCol w:w="1350"/>
      </w:tblGrid>
      <w:tr w:rsidR="00F76B72" w:rsidRPr="00683089" w14:paraId="48C6CFAE" w14:textId="77777777" w:rsidTr="00F76B72">
        <w:trPr>
          <w:trHeight w:val="300"/>
        </w:trPr>
        <w:tc>
          <w:tcPr>
            <w:tcW w:w="6300" w:type="dxa"/>
            <w:gridSpan w:val="3"/>
            <w:tcBorders>
              <w:top w:val="nil"/>
              <w:left w:val="nil"/>
              <w:bottom w:val="nil"/>
              <w:right w:val="nil"/>
            </w:tcBorders>
            <w:shd w:val="clear" w:color="000000" w:fill="D0CECE"/>
            <w:noWrap/>
            <w:hideMark/>
          </w:tcPr>
          <w:p w14:paraId="2AC0FD6C" w14:textId="77777777" w:rsidR="00F76B72" w:rsidRPr="00683089" w:rsidRDefault="00F76B72" w:rsidP="00F76B72">
            <w:pPr>
              <w:spacing w:after="0" w:line="240" w:lineRule="auto"/>
              <w:rPr>
                <w:rFonts w:eastAsia="Times New Roman"/>
                <w:b/>
                <w:bCs/>
                <w:color w:val="000000"/>
              </w:rPr>
            </w:pPr>
            <w:r w:rsidRPr="00683089">
              <w:rPr>
                <w:rFonts w:eastAsia="Times New Roman"/>
                <w:b/>
                <w:bCs/>
                <w:color w:val="000000"/>
              </w:rPr>
              <w:t xml:space="preserve">Table </w:t>
            </w:r>
            <w:r>
              <w:rPr>
                <w:rFonts w:eastAsia="Times New Roman"/>
                <w:b/>
                <w:bCs/>
                <w:color w:val="000000"/>
              </w:rPr>
              <w:t>4</w:t>
            </w:r>
            <w:r w:rsidRPr="00683089">
              <w:rPr>
                <w:rFonts w:eastAsia="Times New Roman"/>
                <w:b/>
                <w:bCs/>
                <w:color w:val="000000"/>
              </w:rPr>
              <w:t xml:space="preserve"> | Count of adaptive behavior</w:t>
            </w:r>
          </w:p>
        </w:tc>
      </w:tr>
      <w:tr w:rsidR="00F76B72" w:rsidRPr="00683089" w14:paraId="47A36ED7" w14:textId="77777777" w:rsidTr="00F76B72">
        <w:trPr>
          <w:trHeight w:val="300"/>
        </w:trPr>
        <w:tc>
          <w:tcPr>
            <w:tcW w:w="3690" w:type="dxa"/>
            <w:tcBorders>
              <w:top w:val="single" w:sz="4" w:space="0" w:color="auto"/>
              <w:left w:val="nil"/>
              <w:bottom w:val="single" w:sz="4" w:space="0" w:color="auto"/>
              <w:right w:val="nil"/>
            </w:tcBorders>
            <w:shd w:val="clear" w:color="000000" w:fill="F2F2F2"/>
            <w:vAlign w:val="center"/>
            <w:hideMark/>
          </w:tcPr>
          <w:p w14:paraId="0E1A2FF0"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Variable</w:t>
            </w:r>
          </w:p>
        </w:tc>
        <w:tc>
          <w:tcPr>
            <w:tcW w:w="1260" w:type="dxa"/>
            <w:tcBorders>
              <w:top w:val="single" w:sz="4" w:space="0" w:color="auto"/>
              <w:left w:val="nil"/>
              <w:bottom w:val="single" w:sz="4" w:space="0" w:color="auto"/>
              <w:right w:val="nil"/>
            </w:tcBorders>
            <w:shd w:val="clear" w:color="000000" w:fill="F2F2F2"/>
            <w:vAlign w:val="center"/>
            <w:hideMark/>
          </w:tcPr>
          <w:p w14:paraId="1DADC8FB"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nbreg</w:t>
            </w:r>
          </w:p>
        </w:tc>
        <w:tc>
          <w:tcPr>
            <w:tcW w:w="1350" w:type="dxa"/>
            <w:tcBorders>
              <w:top w:val="single" w:sz="4" w:space="0" w:color="auto"/>
              <w:left w:val="nil"/>
              <w:bottom w:val="single" w:sz="4" w:space="0" w:color="auto"/>
              <w:right w:val="nil"/>
            </w:tcBorders>
            <w:shd w:val="clear" w:color="000000" w:fill="F2F2F2"/>
            <w:vAlign w:val="center"/>
            <w:hideMark/>
          </w:tcPr>
          <w:p w14:paraId="2F0400E7"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IRR</w:t>
            </w:r>
          </w:p>
        </w:tc>
      </w:tr>
      <w:tr w:rsidR="00F76B72" w:rsidRPr="00683089" w14:paraId="5674052B" w14:textId="77777777" w:rsidTr="00F76B72">
        <w:trPr>
          <w:trHeight w:val="300"/>
        </w:trPr>
        <w:tc>
          <w:tcPr>
            <w:tcW w:w="3690" w:type="dxa"/>
            <w:tcBorders>
              <w:top w:val="nil"/>
              <w:left w:val="nil"/>
              <w:bottom w:val="nil"/>
              <w:right w:val="nil"/>
            </w:tcBorders>
            <w:shd w:val="clear" w:color="000000" w:fill="F2F2F2"/>
            <w:vAlign w:val="center"/>
            <w:hideMark/>
          </w:tcPr>
          <w:p w14:paraId="63E00E89"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Kroon Hall</w:t>
            </w:r>
          </w:p>
        </w:tc>
        <w:tc>
          <w:tcPr>
            <w:tcW w:w="1260" w:type="dxa"/>
            <w:tcBorders>
              <w:top w:val="nil"/>
              <w:left w:val="nil"/>
              <w:bottom w:val="nil"/>
              <w:right w:val="nil"/>
            </w:tcBorders>
            <w:shd w:val="clear" w:color="000000" w:fill="F2F2F2"/>
            <w:vAlign w:val="center"/>
            <w:hideMark/>
          </w:tcPr>
          <w:p w14:paraId="259A9535"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-0.127</w:t>
            </w:r>
          </w:p>
        </w:tc>
        <w:tc>
          <w:tcPr>
            <w:tcW w:w="1350" w:type="dxa"/>
            <w:tcBorders>
              <w:top w:val="nil"/>
              <w:left w:val="nil"/>
              <w:bottom w:val="nil"/>
              <w:right w:val="nil"/>
            </w:tcBorders>
            <w:shd w:val="clear" w:color="000000" w:fill="F2F2F2"/>
            <w:vAlign w:val="center"/>
            <w:hideMark/>
          </w:tcPr>
          <w:p w14:paraId="365ADA43"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0.881</w:t>
            </w:r>
          </w:p>
        </w:tc>
      </w:tr>
      <w:tr w:rsidR="00F76B72" w:rsidRPr="00683089" w14:paraId="3627F37E" w14:textId="77777777" w:rsidTr="00F76B72">
        <w:trPr>
          <w:trHeight w:val="300"/>
        </w:trPr>
        <w:tc>
          <w:tcPr>
            <w:tcW w:w="3690" w:type="dxa"/>
            <w:tcBorders>
              <w:top w:val="nil"/>
              <w:left w:val="nil"/>
              <w:bottom w:val="nil"/>
              <w:right w:val="nil"/>
            </w:tcBorders>
            <w:shd w:val="clear" w:color="000000" w:fill="F2F2F2"/>
            <w:vAlign w:val="center"/>
            <w:hideMark/>
          </w:tcPr>
          <w:p w14:paraId="3BF731BE"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 </w:t>
            </w:r>
          </w:p>
        </w:tc>
        <w:tc>
          <w:tcPr>
            <w:tcW w:w="1260" w:type="dxa"/>
            <w:tcBorders>
              <w:top w:val="nil"/>
              <w:left w:val="nil"/>
              <w:bottom w:val="nil"/>
              <w:right w:val="nil"/>
            </w:tcBorders>
            <w:shd w:val="clear" w:color="000000" w:fill="F2F2F2"/>
            <w:vAlign w:val="center"/>
            <w:hideMark/>
          </w:tcPr>
          <w:p w14:paraId="153C07D0"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(0.124)</w:t>
            </w:r>
          </w:p>
        </w:tc>
        <w:tc>
          <w:tcPr>
            <w:tcW w:w="1350" w:type="dxa"/>
            <w:tcBorders>
              <w:top w:val="nil"/>
              <w:left w:val="nil"/>
              <w:bottom w:val="nil"/>
              <w:right w:val="nil"/>
            </w:tcBorders>
            <w:shd w:val="clear" w:color="000000" w:fill="F2F2F2"/>
            <w:vAlign w:val="center"/>
            <w:hideMark/>
          </w:tcPr>
          <w:p w14:paraId="3B047C79"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(0.109)</w:t>
            </w:r>
          </w:p>
        </w:tc>
      </w:tr>
      <w:tr w:rsidR="00F76B72" w:rsidRPr="00683089" w14:paraId="6D61C352" w14:textId="77777777" w:rsidTr="00F76B72">
        <w:trPr>
          <w:trHeight w:val="300"/>
        </w:trPr>
        <w:tc>
          <w:tcPr>
            <w:tcW w:w="3690" w:type="dxa"/>
            <w:tcBorders>
              <w:top w:val="nil"/>
              <w:left w:val="nil"/>
              <w:bottom w:val="nil"/>
              <w:right w:val="nil"/>
            </w:tcBorders>
            <w:shd w:val="clear" w:color="000000" w:fill="F2F2F2"/>
            <w:vAlign w:val="center"/>
            <w:hideMark/>
          </w:tcPr>
          <w:p w14:paraId="35B4F1D4"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Kroon*Office</w:t>
            </w:r>
          </w:p>
        </w:tc>
        <w:tc>
          <w:tcPr>
            <w:tcW w:w="1260" w:type="dxa"/>
            <w:tcBorders>
              <w:top w:val="nil"/>
              <w:left w:val="nil"/>
              <w:bottom w:val="nil"/>
              <w:right w:val="nil"/>
            </w:tcBorders>
            <w:shd w:val="clear" w:color="000000" w:fill="F2F2F2"/>
            <w:vAlign w:val="center"/>
            <w:hideMark/>
          </w:tcPr>
          <w:p w14:paraId="79AE2FAC"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0.103</w:t>
            </w:r>
          </w:p>
        </w:tc>
        <w:tc>
          <w:tcPr>
            <w:tcW w:w="1350" w:type="dxa"/>
            <w:tcBorders>
              <w:top w:val="nil"/>
              <w:left w:val="nil"/>
              <w:bottom w:val="nil"/>
              <w:right w:val="nil"/>
            </w:tcBorders>
            <w:shd w:val="clear" w:color="000000" w:fill="F2F2F2"/>
            <w:vAlign w:val="center"/>
            <w:hideMark/>
          </w:tcPr>
          <w:p w14:paraId="2A67DBA3"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1.109</w:t>
            </w:r>
          </w:p>
        </w:tc>
      </w:tr>
      <w:tr w:rsidR="00F76B72" w:rsidRPr="00683089" w14:paraId="6A015FE0" w14:textId="77777777" w:rsidTr="00F76B72">
        <w:trPr>
          <w:trHeight w:val="300"/>
        </w:trPr>
        <w:tc>
          <w:tcPr>
            <w:tcW w:w="3690" w:type="dxa"/>
            <w:tcBorders>
              <w:top w:val="nil"/>
              <w:left w:val="nil"/>
              <w:bottom w:val="nil"/>
              <w:right w:val="nil"/>
            </w:tcBorders>
            <w:shd w:val="clear" w:color="000000" w:fill="F2F2F2"/>
            <w:vAlign w:val="center"/>
            <w:hideMark/>
          </w:tcPr>
          <w:p w14:paraId="5A8F0917"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 </w:t>
            </w:r>
          </w:p>
        </w:tc>
        <w:tc>
          <w:tcPr>
            <w:tcW w:w="1260" w:type="dxa"/>
            <w:tcBorders>
              <w:top w:val="nil"/>
              <w:left w:val="nil"/>
              <w:bottom w:val="nil"/>
              <w:right w:val="nil"/>
            </w:tcBorders>
            <w:shd w:val="clear" w:color="000000" w:fill="F2F2F2"/>
            <w:vAlign w:val="center"/>
            <w:hideMark/>
          </w:tcPr>
          <w:p w14:paraId="3C5C8B33"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(0.153)</w:t>
            </w:r>
          </w:p>
        </w:tc>
        <w:tc>
          <w:tcPr>
            <w:tcW w:w="1350" w:type="dxa"/>
            <w:tcBorders>
              <w:top w:val="nil"/>
              <w:left w:val="nil"/>
              <w:bottom w:val="nil"/>
              <w:right w:val="nil"/>
            </w:tcBorders>
            <w:shd w:val="clear" w:color="000000" w:fill="F2F2F2"/>
            <w:vAlign w:val="center"/>
            <w:hideMark/>
          </w:tcPr>
          <w:p w14:paraId="4555072F"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(0.170)</w:t>
            </w:r>
          </w:p>
        </w:tc>
      </w:tr>
      <w:tr w:rsidR="00F76B72" w:rsidRPr="00683089" w14:paraId="1753C9C7" w14:textId="77777777" w:rsidTr="00F76B72">
        <w:trPr>
          <w:trHeight w:val="300"/>
        </w:trPr>
        <w:tc>
          <w:tcPr>
            <w:tcW w:w="3690" w:type="dxa"/>
            <w:tcBorders>
              <w:top w:val="nil"/>
              <w:left w:val="nil"/>
              <w:bottom w:val="nil"/>
              <w:right w:val="nil"/>
            </w:tcBorders>
            <w:shd w:val="clear" w:color="000000" w:fill="F2F2F2"/>
            <w:vAlign w:val="center"/>
            <w:hideMark/>
          </w:tcPr>
          <w:p w14:paraId="51C8115B"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Office</w:t>
            </w:r>
          </w:p>
        </w:tc>
        <w:tc>
          <w:tcPr>
            <w:tcW w:w="1260" w:type="dxa"/>
            <w:tcBorders>
              <w:top w:val="nil"/>
              <w:left w:val="nil"/>
              <w:bottom w:val="nil"/>
              <w:right w:val="nil"/>
            </w:tcBorders>
            <w:shd w:val="clear" w:color="000000" w:fill="F2F2F2"/>
            <w:vAlign w:val="center"/>
            <w:hideMark/>
          </w:tcPr>
          <w:p w14:paraId="034EA901"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0.401***</w:t>
            </w:r>
          </w:p>
        </w:tc>
        <w:tc>
          <w:tcPr>
            <w:tcW w:w="1350" w:type="dxa"/>
            <w:tcBorders>
              <w:top w:val="nil"/>
              <w:left w:val="nil"/>
              <w:bottom w:val="nil"/>
              <w:right w:val="nil"/>
            </w:tcBorders>
            <w:shd w:val="clear" w:color="000000" w:fill="F2F2F2"/>
            <w:vAlign w:val="center"/>
            <w:hideMark/>
          </w:tcPr>
          <w:p w14:paraId="7BB62FC6"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1.493***</w:t>
            </w:r>
          </w:p>
        </w:tc>
      </w:tr>
      <w:tr w:rsidR="00F76B72" w:rsidRPr="00683089" w14:paraId="2495AC2E" w14:textId="77777777" w:rsidTr="00F76B72">
        <w:trPr>
          <w:trHeight w:val="300"/>
        </w:trPr>
        <w:tc>
          <w:tcPr>
            <w:tcW w:w="3690" w:type="dxa"/>
            <w:tcBorders>
              <w:top w:val="nil"/>
              <w:left w:val="nil"/>
              <w:bottom w:val="nil"/>
              <w:right w:val="nil"/>
            </w:tcBorders>
            <w:shd w:val="clear" w:color="000000" w:fill="F2F2F2"/>
            <w:vAlign w:val="center"/>
            <w:hideMark/>
          </w:tcPr>
          <w:p w14:paraId="047091AB"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 </w:t>
            </w:r>
          </w:p>
        </w:tc>
        <w:tc>
          <w:tcPr>
            <w:tcW w:w="1260" w:type="dxa"/>
            <w:tcBorders>
              <w:top w:val="nil"/>
              <w:left w:val="nil"/>
              <w:bottom w:val="nil"/>
              <w:right w:val="nil"/>
            </w:tcBorders>
            <w:shd w:val="clear" w:color="000000" w:fill="F2F2F2"/>
            <w:vAlign w:val="center"/>
            <w:hideMark/>
          </w:tcPr>
          <w:p w14:paraId="6D90ED56"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(0.124)</w:t>
            </w:r>
          </w:p>
        </w:tc>
        <w:tc>
          <w:tcPr>
            <w:tcW w:w="1350" w:type="dxa"/>
            <w:tcBorders>
              <w:top w:val="nil"/>
              <w:left w:val="nil"/>
              <w:bottom w:val="nil"/>
              <w:right w:val="nil"/>
            </w:tcBorders>
            <w:shd w:val="clear" w:color="000000" w:fill="F2F2F2"/>
            <w:vAlign w:val="center"/>
            <w:hideMark/>
          </w:tcPr>
          <w:p w14:paraId="6BEE007D"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(0.186)</w:t>
            </w:r>
          </w:p>
        </w:tc>
      </w:tr>
      <w:tr w:rsidR="00F76B72" w:rsidRPr="00683089" w14:paraId="650DA710" w14:textId="77777777" w:rsidTr="00F76B72">
        <w:trPr>
          <w:trHeight w:val="300"/>
        </w:trPr>
        <w:tc>
          <w:tcPr>
            <w:tcW w:w="3690" w:type="dxa"/>
            <w:tcBorders>
              <w:top w:val="nil"/>
              <w:left w:val="nil"/>
              <w:bottom w:val="nil"/>
              <w:right w:val="nil"/>
            </w:tcBorders>
            <w:shd w:val="clear" w:color="000000" w:fill="F2F2F2"/>
            <w:vAlign w:val="center"/>
            <w:hideMark/>
          </w:tcPr>
          <w:p w14:paraId="1CFB226D"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Age</w:t>
            </w:r>
          </w:p>
        </w:tc>
        <w:tc>
          <w:tcPr>
            <w:tcW w:w="1260" w:type="dxa"/>
            <w:tcBorders>
              <w:top w:val="nil"/>
              <w:left w:val="nil"/>
              <w:bottom w:val="nil"/>
              <w:right w:val="nil"/>
            </w:tcBorders>
            <w:shd w:val="clear" w:color="000000" w:fill="F2F2F2"/>
            <w:vAlign w:val="center"/>
            <w:hideMark/>
          </w:tcPr>
          <w:p w14:paraId="69646E89"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0.004</w:t>
            </w:r>
          </w:p>
        </w:tc>
        <w:tc>
          <w:tcPr>
            <w:tcW w:w="1350" w:type="dxa"/>
            <w:tcBorders>
              <w:top w:val="nil"/>
              <w:left w:val="nil"/>
              <w:bottom w:val="nil"/>
              <w:right w:val="nil"/>
            </w:tcBorders>
            <w:shd w:val="clear" w:color="000000" w:fill="F2F2F2"/>
            <w:vAlign w:val="center"/>
            <w:hideMark/>
          </w:tcPr>
          <w:p w14:paraId="4CF16DC9"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1.004</w:t>
            </w:r>
          </w:p>
        </w:tc>
      </w:tr>
      <w:tr w:rsidR="00F76B72" w:rsidRPr="00683089" w14:paraId="3365FCBC" w14:textId="77777777" w:rsidTr="00F76B72">
        <w:trPr>
          <w:trHeight w:val="300"/>
        </w:trPr>
        <w:tc>
          <w:tcPr>
            <w:tcW w:w="3690" w:type="dxa"/>
            <w:tcBorders>
              <w:top w:val="nil"/>
              <w:left w:val="nil"/>
              <w:bottom w:val="nil"/>
              <w:right w:val="nil"/>
            </w:tcBorders>
            <w:shd w:val="clear" w:color="000000" w:fill="F2F2F2"/>
            <w:vAlign w:val="center"/>
            <w:hideMark/>
          </w:tcPr>
          <w:p w14:paraId="57CEF1FE"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 </w:t>
            </w:r>
          </w:p>
        </w:tc>
        <w:tc>
          <w:tcPr>
            <w:tcW w:w="1260" w:type="dxa"/>
            <w:tcBorders>
              <w:top w:val="nil"/>
              <w:left w:val="nil"/>
              <w:bottom w:val="nil"/>
              <w:right w:val="nil"/>
            </w:tcBorders>
            <w:shd w:val="clear" w:color="000000" w:fill="F2F2F2"/>
            <w:vAlign w:val="center"/>
            <w:hideMark/>
          </w:tcPr>
          <w:p w14:paraId="39268DAB"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(0.003)</w:t>
            </w:r>
          </w:p>
        </w:tc>
        <w:tc>
          <w:tcPr>
            <w:tcW w:w="1350" w:type="dxa"/>
            <w:tcBorders>
              <w:top w:val="nil"/>
              <w:left w:val="nil"/>
              <w:bottom w:val="nil"/>
              <w:right w:val="nil"/>
            </w:tcBorders>
            <w:shd w:val="clear" w:color="000000" w:fill="F2F2F2"/>
            <w:vAlign w:val="center"/>
            <w:hideMark/>
          </w:tcPr>
          <w:p w14:paraId="17159E48"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(0.003)</w:t>
            </w:r>
          </w:p>
        </w:tc>
      </w:tr>
      <w:tr w:rsidR="00F76B72" w:rsidRPr="00683089" w14:paraId="36D32892" w14:textId="77777777" w:rsidTr="00F76B72">
        <w:trPr>
          <w:trHeight w:val="300"/>
        </w:trPr>
        <w:tc>
          <w:tcPr>
            <w:tcW w:w="3690" w:type="dxa"/>
            <w:tcBorders>
              <w:top w:val="nil"/>
              <w:left w:val="nil"/>
              <w:bottom w:val="nil"/>
              <w:right w:val="nil"/>
            </w:tcBorders>
            <w:shd w:val="clear" w:color="000000" w:fill="F2F2F2"/>
            <w:vAlign w:val="center"/>
            <w:hideMark/>
          </w:tcPr>
          <w:p w14:paraId="6A9D8432"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Female</w:t>
            </w:r>
          </w:p>
        </w:tc>
        <w:tc>
          <w:tcPr>
            <w:tcW w:w="1260" w:type="dxa"/>
            <w:tcBorders>
              <w:top w:val="nil"/>
              <w:left w:val="nil"/>
              <w:bottom w:val="nil"/>
              <w:right w:val="nil"/>
            </w:tcBorders>
            <w:shd w:val="clear" w:color="000000" w:fill="F2F2F2"/>
            <w:vAlign w:val="center"/>
            <w:hideMark/>
          </w:tcPr>
          <w:p w14:paraId="37E57271"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0.165***</w:t>
            </w:r>
          </w:p>
        </w:tc>
        <w:tc>
          <w:tcPr>
            <w:tcW w:w="1350" w:type="dxa"/>
            <w:tcBorders>
              <w:top w:val="nil"/>
              <w:left w:val="nil"/>
              <w:bottom w:val="nil"/>
              <w:right w:val="nil"/>
            </w:tcBorders>
            <w:shd w:val="clear" w:color="000000" w:fill="F2F2F2"/>
            <w:vAlign w:val="center"/>
            <w:hideMark/>
          </w:tcPr>
          <w:p w14:paraId="786431B0"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1.180***</w:t>
            </w:r>
          </w:p>
        </w:tc>
      </w:tr>
      <w:tr w:rsidR="00F76B72" w:rsidRPr="00683089" w14:paraId="62AAF3FC" w14:textId="77777777" w:rsidTr="00F76B72">
        <w:trPr>
          <w:trHeight w:val="300"/>
        </w:trPr>
        <w:tc>
          <w:tcPr>
            <w:tcW w:w="3690" w:type="dxa"/>
            <w:tcBorders>
              <w:top w:val="nil"/>
              <w:left w:val="nil"/>
              <w:bottom w:val="nil"/>
              <w:right w:val="nil"/>
            </w:tcBorders>
            <w:shd w:val="clear" w:color="000000" w:fill="F2F2F2"/>
            <w:vAlign w:val="center"/>
            <w:hideMark/>
          </w:tcPr>
          <w:p w14:paraId="5DC837CA"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 </w:t>
            </w:r>
          </w:p>
        </w:tc>
        <w:tc>
          <w:tcPr>
            <w:tcW w:w="1260" w:type="dxa"/>
            <w:tcBorders>
              <w:top w:val="nil"/>
              <w:left w:val="nil"/>
              <w:bottom w:val="nil"/>
              <w:right w:val="nil"/>
            </w:tcBorders>
            <w:shd w:val="clear" w:color="000000" w:fill="F2F2F2"/>
            <w:vAlign w:val="center"/>
            <w:hideMark/>
          </w:tcPr>
          <w:p w14:paraId="6511168C"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(0.061)</w:t>
            </w:r>
          </w:p>
        </w:tc>
        <w:tc>
          <w:tcPr>
            <w:tcW w:w="1350" w:type="dxa"/>
            <w:tcBorders>
              <w:top w:val="nil"/>
              <w:left w:val="nil"/>
              <w:bottom w:val="nil"/>
              <w:right w:val="nil"/>
            </w:tcBorders>
            <w:shd w:val="clear" w:color="000000" w:fill="F2F2F2"/>
            <w:vAlign w:val="center"/>
            <w:hideMark/>
          </w:tcPr>
          <w:p w14:paraId="5B9AF4B7"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(0.072)</w:t>
            </w:r>
          </w:p>
        </w:tc>
      </w:tr>
      <w:tr w:rsidR="00F76B72" w:rsidRPr="00683089" w14:paraId="6C712051" w14:textId="77777777" w:rsidTr="00F76B72">
        <w:trPr>
          <w:trHeight w:val="300"/>
        </w:trPr>
        <w:tc>
          <w:tcPr>
            <w:tcW w:w="3690" w:type="dxa"/>
            <w:tcBorders>
              <w:top w:val="nil"/>
              <w:left w:val="nil"/>
              <w:bottom w:val="nil"/>
              <w:right w:val="nil"/>
            </w:tcBorders>
            <w:shd w:val="clear" w:color="000000" w:fill="F2F2F2"/>
            <w:vAlign w:val="center"/>
            <w:hideMark/>
          </w:tcPr>
          <w:p w14:paraId="535EECC7"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Constant</w:t>
            </w:r>
          </w:p>
        </w:tc>
        <w:tc>
          <w:tcPr>
            <w:tcW w:w="1260" w:type="dxa"/>
            <w:tcBorders>
              <w:top w:val="nil"/>
              <w:left w:val="nil"/>
              <w:bottom w:val="nil"/>
              <w:right w:val="nil"/>
            </w:tcBorders>
            <w:shd w:val="clear" w:color="000000" w:fill="F2F2F2"/>
            <w:vAlign w:val="center"/>
            <w:hideMark/>
          </w:tcPr>
          <w:p w14:paraId="7BAE6D26"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0.738***</w:t>
            </w:r>
          </w:p>
        </w:tc>
        <w:tc>
          <w:tcPr>
            <w:tcW w:w="1350" w:type="dxa"/>
            <w:tcBorders>
              <w:top w:val="nil"/>
              <w:left w:val="nil"/>
              <w:bottom w:val="nil"/>
              <w:right w:val="nil"/>
            </w:tcBorders>
            <w:shd w:val="clear" w:color="000000" w:fill="F2F2F2"/>
            <w:vAlign w:val="center"/>
            <w:hideMark/>
          </w:tcPr>
          <w:p w14:paraId="6D9E495B"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2.091***</w:t>
            </w:r>
          </w:p>
        </w:tc>
      </w:tr>
      <w:tr w:rsidR="00F76B72" w:rsidRPr="00683089" w14:paraId="54C2AF60" w14:textId="77777777" w:rsidTr="00F76B72">
        <w:trPr>
          <w:trHeight w:val="300"/>
        </w:trPr>
        <w:tc>
          <w:tcPr>
            <w:tcW w:w="3690" w:type="dxa"/>
            <w:tcBorders>
              <w:top w:val="nil"/>
              <w:left w:val="nil"/>
              <w:bottom w:val="nil"/>
              <w:right w:val="nil"/>
            </w:tcBorders>
            <w:shd w:val="clear" w:color="000000" w:fill="F2F2F2"/>
            <w:vAlign w:val="center"/>
            <w:hideMark/>
          </w:tcPr>
          <w:p w14:paraId="4AF1B1CB"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 </w:t>
            </w:r>
          </w:p>
        </w:tc>
        <w:tc>
          <w:tcPr>
            <w:tcW w:w="1260" w:type="dxa"/>
            <w:tcBorders>
              <w:top w:val="nil"/>
              <w:left w:val="nil"/>
              <w:bottom w:val="nil"/>
              <w:right w:val="nil"/>
            </w:tcBorders>
            <w:shd w:val="clear" w:color="000000" w:fill="F2F2F2"/>
            <w:vAlign w:val="center"/>
            <w:hideMark/>
          </w:tcPr>
          <w:p w14:paraId="353EA804"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(0.158)</w:t>
            </w:r>
          </w:p>
        </w:tc>
        <w:tc>
          <w:tcPr>
            <w:tcW w:w="1350" w:type="dxa"/>
            <w:tcBorders>
              <w:top w:val="nil"/>
              <w:left w:val="nil"/>
              <w:bottom w:val="nil"/>
              <w:right w:val="nil"/>
            </w:tcBorders>
            <w:shd w:val="clear" w:color="000000" w:fill="F2F2F2"/>
            <w:vAlign w:val="center"/>
            <w:hideMark/>
          </w:tcPr>
          <w:p w14:paraId="3FC0712D"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(0.330)</w:t>
            </w:r>
          </w:p>
        </w:tc>
      </w:tr>
      <w:tr w:rsidR="00F76B72" w:rsidRPr="00683089" w14:paraId="6725E511" w14:textId="77777777" w:rsidTr="00F76B72">
        <w:trPr>
          <w:trHeight w:val="300"/>
        </w:trPr>
        <w:tc>
          <w:tcPr>
            <w:tcW w:w="3690" w:type="dxa"/>
            <w:tcBorders>
              <w:top w:val="single" w:sz="4" w:space="0" w:color="auto"/>
              <w:left w:val="nil"/>
              <w:bottom w:val="nil"/>
              <w:right w:val="nil"/>
            </w:tcBorders>
            <w:shd w:val="clear" w:color="000000" w:fill="F2F2F2"/>
            <w:vAlign w:val="center"/>
            <w:hideMark/>
          </w:tcPr>
          <w:p w14:paraId="4BCEE285"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Combination:</w:t>
            </w:r>
          </w:p>
        </w:tc>
        <w:tc>
          <w:tcPr>
            <w:tcW w:w="1260" w:type="dxa"/>
            <w:tcBorders>
              <w:top w:val="single" w:sz="4" w:space="0" w:color="auto"/>
              <w:left w:val="nil"/>
              <w:bottom w:val="nil"/>
              <w:right w:val="nil"/>
            </w:tcBorders>
            <w:shd w:val="clear" w:color="000000" w:fill="F2F2F2"/>
            <w:vAlign w:val="center"/>
            <w:hideMark/>
          </w:tcPr>
          <w:p w14:paraId="5AD4F0B1"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-0.021</w:t>
            </w:r>
          </w:p>
        </w:tc>
        <w:tc>
          <w:tcPr>
            <w:tcW w:w="1350" w:type="dxa"/>
            <w:tcBorders>
              <w:top w:val="single" w:sz="4" w:space="0" w:color="auto"/>
              <w:left w:val="nil"/>
              <w:bottom w:val="nil"/>
              <w:right w:val="nil"/>
            </w:tcBorders>
            <w:shd w:val="clear" w:color="000000" w:fill="F2F2F2"/>
            <w:vAlign w:val="center"/>
            <w:hideMark/>
          </w:tcPr>
          <w:p w14:paraId="3622911D"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w:t>
            </w:r>
          </w:p>
        </w:tc>
      </w:tr>
      <w:tr w:rsidR="00F76B72" w:rsidRPr="00683089" w14:paraId="26DF3C1E" w14:textId="77777777" w:rsidTr="00F76B72">
        <w:trPr>
          <w:trHeight w:val="300"/>
        </w:trPr>
        <w:tc>
          <w:tcPr>
            <w:tcW w:w="3690" w:type="dxa"/>
            <w:tcBorders>
              <w:top w:val="nil"/>
              <w:left w:val="nil"/>
              <w:bottom w:val="nil"/>
              <w:right w:val="nil"/>
            </w:tcBorders>
            <w:shd w:val="clear" w:color="000000" w:fill="F2F2F2"/>
            <w:vAlign w:val="center"/>
            <w:hideMark/>
          </w:tcPr>
          <w:p w14:paraId="33D1ADB8" w14:textId="77777777" w:rsidR="00F76B72" w:rsidRPr="00683089" w:rsidRDefault="00F76B72" w:rsidP="00F76B72">
            <w:pPr>
              <w:spacing w:after="0" w:line="240" w:lineRule="auto"/>
              <w:rPr>
                <w:rFonts w:eastAsia="Times New Roman"/>
                <w:color w:val="000000"/>
              </w:rPr>
            </w:pPr>
            <w:r w:rsidRPr="00683089">
              <w:rPr>
                <w:rFonts w:eastAsia="Times New Roman"/>
                <w:color w:val="000000"/>
              </w:rPr>
              <w:t>Kroon+Kroon*Office</w:t>
            </w:r>
          </w:p>
        </w:tc>
        <w:tc>
          <w:tcPr>
            <w:tcW w:w="1260" w:type="dxa"/>
            <w:tcBorders>
              <w:top w:val="nil"/>
              <w:left w:val="nil"/>
              <w:bottom w:val="nil"/>
              <w:right w:val="nil"/>
            </w:tcBorders>
            <w:shd w:val="clear" w:color="000000" w:fill="F2F2F2"/>
            <w:vAlign w:val="center"/>
            <w:hideMark/>
          </w:tcPr>
          <w:p w14:paraId="0E023EF1"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(0.087)</w:t>
            </w:r>
          </w:p>
        </w:tc>
        <w:tc>
          <w:tcPr>
            <w:tcW w:w="1350" w:type="dxa"/>
            <w:tcBorders>
              <w:top w:val="nil"/>
              <w:left w:val="nil"/>
              <w:bottom w:val="nil"/>
              <w:right w:val="nil"/>
            </w:tcBorders>
            <w:shd w:val="clear" w:color="000000" w:fill="F2F2F2"/>
            <w:vAlign w:val="center"/>
            <w:hideMark/>
          </w:tcPr>
          <w:p w14:paraId="073567E4" w14:textId="77777777" w:rsidR="00F76B72" w:rsidRPr="00683089" w:rsidRDefault="00F76B72" w:rsidP="00F76B72">
            <w:pPr>
              <w:spacing w:after="0" w:line="240" w:lineRule="auto"/>
              <w:jc w:val="center"/>
              <w:rPr>
                <w:rFonts w:eastAsia="Times New Roman"/>
                <w:color w:val="000000"/>
              </w:rPr>
            </w:pPr>
            <w:r w:rsidRPr="00683089">
              <w:rPr>
                <w:rFonts w:eastAsia="Times New Roman"/>
                <w:color w:val="000000"/>
              </w:rPr>
              <w:t>-</w:t>
            </w:r>
          </w:p>
        </w:tc>
      </w:tr>
      <w:tr w:rsidR="00F76B72" w:rsidRPr="00683089" w14:paraId="1B0CE45D" w14:textId="77777777" w:rsidTr="00F76B72">
        <w:trPr>
          <w:trHeight w:val="260"/>
        </w:trPr>
        <w:tc>
          <w:tcPr>
            <w:tcW w:w="6300" w:type="dxa"/>
            <w:gridSpan w:val="3"/>
            <w:tcBorders>
              <w:top w:val="single" w:sz="4" w:space="0" w:color="auto"/>
              <w:left w:val="nil"/>
              <w:bottom w:val="nil"/>
              <w:right w:val="nil"/>
            </w:tcBorders>
            <w:shd w:val="clear" w:color="000000" w:fill="F2F2F2"/>
            <w:hideMark/>
          </w:tcPr>
          <w:p w14:paraId="5D121DC5" w14:textId="77777777" w:rsidR="00F76B72" w:rsidRPr="00683089" w:rsidRDefault="00F76B72" w:rsidP="00F76B72">
            <w:pPr>
              <w:spacing w:after="0" w:line="240" w:lineRule="auto"/>
              <w:rPr>
                <w:rFonts w:eastAsia="Times New Roman"/>
                <w:color w:val="000000"/>
                <w:sz w:val="18"/>
                <w:szCs w:val="18"/>
              </w:rPr>
            </w:pPr>
            <w:r w:rsidRPr="00683089">
              <w:rPr>
                <w:rFonts w:eastAsia="Times New Roman"/>
                <w:color w:val="000000"/>
                <w:sz w:val="18"/>
                <w:szCs w:val="18"/>
              </w:rPr>
              <w:t>259 observations. Standard errors in parentheses: *** p&lt;0.01, ** p&lt;0.05, * p&lt;0.1</w:t>
            </w:r>
            <w:r>
              <w:rPr>
                <w:rFonts w:eastAsia="Times New Roman"/>
                <w:color w:val="000000"/>
                <w:sz w:val="18"/>
                <w:szCs w:val="18"/>
              </w:rPr>
              <w:t>. F-statistic of 19.88.</w:t>
            </w:r>
          </w:p>
        </w:tc>
      </w:tr>
    </w:tbl>
    <w:p w14:paraId="58A1766F" w14:textId="24B31170" w:rsidR="00F76B72" w:rsidRDefault="002429D2" w:rsidP="0052424D">
      <w:pPr>
        <w:widowControl w:val="0"/>
        <w:autoSpaceDE w:val="0"/>
        <w:autoSpaceDN w:val="0"/>
        <w:adjustRightInd w:val="0"/>
        <w:spacing w:before="240" w:line="360" w:lineRule="auto"/>
      </w:pPr>
      <w:r>
        <w:t>Figure 2</w:t>
      </w:r>
      <w:r w:rsidR="00F76B72">
        <w:t xml:space="preserve"> display</w:t>
      </w:r>
      <w:r w:rsidR="007C350D">
        <w:t>s</w:t>
      </w:r>
      <w:r w:rsidR="00F76B72">
        <w:t xml:space="preserve"> the identifying variation</w:t>
      </w:r>
      <w:r w:rsidR="007C350D">
        <w:t xml:space="preserve"> used in the negative binomial regression model</w:t>
      </w:r>
      <w:r w:rsidR="00F76B72">
        <w:t xml:space="preserve">, or lack of, graphically.  The </w:t>
      </w:r>
      <w:r w:rsidR="007C350D">
        <w:t>two</w:t>
      </w:r>
      <w:r w:rsidR="00F76B72">
        <w:t>-by-</w:t>
      </w:r>
      <w:r w:rsidR="007C350D">
        <w:t>two</w:t>
      </w:r>
      <w:r w:rsidR="00F76B72">
        <w:t xml:space="preserve"> matrix of office and Kroon Hall statuses are graphed separately.  The share of respondents indicating each count of adaptive behavior is compared.  Generally</w:t>
      </w:r>
      <w:r w:rsidR="007C350D">
        <w:t>,</w:t>
      </w:r>
      <w:r w:rsidR="00F76B72">
        <w:t xml:space="preserve"> shares of office workers select the same count of adaptive behaviors, and similarly so</w:t>
      </w:r>
      <w:r w:rsidR="007C350D">
        <w:t xml:space="preserve"> for non-office members of F&amp;ES</w:t>
      </w:r>
      <w:r w:rsidR="00F76B72">
        <w:t xml:space="preserve"> regardless of building.</w:t>
      </w:r>
    </w:p>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348"/>
      </w:tblGrid>
      <w:tr w:rsidR="00F76B72" w14:paraId="2E9E1AAF" w14:textId="77777777" w:rsidTr="00F76B72">
        <w:tc>
          <w:tcPr>
            <w:tcW w:w="9792" w:type="dxa"/>
            <w:gridSpan w:val="2"/>
          </w:tcPr>
          <w:p w14:paraId="4549786F" w14:textId="77777777" w:rsidR="00F76B72" w:rsidRDefault="00F76B72" w:rsidP="00F76B72">
            <w:pPr>
              <w:widowControl w:val="0"/>
              <w:autoSpaceDE w:val="0"/>
              <w:autoSpaceDN w:val="0"/>
              <w:adjustRightInd w:val="0"/>
            </w:pPr>
            <w:r>
              <w:rPr>
                <w:noProof/>
              </w:rPr>
              <w:lastRenderedPageBreak/>
              <w:drawing>
                <wp:inline distT="0" distB="0" distL="0" distR="0" wp14:anchorId="37A82383" wp14:editId="48672E75">
                  <wp:extent cx="5943600" cy="3200400"/>
                  <wp:effectExtent l="0" t="0" r="0" b="0"/>
                  <wp:docPr id="1" name="Chart 1">
                    <a:extLst xmlns:a="http://schemas.openxmlformats.org/drawingml/2006/main">
                      <a:ext uri="{FF2B5EF4-FFF2-40B4-BE49-F238E27FC236}">
                        <a16:creationId xmlns:a16="http://schemas.microsoft.com/office/drawing/2014/main" id="{A6FF4DD9-11F0-47F5-9C66-03356A378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F76B72" w14:paraId="7C196056" w14:textId="77777777" w:rsidTr="00F76B72">
        <w:trPr>
          <w:gridAfter w:val="1"/>
          <w:wAfter w:w="348" w:type="dxa"/>
          <w:trHeight w:val="342"/>
        </w:trPr>
        <w:tc>
          <w:tcPr>
            <w:tcW w:w="9444" w:type="dxa"/>
          </w:tcPr>
          <w:p w14:paraId="027275AF" w14:textId="2A057381" w:rsidR="00F76B72" w:rsidRPr="008C2655" w:rsidRDefault="002429D2" w:rsidP="00F76B72">
            <w:pPr>
              <w:widowControl w:val="0"/>
              <w:autoSpaceDE w:val="0"/>
              <w:autoSpaceDN w:val="0"/>
              <w:adjustRightInd w:val="0"/>
              <w:rPr>
                <w:b/>
              </w:rPr>
            </w:pPr>
            <w:r>
              <w:rPr>
                <w:b/>
              </w:rPr>
              <w:t>Figure 2</w:t>
            </w:r>
            <w:r w:rsidR="00F76B72">
              <w:rPr>
                <w:b/>
              </w:rPr>
              <w:t xml:space="preserve"> |</w:t>
            </w:r>
            <w:r w:rsidR="00F76B72" w:rsidRPr="008C2655">
              <w:rPr>
                <w:b/>
              </w:rPr>
              <w:t xml:space="preserve"> Respondent engageme</w:t>
            </w:r>
            <w:r w:rsidR="00F76B72">
              <w:rPr>
                <w:b/>
              </w:rPr>
              <w:t>nt in adaptive behavior</w:t>
            </w:r>
          </w:p>
        </w:tc>
      </w:tr>
    </w:tbl>
    <w:p w14:paraId="7491B210" w14:textId="30B664B7" w:rsidR="00F76B72" w:rsidRPr="00422F9C" w:rsidRDefault="00F76B72" w:rsidP="0052424D">
      <w:pPr>
        <w:spacing w:line="360" w:lineRule="auto"/>
        <w:rPr>
          <w:color w:val="000000"/>
        </w:rPr>
      </w:pPr>
      <w:r>
        <w:t xml:space="preserve">The remaining results are relevant to Yale F&amp;ES rather than the general population.  First, </w:t>
      </w:r>
      <w:r>
        <w:rPr>
          <w:color w:val="000000"/>
        </w:rPr>
        <w:t>w</w:t>
      </w:r>
      <w:r w:rsidRPr="00422F9C">
        <w:rPr>
          <w:color w:val="000000"/>
        </w:rPr>
        <w:t xml:space="preserve">hat are the probabilities of selecting each satisfaction level for groups </w:t>
      </w:r>
      <w:r w:rsidR="00262040">
        <w:rPr>
          <w:color w:val="000000"/>
        </w:rPr>
        <w:t>with</w:t>
      </w:r>
      <w:r w:rsidRPr="00422F9C">
        <w:rPr>
          <w:color w:val="000000"/>
        </w:rPr>
        <w:t>in Kroon</w:t>
      </w:r>
      <w:r w:rsidR="00262040">
        <w:rPr>
          <w:color w:val="000000"/>
        </w:rPr>
        <w:t xml:space="preserve"> Hall</w:t>
      </w:r>
      <w:r w:rsidRPr="00422F9C">
        <w:rPr>
          <w:color w:val="000000"/>
        </w:rPr>
        <w:t>?</w:t>
      </w:r>
      <w:r>
        <w:rPr>
          <w:color w:val="000000"/>
        </w:rPr>
        <w:t xml:space="preserve">  Margins on satisfaction with thermal comfort are calculat</w:t>
      </w:r>
      <w:r w:rsidR="00262040">
        <w:rPr>
          <w:color w:val="000000"/>
        </w:rPr>
        <w:t xml:space="preserve">ed for the Kroon Hall subgroup both </w:t>
      </w:r>
      <w:r>
        <w:rPr>
          <w:color w:val="000000"/>
        </w:rPr>
        <w:t xml:space="preserve">combined and by subcategory.  </w:t>
      </w:r>
      <w:r w:rsidR="00262040">
        <w:rPr>
          <w:color w:val="000000"/>
        </w:rPr>
        <w:t>S</w:t>
      </w:r>
      <w:r w:rsidRPr="00991596">
        <w:rPr>
          <w:color w:val="000000"/>
        </w:rPr>
        <w:t>tudents</w:t>
      </w:r>
      <w:r>
        <w:rPr>
          <w:color w:val="000000"/>
        </w:rPr>
        <w:t xml:space="preserve"> without offices</w:t>
      </w:r>
      <w:r w:rsidRPr="00991596">
        <w:rPr>
          <w:color w:val="000000"/>
        </w:rPr>
        <w:t xml:space="preserve"> are more likely to select higher satisfac</w:t>
      </w:r>
      <w:r>
        <w:rPr>
          <w:color w:val="000000"/>
        </w:rPr>
        <w:t>tion levels for thermal comfort.  However,</w:t>
      </w:r>
      <w:r w:rsidRPr="00991596">
        <w:rPr>
          <w:color w:val="000000"/>
        </w:rPr>
        <w:t xml:space="preserve"> both students and faculty of Kroon</w:t>
      </w:r>
      <w:r>
        <w:rPr>
          <w:color w:val="000000"/>
        </w:rPr>
        <w:t xml:space="preserve"> Hall</w:t>
      </w:r>
      <w:r w:rsidR="00262040">
        <w:rPr>
          <w:color w:val="000000"/>
        </w:rPr>
        <w:t xml:space="preserve"> </w:t>
      </w:r>
      <w:r w:rsidRPr="00991596">
        <w:rPr>
          <w:color w:val="000000"/>
        </w:rPr>
        <w:t>select a</w:t>
      </w:r>
      <w:r w:rsidR="00262040">
        <w:rPr>
          <w:color w:val="000000"/>
        </w:rPr>
        <w:t xml:space="preserve"> satisfaction</w:t>
      </w:r>
      <w:r w:rsidRPr="00991596">
        <w:rPr>
          <w:color w:val="000000"/>
        </w:rPr>
        <w:t xml:space="preserve"> lev</w:t>
      </w:r>
      <w:r w:rsidR="00262040">
        <w:rPr>
          <w:color w:val="000000"/>
        </w:rPr>
        <w:t>el of four,</w:t>
      </w:r>
      <w:r>
        <w:rPr>
          <w:color w:val="000000"/>
        </w:rPr>
        <w:t xml:space="preserve"> labeled in the survey as somewhat satisfied</w:t>
      </w:r>
      <w:r w:rsidR="00262040">
        <w:rPr>
          <w:color w:val="000000"/>
        </w:rPr>
        <w:t>,</w:t>
      </w:r>
      <w:r>
        <w:rPr>
          <w:color w:val="000000"/>
        </w:rPr>
        <w:t xml:space="preserve"> most often.</w:t>
      </w:r>
    </w:p>
    <w:tbl>
      <w:tblPr>
        <w:tblW w:w="5000" w:type="pct"/>
        <w:tblLook w:val="04A0" w:firstRow="1" w:lastRow="0" w:firstColumn="1" w:lastColumn="0" w:noHBand="0" w:noVBand="1"/>
      </w:tblPr>
      <w:tblGrid>
        <w:gridCol w:w="1654"/>
        <w:gridCol w:w="2169"/>
        <w:gridCol w:w="2939"/>
        <w:gridCol w:w="2598"/>
      </w:tblGrid>
      <w:tr w:rsidR="00F76B72" w:rsidRPr="00474938" w14:paraId="1942AD1F" w14:textId="77777777" w:rsidTr="00F76B72">
        <w:trPr>
          <w:trHeight w:val="300"/>
        </w:trPr>
        <w:tc>
          <w:tcPr>
            <w:tcW w:w="5000" w:type="pct"/>
            <w:gridSpan w:val="4"/>
            <w:tcBorders>
              <w:top w:val="nil"/>
              <w:left w:val="nil"/>
              <w:bottom w:val="nil"/>
              <w:right w:val="nil"/>
            </w:tcBorders>
            <w:shd w:val="clear" w:color="000000" w:fill="D0CECE"/>
            <w:noWrap/>
            <w:hideMark/>
          </w:tcPr>
          <w:p w14:paraId="1468F318" w14:textId="77777777" w:rsidR="00F76B72" w:rsidRPr="00474938" w:rsidRDefault="00F76B72" w:rsidP="00F76B72">
            <w:pPr>
              <w:keepNext/>
              <w:spacing w:after="0" w:line="240" w:lineRule="auto"/>
              <w:rPr>
                <w:rFonts w:eastAsia="Times New Roman"/>
                <w:b/>
                <w:bCs/>
                <w:color w:val="000000"/>
              </w:rPr>
            </w:pPr>
            <w:r>
              <w:rPr>
                <w:rFonts w:eastAsia="Times New Roman"/>
                <w:b/>
                <w:bCs/>
                <w:color w:val="000000"/>
              </w:rPr>
              <w:t>Table 5</w:t>
            </w:r>
            <w:r w:rsidRPr="00474938">
              <w:rPr>
                <w:rFonts w:eastAsia="Times New Roman"/>
                <w:b/>
                <w:bCs/>
                <w:color w:val="000000"/>
              </w:rPr>
              <w:t xml:space="preserve"> | Ordered probit margins on satisfaction with thermal comfort</w:t>
            </w:r>
          </w:p>
        </w:tc>
      </w:tr>
      <w:tr w:rsidR="00F76B72" w:rsidRPr="00474938" w14:paraId="3C495FFF" w14:textId="77777777" w:rsidTr="00F76B72">
        <w:trPr>
          <w:trHeight w:val="300"/>
        </w:trPr>
        <w:tc>
          <w:tcPr>
            <w:tcW w:w="865" w:type="pct"/>
            <w:tcBorders>
              <w:top w:val="single" w:sz="4" w:space="0" w:color="auto"/>
              <w:left w:val="nil"/>
              <w:bottom w:val="nil"/>
              <w:right w:val="nil"/>
            </w:tcBorders>
            <w:shd w:val="clear" w:color="000000" w:fill="F2F2F2"/>
            <w:vAlign w:val="center"/>
            <w:hideMark/>
          </w:tcPr>
          <w:p w14:paraId="2DF84A17" w14:textId="77777777" w:rsidR="00F76B72" w:rsidRPr="00474938" w:rsidRDefault="00F76B72" w:rsidP="00F76B72">
            <w:pPr>
              <w:keepNext/>
              <w:spacing w:after="0" w:line="240" w:lineRule="auto"/>
              <w:rPr>
                <w:rFonts w:eastAsia="Times New Roman"/>
                <w:color w:val="000000"/>
              </w:rPr>
            </w:pPr>
            <w:r w:rsidRPr="00474938">
              <w:rPr>
                <w:rFonts w:eastAsia="Times New Roman"/>
                <w:color w:val="000000"/>
              </w:rPr>
              <w:t> </w:t>
            </w:r>
          </w:p>
        </w:tc>
        <w:tc>
          <w:tcPr>
            <w:tcW w:w="1154" w:type="pct"/>
            <w:tcBorders>
              <w:top w:val="single" w:sz="4" w:space="0" w:color="auto"/>
              <w:left w:val="nil"/>
              <w:bottom w:val="nil"/>
              <w:right w:val="nil"/>
            </w:tcBorders>
            <w:shd w:val="clear" w:color="000000" w:fill="F2F2F2"/>
            <w:vAlign w:val="center"/>
            <w:hideMark/>
          </w:tcPr>
          <w:p w14:paraId="293F274E"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(1)</w:t>
            </w:r>
          </w:p>
        </w:tc>
        <w:tc>
          <w:tcPr>
            <w:tcW w:w="1586" w:type="pct"/>
            <w:tcBorders>
              <w:top w:val="single" w:sz="4" w:space="0" w:color="auto"/>
              <w:left w:val="nil"/>
              <w:bottom w:val="nil"/>
              <w:right w:val="nil"/>
            </w:tcBorders>
            <w:shd w:val="clear" w:color="000000" w:fill="F2F2F2"/>
            <w:vAlign w:val="center"/>
            <w:hideMark/>
          </w:tcPr>
          <w:p w14:paraId="76D391BB"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(2)</w:t>
            </w:r>
          </w:p>
        </w:tc>
        <w:tc>
          <w:tcPr>
            <w:tcW w:w="1395" w:type="pct"/>
            <w:tcBorders>
              <w:top w:val="single" w:sz="4" w:space="0" w:color="auto"/>
              <w:left w:val="nil"/>
              <w:bottom w:val="nil"/>
              <w:right w:val="nil"/>
            </w:tcBorders>
            <w:shd w:val="clear" w:color="000000" w:fill="F2F2F2"/>
            <w:vAlign w:val="center"/>
            <w:hideMark/>
          </w:tcPr>
          <w:p w14:paraId="2D8AAE31"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(3)</w:t>
            </w:r>
          </w:p>
        </w:tc>
      </w:tr>
      <w:tr w:rsidR="00F76B72" w:rsidRPr="00474938" w14:paraId="522C6F1E" w14:textId="77777777" w:rsidTr="00F76B72">
        <w:trPr>
          <w:trHeight w:val="300"/>
        </w:trPr>
        <w:tc>
          <w:tcPr>
            <w:tcW w:w="865" w:type="pct"/>
            <w:tcBorders>
              <w:top w:val="nil"/>
              <w:left w:val="nil"/>
              <w:bottom w:val="single" w:sz="4" w:space="0" w:color="auto"/>
              <w:right w:val="nil"/>
            </w:tcBorders>
            <w:shd w:val="clear" w:color="000000" w:fill="F2F2F2"/>
            <w:vAlign w:val="center"/>
            <w:hideMark/>
          </w:tcPr>
          <w:p w14:paraId="65F49D70" w14:textId="77777777" w:rsidR="00F76B72" w:rsidRPr="00474938" w:rsidRDefault="00F76B72" w:rsidP="00F76B72">
            <w:pPr>
              <w:keepNext/>
              <w:spacing w:after="0" w:line="240" w:lineRule="auto"/>
              <w:rPr>
                <w:rFonts w:eastAsia="Times New Roman"/>
                <w:color w:val="000000"/>
              </w:rPr>
            </w:pPr>
            <w:r w:rsidRPr="00474938">
              <w:rPr>
                <w:rFonts w:eastAsia="Times New Roman"/>
                <w:color w:val="000000"/>
              </w:rPr>
              <w:t>Response scale</w:t>
            </w:r>
          </w:p>
        </w:tc>
        <w:tc>
          <w:tcPr>
            <w:tcW w:w="1154" w:type="pct"/>
            <w:tcBorders>
              <w:top w:val="nil"/>
              <w:left w:val="nil"/>
              <w:bottom w:val="single" w:sz="4" w:space="0" w:color="auto"/>
              <w:right w:val="nil"/>
            </w:tcBorders>
            <w:shd w:val="clear" w:color="000000" w:fill="F2F2F2"/>
            <w:vAlign w:val="center"/>
            <w:hideMark/>
          </w:tcPr>
          <w:p w14:paraId="7448CFCA"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Pr(Overall Sat_level)</w:t>
            </w:r>
          </w:p>
        </w:tc>
        <w:tc>
          <w:tcPr>
            <w:tcW w:w="1586" w:type="pct"/>
            <w:tcBorders>
              <w:top w:val="nil"/>
              <w:left w:val="nil"/>
              <w:bottom w:val="single" w:sz="4" w:space="0" w:color="auto"/>
              <w:right w:val="nil"/>
            </w:tcBorders>
            <w:shd w:val="clear" w:color="000000" w:fill="F2F2F2"/>
            <w:vAlign w:val="center"/>
            <w:hideMark/>
          </w:tcPr>
          <w:p w14:paraId="28586D1F"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Pr(Sat_level| Kroon Students)</w:t>
            </w:r>
          </w:p>
        </w:tc>
        <w:tc>
          <w:tcPr>
            <w:tcW w:w="1395" w:type="pct"/>
            <w:tcBorders>
              <w:top w:val="nil"/>
              <w:left w:val="nil"/>
              <w:bottom w:val="single" w:sz="4" w:space="0" w:color="auto"/>
              <w:right w:val="nil"/>
            </w:tcBorders>
            <w:shd w:val="clear" w:color="000000" w:fill="F2F2F2"/>
            <w:vAlign w:val="center"/>
            <w:hideMark/>
          </w:tcPr>
          <w:p w14:paraId="635F1819"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Pr(Sat_level| Kroon office)</w:t>
            </w:r>
          </w:p>
        </w:tc>
      </w:tr>
      <w:tr w:rsidR="00F76B72" w:rsidRPr="00474938" w14:paraId="613382C8" w14:textId="77777777" w:rsidTr="00F76B72">
        <w:trPr>
          <w:trHeight w:val="300"/>
        </w:trPr>
        <w:tc>
          <w:tcPr>
            <w:tcW w:w="865" w:type="pct"/>
            <w:tcBorders>
              <w:top w:val="nil"/>
              <w:left w:val="nil"/>
              <w:bottom w:val="nil"/>
              <w:right w:val="nil"/>
            </w:tcBorders>
            <w:shd w:val="clear" w:color="000000" w:fill="F2F2F2"/>
            <w:vAlign w:val="center"/>
            <w:hideMark/>
          </w:tcPr>
          <w:p w14:paraId="0DAFAB4B" w14:textId="77777777" w:rsidR="00F76B72" w:rsidRPr="00474938" w:rsidRDefault="00F76B72" w:rsidP="00F76B72">
            <w:pPr>
              <w:keepNext/>
              <w:spacing w:after="0" w:line="240" w:lineRule="auto"/>
              <w:jc w:val="center"/>
              <w:rPr>
                <w:rFonts w:eastAsia="Times New Roman"/>
                <w:color w:val="000000"/>
              </w:rPr>
            </w:pPr>
            <w:r>
              <w:rPr>
                <w:rFonts w:eastAsia="Times New Roman"/>
                <w:color w:val="000000"/>
              </w:rPr>
              <w:t>1</w:t>
            </w:r>
          </w:p>
        </w:tc>
        <w:tc>
          <w:tcPr>
            <w:tcW w:w="1154" w:type="pct"/>
            <w:tcBorders>
              <w:top w:val="nil"/>
              <w:left w:val="nil"/>
              <w:bottom w:val="nil"/>
              <w:right w:val="nil"/>
            </w:tcBorders>
            <w:shd w:val="clear" w:color="000000" w:fill="F2F2F2"/>
            <w:vAlign w:val="center"/>
            <w:hideMark/>
          </w:tcPr>
          <w:p w14:paraId="274B041C"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0.081</w:t>
            </w:r>
          </w:p>
        </w:tc>
        <w:tc>
          <w:tcPr>
            <w:tcW w:w="1586" w:type="pct"/>
            <w:tcBorders>
              <w:top w:val="nil"/>
              <w:left w:val="nil"/>
              <w:bottom w:val="nil"/>
              <w:right w:val="nil"/>
            </w:tcBorders>
            <w:shd w:val="clear" w:color="000000" w:fill="F2F2F2"/>
            <w:vAlign w:val="center"/>
            <w:hideMark/>
          </w:tcPr>
          <w:p w14:paraId="03E971EE"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0.037</w:t>
            </w:r>
          </w:p>
        </w:tc>
        <w:tc>
          <w:tcPr>
            <w:tcW w:w="1395" w:type="pct"/>
            <w:tcBorders>
              <w:top w:val="nil"/>
              <w:left w:val="nil"/>
              <w:bottom w:val="nil"/>
              <w:right w:val="nil"/>
            </w:tcBorders>
            <w:shd w:val="clear" w:color="000000" w:fill="F2F2F2"/>
            <w:vAlign w:val="center"/>
            <w:hideMark/>
          </w:tcPr>
          <w:p w14:paraId="2DC45D14"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0.092</w:t>
            </w:r>
          </w:p>
        </w:tc>
      </w:tr>
      <w:tr w:rsidR="00F76B72" w:rsidRPr="00474938" w14:paraId="17959D1C" w14:textId="77777777" w:rsidTr="00F76B72">
        <w:trPr>
          <w:trHeight w:val="300"/>
        </w:trPr>
        <w:tc>
          <w:tcPr>
            <w:tcW w:w="865" w:type="pct"/>
            <w:tcBorders>
              <w:top w:val="nil"/>
              <w:left w:val="nil"/>
              <w:bottom w:val="nil"/>
              <w:right w:val="nil"/>
            </w:tcBorders>
            <w:shd w:val="clear" w:color="000000" w:fill="F2F2F2"/>
            <w:vAlign w:val="center"/>
            <w:hideMark/>
          </w:tcPr>
          <w:p w14:paraId="102D2D8B" w14:textId="77777777" w:rsidR="00F76B72" w:rsidRPr="00474938" w:rsidRDefault="00F76B72" w:rsidP="00F76B72">
            <w:pPr>
              <w:keepNext/>
              <w:spacing w:after="0" w:line="240" w:lineRule="auto"/>
              <w:jc w:val="center"/>
              <w:rPr>
                <w:rFonts w:eastAsia="Times New Roman"/>
                <w:color w:val="000000"/>
              </w:rPr>
            </w:pPr>
            <w:r>
              <w:rPr>
                <w:rFonts w:eastAsia="Times New Roman"/>
                <w:color w:val="000000"/>
              </w:rPr>
              <w:t>2</w:t>
            </w:r>
          </w:p>
        </w:tc>
        <w:tc>
          <w:tcPr>
            <w:tcW w:w="1154" w:type="pct"/>
            <w:tcBorders>
              <w:top w:val="nil"/>
              <w:left w:val="nil"/>
              <w:bottom w:val="nil"/>
              <w:right w:val="nil"/>
            </w:tcBorders>
            <w:shd w:val="clear" w:color="000000" w:fill="F2F2F2"/>
            <w:vAlign w:val="center"/>
            <w:hideMark/>
          </w:tcPr>
          <w:p w14:paraId="3038DCC7"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0.242</w:t>
            </w:r>
          </w:p>
        </w:tc>
        <w:tc>
          <w:tcPr>
            <w:tcW w:w="1586" w:type="pct"/>
            <w:tcBorders>
              <w:top w:val="nil"/>
              <w:left w:val="nil"/>
              <w:bottom w:val="nil"/>
              <w:right w:val="nil"/>
            </w:tcBorders>
            <w:shd w:val="clear" w:color="000000" w:fill="F2F2F2"/>
            <w:vAlign w:val="center"/>
            <w:hideMark/>
          </w:tcPr>
          <w:p w14:paraId="107A8960"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0.174</w:t>
            </w:r>
          </w:p>
        </w:tc>
        <w:tc>
          <w:tcPr>
            <w:tcW w:w="1395" w:type="pct"/>
            <w:tcBorders>
              <w:top w:val="nil"/>
              <w:left w:val="nil"/>
              <w:bottom w:val="nil"/>
              <w:right w:val="nil"/>
            </w:tcBorders>
            <w:shd w:val="clear" w:color="000000" w:fill="F2F2F2"/>
            <w:vAlign w:val="center"/>
            <w:hideMark/>
          </w:tcPr>
          <w:p w14:paraId="47F4DB80"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0.273</w:t>
            </w:r>
          </w:p>
        </w:tc>
      </w:tr>
      <w:tr w:rsidR="00F76B72" w:rsidRPr="00474938" w14:paraId="48E11458" w14:textId="77777777" w:rsidTr="00F76B72">
        <w:trPr>
          <w:trHeight w:val="300"/>
        </w:trPr>
        <w:tc>
          <w:tcPr>
            <w:tcW w:w="865" w:type="pct"/>
            <w:tcBorders>
              <w:top w:val="nil"/>
              <w:left w:val="nil"/>
              <w:bottom w:val="nil"/>
              <w:right w:val="nil"/>
            </w:tcBorders>
            <w:shd w:val="clear" w:color="000000" w:fill="F2F2F2"/>
            <w:vAlign w:val="center"/>
            <w:hideMark/>
          </w:tcPr>
          <w:p w14:paraId="61B90C51" w14:textId="77777777" w:rsidR="00F76B72" w:rsidRPr="00474938" w:rsidRDefault="00F76B72" w:rsidP="00F76B72">
            <w:pPr>
              <w:keepNext/>
              <w:spacing w:after="0" w:line="240" w:lineRule="auto"/>
              <w:jc w:val="center"/>
              <w:rPr>
                <w:rFonts w:eastAsia="Times New Roman"/>
                <w:color w:val="000000"/>
              </w:rPr>
            </w:pPr>
            <w:r>
              <w:rPr>
                <w:rFonts w:eastAsia="Times New Roman"/>
                <w:color w:val="000000"/>
              </w:rPr>
              <w:t>3</w:t>
            </w:r>
          </w:p>
        </w:tc>
        <w:tc>
          <w:tcPr>
            <w:tcW w:w="1154" w:type="pct"/>
            <w:tcBorders>
              <w:top w:val="nil"/>
              <w:left w:val="nil"/>
              <w:bottom w:val="nil"/>
              <w:right w:val="nil"/>
            </w:tcBorders>
            <w:shd w:val="clear" w:color="000000" w:fill="F2F2F2"/>
            <w:vAlign w:val="center"/>
            <w:hideMark/>
          </w:tcPr>
          <w:p w14:paraId="131A74C4"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0.137</w:t>
            </w:r>
          </w:p>
        </w:tc>
        <w:tc>
          <w:tcPr>
            <w:tcW w:w="1586" w:type="pct"/>
            <w:tcBorders>
              <w:top w:val="nil"/>
              <w:left w:val="nil"/>
              <w:bottom w:val="nil"/>
              <w:right w:val="nil"/>
            </w:tcBorders>
            <w:shd w:val="clear" w:color="000000" w:fill="F2F2F2"/>
            <w:vAlign w:val="center"/>
            <w:hideMark/>
          </w:tcPr>
          <w:p w14:paraId="78FE47E9"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0.124</w:t>
            </w:r>
          </w:p>
        </w:tc>
        <w:tc>
          <w:tcPr>
            <w:tcW w:w="1395" w:type="pct"/>
            <w:tcBorders>
              <w:top w:val="nil"/>
              <w:left w:val="nil"/>
              <w:bottom w:val="nil"/>
              <w:right w:val="nil"/>
            </w:tcBorders>
            <w:shd w:val="clear" w:color="000000" w:fill="F2F2F2"/>
            <w:vAlign w:val="center"/>
            <w:hideMark/>
          </w:tcPr>
          <w:p w14:paraId="4E19A523"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0.148</w:t>
            </w:r>
          </w:p>
        </w:tc>
      </w:tr>
      <w:tr w:rsidR="00F76B72" w:rsidRPr="00474938" w14:paraId="4D0621E2" w14:textId="77777777" w:rsidTr="00F76B72">
        <w:trPr>
          <w:trHeight w:val="300"/>
        </w:trPr>
        <w:tc>
          <w:tcPr>
            <w:tcW w:w="865" w:type="pct"/>
            <w:tcBorders>
              <w:top w:val="nil"/>
              <w:left w:val="nil"/>
              <w:bottom w:val="nil"/>
              <w:right w:val="nil"/>
            </w:tcBorders>
            <w:shd w:val="clear" w:color="000000" w:fill="F2F2F2"/>
            <w:vAlign w:val="center"/>
            <w:hideMark/>
          </w:tcPr>
          <w:p w14:paraId="7DD64BA2" w14:textId="77777777" w:rsidR="00F76B72" w:rsidRPr="00474938" w:rsidRDefault="00F76B72" w:rsidP="00F76B72">
            <w:pPr>
              <w:keepNext/>
              <w:spacing w:after="0" w:line="240" w:lineRule="auto"/>
              <w:jc w:val="center"/>
              <w:rPr>
                <w:rFonts w:eastAsia="Times New Roman"/>
                <w:color w:val="000000"/>
              </w:rPr>
            </w:pPr>
            <w:r>
              <w:rPr>
                <w:rFonts w:eastAsia="Times New Roman"/>
                <w:color w:val="000000"/>
              </w:rPr>
              <w:t>4</w:t>
            </w:r>
          </w:p>
        </w:tc>
        <w:tc>
          <w:tcPr>
            <w:tcW w:w="1154" w:type="pct"/>
            <w:tcBorders>
              <w:top w:val="nil"/>
              <w:left w:val="nil"/>
              <w:bottom w:val="nil"/>
              <w:right w:val="nil"/>
            </w:tcBorders>
            <w:shd w:val="clear" w:color="000000" w:fill="F2F2F2"/>
            <w:vAlign w:val="center"/>
            <w:hideMark/>
          </w:tcPr>
          <w:p w14:paraId="212073A0"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0.366</w:t>
            </w:r>
          </w:p>
        </w:tc>
        <w:tc>
          <w:tcPr>
            <w:tcW w:w="1586" w:type="pct"/>
            <w:tcBorders>
              <w:top w:val="nil"/>
              <w:left w:val="nil"/>
              <w:bottom w:val="nil"/>
              <w:right w:val="nil"/>
            </w:tcBorders>
            <w:shd w:val="clear" w:color="000000" w:fill="F2F2F2"/>
            <w:vAlign w:val="center"/>
            <w:hideMark/>
          </w:tcPr>
          <w:p w14:paraId="750078A5"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0.411</w:t>
            </w:r>
          </w:p>
        </w:tc>
        <w:tc>
          <w:tcPr>
            <w:tcW w:w="1395" w:type="pct"/>
            <w:tcBorders>
              <w:top w:val="nil"/>
              <w:left w:val="nil"/>
              <w:bottom w:val="nil"/>
              <w:right w:val="nil"/>
            </w:tcBorders>
            <w:shd w:val="clear" w:color="000000" w:fill="F2F2F2"/>
            <w:vAlign w:val="center"/>
            <w:hideMark/>
          </w:tcPr>
          <w:p w14:paraId="2E2142A3"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0.356</w:t>
            </w:r>
          </w:p>
        </w:tc>
      </w:tr>
      <w:tr w:rsidR="00F76B72" w:rsidRPr="00474938" w14:paraId="518A27C7" w14:textId="77777777" w:rsidTr="00F76B72">
        <w:trPr>
          <w:trHeight w:val="300"/>
        </w:trPr>
        <w:tc>
          <w:tcPr>
            <w:tcW w:w="865" w:type="pct"/>
            <w:tcBorders>
              <w:top w:val="nil"/>
              <w:left w:val="nil"/>
              <w:bottom w:val="nil"/>
              <w:right w:val="nil"/>
            </w:tcBorders>
            <w:shd w:val="clear" w:color="000000" w:fill="F2F2F2"/>
            <w:vAlign w:val="center"/>
            <w:hideMark/>
          </w:tcPr>
          <w:p w14:paraId="7F4EBD8E" w14:textId="77777777" w:rsidR="00F76B72" w:rsidRPr="00474938" w:rsidRDefault="00F76B72" w:rsidP="00F76B72">
            <w:pPr>
              <w:keepNext/>
              <w:spacing w:after="0" w:line="240" w:lineRule="auto"/>
              <w:jc w:val="center"/>
              <w:rPr>
                <w:rFonts w:eastAsia="Times New Roman"/>
                <w:color w:val="000000"/>
              </w:rPr>
            </w:pPr>
            <w:r>
              <w:rPr>
                <w:rFonts w:eastAsia="Times New Roman"/>
                <w:color w:val="000000"/>
              </w:rPr>
              <w:t>5</w:t>
            </w:r>
          </w:p>
        </w:tc>
        <w:tc>
          <w:tcPr>
            <w:tcW w:w="1154" w:type="pct"/>
            <w:tcBorders>
              <w:top w:val="nil"/>
              <w:left w:val="nil"/>
              <w:bottom w:val="nil"/>
              <w:right w:val="nil"/>
            </w:tcBorders>
            <w:shd w:val="clear" w:color="000000" w:fill="F2F2F2"/>
            <w:vAlign w:val="center"/>
            <w:hideMark/>
          </w:tcPr>
          <w:p w14:paraId="0ACAE45B"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0.174</w:t>
            </w:r>
          </w:p>
        </w:tc>
        <w:tc>
          <w:tcPr>
            <w:tcW w:w="1586" w:type="pct"/>
            <w:tcBorders>
              <w:top w:val="nil"/>
              <w:left w:val="nil"/>
              <w:bottom w:val="nil"/>
              <w:right w:val="nil"/>
            </w:tcBorders>
            <w:shd w:val="clear" w:color="000000" w:fill="F2F2F2"/>
            <w:vAlign w:val="center"/>
            <w:hideMark/>
          </w:tcPr>
          <w:p w14:paraId="24A71C9A"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0.254</w:t>
            </w:r>
          </w:p>
        </w:tc>
        <w:tc>
          <w:tcPr>
            <w:tcW w:w="1395" w:type="pct"/>
            <w:tcBorders>
              <w:top w:val="nil"/>
              <w:left w:val="nil"/>
              <w:bottom w:val="nil"/>
              <w:right w:val="nil"/>
            </w:tcBorders>
            <w:shd w:val="clear" w:color="000000" w:fill="F2F2F2"/>
            <w:vAlign w:val="center"/>
            <w:hideMark/>
          </w:tcPr>
          <w:p w14:paraId="3A00F37F" w14:textId="77777777" w:rsidR="00F76B72" w:rsidRPr="00474938" w:rsidRDefault="00F76B72" w:rsidP="00F76B72">
            <w:pPr>
              <w:keepNext/>
              <w:spacing w:after="0" w:line="240" w:lineRule="auto"/>
              <w:jc w:val="center"/>
              <w:rPr>
                <w:rFonts w:eastAsia="Times New Roman"/>
                <w:color w:val="000000"/>
              </w:rPr>
            </w:pPr>
            <w:r w:rsidRPr="00474938">
              <w:rPr>
                <w:rFonts w:eastAsia="Times New Roman"/>
                <w:color w:val="000000"/>
              </w:rPr>
              <w:t>0.131</w:t>
            </w:r>
          </w:p>
        </w:tc>
      </w:tr>
      <w:tr w:rsidR="00F76B72" w:rsidRPr="00474938" w14:paraId="6BAEACE9" w14:textId="77777777" w:rsidTr="00F76B72">
        <w:trPr>
          <w:trHeight w:val="300"/>
        </w:trPr>
        <w:tc>
          <w:tcPr>
            <w:tcW w:w="5000" w:type="pct"/>
            <w:gridSpan w:val="4"/>
            <w:tcBorders>
              <w:top w:val="single" w:sz="4" w:space="0" w:color="auto"/>
              <w:left w:val="nil"/>
              <w:bottom w:val="nil"/>
              <w:right w:val="nil"/>
            </w:tcBorders>
            <w:shd w:val="clear" w:color="000000" w:fill="F2F2F2"/>
            <w:noWrap/>
            <w:hideMark/>
          </w:tcPr>
          <w:p w14:paraId="3C24D290" w14:textId="77777777" w:rsidR="00F76B72" w:rsidRPr="00474938" w:rsidRDefault="00F76B72" w:rsidP="00F76B72">
            <w:pPr>
              <w:keepNext/>
              <w:spacing w:after="0" w:line="240" w:lineRule="auto"/>
              <w:rPr>
                <w:rFonts w:eastAsia="Times New Roman"/>
                <w:color w:val="000000"/>
                <w:sz w:val="18"/>
                <w:szCs w:val="18"/>
              </w:rPr>
            </w:pPr>
            <w:r w:rsidRPr="00474938">
              <w:rPr>
                <w:rFonts w:eastAsia="Times New Roman"/>
                <w:color w:val="000000"/>
                <w:sz w:val="18"/>
                <w:szCs w:val="18"/>
              </w:rPr>
              <w:t>Scale of 1 being the lowest to 5 being the highest satisfaction: Standard errors not shown- all significant at the 1% level</w:t>
            </w:r>
            <w:r>
              <w:rPr>
                <w:rFonts w:eastAsia="Times New Roman"/>
                <w:color w:val="000000"/>
                <w:sz w:val="18"/>
                <w:szCs w:val="18"/>
              </w:rPr>
              <w:t xml:space="preserve">. </w:t>
            </w:r>
            <w:r w:rsidRPr="00D951EA">
              <w:rPr>
                <w:rFonts w:eastAsia="Times New Roman"/>
                <w:color w:val="000000"/>
                <w:sz w:val="14"/>
                <w:szCs w:val="18"/>
              </w:rPr>
              <w:t xml:space="preserve"> </w:t>
            </w:r>
            <w:r>
              <w:rPr>
                <w:color w:val="000000"/>
                <w:sz w:val="18"/>
              </w:rPr>
              <w:t>T</w:t>
            </w:r>
            <w:r w:rsidRPr="00D951EA">
              <w:rPr>
                <w:color w:val="000000"/>
                <w:sz w:val="18"/>
              </w:rPr>
              <w:t>he potential responses are: 1=Very dissatisfied, 2=Somewhat dissatisfied, 3=Neutral, 4=Somewhat satisfied, 5=Very satisfied</w:t>
            </w:r>
          </w:p>
        </w:tc>
      </w:tr>
    </w:tbl>
    <w:p w14:paraId="272C553E" w14:textId="3C3C5CC4" w:rsidR="00F76B72" w:rsidRPr="00991596" w:rsidRDefault="00F76B72" w:rsidP="0052424D">
      <w:pPr>
        <w:spacing w:before="240" w:line="360" w:lineRule="auto"/>
        <w:rPr>
          <w:color w:val="000000"/>
        </w:rPr>
      </w:pPr>
      <w:r>
        <w:rPr>
          <w:color w:val="000000"/>
        </w:rPr>
        <w:t>I then ask,</w:t>
      </w:r>
      <w:r w:rsidR="009104CB">
        <w:rPr>
          <w:color w:val="000000"/>
        </w:rPr>
        <w:t xml:space="preserve"> how</w:t>
      </w:r>
      <w:r>
        <w:rPr>
          <w:color w:val="000000"/>
        </w:rPr>
        <w:t xml:space="preserve"> i</w:t>
      </w:r>
      <w:r w:rsidRPr="00422F9C">
        <w:rPr>
          <w:color w:val="000000"/>
        </w:rPr>
        <w:t xml:space="preserve">s the experience different for </w:t>
      </w:r>
      <w:r>
        <w:rPr>
          <w:color w:val="000000"/>
        </w:rPr>
        <w:t xml:space="preserve">the </w:t>
      </w:r>
      <w:r w:rsidRPr="00422F9C">
        <w:rPr>
          <w:color w:val="000000"/>
        </w:rPr>
        <w:t xml:space="preserve">non-office </w:t>
      </w:r>
      <w:r>
        <w:rPr>
          <w:color w:val="000000"/>
        </w:rPr>
        <w:t>users</w:t>
      </w:r>
      <w:r w:rsidR="009104CB">
        <w:rPr>
          <w:color w:val="000000"/>
        </w:rPr>
        <w:t xml:space="preserve"> </w:t>
      </w:r>
      <w:r w:rsidRPr="00422F9C">
        <w:rPr>
          <w:color w:val="000000"/>
        </w:rPr>
        <w:t>in Kroon</w:t>
      </w:r>
      <w:r>
        <w:rPr>
          <w:color w:val="000000"/>
        </w:rPr>
        <w:t xml:space="preserve"> Hall</w:t>
      </w:r>
      <w:r w:rsidRPr="00422F9C">
        <w:rPr>
          <w:color w:val="000000"/>
        </w:rPr>
        <w:t xml:space="preserve"> versus other F&amp;ES buildings?</w:t>
      </w:r>
      <w:r>
        <w:rPr>
          <w:color w:val="000000"/>
        </w:rPr>
        <w:t xml:space="preserve">  And </w:t>
      </w:r>
      <w:r w:rsidR="009104CB">
        <w:rPr>
          <w:color w:val="000000"/>
        </w:rPr>
        <w:t>how</w:t>
      </w:r>
      <w:r>
        <w:rPr>
          <w:color w:val="000000"/>
        </w:rPr>
        <w:t xml:space="preserve"> i</w:t>
      </w:r>
      <w:r w:rsidRPr="00991596">
        <w:rPr>
          <w:color w:val="000000"/>
        </w:rPr>
        <w:t xml:space="preserve">s it different </w:t>
      </w:r>
      <w:r>
        <w:rPr>
          <w:color w:val="000000"/>
        </w:rPr>
        <w:t xml:space="preserve">for faculty and </w:t>
      </w:r>
      <w:r w:rsidRPr="00991596">
        <w:rPr>
          <w:color w:val="000000"/>
        </w:rPr>
        <w:t>staff</w:t>
      </w:r>
      <w:r>
        <w:rPr>
          <w:color w:val="000000"/>
        </w:rPr>
        <w:t xml:space="preserve"> </w:t>
      </w:r>
      <w:r w:rsidRPr="00991596">
        <w:rPr>
          <w:color w:val="000000"/>
        </w:rPr>
        <w:t>in Kroon</w:t>
      </w:r>
      <w:r>
        <w:rPr>
          <w:color w:val="000000"/>
        </w:rPr>
        <w:t xml:space="preserve"> Hall versus elsewhere</w:t>
      </w:r>
      <w:r w:rsidRPr="00991596">
        <w:rPr>
          <w:color w:val="000000"/>
        </w:rPr>
        <w:t>?</w:t>
      </w:r>
      <w:r>
        <w:rPr>
          <w:color w:val="000000"/>
        </w:rPr>
        <w:t xml:space="preserve">  Table 6 presents </w:t>
      </w:r>
      <w:r w:rsidR="009104CB">
        <w:rPr>
          <w:color w:val="000000"/>
        </w:rPr>
        <w:t>the</w:t>
      </w:r>
      <w:r>
        <w:rPr>
          <w:color w:val="000000"/>
        </w:rPr>
        <w:t xml:space="preserve"> changes in the margins from the Kroon Hall treatment for each group.  </w:t>
      </w:r>
      <w:r w:rsidR="009104CB">
        <w:rPr>
          <w:color w:val="000000"/>
        </w:rPr>
        <w:t>A</w:t>
      </w:r>
      <w:r>
        <w:rPr>
          <w:color w:val="000000"/>
        </w:rPr>
        <w:t xml:space="preserve"> student in Kroon </w:t>
      </w:r>
      <w:r w:rsidR="009104CB">
        <w:rPr>
          <w:color w:val="000000"/>
        </w:rPr>
        <w:t>H</w:t>
      </w:r>
      <w:r>
        <w:rPr>
          <w:color w:val="000000"/>
        </w:rPr>
        <w:t>all is 11-percent</w:t>
      </w:r>
      <w:r w:rsidRPr="00991596">
        <w:rPr>
          <w:color w:val="000000"/>
        </w:rPr>
        <w:t xml:space="preserve"> less likely to be very dissati</w:t>
      </w:r>
      <w:r>
        <w:rPr>
          <w:color w:val="000000"/>
        </w:rPr>
        <w:t>sfied and 25-percent</w:t>
      </w:r>
      <w:r w:rsidRPr="00991596">
        <w:rPr>
          <w:color w:val="000000"/>
        </w:rPr>
        <w:t xml:space="preserve"> more like</w:t>
      </w:r>
      <w:r w:rsidR="00585EDD">
        <w:rPr>
          <w:color w:val="000000"/>
        </w:rPr>
        <w:t>ly</w:t>
      </w:r>
      <w:r w:rsidRPr="00991596">
        <w:rPr>
          <w:color w:val="000000"/>
        </w:rPr>
        <w:t xml:space="preserve"> to be very satisfied than st</w:t>
      </w:r>
      <w:r>
        <w:rPr>
          <w:color w:val="000000"/>
        </w:rPr>
        <w:t xml:space="preserve">udents </w:t>
      </w:r>
      <w:r w:rsidR="00262040">
        <w:rPr>
          <w:color w:val="000000"/>
        </w:rPr>
        <w:t>reporting</w:t>
      </w:r>
      <w:r>
        <w:rPr>
          <w:color w:val="000000"/>
        </w:rPr>
        <w:t xml:space="preserve"> other F&amp;ES buildings</w:t>
      </w:r>
      <w:r w:rsidR="00E525A1">
        <w:rPr>
          <w:color w:val="000000"/>
        </w:rPr>
        <w:t>,</w:t>
      </w:r>
      <w:r>
        <w:rPr>
          <w:color w:val="000000"/>
        </w:rPr>
        <w:t xml:space="preserve"> at a one-percent or better level of statistical significance.  </w:t>
      </w:r>
      <w:r w:rsidRPr="00991596">
        <w:rPr>
          <w:color w:val="000000"/>
        </w:rPr>
        <w:t xml:space="preserve">Unfortunately, </w:t>
      </w:r>
      <w:r w:rsidRPr="00991596">
        <w:rPr>
          <w:color w:val="000000"/>
        </w:rPr>
        <w:lastRenderedPageBreak/>
        <w:t xml:space="preserve">within Kroon we also see that having an office </w:t>
      </w:r>
      <w:r>
        <w:rPr>
          <w:color w:val="000000"/>
        </w:rPr>
        <w:t>decreases the probability of being very satisfied and increases the probability of being dissatisfied relative to other office users</w:t>
      </w:r>
      <w:r w:rsidR="00262040">
        <w:rPr>
          <w:color w:val="000000"/>
        </w:rPr>
        <w:t>,</w:t>
      </w:r>
      <w:r w:rsidR="00E525A1">
        <w:rPr>
          <w:color w:val="000000"/>
        </w:rPr>
        <w:t xml:space="preserve"> however,</w:t>
      </w:r>
      <w:r>
        <w:rPr>
          <w:color w:val="000000"/>
        </w:rPr>
        <w:t xml:space="preserve"> </w:t>
      </w:r>
      <w:r w:rsidR="00262040">
        <w:rPr>
          <w:color w:val="000000"/>
        </w:rPr>
        <w:t>this is not</w:t>
      </w:r>
      <w:r>
        <w:rPr>
          <w:color w:val="000000"/>
        </w:rPr>
        <w:t xml:space="preserve"> though statistically significant at any acceptable level</w:t>
      </w:r>
      <w:r w:rsidRPr="00991596">
        <w:rPr>
          <w:color w:val="000000"/>
        </w:rPr>
        <w:t>.</w:t>
      </w:r>
    </w:p>
    <w:tbl>
      <w:tblPr>
        <w:tblW w:w="4663" w:type="pct"/>
        <w:tblLayout w:type="fixed"/>
        <w:tblLook w:val="04A0" w:firstRow="1" w:lastRow="0" w:firstColumn="1" w:lastColumn="0" w:noHBand="0" w:noVBand="1"/>
      </w:tblPr>
      <w:tblGrid>
        <w:gridCol w:w="1618"/>
        <w:gridCol w:w="3420"/>
        <w:gridCol w:w="3691"/>
      </w:tblGrid>
      <w:tr w:rsidR="00F76B72" w:rsidRPr="00D07265" w14:paraId="1DE34DF3" w14:textId="77777777" w:rsidTr="00F76B72">
        <w:trPr>
          <w:trHeight w:val="300"/>
        </w:trPr>
        <w:tc>
          <w:tcPr>
            <w:tcW w:w="5000" w:type="pct"/>
            <w:gridSpan w:val="3"/>
            <w:tcBorders>
              <w:top w:val="nil"/>
              <w:left w:val="nil"/>
              <w:bottom w:val="single" w:sz="4" w:space="0" w:color="auto"/>
              <w:right w:val="nil"/>
            </w:tcBorders>
            <w:shd w:val="clear" w:color="000000" w:fill="D0CECE"/>
            <w:noWrap/>
            <w:hideMark/>
          </w:tcPr>
          <w:p w14:paraId="6ACEE2E5" w14:textId="77777777" w:rsidR="00F76B72" w:rsidRPr="00D07265" w:rsidRDefault="00F76B72" w:rsidP="00F76B72">
            <w:pPr>
              <w:keepNext/>
              <w:spacing w:after="0" w:line="240" w:lineRule="auto"/>
              <w:rPr>
                <w:rFonts w:eastAsia="Times New Roman"/>
                <w:b/>
                <w:bCs/>
                <w:color w:val="000000"/>
              </w:rPr>
            </w:pPr>
            <w:r>
              <w:rPr>
                <w:rFonts w:eastAsia="Times New Roman"/>
                <w:b/>
                <w:bCs/>
                <w:color w:val="000000"/>
              </w:rPr>
              <w:t>Table 6</w:t>
            </w:r>
            <w:r w:rsidRPr="00D07265">
              <w:rPr>
                <w:rFonts w:eastAsia="Times New Roman"/>
                <w:b/>
                <w:bCs/>
                <w:color w:val="000000"/>
              </w:rPr>
              <w:t xml:space="preserve"> | Changes in margins on satisfaction with thermal comfort</w:t>
            </w:r>
          </w:p>
        </w:tc>
      </w:tr>
      <w:tr w:rsidR="00F76B72" w:rsidRPr="00D07265" w14:paraId="78029F8B" w14:textId="77777777" w:rsidTr="00F76B72">
        <w:trPr>
          <w:trHeight w:val="300"/>
        </w:trPr>
        <w:tc>
          <w:tcPr>
            <w:tcW w:w="927" w:type="pct"/>
            <w:tcBorders>
              <w:top w:val="nil"/>
              <w:left w:val="nil"/>
              <w:bottom w:val="nil"/>
              <w:right w:val="nil"/>
            </w:tcBorders>
            <w:shd w:val="clear" w:color="000000" w:fill="F2F2F2"/>
            <w:vAlign w:val="center"/>
            <w:hideMark/>
          </w:tcPr>
          <w:p w14:paraId="34322657" w14:textId="77777777" w:rsidR="00F76B72" w:rsidRPr="00D07265" w:rsidRDefault="00F76B72" w:rsidP="00F76B72">
            <w:pPr>
              <w:keepNext/>
              <w:spacing w:after="0" w:line="240" w:lineRule="auto"/>
              <w:rPr>
                <w:rFonts w:eastAsia="Times New Roman"/>
                <w:color w:val="000000"/>
              </w:rPr>
            </w:pPr>
            <w:r w:rsidRPr="00D07265">
              <w:rPr>
                <w:rFonts w:eastAsia="Times New Roman"/>
                <w:color w:val="000000"/>
              </w:rPr>
              <w:t> </w:t>
            </w:r>
          </w:p>
        </w:tc>
        <w:tc>
          <w:tcPr>
            <w:tcW w:w="1959" w:type="pct"/>
            <w:tcBorders>
              <w:top w:val="nil"/>
              <w:left w:val="nil"/>
              <w:bottom w:val="nil"/>
              <w:right w:val="nil"/>
            </w:tcBorders>
            <w:shd w:val="clear" w:color="000000" w:fill="F2F2F2"/>
            <w:vAlign w:val="center"/>
            <w:hideMark/>
          </w:tcPr>
          <w:p w14:paraId="02F5A0E4"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(1)</w:t>
            </w:r>
          </w:p>
        </w:tc>
        <w:tc>
          <w:tcPr>
            <w:tcW w:w="2114" w:type="pct"/>
            <w:tcBorders>
              <w:top w:val="nil"/>
              <w:left w:val="nil"/>
              <w:bottom w:val="nil"/>
              <w:right w:val="nil"/>
            </w:tcBorders>
            <w:shd w:val="clear" w:color="000000" w:fill="F2F2F2"/>
            <w:noWrap/>
            <w:hideMark/>
          </w:tcPr>
          <w:p w14:paraId="2429F0AB"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(2)</w:t>
            </w:r>
          </w:p>
        </w:tc>
      </w:tr>
      <w:tr w:rsidR="00F76B72" w:rsidRPr="00D07265" w14:paraId="2E5F1C46" w14:textId="77777777" w:rsidTr="00F76B72">
        <w:trPr>
          <w:trHeight w:val="288"/>
        </w:trPr>
        <w:tc>
          <w:tcPr>
            <w:tcW w:w="927" w:type="pct"/>
            <w:tcBorders>
              <w:top w:val="nil"/>
              <w:left w:val="nil"/>
              <w:bottom w:val="single" w:sz="4" w:space="0" w:color="auto"/>
              <w:right w:val="nil"/>
            </w:tcBorders>
            <w:shd w:val="clear" w:color="000000" w:fill="F2F2F2"/>
            <w:hideMark/>
          </w:tcPr>
          <w:p w14:paraId="17AF9D05"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Response scale</w:t>
            </w:r>
          </w:p>
        </w:tc>
        <w:tc>
          <w:tcPr>
            <w:tcW w:w="1959" w:type="pct"/>
            <w:tcBorders>
              <w:top w:val="nil"/>
              <w:left w:val="nil"/>
              <w:bottom w:val="single" w:sz="4" w:space="0" w:color="auto"/>
              <w:right w:val="nil"/>
            </w:tcBorders>
            <w:shd w:val="clear" w:color="000000" w:fill="F2F2F2"/>
            <w:hideMark/>
          </w:tcPr>
          <w:p w14:paraId="472796AB"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Effect of Kroon</w:t>
            </w:r>
            <w:r>
              <w:rPr>
                <w:rFonts w:eastAsia="Times New Roman"/>
                <w:color w:val="000000"/>
              </w:rPr>
              <w:t xml:space="preserve"> Hall</w:t>
            </w:r>
            <w:r w:rsidRPr="00D07265">
              <w:rPr>
                <w:rFonts w:eastAsia="Times New Roman"/>
                <w:color w:val="000000"/>
              </w:rPr>
              <w:t xml:space="preserve"> on students</w:t>
            </w:r>
          </w:p>
        </w:tc>
        <w:tc>
          <w:tcPr>
            <w:tcW w:w="2114" w:type="pct"/>
            <w:tcBorders>
              <w:top w:val="nil"/>
              <w:left w:val="nil"/>
              <w:bottom w:val="single" w:sz="4" w:space="0" w:color="auto"/>
              <w:right w:val="nil"/>
            </w:tcBorders>
            <w:shd w:val="clear" w:color="000000" w:fill="F2F2F2"/>
            <w:hideMark/>
          </w:tcPr>
          <w:p w14:paraId="54CBED65"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Effect of Kroon Hall on office holders</w:t>
            </w:r>
          </w:p>
        </w:tc>
      </w:tr>
      <w:tr w:rsidR="00F76B72" w:rsidRPr="00D07265" w14:paraId="472A5217" w14:textId="77777777" w:rsidTr="00F76B72">
        <w:trPr>
          <w:trHeight w:val="300"/>
        </w:trPr>
        <w:tc>
          <w:tcPr>
            <w:tcW w:w="927" w:type="pct"/>
            <w:tcBorders>
              <w:top w:val="nil"/>
              <w:left w:val="nil"/>
              <w:bottom w:val="nil"/>
              <w:right w:val="nil"/>
            </w:tcBorders>
            <w:shd w:val="clear" w:color="000000" w:fill="F2F2F2"/>
            <w:vAlign w:val="center"/>
            <w:hideMark/>
          </w:tcPr>
          <w:p w14:paraId="11CC8871" w14:textId="77777777" w:rsidR="00F76B72" w:rsidRPr="00D07265" w:rsidRDefault="00F76B72" w:rsidP="00F76B72">
            <w:pPr>
              <w:keepNext/>
              <w:spacing w:after="0" w:line="240" w:lineRule="auto"/>
              <w:jc w:val="center"/>
              <w:rPr>
                <w:rFonts w:eastAsia="Times New Roman"/>
                <w:color w:val="000000"/>
              </w:rPr>
            </w:pPr>
            <w:r>
              <w:rPr>
                <w:rFonts w:eastAsia="Times New Roman"/>
                <w:color w:val="000000"/>
              </w:rPr>
              <w:t>1</w:t>
            </w:r>
          </w:p>
        </w:tc>
        <w:tc>
          <w:tcPr>
            <w:tcW w:w="1959" w:type="pct"/>
            <w:tcBorders>
              <w:top w:val="nil"/>
              <w:left w:val="nil"/>
              <w:bottom w:val="nil"/>
              <w:right w:val="nil"/>
            </w:tcBorders>
            <w:shd w:val="clear" w:color="000000" w:fill="F2F2F2"/>
            <w:vAlign w:val="center"/>
            <w:hideMark/>
          </w:tcPr>
          <w:p w14:paraId="6E9B16D0"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-0.116</w:t>
            </w:r>
          </w:p>
        </w:tc>
        <w:tc>
          <w:tcPr>
            <w:tcW w:w="2114" w:type="pct"/>
            <w:tcBorders>
              <w:top w:val="nil"/>
              <w:left w:val="nil"/>
              <w:bottom w:val="nil"/>
              <w:right w:val="nil"/>
            </w:tcBorders>
            <w:shd w:val="clear" w:color="000000" w:fill="F2F2F2"/>
            <w:noWrap/>
            <w:hideMark/>
          </w:tcPr>
          <w:p w14:paraId="4EC71981"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0.088</w:t>
            </w:r>
          </w:p>
        </w:tc>
      </w:tr>
      <w:tr w:rsidR="00F76B72" w:rsidRPr="00D07265" w14:paraId="6434877F" w14:textId="77777777" w:rsidTr="00F76B72">
        <w:trPr>
          <w:trHeight w:val="300"/>
        </w:trPr>
        <w:tc>
          <w:tcPr>
            <w:tcW w:w="927" w:type="pct"/>
            <w:tcBorders>
              <w:top w:val="nil"/>
              <w:left w:val="nil"/>
              <w:bottom w:val="nil"/>
              <w:right w:val="nil"/>
            </w:tcBorders>
            <w:shd w:val="clear" w:color="000000" w:fill="F2F2F2"/>
            <w:vAlign w:val="center"/>
            <w:hideMark/>
          </w:tcPr>
          <w:p w14:paraId="3D9C093B" w14:textId="77777777" w:rsidR="00F76B72" w:rsidRPr="00D07265" w:rsidRDefault="00F76B72" w:rsidP="00F76B72">
            <w:pPr>
              <w:keepNext/>
              <w:spacing w:after="0" w:line="240" w:lineRule="auto"/>
              <w:jc w:val="center"/>
              <w:rPr>
                <w:rFonts w:eastAsia="Times New Roman"/>
                <w:color w:val="000000"/>
              </w:rPr>
            </w:pPr>
            <w:r>
              <w:rPr>
                <w:rFonts w:eastAsia="Times New Roman"/>
                <w:color w:val="000000"/>
              </w:rPr>
              <w:t>2</w:t>
            </w:r>
          </w:p>
        </w:tc>
        <w:tc>
          <w:tcPr>
            <w:tcW w:w="1959" w:type="pct"/>
            <w:tcBorders>
              <w:top w:val="nil"/>
              <w:left w:val="nil"/>
              <w:bottom w:val="nil"/>
              <w:right w:val="nil"/>
            </w:tcBorders>
            <w:shd w:val="clear" w:color="000000" w:fill="F2F2F2"/>
            <w:vAlign w:val="center"/>
            <w:hideMark/>
          </w:tcPr>
          <w:p w14:paraId="261B0436"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-0.196</w:t>
            </w:r>
          </w:p>
        </w:tc>
        <w:tc>
          <w:tcPr>
            <w:tcW w:w="2114" w:type="pct"/>
            <w:tcBorders>
              <w:top w:val="nil"/>
              <w:left w:val="nil"/>
              <w:bottom w:val="nil"/>
              <w:right w:val="nil"/>
            </w:tcBorders>
            <w:shd w:val="clear" w:color="000000" w:fill="F2F2F2"/>
            <w:noWrap/>
            <w:hideMark/>
          </w:tcPr>
          <w:p w14:paraId="757D550B"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0.062</w:t>
            </w:r>
          </w:p>
        </w:tc>
      </w:tr>
      <w:tr w:rsidR="00F76B72" w:rsidRPr="00D07265" w14:paraId="774BE203" w14:textId="77777777" w:rsidTr="00F76B72">
        <w:trPr>
          <w:trHeight w:val="300"/>
        </w:trPr>
        <w:tc>
          <w:tcPr>
            <w:tcW w:w="927" w:type="pct"/>
            <w:tcBorders>
              <w:top w:val="nil"/>
              <w:left w:val="nil"/>
              <w:bottom w:val="nil"/>
              <w:right w:val="nil"/>
            </w:tcBorders>
            <w:shd w:val="clear" w:color="000000" w:fill="F2F2F2"/>
            <w:vAlign w:val="center"/>
            <w:hideMark/>
          </w:tcPr>
          <w:p w14:paraId="4E3F00C2" w14:textId="77777777" w:rsidR="00F76B72" w:rsidRPr="00D07265" w:rsidRDefault="00F76B72" w:rsidP="00F76B72">
            <w:pPr>
              <w:keepNext/>
              <w:spacing w:after="0" w:line="240" w:lineRule="auto"/>
              <w:jc w:val="center"/>
              <w:rPr>
                <w:rFonts w:eastAsia="Times New Roman"/>
                <w:color w:val="000000"/>
              </w:rPr>
            </w:pPr>
            <w:r>
              <w:rPr>
                <w:rFonts w:eastAsia="Times New Roman"/>
                <w:color w:val="000000"/>
              </w:rPr>
              <w:t>3</w:t>
            </w:r>
          </w:p>
        </w:tc>
        <w:tc>
          <w:tcPr>
            <w:tcW w:w="1959" w:type="pct"/>
            <w:tcBorders>
              <w:top w:val="nil"/>
              <w:left w:val="nil"/>
              <w:bottom w:val="nil"/>
              <w:right w:val="nil"/>
            </w:tcBorders>
            <w:shd w:val="clear" w:color="000000" w:fill="F2F2F2"/>
            <w:vAlign w:val="center"/>
            <w:hideMark/>
          </w:tcPr>
          <w:p w14:paraId="620CE259"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-0.046</w:t>
            </w:r>
          </w:p>
        </w:tc>
        <w:tc>
          <w:tcPr>
            <w:tcW w:w="2114" w:type="pct"/>
            <w:tcBorders>
              <w:top w:val="nil"/>
              <w:left w:val="nil"/>
              <w:bottom w:val="nil"/>
              <w:right w:val="nil"/>
            </w:tcBorders>
            <w:shd w:val="clear" w:color="000000" w:fill="F2F2F2"/>
            <w:noWrap/>
            <w:hideMark/>
          </w:tcPr>
          <w:p w14:paraId="2354624D"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-0.009</w:t>
            </w:r>
          </w:p>
        </w:tc>
      </w:tr>
      <w:tr w:rsidR="00F76B72" w:rsidRPr="00D07265" w14:paraId="0DAB8182" w14:textId="77777777" w:rsidTr="00F76B72">
        <w:trPr>
          <w:trHeight w:val="300"/>
        </w:trPr>
        <w:tc>
          <w:tcPr>
            <w:tcW w:w="927" w:type="pct"/>
            <w:tcBorders>
              <w:top w:val="nil"/>
              <w:left w:val="nil"/>
              <w:bottom w:val="nil"/>
              <w:right w:val="nil"/>
            </w:tcBorders>
            <w:shd w:val="clear" w:color="000000" w:fill="F2F2F2"/>
            <w:vAlign w:val="center"/>
            <w:hideMark/>
          </w:tcPr>
          <w:p w14:paraId="352A7637" w14:textId="77777777" w:rsidR="00F76B72" w:rsidRPr="00D07265" w:rsidRDefault="00F76B72" w:rsidP="00F76B72">
            <w:pPr>
              <w:keepNext/>
              <w:spacing w:after="0" w:line="240" w:lineRule="auto"/>
              <w:jc w:val="center"/>
              <w:rPr>
                <w:rFonts w:eastAsia="Times New Roman"/>
                <w:color w:val="000000"/>
              </w:rPr>
            </w:pPr>
            <w:r>
              <w:rPr>
                <w:rFonts w:eastAsia="Times New Roman"/>
                <w:color w:val="000000"/>
              </w:rPr>
              <w:t>4</w:t>
            </w:r>
          </w:p>
        </w:tc>
        <w:tc>
          <w:tcPr>
            <w:tcW w:w="1959" w:type="pct"/>
            <w:tcBorders>
              <w:top w:val="nil"/>
              <w:left w:val="nil"/>
              <w:bottom w:val="nil"/>
              <w:right w:val="nil"/>
            </w:tcBorders>
            <w:shd w:val="clear" w:color="000000" w:fill="F2F2F2"/>
            <w:vAlign w:val="center"/>
            <w:hideMark/>
          </w:tcPr>
          <w:p w14:paraId="3905EFD3"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0.109</w:t>
            </w:r>
          </w:p>
        </w:tc>
        <w:tc>
          <w:tcPr>
            <w:tcW w:w="2114" w:type="pct"/>
            <w:tcBorders>
              <w:top w:val="nil"/>
              <w:left w:val="nil"/>
              <w:bottom w:val="nil"/>
              <w:right w:val="nil"/>
            </w:tcBorders>
            <w:shd w:val="clear" w:color="000000" w:fill="F2F2F2"/>
            <w:noWrap/>
            <w:hideMark/>
          </w:tcPr>
          <w:p w14:paraId="33CE554F"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-0.090</w:t>
            </w:r>
          </w:p>
        </w:tc>
      </w:tr>
      <w:tr w:rsidR="00F76B72" w:rsidRPr="00D07265" w14:paraId="2CC09D66" w14:textId="77777777" w:rsidTr="00F76B72">
        <w:trPr>
          <w:trHeight w:val="300"/>
        </w:trPr>
        <w:tc>
          <w:tcPr>
            <w:tcW w:w="927" w:type="pct"/>
            <w:tcBorders>
              <w:top w:val="nil"/>
              <w:left w:val="nil"/>
              <w:bottom w:val="nil"/>
              <w:right w:val="nil"/>
            </w:tcBorders>
            <w:shd w:val="clear" w:color="000000" w:fill="F2F2F2"/>
            <w:vAlign w:val="center"/>
            <w:hideMark/>
          </w:tcPr>
          <w:p w14:paraId="0794087C" w14:textId="77777777" w:rsidR="00F76B72" w:rsidRPr="00D07265" w:rsidRDefault="00F76B72" w:rsidP="00F76B72">
            <w:pPr>
              <w:keepNext/>
              <w:spacing w:after="0" w:line="240" w:lineRule="auto"/>
              <w:jc w:val="center"/>
              <w:rPr>
                <w:rFonts w:eastAsia="Times New Roman"/>
                <w:color w:val="000000"/>
              </w:rPr>
            </w:pPr>
            <w:r>
              <w:rPr>
                <w:rFonts w:eastAsia="Times New Roman"/>
                <w:color w:val="000000"/>
              </w:rPr>
              <w:t>5</w:t>
            </w:r>
          </w:p>
        </w:tc>
        <w:tc>
          <w:tcPr>
            <w:tcW w:w="1959" w:type="pct"/>
            <w:tcBorders>
              <w:top w:val="nil"/>
              <w:left w:val="nil"/>
              <w:bottom w:val="nil"/>
              <w:right w:val="nil"/>
            </w:tcBorders>
            <w:shd w:val="clear" w:color="000000" w:fill="F2F2F2"/>
            <w:vAlign w:val="center"/>
            <w:hideMark/>
          </w:tcPr>
          <w:p w14:paraId="55162F9F"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0.25</w:t>
            </w:r>
          </w:p>
        </w:tc>
        <w:tc>
          <w:tcPr>
            <w:tcW w:w="2114" w:type="pct"/>
            <w:tcBorders>
              <w:top w:val="nil"/>
              <w:left w:val="nil"/>
              <w:bottom w:val="nil"/>
              <w:right w:val="nil"/>
            </w:tcBorders>
            <w:shd w:val="clear" w:color="000000" w:fill="F2F2F2"/>
            <w:noWrap/>
            <w:hideMark/>
          </w:tcPr>
          <w:p w14:paraId="4F2DD7E7" w14:textId="77777777" w:rsidR="00F76B72" w:rsidRPr="00D07265" w:rsidRDefault="00F76B72" w:rsidP="00F76B72">
            <w:pPr>
              <w:keepNext/>
              <w:spacing w:after="0" w:line="240" w:lineRule="auto"/>
              <w:jc w:val="center"/>
              <w:rPr>
                <w:rFonts w:eastAsia="Times New Roman"/>
                <w:color w:val="000000"/>
              </w:rPr>
            </w:pPr>
            <w:r w:rsidRPr="00D07265">
              <w:rPr>
                <w:rFonts w:eastAsia="Times New Roman"/>
                <w:color w:val="000000"/>
              </w:rPr>
              <w:t>-0.052</w:t>
            </w:r>
          </w:p>
        </w:tc>
      </w:tr>
      <w:tr w:rsidR="00F76B72" w:rsidRPr="00D07265" w14:paraId="192DBDAC" w14:textId="77777777" w:rsidTr="00F76B72">
        <w:trPr>
          <w:trHeight w:val="440"/>
        </w:trPr>
        <w:tc>
          <w:tcPr>
            <w:tcW w:w="5000" w:type="pct"/>
            <w:gridSpan w:val="3"/>
            <w:tcBorders>
              <w:top w:val="single" w:sz="4" w:space="0" w:color="auto"/>
              <w:left w:val="nil"/>
              <w:bottom w:val="nil"/>
              <w:right w:val="nil"/>
            </w:tcBorders>
            <w:shd w:val="clear" w:color="000000" w:fill="F2F2F2"/>
            <w:hideMark/>
          </w:tcPr>
          <w:p w14:paraId="74631BC8" w14:textId="77777777" w:rsidR="00F76B72" w:rsidRPr="00D07265" w:rsidRDefault="00F76B72" w:rsidP="00F76B72">
            <w:pPr>
              <w:keepNext/>
              <w:spacing w:after="0" w:line="240" w:lineRule="auto"/>
              <w:rPr>
                <w:rFonts w:eastAsia="Times New Roman"/>
                <w:color w:val="000000"/>
                <w:sz w:val="18"/>
                <w:szCs w:val="18"/>
              </w:rPr>
            </w:pPr>
            <w:r w:rsidRPr="00D07265">
              <w:rPr>
                <w:rFonts w:eastAsia="Times New Roman"/>
                <w:color w:val="000000"/>
                <w:sz w:val="18"/>
                <w:szCs w:val="18"/>
              </w:rPr>
              <w:t>Scale of 1 being the lowest to 5 being the highest satisfaction.  Standard errors not shown- For column (1) all significant at the 1% level and for column (2) none are statistically significant.</w:t>
            </w:r>
            <w:r>
              <w:rPr>
                <w:rFonts w:eastAsia="Times New Roman"/>
                <w:color w:val="000000"/>
                <w:sz w:val="18"/>
                <w:szCs w:val="18"/>
              </w:rPr>
              <w:t xml:space="preserve">  </w:t>
            </w:r>
            <w:r>
              <w:rPr>
                <w:color w:val="000000"/>
                <w:sz w:val="18"/>
              </w:rPr>
              <w:t>T</w:t>
            </w:r>
            <w:r w:rsidRPr="00D951EA">
              <w:rPr>
                <w:color w:val="000000"/>
                <w:sz w:val="18"/>
              </w:rPr>
              <w:t>he potential responses are: 1=Very dissatisfied, 2=Somewhat dissatisfied, 3=Neutral, 4=Somewhat satisfied, 5=Very satisfied</w:t>
            </w:r>
          </w:p>
        </w:tc>
      </w:tr>
    </w:tbl>
    <w:p w14:paraId="0AD22643" w14:textId="77777777" w:rsidR="00F76B72" w:rsidRDefault="00F76B72" w:rsidP="0052424D">
      <w:pPr>
        <w:pStyle w:val="Heading1"/>
        <w:spacing w:line="360" w:lineRule="auto"/>
        <w:rPr>
          <w:rFonts w:cs="Times New Roman"/>
        </w:rPr>
      </w:pPr>
      <w:bookmarkStart w:id="78" w:name="_Toc479624330"/>
      <w:bookmarkStart w:id="79" w:name="_Toc479624372"/>
      <w:bookmarkStart w:id="80" w:name="_Toc479624465"/>
      <w:bookmarkStart w:id="81" w:name="_Toc482127016"/>
      <w:bookmarkStart w:id="82" w:name="_Toc482127046"/>
      <w:bookmarkStart w:id="83" w:name="_Toc482187996"/>
      <w:r w:rsidRPr="00072995">
        <w:rPr>
          <w:rFonts w:cs="Times New Roman"/>
        </w:rPr>
        <w:t>Discussion</w:t>
      </w:r>
      <w:r>
        <w:rPr>
          <w:rFonts w:cs="Times New Roman"/>
        </w:rPr>
        <w:t xml:space="preserve"> &amp; Conclusion</w:t>
      </w:r>
      <w:bookmarkEnd w:id="78"/>
      <w:bookmarkEnd w:id="79"/>
      <w:bookmarkEnd w:id="80"/>
      <w:bookmarkEnd w:id="81"/>
      <w:bookmarkEnd w:id="82"/>
      <w:bookmarkEnd w:id="83"/>
    </w:p>
    <w:p w14:paraId="3B128359" w14:textId="5CA3849D" w:rsidR="00F76B72" w:rsidRDefault="00F76B72" w:rsidP="0052424D">
      <w:pPr>
        <w:spacing w:after="120" w:line="360" w:lineRule="auto"/>
      </w:pPr>
      <w:r>
        <w:t xml:space="preserve">This </w:t>
      </w:r>
      <w:r w:rsidR="00740B61">
        <w:t>study</w:t>
      </w:r>
      <w:r>
        <w:t xml:space="preserve"> provides three results for the general audience.  First, carefully defining the population surveyed in green </w:t>
      </w:r>
      <w:r w:rsidR="00EC41ED">
        <w:t xml:space="preserve">versus </w:t>
      </w:r>
      <w:r>
        <w:t>conventional building comparisons informs the context of results.  A survey that only collects on the stationary, assigned inhabitants of a green building does not inform on the experience of visitors and vice versa.  Second, self-selecti</w:t>
      </w:r>
      <w:r w:rsidR="00E525A1">
        <w:t>on</w:t>
      </w:r>
      <w:r>
        <w:t xml:space="preserve"> </w:t>
      </w:r>
      <w:r w:rsidR="00740B61">
        <w:t xml:space="preserve">may play </w:t>
      </w:r>
      <w:r>
        <w:t xml:space="preserve">an important role in building satisfaction.  Organizations that use buildings of differing character may be best served by letting their </w:t>
      </w:r>
      <w:r w:rsidR="00585EDD">
        <w:t xml:space="preserve">users </w:t>
      </w:r>
      <w:r>
        <w:t>select and trade spaces.  And third, green vanity architecture</w:t>
      </w:r>
      <w:r w:rsidR="00740B61">
        <w:t xml:space="preserve"> works…</w:t>
      </w:r>
      <w:r>
        <w:t xml:space="preserve"> for those served by </w:t>
      </w:r>
      <w:r w:rsidR="00740B61">
        <w:t xml:space="preserve">the public </w:t>
      </w:r>
      <w:r>
        <w:t xml:space="preserve">spaces where the architect has focused.  </w:t>
      </w:r>
    </w:p>
    <w:p w14:paraId="5045D136" w14:textId="258125AF" w:rsidR="00F76B72" w:rsidRDefault="00F76B72" w:rsidP="0052424D">
      <w:pPr>
        <w:spacing w:after="120" w:line="360" w:lineRule="auto"/>
      </w:pPr>
      <w:r>
        <w:t xml:space="preserve">By surveying both building users who can self-select and those who are assigned to green versus conventional buildings, this study sheds light on a discrepancy in the green building literature.  </w:t>
      </w:r>
      <w:r w:rsidR="00585EDD">
        <w:t>Prior s</w:t>
      </w:r>
      <w:r>
        <w:t>tudies</w:t>
      </w:r>
      <w:r w:rsidR="00585EDD">
        <w:t xml:space="preserve"> have</w:t>
      </w:r>
      <w:r>
        <w:t xml:space="preserve"> generally survey</w:t>
      </w:r>
      <w:r w:rsidR="00585EDD">
        <w:t>ed</w:t>
      </w:r>
      <w:r>
        <w:t xml:space="preserve"> transient users of green buildings, those assigned to a green versus non-green building, or all users of a space without distinguishing between the</w:t>
      </w:r>
      <w:r w:rsidR="00740B61">
        <w:t>se</w:t>
      </w:r>
      <w:r>
        <w:t xml:space="preserve">.  Their results then mirror these differences </w:t>
      </w:r>
      <w:r w:rsidR="00E525A1">
        <w:t>when</w:t>
      </w:r>
      <w:r>
        <w:t xml:space="preserve"> examin</w:t>
      </w:r>
      <w:r w:rsidR="00E525A1">
        <w:t>ed</w:t>
      </w:r>
      <w:r>
        <w:t xml:space="preserve">.  </w:t>
      </w:r>
      <w:r w:rsidR="00740B61">
        <w:t>This study</w:t>
      </w:r>
      <w:r>
        <w:t xml:space="preserve"> contribute</w:t>
      </w:r>
      <w:r w:rsidR="00740B61">
        <w:t>s</w:t>
      </w:r>
      <w:r>
        <w:t xml:space="preserve"> a unique feature of differentiation and reconcile</w:t>
      </w:r>
      <w:r w:rsidR="00740B61">
        <w:t>s</w:t>
      </w:r>
      <w:r>
        <w:t xml:space="preserve"> the results from other studies in the process.  </w:t>
      </w:r>
      <w:r w:rsidR="00740B61">
        <w:t>It</w:t>
      </w:r>
      <w:r>
        <w:t xml:space="preserve"> find</w:t>
      </w:r>
      <w:r w:rsidR="00740B61">
        <w:t>s</w:t>
      </w:r>
      <w:r>
        <w:t xml:space="preserve"> one group consistently prefers the green building in </w:t>
      </w:r>
      <w:r w:rsidR="00740B61">
        <w:t>the</w:t>
      </w:r>
      <w:r>
        <w:t xml:space="preserve"> study- the more transient users.  In contrast, users who ar</w:t>
      </w:r>
      <w:r w:rsidR="00740B61">
        <w:t xml:space="preserve">e </w:t>
      </w:r>
      <w:r w:rsidR="008E0E32">
        <w:t xml:space="preserve">usually </w:t>
      </w:r>
      <w:r w:rsidR="00740B61">
        <w:t>randomly assigned</w:t>
      </w:r>
      <w:r w:rsidR="008E0E32">
        <w:t xml:space="preserve"> relative to building prefe</w:t>
      </w:r>
      <w:r w:rsidR="00111D74">
        <w:t>rence</w:t>
      </w:r>
      <w:r w:rsidR="008E0E32">
        <w:t>, the</w:t>
      </w:r>
      <w:r>
        <w:t xml:space="preserve"> permanent users, are indifferent between the green and non-green buildings on average.  This is an important contribution on its own.  </w:t>
      </w:r>
    </w:p>
    <w:p w14:paraId="2177E354" w14:textId="6A70DED7" w:rsidR="00F76B72" w:rsidRDefault="00943A2E" w:rsidP="0052424D">
      <w:pPr>
        <w:spacing w:after="120" w:line="360" w:lineRule="auto"/>
      </w:pPr>
      <w:r>
        <w:t>T</w:t>
      </w:r>
      <w:r w:rsidR="00F76B72">
        <w:t>his study suggests</w:t>
      </w:r>
      <w:r>
        <w:t xml:space="preserve"> that</w:t>
      </w:r>
      <w:r w:rsidR="00F76B72">
        <w:t xml:space="preserve"> allowing self-selection may enhance satisfaction.  This is particularly relevant in an organization like Yale F&amp;ES that has buildings of differing attributes.  A reorganization scheme allowing faculty and staff to trade spaces may enhance satisfaction.  The alternative</w:t>
      </w:r>
      <w:r>
        <w:t>,</w:t>
      </w:r>
      <w:r w:rsidR="00F76B72">
        <w:t xml:space="preserve"> that green vanity architecture is to blame must be considered.  It may be the case instead that Kroon Hall only excels in </w:t>
      </w:r>
      <w:r w:rsidR="00F76B72">
        <w:lastRenderedPageBreak/>
        <w:t xml:space="preserve">public spaces by design.  It was no doubt designed to impress and has done so for visitors.  It seems to be having less of a positive impact on the faculty and staff, however.  </w:t>
      </w:r>
    </w:p>
    <w:p w14:paraId="0F58D7C6" w14:textId="77777777" w:rsidR="00F76B72" w:rsidRPr="001524B3" w:rsidRDefault="00F76B72" w:rsidP="0052424D">
      <w:pPr>
        <w:spacing w:after="120" w:line="360" w:lineRule="auto"/>
      </w:pPr>
      <w:r>
        <w:t>Regardless of cause, a marked discrepancy in the satisfaction effect of green Kroon Hall exist</w:t>
      </w:r>
      <w:r w:rsidR="00943A2E">
        <w:t>s</w:t>
      </w:r>
      <w:r>
        <w:t>.  The Yale F&amp;ES subgroup assigned to offices are</w:t>
      </w:r>
      <w:r w:rsidR="00943A2E">
        <w:t xml:space="preserve"> made</w:t>
      </w:r>
      <w:r>
        <w:t xml:space="preserve"> no better off on average by </w:t>
      </w:r>
      <w:r w:rsidR="00943A2E">
        <w:t xml:space="preserve">their </w:t>
      </w:r>
      <w:r>
        <w:t xml:space="preserve">assignment to Kroon Hall.  In comparison, the student body </w:t>
      </w:r>
      <w:r w:rsidR="00943A2E">
        <w:t>that</w:t>
      </w:r>
      <w:r>
        <w:t xml:space="preserve"> may self-select into Kroon Hall are markedly more satisfied across measures.  LEED Platinum certified Kroon Hall has certainly performed </w:t>
      </w:r>
      <w:r w:rsidR="00943A2E">
        <w:t xml:space="preserve">well </w:t>
      </w:r>
      <w:r>
        <w:t xml:space="preserve">by certain measures- it is efficient and impresses visitors by demonstrating that a green structure </w:t>
      </w:r>
      <w:r w:rsidR="00943A2E">
        <w:t xml:space="preserve">can </w:t>
      </w:r>
      <w:r>
        <w:t>be elegant.  It appears to have missed the mark on improving the office setting, however,</w:t>
      </w:r>
      <w:r w:rsidR="00943A2E">
        <w:t xml:space="preserve"> and so this study</w:t>
      </w:r>
      <w:r>
        <w:t xml:space="preserve"> indicat</w:t>
      </w:r>
      <w:r w:rsidR="00943A2E">
        <w:t>es</w:t>
      </w:r>
      <w:r>
        <w:t xml:space="preserve"> an area </w:t>
      </w:r>
      <w:r w:rsidR="00943A2E">
        <w:t>that could benefit from</w:t>
      </w:r>
      <w:r>
        <w:t xml:space="preserve"> greater effort in green building design.</w:t>
      </w:r>
    </w:p>
    <w:p w14:paraId="5E5A7AA1" w14:textId="77777777" w:rsidR="00F76B72" w:rsidRPr="00991596" w:rsidRDefault="00F76B72" w:rsidP="00F76B72">
      <w:pPr>
        <w:pStyle w:val="Heading1"/>
        <w:rPr>
          <w:rFonts w:cs="Times New Roman"/>
          <w:b w:val="0"/>
        </w:rPr>
      </w:pPr>
      <w:bookmarkStart w:id="84" w:name="_Toc479624331"/>
      <w:bookmarkStart w:id="85" w:name="_Toc479624373"/>
      <w:bookmarkStart w:id="86" w:name="_Toc479624466"/>
      <w:bookmarkStart w:id="87" w:name="_Toc482127017"/>
      <w:bookmarkStart w:id="88" w:name="_Toc482127047"/>
      <w:bookmarkStart w:id="89" w:name="_Toc482187997"/>
      <w:r w:rsidRPr="00991596">
        <w:rPr>
          <w:rFonts w:cs="Times New Roman"/>
        </w:rPr>
        <w:t>References</w:t>
      </w:r>
      <w:bookmarkEnd w:id="84"/>
      <w:bookmarkEnd w:id="85"/>
      <w:bookmarkEnd w:id="86"/>
      <w:bookmarkEnd w:id="87"/>
      <w:bookmarkEnd w:id="88"/>
      <w:bookmarkEnd w:id="89"/>
    </w:p>
    <w:p w14:paraId="501F5911" w14:textId="77777777" w:rsidR="00F76B72" w:rsidRDefault="00F76B72" w:rsidP="00F76B72">
      <w:pPr>
        <w:spacing w:after="0" w:line="240" w:lineRule="auto"/>
      </w:pPr>
      <w:r w:rsidRPr="000620E1">
        <w:t>C</w:t>
      </w:r>
      <w:r>
        <w:t xml:space="preserve">enter for the Built Environment. (2006). </w:t>
      </w:r>
      <w:r w:rsidRPr="000620E1">
        <w:t xml:space="preserve">Occupant satisfaction with indoor environmental quality in </w:t>
      </w:r>
    </w:p>
    <w:p w14:paraId="5DA8AE33" w14:textId="77777777" w:rsidR="00F76B72" w:rsidRDefault="00F76B72" w:rsidP="00F76B72">
      <w:pPr>
        <w:spacing w:after="120" w:line="240" w:lineRule="auto"/>
      </w:pPr>
      <w:r w:rsidRPr="000620E1">
        <w:t>green buildings.</w:t>
      </w:r>
      <w:r>
        <w:t xml:space="preserve"> U.C. Berkeley: Abbaszadeh, S.,</w:t>
      </w:r>
      <w:r w:rsidRPr="000620E1">
        <w:t xml:space="preserve"> Zagreus, L</w:t>
      </w:r>
      <w:r>
        <w:t>L., Lehrer, D.,</w:t>
      </w:r>
      <w:r w:rsidRPr="000620E1">
        <w:t xml:space="preserve"> &amp; Huizenga, C.</w:t>
      </w:r>
    </w:p>
    <w:p w14:paraId="2B2FD03E" w14:textId="77777777" w:rsidR="00F76B72" w:rsidRDefault="00F76B72" w:rsidP="00F76B72">
      <w:pPr>
        <w:spacing w:after="0" w:line="240" w:lineRule="auto"/>
        <w:rPr>
          <w:i/>
        </w:rPr>
      </w:pPr>
      <w:r>
        <w:t>Eichholtz, P., Kok, N., &amp; Quigley, J. M. (2013). The e</w:t>
      </w:r>
      <w:r w:rsidRPr="007D4C37">
        <w:t xml:space="preserve">conomics of </w:t>
      </w:r>
      <w:r>
        <w:t>g</w:t>
      </w:r>
      <w:r w:rsidRPr="007D4C37">
        <w:t xml:space="preserve">reen </w:t>
      </w:r>
      <w:r>
        <w:t>b</w:t>
      </w:r>
      <w:r w:rsidRPr="007D4C37">
        <w:t>uilding</w:t>
      </w:r>
      <w:r>
        <w:t xml:space="preserve">. </w:t>
      </w:r>
      <w:r>
        <w:rPr>
          <w:i/>
        </w:rPr>
        <w:t xml:space="preserve">Review of Economics </w:t>
      </w:r>
    </w:p>
    <w:p w14:paraId="64549BB6" w14:textId="77777777" w:rsidR="00F76B72" w:rsidRPr="007D4C37" w:rsidRDefault="00F76B72" w:rsidP="00F76B72">
      <w:pPr>
        <w:spacing w:after="120" w:line="240" w:lineRule="auto"/>
      </w:pPr>
      <w:r>
        <w:rPr>
          <w:i/>
        </w:rPr>
        <w:t>&amp; Statistics, 95</w:t>
      </w:r>
      <w:r>
        <w:t>(1), 50-63.</w:t>
      </w:r>
    </w:p>
    <w:p w14:paraId="1CE67002" w14:textId="77777777" w:rsidR="00F76B72" w:rsidRPr="00991596" w:rsidRDefault="00F76B72" w:rsidP="00F76B72">
      <w:pPr>
        <w:spacing w:after="0" w:line="240" w:lineRule="auto"/>
      </w:pPr>
      <w:r w:rsidRPr="00991596">
        <w:t>Frontczak, M., &amp; Wargocki, P. (2011)</w:t>
      </w:r>
      <w:r>
        <w:t>.</w:t>
      </w:r>
      <w:r w:rsidRPr="00991596">
        <w:t xml:space="preserve"> Literature survey on how different factors influence human </w:t>
      </w:r>
    </w:p>
    <w:p w14:paraId="4F63BCDD" w14:textId="77777777" w:rsidR="00F76B72" w:rsidRPr="00991596" w:rsidRDefault="00F76B72" w:rsidP="00F76B72">
      <w:pPr>
        <w:spacing w:after="120" w:line="240" w:lineRule="auto"/>
      </w:pPr>
      <w:r w:rsidRPr="00991596">
        <w:t xml:space="preserve">comfort in indoor environments. </w:t>
      </w:r>
      <w:r w:rsidRPr="00991596">
        <w:rPr>
          <w:i/>
        </w:rPr>
        <w:t>Building and Environment, 46</w:t>
      </w:r>
      <w:r w:rsidRPr="00991596">
        <w:t>(4), 922-937.</w:t>
      </w:r>
    </w:p>
    <w:p w14:paraId="405156B5" w14:textId="77777777" w:rsidR="00F76B72" w:rsidRPr="00991596" w:rsidRDefault="00F76B72" w:rsidP="00F76B72">
      <w:pPr>
        <w:spacing w:after="0" w:line="240" w:lineRule="auto"/>
      </w:pPr>
      <w:r w:rsidRPr="00991596">
        <w:t xml:space="preserve">Heeringa, S. G., West, B. T., &amp; Berglund, P. A. (2010). </w:t>
      </w:r>
      <w:r>
        <w:rPr>
          <w:i/>
        </w:rPr>
        <w:t>Applied S</w:t>
      </w:r>
      <w:r w:rsidRPr="00991596">
        <w:rPr>
          <w:i/>
        </w:rPr>
        <w:t xml:space="preserve">urvey </w:t>
      </w:r>
      <w:r>
        <w:rPr>
          <w:i/>
        </w:rPr>
        <w:t>D</w:t>
      </w:r>
      <w:r w:rsidRPr="00991596">
        <w:rPr>
          <w:i/>
        </w:rPr>
        <w:t xml:space="preserve">ata </w:t>
      </w:r>
      <w:r>
        <w:rPr>
          <w:i/>
        </w:rPr>
        <w:t>A</w:t>
      </w:r>
      <w:r w:rsidRPr="00991596">
        <w:rPr>
          <w:i/>
        </w:rPr>
        <w:t>nalysis.</w:t>
      </w:r>
      <w:r w:rsidRPr="00991596">
        <w:t xml:space="preserve"> Boca Raton, </w:t>
      </w:r>
    </w:p>
    <w:p w14:paraId="0B78313A" w14:textId="77777777" w:rsidR="00F76B72" w:rsidRPr="00991596" w:rsidRDefault="00F76B72" w:rsidP="00AA769C">
      <w:pPr>
        <w:spacing w:after="120" w:line="240" w:lineRule="auto"/>
      </w:pPr>
      <w:r w:rsidRPr="00991596">
        <w:t>FL: Taylor &amp; Francis Group</w:t>
      </w:r>
    </w:p>
    <w:p w14:paraId="1D053EE3" w14:textId="77777777" w:rsidR="00F76B72" w:rsidRDefault="00F76B72" w:rsidP="00F76B72">
      <w:pPr>
        <w:spacing w:after="0" w:line="240" w:lineRule="auto"/>
      </w:pPr>
      <w:r>
        <w:t xml:space="preserve">Holmgren, M., Kabanshi, A., &amp; Sorqvist, P. (2017). </w:t>
      </w:r>
      <w:r w:rsidRPr="00EE36A1">
        <w:t xml:space="preserve">Occupant perception of “green” buildings: </w:t>
      </w:r>
    </w:p>
    <w:p w14:paraId="6D4A4282" w14:textId="77777777" w:rsidR="00F76B72" w:rsidRDefault="00F76B72" w:rsidP="00F76B72">
      <w:pPr>
        <w:spacing w:after="120" w:line="240" w:lineRule="auto"/>
      </w:pPr>
      <w:r w:rsidRPr="00EE36A1">
        <w:t>Distinguishing physical and psychological factors</w:t>
      </w:r>
      <w:r>
        <w:t xml:space="preserve">. </w:t>
      </w:r>
      <w:r>
        <w:rPr>
          <w:i/>
        </w:rPr>
        <w:t>Building and Environment, 114</w:t>
      </w:r>
      <w:r>
        <w:t>. 140-147.</w:t>
      </w:r>
    </w:p>
    <w:p w14:paraId="54E67055" w14:textId="77777777" w:rsidR="00F76B72" w:rsidRPr="00991596" w:rsidRDefault="00F76B72" w:rsidP="00F76B72">
      <w:pPr>
        <w:spacing w:after="0" w:line="240" w:lineRule="auto"/>
      </w:pPr>
      <w:r w:rsidRPr="00991596">
        <w:t xml:space="preserve">Kingma, B., &amp; </w:t>
      </w:r>
      <w:r>
        <w:t xml:space="preserve">van </w:t>
      </w:r>
      <w:r w:rsidRPr="00991596">
        <w:t xml:space="preserve">Marken Lichtenbelt, W. (2015). Energy consumption in buildings and female thermal </w:t>
      </w:r>
    </w:p>
    <w:p w14:paraId="27705781" w14:textId="77777777" w:rsidR="00F76B72" w:rsidRDefault="00F76B72" w:rsidP="00F76B72">
      <w:pPr>
        <w:spacing w:after="120" w:line="240" w:lineRule="auto"/>
      </w:pPr>
      <w:r w:rsidRPr="00991596">
        <w:t xml:space="preserve">demand. </w:t>
      </w:r>
      <w:r>
        <w:rPr>
          <w:i/>
        </w:rPr>
        <w:t>Nature Climate Change, 5</w:t>
      </w:r>
      <w:r>
        <w:t>, 1054-1056.</w:t>
      </w:r>
    </w:p>
    <w:p w14:paraId="1BD9B58D" w14:textId="77777777" w:rsidR="00F76B72" w:rsidRDefault="00F76B72" w:rsidP="00F76B72">
      <w:pPr>
        <w:spacing w:after="0" w:line="240" w:lineRule="auto"/>
      </w:pPr>
      <w:r>
        <w:t xml:space="preserve">Paul, W. L., &amp; Taylor, P. A. (2008). </w:t>
      </w:r>
      <w:r w:rsidRPr="00372A0F">
        <w:t>A comparison of occupant comfort and satisfaction between a green</w:t>
      </w:r>
    </w:p>
    <w:p w14:paraId="0A1692DB" w14:textId="77777777" w:rsidR="00F76B72" w:rsidRPr="00F76B72" w:rsidRDefault="00F76B72" w:rsidP="00AA769C">
      <w:pPr>
        <w:spacing w:after="120" w:line="240" w:lineRule="auto"/>
      </w:pPr>
      <w:r w:rsidRPr="00372A0F">
        <w:t>building and a conventional building</w:t>
      </w:r>
      <w:r>
        <w:t xml:space="preserve">. </w:t>
      </w:r>
      <w:r>
        <w:rPr>
          <w:i/>
        </w:rPr>
        <w:t>Building and Environment, 43</w:t>
      </w:r>
      <w:r>
        <w:t>(11), 1858-1870.</w:t>
      </w:r>
    </w:p>
    <w:p w14:paraId="1F0C8A9E" w14:textId="77777777" w:rsidR="00F76B72" w:rsidRPr="00991596" w:rsidRDefault="00F76B72" w:rsidP="0052424D">
      <w:pPr>
        <w:pStyle w:val="Heading1"/>
        <w:spacing w:line="360" w:lineRule="auto"/>
        <w:rPr>
          <w:rFonts w:cs="Times New Roman"/>
        </w:rPr>
      </w:pPr>
      <w:bookmarkStart w:id="90" w:name="_Toc479624332"/>
      <w:bookmarkStart w:id="91" w:name="_Toc479624374"/>
      <w:bookmarkStart w:id="92" w:name="_Toc479624467"/>
      <w:bookmarkStart w:id="93" w:name="_Toc482127018"/>
      <w:bookmarkStart w:id="94" w:name="_Toc482127048"/>
      <w:bookmarkStart w:id="95" w:name="_Toc482187998"/>
      <w:r w:rsidRPr="00991596">
        <w:rPr>
          <w:rFonts w:cs="Times New Roman"/>
        </w:rPr>
        <w:t>Appendix</w:t>
      </w:r>
      <w:bookmarkEnd w:id="90"/>
      <w:bookmarkEnd w:id="91"/>
      <w:bookmarkEnd w:id="92"/>
      <w:bookmarkEnd w:id="93"/>
      <w:bookmarkEnd w:id="94"/>
      <w:bookmarkEnd w:id="95"/>
    </w:p>
    <w:p w14:paraId="3F2E8592" w14:textId="2AAB971C" w:rsidR="00F76B72" w:rsidRPr="00991596" w:rsidRDefault="00F76B72" w:rsidP="0052424D">
      <w:pPr>
        <w:spacing w:after="120" w:line="360" w:lineRule="auto"/>
      </w:pPr>
      <w:r w:rsidRPr="00991596">
        <w:t xml:space="preserve">Table </w:t>
      </w:r>
      <w:r>
        <w:t>A1</w:t>
      </w:r>
      <w:r w:rsidRPr="00991596">
        <w:t xml:space="preserve"> </w:t>
      </w:r>
      <w:r w:rsidR="001B1D71">
        <w:t>presents</w:t>
      </w:r>
      <w:r w:rsidRPr="00991596">
        <w:t xml:space="preserve"> regression results using responses on </w:t>
      </w:r>
      <w:r w:rsidR="00E525A1">
        <w:t>‘</w:t>
      </w:r>
      <w:r w:rsidRPr="00991596">
        <w:t>importance</w:t>
      </w:r>
      <w:r w:rsidR="00E525A1">
        <w:t>’</w:t>
      </w:r>
      <w:r w:rsidRPr="00991596">
        <w:t xml:space="preserve"> of building characteristics.  </w:t>
      </w:r>
      <w:r w:rsidR="001B1D71">
        <w:t>U</w:t>
      </w:r>
      <w:r w:rsidRPr="00991596">
        <w:t>nlike in the</w:t>
      </w:r>
      <w:r w:rsidR="00E525A1">
        <w:t xml:space="preserve"> other</w:t>
      </w:r>
      <w:r w:rsidRPr="00991596">
        <w:t xml:space="preserve"> tables that follow, no clear pattern across categories emerges.  One interesting question to consider, do students self-select into Kroon Hall based on </w:t>
      </w:r>
      <w:r w:rsidR="001B1D71">
        <w:t>the</w:t>
      </w:r>
      <w:r w:rsidRPr="00991596">
        <w:t xml:space="preserve"> features</w:t>
      </w:r>
      <w:r w:rsidR="001B1D71">
        <w:t xml:space="preserve"> important</w:t>
      </w:r>
      <w:r w:rsidRPr="00991596">
        <w:t xml:space="preserve"> to them?  Note in column (</w:t>
      </w:r>
      <w:r>
        <w:t>2</w:t>
      </w:r>
      <w:r w:rsidR="001B1D71">
        <w:t xml:space="preserve">) the large </w:t>
      </w:r>
      <w:r w:rsidRPr="00991596">
        <w:t xml:space="preserve">coefficient on aesthetics for </w:t>
      </w:r>
      <w:r w:rsidRPr="001B1D71">
        <w:rPr>
          <w:i/>
        </w:rPr>
        <w:t>Kroon</w:t>
      </w:r>
      <w:r w:rsidR="001B1D71">
        <w:rPr>
          <w:i/>
        </w:rPr>
        <w:t xml:space="preserve"> Hall</w:t>
      </w:r>
      <w:r w:rsidRPr="00991596">
        <w:t xml:space="preserve"> relative to all other coefficients in the table and </w:t>
      </w:r>
      <w:r w:rsidR="001B1D71">
        <w:t>its</w:t>
      </w:r>
      <w:r w:rsidRPr="00991596">
        <w:t xml:space="preserve"> significan</w:t>
      </w:r>
      <w:r w:rsidR="001B1D71">
        <w:t>ce</w:t>
      </w:r>
      <w:r w:rsidRPr="00991596">
        <w:t xml:space="preserve"> at all levels.  Contextually, Kroon Hall is known for aesthetic appeal.  </w:t>
      </w:r>
      <w:r w:rsidR="001B1D71">
        <w:t>F</w:t>
      </w:r>
      <w:r w:rsidRPr="00991596">
        <w:t xml:space="preserve">or those with Kroon </w:t>
      </w:r>
      <w:r w:rsidR="001B1D71">
        <w:t xml:space="preserve">Hall </w:t>
      </w:r>
      <w:r w:rsidRPr="00991596">
        <w:t xml:space="preserve">offices, who cannot self-select, the nearly equal, negative coefficient does not refute the student self-selection hypothesis.  Although less significant, at the 10% level, </w:t>
      </w:r>
      <w:r w:rsidR="001B1D71">
        <w:t>it can also be</w:t>
      </w:r>
      <w:r w:rsidRPr="00991596">
        <w:t xml:space="preserve"> consider</w:t>
      </w:r>
      <w:r w:rsidR="001B1D71">
        <w:t>ed</w:t>
      </w:r>
      <w:r w:rsidRPr="00991596">
        <w:t xml:space="preserve"> whether this is</w:t>
      </w:r>
      <w:r w:rsidR="001B1D71">
        <w:t xml:space="preserve"> the case with thermal comfort-</w:t>
      </w:r>
      <w:r w:rsidRPr="00991596">
        <w:t xml:space="preserve"> selecting out of Kroon Hall.  Specifically, would this be more significant if we differentiate between </w:t>
      </w:r>
      <w:r w:rsidR="001B1D71" w:rsidRPr="00943A2E">
        <w:t>Kroon Hall</w:t>
      </w:r>
      <w:r w:rsidRPr="00943A2E">
        <w:t xml:space="preserve"> </w:t>
      </w:r>
      <w:r w:rsidRPr="00991596">
        <w:t xml:space="preserve">male and female users?  Noting the 1% level of significance for </w:t>
      </w:r>
      <w:r w:rsidRPr="001B1D71">
        <w:rPr>
          <w:i/>
        </w:rPr>
        <w:t>Female</w:t>
      </w:r>
      <w:r w:rsidR="001B1D71">
        <w:t xml:space="preserve">, </w:t>
      </w:r>
      <w:r w:rsidRPr="00991596">
        <w:t>an auxiliary regression</w:t>
      </w:r>
      <w:r w:rsidR="001B1D71">
        <w:t xml:space="preserve"> is estimated</w:t>
      </w:r>
      <w:r w:rsidRPr="00991596">
        <w:t xml:space="preserve"> including an interaction term </w:t>
      </w:r>
      <w:r w:rsidR="001B1D71" w:rsidRPr="001B1D71">
        <w:rPr>
          <w:i/>
        </w:rPr>
        <w:t>Kroon Hall</w:t>
      </w:r>
      <w:r w:rsidRPr="001B1D71">
        <w:rPr>
          <w:i/>
        </w:rPr>
        <w:t>*Female</w:t>
      </w:r>
      <w:r w:rsidRPr="00991596">
        <w:t xml:space="preserve"> which </w:t>
      </w:r>
      <w:r w:rsidRPr="00991596">
        <w:lastRenderedPageBreak/>
        <w:t xml:space="preserve">resulted in both </w:t>
      </w:r>
      <w:r w:rsidRPr="001B1D71">
        <w:rPr>
          <w:i/>
        </w:rPr>
        <w:t>Female</w:t>
      </w:r>
      <w:r w:rsidRPr="00991596">
        <w:t xml:space="preserve"> and </w:t>
      </w:r>
      <w:r w:rsidRPr="001B1D71">
        <w:rPr>
          <w:i/>
        </w:rPr>
        <w:t>Kroon</w:t>
      </w:r>
      <w:r w:rsidR="001B1D71">
        <w:rPr>
          <w:i/>
        </w:rPr>
        <w:t xml:space="preserve"> Hall</w:t>
      </w:r>
      <w:r w:rsidRPr="001B1D71">
        <w:rPr>
          <w:i/>
        </w:rPr>
        <w:t>*Female</w:t>
      </w:r>
      <w:r w:rsidRPr="00991596">
        <w:t xml:space="preserve"> becoming insignificant while remaining jointly significant (F-test) </w:t>
      </w:r>
      <w:r w:rsidR="00435619">
        <w:t>at the 5% level suggesting over-</w:t>
      </w:r>
      <w:r w:rsidRPr="00991596">
        <w:t>specification</w:t>
      </w:r>
      <w:r w:rsidR="00435619">
        <w:t>.</w:t>
      </w:r>
      <w:r w:rsidRPr="00991596">
        <w:t xml:space="preserve">  </w:t>
      </w:r>
      <w:r w:rsidR="00EC41ED" w:rsidRPr="00991596">
        <w:t>Unfortunately,</w:t>
      </w:r>
      <w:r w:rsidRPr="00991596">
        <w:t xml:space="preserve"> this auxiliary regression neither supports nor refutes a self-selection hypothesis then.  Finally, since aesthetics, air quality, and sustainability features</w:t>
      </w:r>
      <w:r w:rsidR="00435619">
        <w:t xml:space="preserve"> are</w:t>
      </w:r>
      <w:r w:rsidRPr="00991596">
        <w:t xml:space="preserve"> statistically significant for female respondents and acoustics positively related with age, th</w:t>
      </w:r>
      <w:r w:rsidR="00435619">
        <w:t>ese</w:t>
      </w:r>
      <w:r w:rsidRPr="00991596">
        <w:t xml:space="preserve"> may suggest a greater need to focus on their preferences in these areas when planning and operating facilities.   </w:t>
      </w:r>
    </w:p>
    <w:p w14:paraId="76C71863" w14:textId="77777777" w:rsidR="00F76B72" w:rsidRPr="00991596" w:rsidRDefault="00F76B72" w:rsidP="0052424D">
      <w:pPr>
        <w:spacing w:after="120" w:line="360" w:lineRule="auto"/>
      </w:pPr>
      <w:r w:rsidRPr="00991596">
        <w:t>Moving from ex post importance t</w:t>
      </w:r>
      <w:r w:rsidR="004A6D72">
        <w:t xml:space="preserve">o satisfaction analysis, table </w:t>
      </w:r>
      <w:r>
        <w:t>A</w:t>
      </w:r>
      <w:r w:rsidRPr="00991596">
        <w:t xml:space="preserve">2 presents ordered probit regressions on satisfaction </w:t>
      </w:r>
      <w:r w:rsidR="004A6D72">
        <w:t>with</w:t>
      </w:r>
      <w:r w:rsidRPr="00991596">
        <w:t xml:space="preserve"> F&amp;ES facilities.  </w:t>
      </w:r>
      <w:r w:rsidR="004A6D72">
        <w:t>S</w:t>
      </w:r>
      <w:r w:rsidRPr="00991596">
        <w:t xml:space="preserve">tudents who primarily use Kroon Hall </w:t>
      </w:r>
      <w:r w:rsidR="004A6D72">
        <w:t xml:space="preserve">consistently </w:t>
      </w:r>
      <w:r w:rsidRPr="00991596">
        <w:t>claim a higher level of satisfaction across subcategories at the 1% level of significance.  This would be a significant architectural achievement for a LEED certified structure as the literature cites dissatisfaction in many of these categories for many green buildings across the nation.  However</w:t>
      </w:r>
      <w:r w:rsidR="004A6D72">
        <w:t>,</w:t>
      </w:r>
      <w:r w:rsidRPr="00991596">
        <w:t xml:space="preserve"> this may not be as momentous when the competition is considered- the baseline category is a set of </w:t>
      </w:r>
      <w:r w:rsidR="004A6D72">
        <w:t>aging but relatively familiar office settings</w:t>
      </w:r>
      <w:r w:rsidRPr="00991596">
        <w:t>.  The building satisfaction picture is not as rosy for Faculty, Staff, and res</w:t>
      </w:r>
      <w:r w:rsidR="004A6D72">
        <w:t>ident researchers of Kroon Hall.</w:t>
      </w:r>
      <w:r w:rsidRPr="00991596">
        <w:t xml:space="preserve"> </w:t>
      </w:r>
      <w:r w:rsidR="004A6D72">
        <w:t xml:space="preserve"> A</w:t>
      </w:r>
      <w:r w:rsidRPr="00991596">
        <w:t xml:space="preserve">cross all columns (with five of eight significantly) the coefficients on </w:t>
      </w:r>
      <w:r w:rsidRPr="004A6D72">
        <w:rPr>
          <w:i/>
        </w:rPr>
        <w:t>Kroon</w:t>
      </w:r>
      <w:r w:rsidR="004A6D72" w:rsidRPr="004A6D72">
        <w:rPr>
          <w:i/>
        </w:rPr>
        <w:t>*</w:t>
      </w:r>
      <w:r w:rsidRPr="004A6D72">
        <w:rPr>
          <w:i/>
        </w:rPr>
        <w:t>Office</w:t>
      </w:r>
      <w:r w:rsidR="004A6D72">
        <w:t xml:space="preserve"> carry a negative sign and </w:t>
      </w:r>
      <w:r w:rsidRPr="00991596">
        <w:t xml:space="preserve">partially or fully offset </w:t>
      </w:r>
      <w:r w:rsidRPr="004A6D72">
        <w:rPr>
          <w:i/>
        </w:rPr>
        <w:t>Kroon</w:t>
      </w:r>
      <w:r w:rsidR="004A6D72" w:rsidRPr="004A6D72">
        <w:rPr>
          <w:i/>
        </w:rPr>
        <w:t xml:space="preserve"> Hall</w:t>
      </w:r>
      <w:r w:rsidRPr="00991596">
        <w:t>.  This suggests if resources are used to improve the operation of Kroon</w:t>
      </w:r>
      <w:r w:rsidR="004A6D72">
        <w:t xml:space="preserve"> Hall</w:t>
      </w:r>
      <w:r w:rsidRPr="00991596">
        <w:t xml:space="preserve">, the question of what is behind these lower levels of building satisfaction for office space users </w:t>
      </w:r>
      <w:r w:rsidR="004A6D72">
        <w:t>should</w:t>
      </w:r>
      <w:r w:rsidRPr="00991596">
        <w:t xml:space="preserve"> be understood</w:t>
      </w:r>
      <w:r w:rsidR="004A6D72">
        <w:t xml:space="preserve"> first.  Tables </w:t>
      </w:r>
      <w:r>
        <w:t>A</w:t>
      </w:r>
      <w:r w:rsidRPr="00991596">
        <w:t xml:space="preserve">3 </w:t>
      </w:r>
      <w:r w:rsidR="004A6D72">
        <w:t xml:space="preserve">and </w:t>
      </w:r>
      <w:r>
        <w:t>A</w:t>
      </w:r>
      <w:r w:rsidRPr="00991596">
        <w:t>4 on the work and time impact</w:t>
      </w:r>
      <w:r w:rsidR="004A6D72">
        <w:t>s</w:t>
      </w:r>
      <w:r w:rsidRPr="00991596">
        <w:t xml:space="preserve"> of building spaces tells the same story- students are more satisfied, receive a work benefit, and prefer to spend more time in Kroon Hall due to its environment while the faculty receive less</w:t>
      </w:r>
      <w:r w:rsidR="004A6D72">
        <w:t xml:space="preserve"> of a benefit</w:t>
      </w:r>
      <w:r w:rsidRPr="00991596">
        <w:t xml:space="preserve"> or even a p</w:t>
      </w:r>
      <w:r>
        <w:t>enalty from placement in Kroon</w:t>
      </w:r>
      <w:r w:rsidR="004A6D72">
        <w:t xml:space="preserve"> Hall</w:t>
      </w:r>
      <w:r>
        <w:t>.</w:t>
      </w:r>
    </w:p>
    <w:p w14:paraId="4EFF92D0" w14:textId="77777777" w:rsidR="00F76B72" w:rsidRDefault="00F76B72" w:rsidP="00F76B72">
      <w:pPr>
        <w:spacing w:after="0" w:line="240" w:lineRule="auto"/>
      </w:pPr>
      <w:r w:rsidRPr="00803E45">
        <w:rPr>
          <w:noProof/>
        </w:rPr>
        <w:drawing>
          <wp:inline distT="0" distB="0" distL="0" distR="0" wp14:anchorId="396E1E7D" wp14:editId="50946F09">
            <wp:extent cx="5943600" cy="239538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5380"/>
                    </a:xfrm>
                    <a:prstGeom prst="rect">
                      <a:avLst/>
                    </a:prstGeom>
                    <a:noFill/>
                    <a:ln>
                      <a:noFill/>
                    </a:ln>
                  </pic:spPr>
                </pic:pic>
              </a:graphicData>
            </a:graphic>
          </wp:inline>
        </w:drawing>
      </w:r>
    </w:p>
    <w:p w14:paraId="3DB0115A" w14:textId="77777777" w:rsidR="00F76B72" w:rsidRDefault="00F76B72" w:rsidP="00F76B72">
      <w:pPr>
        <w:spacing w:after="0" w:line="240" w:lineRule="auto"/>
      </w:pPr>
    </w:p>
    <w:p w14:paraId="269670BB" w14:textId="77777777" w:rsidR="00F76B72" w:rsidRDefault="00F76B72" w:rsidP="00F76B72">
      <w:pPr>
        <w:spacing w:after="0" w:line="240" w:lineRule="auto"/>
      </w:pPr>
      <w:r w:rsidRPr="00803E45">
        <w:rPr>
          <w:noProof/>
        </w:rPr>
        <w:lastRenderedPageBreak/>
        <w:drawing>
          <wp:inline distT="0" distB="0" distL="0" distR="0" wp14:anchorId="69748D00" wp14:editId="375225F2">
            <wp:extent cx="5943600" cy="23637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63718"/>
                    </a:xfrm>
                    <a:prstGeom prst="rect">
                      <a:avLst/>
                    </a:prstGeom>
                    <a:noFill/>
                    <a:ln>
                      <a:noFill/>
                    </a:ln>
                  </pic:spPr>
                </pic:pic>
              </a:graphicData>
            </a:graphic>
          </wp:inline>
        </w:drawing>
      </w:r>
    </w:p>
    <w:p w14:paraId="746F70E6" w14:textId="77777777" w:rsidR="00F76B72" w:rsidRDefault="00F76B72" w:rsidP="00F76B72">
      <w:pPr>
        <w:spacing w:after="0" w:line="240" w:lineRule="auto"/>
      </w:pPr>
    </w:p>
    <w:p w14:paraId="724B25E2" w14:textId="77777777" w:rsidR="00F76B72" w:rsidRDefault="00F76B72" w:rsidP="00F76B72">
      <w:pPr>
        <w:spacing w:after="0" w:line="240" w:lineRule="auto"/>
      </w:pPr>
      <w:r w:rsidRPr="00803E45">
        <w:rPr>
          <w:noProof/>
        </w:rPr>
        <w:drawing>
          <wp:inline distT="0" distB="0" distL="0" distR="0" wp14:anchorId="658692CC" wp14:editId="76BA8CCC">
            <wp:extent cx="5943600" cy="23637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63718"/>
                    </a:xfrm>
                    <a:prstGeom prst="rect">
                      <a:avLst/>
                    </a:prstGeom>
                    <a:noFill/>
                    <a:ln>
                      <a:noFill/>
                    </a:ln>
                  </pic:spPr>
                </pic:pic>
              </a:graphicData>
            </a:graphic>
          </wp:inline>
        </w:drawing>
      </w:r>
    </w:p>
    <w:p w14:paraId="47F93288" w14:textId="77777777" w:rsidR="00F76B72" w:rsidRDefault="00F76B72" w:rsidP="00F76B72">
      <w:pPr>
        <w:spacing w:after="0" w:line="240" w:lineRule="auto"/>
      </w:pPr>
    </w:p>
    <w:p w14:paraId="3E1466BF" w14:textId="77777777" w:rsidR="00F76B72" w:rsidRDefault="00F76B72" w:rsidP="00F76B72">
      <w:pPr>
        <w:spacing w:after="0" w:line="240" w:lineRule="auto"/>
      </w:pPr>
      <w:r w:rsidRPr="00803E45">
        <w:rPr>
          <w:noProof/>
        </w:rPr>
        <w:drawing>
          <wp:inline distT="0" distB="0" distL="0" distR="0" wp14:anchorId="6DB87581" wp14:editId="5880B865">
            <wp:extent cx="5943600" cy="23862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86217"/>
                    </a:xfrm>
                    <a:prstGeom prst="rect">
                      <a:avLst/>
                    </a:prstGeom>
                    <a:noFill/>
                    <a:ln>
                      <a:noFill/>
                    </a:ln>
                  </pic:spPr>
                </pic:pic>
              </a:graphicData>
            </a:graphic>
          </wp:inline>
        </w:drawing>
      </w:r>
    </w:p>
    <w:p w14:paraId="2FB670F9" w14:textId="77777777" w:rsidR="006D5D8A" w:rsidRPr="004A6D72" w:rsidRDefault="006D5D8A" w:rsidP="00DD25E5">
      <w:pPr>
        <w:pStyle w:val="Heading1"/>
        <w:rPr>
          <w:szCs w:val="22"/>
        </w:rPr>
      </w:pPr>
    </w:p>
    <w:sectPr w:rsidR="006D5D8A" w:rsidRPr="004A6D72" w:rsidSect="008D0378">
      <w:type w:val="continuous"/>
      <w:pgSz w:w="12240" w:h="15840"/>
      <w:pgMar w:top="1440" w:right="1440" w:bottom="1440" w:left="1440" w:header="720" w:footer="720" w:gutter="0"/>
      <w:pgNumType w:start="2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5F2E7" w14:textId="77777777" w:rsidR="00567E4C" w:rsidRDefault="00567E4C" w:rsidP="00F10F9C">
      <w:pPr>
        <w:spacing w:after="0" w:line="240" w:lineRule="auto"/>
      </w:pPr>
      <w:r>
        <w:separator/>
      </w:r>
    </w:p>
  </w:endnote>
  <w:endnote w:type="continuationSeparator" w:id="0">
    <w:p w14:paraId="271AB790" w14:textId="77777777" w:rsidR="00567E4C" w:rsidRDefault="00567E4C" w:rsidP="00F1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005996"/>
      <w:docPartObj>
        <w:docPartGallery w:val="Page Numbers (Bottom of Page)"/>
        <w:docPartUnique/>
      </w:docPartObj>
    </w:sdtPr>
    <w:sdtEndPr>
      <w:rPr>
        <w:noProof/>
      </w:rPr>
    </w:sdtEndPr>
    <w:sdtContent>
      <w:p w14:paraId="10A89B9A" w14:textId="77777777" w:rsidR="001219E7" w:rsidRDefault="001219E7">
        <w:pPr>
          <w:pStyle w:val="Footer"/>
        </w:pPr>
        <w:r>
          <w:fldChar w:fldCharType="begin"/>
        </w:r>
        <w:r>
          <w:instrText xml:space="preserve"> PAGE   \* MERGEFORMAT </w:instrText>
        </w:r>
        <w:r>
          <w:fldChar w:fldCharType="separate"/>
        </w:r>
        <w:r>
          <w:rPr>
            <w:noProof/>
          </w:rPr>
          <w:t>3</w:t>
        </w:r>
        <w:r>
          <w:rPr>
            <w:noProof/>
          </w:rPr>
          <w:fldChar w:fldCharType="end"/>
        </w:r>
      </w:p>
    </w:sdtContent>
  </w:sdt>
  <w:p w14:paraId="2F66299B" w14:textId="77777777" w:rsidR="001219E7" w:rsidRDefault="00121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7C7AF" w14:textId="4DECFA6B" w:rsidR="001219E7" w:rsidRDefault="001219E7" w:rsidP="00F43691">
    <w:pPr>
      <w:pStyle w:val="Footer"/>
      <w:jc w:val="center"/>
    </w:pPr>
    <w:r>
      <w:fldChar w:fldCharType="begin"/>
    </w:r>
    <w:r>
      <w:instrText xml:space="preserve"> PAGE   \* MERGEFORMAT </w:instrText>
    </w:r>
    <w:r>
      <w:fldChar w:fldCharType="separate"/>
    </w:r>
    <w:r w:rsidR="00B750E8">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C4F34" w14:textId="691EC59C" w:rsidR="001219E7" w:rsidRDefault="001219E7">
    <w:pPr>
      <w:pStyle w:val="Footer"/>
    </w:pPr>
  </w:p>
  <w:p w14:paraId="354758EE" w14:textId="5E7718AD" w:rsidR="001219E7" w:rsidRDefault="001219E7" w:rsidP="00F43691">
    <w:pPr>
      <w:pStyle w:val="Footer"/>
      <w:tabs>
        <w:tab w:val="clear" w:pos="4680"/>
        <w:tab w:val="clear" w:pos="9360"/>
        <w:tab w:val="left" w:pos="1291"/>
      </w:tabs>
      <w:jc w:val="center"/>
    </w:pPr>
    <w:r>
      <w:fldChar w:fldCharType="begin"/>
    </w:r>
    <w:r>
      <w:instrText xml:space="preserve"> PAGE   \* MERGEFORMAT </w:instrText>
    </w:r>
    <w:r>
      <w:fldChar w:fldCharType="separate"/>
    </w:r>
    <w:r w:rsidR="00B750E8">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4D395" w14:textId="77777777" w:rsidR="00567E4C" w:rsidRDefault="00567E4C" w:rsidP="00F10F9C">
      <w:pPr>
        <w:spacing w:after="0" w:line="240" w:lineRule="auto"/>
      </w:pPr>
      <w:r>
        <w:separator/>
      </w:r>
    </w:p>
  </w:footnote>
  <w:footnote w:type="continuationSeparator" w:id="0">
    <w:p w14:paraId="54F9BFB2" w14:textId="77777777" w:rsidR="00567E4C" w:rsidRDefault="00567E4C" w:rsidP="00F10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E0893"/>
    <w:multiLevelType w:val="hybridMultilevel"/>
    <w:tmpl w:val="443A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87B77"/>
    <w:multiLevelType w:val="multilevel"/>
    <w:tmpl w:val="0C100AE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69352C"/>
    <w:multiLevelType w:val="hybridMultilevel"/>
    <w:tmpl w:val="1966A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60234"/>
    <w:multiLevelType w:val="hybridMultilevel"/>
    <w:tmpl w:val="8BFA8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C43A8E"/>
    <w:multiLevelType w:val="hybridMultilevel"/>
    <w:tmpl w:val="1DB61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06790"/>
    <w:multiLevelType w:val="multilevel"/>
    <w:tmpl w:val="0C100AE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890251F"/>
    <w:multiLevelType w:val="multilevel"/>
    <w:tmpl w:val="76C84064"/>
    <w:lvl w:ilvl="0">
      <w:start w:val="1"/>
      <w:numFmt w:val="decimal"/>
      <w:lvlText w:val="%1."/>
      <w:lvlJc w:val="left"/>
      <w:pPr>
        <w:ind w:left="720" w:hanging="720"/>
      </w:pPr>
      <w:rPr>
        <w:rFonts w:ascii="Times New Roman" w:hAnsi="Times New Roman" w:hint="default"/>
        <w:b w:val="0"/>
        <w:i w:val="0"/>
        <w:sz w:val="22"/>
      </w:rPr>
    </w:lvl>
    <w:lvl w:ilvl="1">
      <w:start w:val="1"/>
      <w:numFmt w:val="decimal"/>
      <w:lvlText w:val="%2.1."/>
      <w:lvlJc w:val="left"/>
      <w:pPr>
        <w:ind w:left="1440" w:hanging="1440"/>
      </w:pPr>
      <w:rPr>
        <w:rFonts w:ascii="Times New Roman" w:hAnsi="Times New Roman" w:hint="default"/>
        <w:b w:val="0"/>
        <w:i w:val="0"/>
        <w:sz w:val="22"/>
      </w:rPr>
    </w:lvl>
    <w:lvl w:ilvl="2">
      <w:start w:val="1"/>
      <w:numFmt w:val="decimal"/>
      <w:lvlText w:val="%3."/>
      <w:lvlJc w:val="right"/>
      <w:pPr>
        <w:tabs>
          <w:tab w:val="num" w:pos="1987"/>
        </w:tabs>
        <w:ind w:left="2160" w:hanging="1440"/>
      </w:pPr>
      <w:rPr>
        <w:rFonts w:ascii="Times New Roman" w:hAnsi="Times New Roman"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F6C46E7"/>
    <w:multiLevelType w:val="multilevel"/>
    <w:tmpl w:val="2D64B6E8"/>
    <w:lvl w:ilvl="0">
      <w:start w:val="1"/>
      <w:numFmt w:val="decimal"/>
      <w:lvlText w:val="%1."/>
      <w:lvlJc w:val="left"/>
      <w:pPr>
        <w:ind w:left="720" w:hanging="360"/>
      </w:pPr>
      <w:rPr>
        <w:rFonts w:ascii="Times New Roman" w:hAnsi="Times New Roman" w:hint="default"/>
        <w:b w:val="0"/>
        <w:i w:val="0"/>
        <w:sz w:val="22"/>
      </w:rPr>
    </w:lvl>
    <w:lvl w:ilvl="1">
      <w:start w:val="1"/>
      <w:numFmt w:val="decimal"/>
      <w:lvlText w:val="%2."/>
      <w:lvlJc w:val="left"/>
      <w:pPr>
        <w:ind w:left="1440" w:hanging="360"/>
      </w:pPr>
      <w:rPr>
        <w:rFonts w:ascii="Times New Roman" w:hAnsi="Times New Roman" w:hint="default"/>
        <w:b w:val="0"/>
        <w:i w:val="0"/>
        <w:sz w:val="22"/>
      </w:rPr>
    </w:lvl>
    <w:lvl w:ilvl="2">
      <w:start w:val="1"/>
      <w:numFmt w:val="decimal"/>
      <w:lvlText w:val="%3."/>
      <w:lvlJc w:val="right"/>
      <w:pPr>
        <w:ind w:left="2160" w:hanging="180"/>
      </w:pPr>
      <w:rPr>
        <w:rFonts w:ascii="Times New Roman" w:hAnsi="Times New Roman"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
  </w:num>
  <w:num w:numId="3">
    <w:abstractNumId w:val="7"/>
  </w:num>
  <w:num w:numId="4">
    <w:abstractNumId w:val="6"/>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62"/>
    <w:rsid w:val="00004311"/>
    <w:rsid w:val="00011971"/>
    <w:rsid w:val="00011D5B"/>
    <w:rsid w:val="00012EAA"/>
    <w:rsid w:val="000137F4"/>
    <w:rsid w:val="00016525"/>
    <w:rsid w:val="00017EA2"/>
    <w:rsid w:val="00017EF9"/>
    <w:rsid w:val="000207FF"/>
    <w:rsid w:val="000257DD"/>
    <w:rsid w:val="000314C9"/>
    <w:rsid w:val="000340EB"/>
    <w:rsid w:val="000344E2"/>
    <w:rsid w:val="000359D0"/>
    <w:rsid w:val="00037E78"/>
    <w:rsid w:val="00043433"/>
    <w:rsid w:val="00051782"/>
    <w:rsid w:val="000519A8"/>
    <w:rsid w:val="00053798"/>
    <w:rsid w:val="00053AA6"/>
    <w:rsid w:val="00062C92"/>
    <w:rsid w:val="00062CFE"/>
    <w:rsid w:val="00063BD6"/>
    <w:rsid w:val="000655CD"/>
    <w:rsid w:val="0006570E"/>
    <w:rsid w:val="00072AD7"/>
    <w:rsid w:val="00077662"/>
    <w:rsid w:val="00081C35"/>
    <w:rsid w:val="00086EAC"/>
    <w:rsid w:val="0009098A"/>
    <w:rsid w:val="000A51AE"/>
    <w:rsid w:val="000A5C0F"/>
    <w:rsid w:val="000A7065"/>
    <w:rsid w:val="000B73DB"/>
    <w:rsid w:val="000C287B"/>
    <w:rsid w:val="000C3461"/>
    <w:rsid w:val="000C4A80"/>
    <w:rsid w:val="000D453D"/>
    <w:rsid w:val="000E0627"/>
    <w:rsid w:val="000E6881"/>
    <w:rsid w:val="000E7B55"/>
    <w:rsid w:val="000F0E0B"/>
    <w:rsid w:val="000F1D1B"/>
    <w:rsid w:val="000F3E16"/>
    <w:rsid w:val="000F4526"/>
    <w:rsid w:val="000F49D7"/>
    <w:rsid w:val="000F4B26"/>
    <w:rsid w:val="001000EA"/>
    <w:rsid w:val="00111D74"/>
    <w:rsid w:val="0011566E"/>
    <w:rsid w:val="001219E7"/>
    <w:rsid w:val="00123F1A"/>
    <w:rsid w:val="00124848"/>
    <w:rsid w:val="00130175"/>
    <w:rsid w:val="00130D44"/>
    <w:rsid w:val="00130E26"/>
    <w:rsid w:val="00130E8E"/>
    <w:rsid w:val="00134E9A"/>
    <w:rsid w:val="00136CC1"/>
    <w:rsid w:val="00142257"/>
    <w:rsid w:val="00143769"/>
    <w:rsid w:val="0014384D"/>
    <w:rsid w:val="0014659B"/>
    <w:rsid w:val="001573B7"/>
    <w:rsid w:val="00160A69"/>
    <w:rsid w:val="00162395"/>
    <w:rsid w:val="00162C8A"/>
    <w:rsid w:val="001637FB"/>
    <w:rsid w:val="00163FBC"/>
    <w:rsid w:val="0016516B"/>
    <w:rsid w:val="00186AB4"/>
    <w:rsid w:val="00192C03"/>
    <w:rsid w:val="00195324"/>
    <w:rsid w:val="00195353"/>
    <w:rsid w:val="0019791C"/>
    <w:rsid w:val="001A29DC"/>
    <w:rsid w:val="001A45FA"/>
    <w:rsid w:val="001B0110"/>
    <w:rsid w:val="001B0CD5"/>
    <w:rsid w:val="001B1D71"/>
    <w:rsid w:val="001B3F5F"/>
    <w:rsid w:val="001C191D"/>
    <w:rsid w:val="001C271C"/>
    <w:rsid w:val="001C41D8"/>
    <w:rsid w:val="001C4B3A"/>
    <w:rsid w:val="001D4BF1"/>
    <w:rsid w:val="001D523F"/>
    <w:rsid w:val="001D762F"/>
    <w:rsid w:val="001E2086"/>
    <w:rsid w:val="001E39B7"/>
    <w:rsid w:val="001E6146"/>
    <w:rsid w:val="001F26C0"/>
    <w:rsid w:val="001F2788"/>
    <w:rsid w:val="001F693D"/>
    <w:rsid w:val="001F69D2"/>
    <w:rsid w:val="00200DE0"/>
    <w:rsid w:val="0020254D"/>
    <w:rsid w:val="0020365C"/>
    <w:rsid w:val="00203B0A"/>
    <w:rsid w:val="00207A38"/>
    <w:rsid w:val="00220337"/>
    <w:rsid w:val="00220BE2"/>
    <w:rsid w:val="00223772"/>
    <w:rsid w:val="002270CF"/>
    <w:rsid w:val="00234962"/>
    <w:rsid w:val="0023630C"/>
    <w:rsid w:val="0023764D"/>
    <w:rsid w:val="002429D2"/>
    <w:rsid w:val="00242AAC"/>
    <w:rsid w:val="00262040"/>
    <w:rsid w:val="00262FE1"/>
    <w:rsid w:val="0027303A"/>
    <w:rsid w:val="002743FD"/>
    <w:rsid w:val="00275728"/>
    <w:rsid w:val="00275E3F"/>
    <w:rsid w:val="002773D2"/>
    <w:rsid w:val="002777D2"/>
    <w:rsid w:val="00277E36"/>
    <w:rsid w:val="00280100"/>
    <w:rsid w:val="00292F42"/>
    <w:rsid w:val="00293B7D"/>
    <w:rsid w:val="00294862"/>
    <w:rsid w:val="002B00EB"/>
    <w:rsid w:val="002B176A"/>
    <w:rsid w:val="002B2887"/>
    <w:rsid w:val="002B5887"/>
    <w:rsid w:val="002B6C46"/>
    <w:rsid w:val="002C4867"/>
    <w:rsid w:val="002C7234"/>
    <w:rsid w:val="002D14B0"/>
    <w:rsid w:val="002E0B39"/>
    <w:rsid w:val="002F233A"/>
    <w:rsid w:val="002F2DE0"/>
    <w:rsid w:val="002F37F1"/>
    <w:rsid w:val="00301DFF"/>
    <w:rsid w:val="00302605"/>
    <w:rsid w:val="00303628"/>
    <w:rsid w:val="00303C84"/>
    <w:rsid w:val="00304858"/>
    <w:rsid w:val="00305C2B"/>
    <w:rsid w:val="00305F56"/>
    <w:rsid w:val="00307C08"/>
    <w:rsid w:val="0031086C"/>
    <w:rsid w:val="00312366"/>
    <w:rsid w:val="00313BE5"/>
    <w:rsid w:val="0031730A"/>
    <w:rsid w:val="00317BAE"/>
    <w:rsid w:val="00323DDC"/>
    <w:rsid w:val="00326A43"/>
    <w:rsid w:val="00327A92"/>
    <w:rsid w:val="00330EA7"/>
    <w:rsid w:val="0033141D"/>
    <w:rsid w:val="00334E0B"/>
    <w:rsid w:val="00336DA0"/>
    <w:rsid w:val="00340755"/>
    <w:rsid w:val="00340B8A"/>
    <w:rsid w:val="00342B96"/>
    <w:rsid w:val="00344DA2"/>
    <w:rsid w:val="003504AA"/>
    <w:rsid w:val="00357E86"/>
    <w:rsid w:val="003607C2"/>
    <w:rsid w:val="00361D4E"/>
    <w:rsid w:val="00363AD8"/>
    <w:rsid w:val="00363BCA"/>
    <w:rsid w:val="00364233"/>
    <w:rsid w:val="00365D12"/>
    <w:rsid w:val="00372A9C"/>
    <w:rsid w:val="003828D1"/>
    <w:rsid w:val="00396B84"/>
    <w:rsid w:val="003A3140"/>
    <w:rsid w:val="003A5883"/>
    <w:rsid w:val="003A7D3E"/>
    <w:rsid w:val="003B0400"/>
    <w:rsid w:val="003B0977"/>
    <w:rsid w:val="003B53C2"/>
    <w:rsid w:val="003C31D2"/>
    <w:rsid w:val="003C6F58"/>
    <w:rsid w:val="003D3305"/>
    <w:rsid w:val="003D65DB"/>
    <w:rsid w:val="003D76CA"/>
    <w:rsid w:val="003E0437"/>
    <w:rsid w:val="003E2956"/>
    <w:rsid w:val="003E5D9C"/>
    <w:rsid w:val="003F0DF8"/>
    <w:rsid w:val="003F4A73"/>
    <w:rsid w:val="003F57D6"/>
    <w:rsid w:val="004006C3"/>
    <w:rsid w:val="00403811"/>
    <w:rsid w:val="00406CE9"/>
    <w:rsid w:val="004110C9"/>
    <w:rsid w:val="00413C51"/>
    <w:rsid w:val="00416B8C"/>
    <w:rsid w:val="0042242C"/>
    <w:rsid w:val="004272F8"/>
    <w:rsid w:val="0042768B"/>
    <w:rsid w:val="004324A6"/>
    <w:rsid w:val="00432B8F"/>
    <w:rsid w:val="00432DED"/>
    <w:rsid w:val="00434B57"/>
    <w:rsid w:val="00435619"/>
    <w:rsid w:val="00436CA7"/>
    <w:rsid w:val="0044063D"/>
    <w:rsid w:val="00442144"/>
    <w:rsid w:val="00442AAF"/>
    <w:rsid w:val="00443490"/>
    <w:rsid w:val="00443852"/>
    <w:rsid w:val="00444334"/>
    <w:rsid w:val="00453FAE"/>
    <w:rsid w:val="00461C74"/>
    <w:rsid w:val="00466108"/>
    <w:rsid w:val="00472512"/>
    <w:rsid w:val="00473D8E"/>
    <w:rsid w:val="004809A8"/>
    <w:rsid w:val="00492477"/>
    <w:rsid w:val="004926B2"/>
    <w:rsid w:val="00493F84"/>
    <w:rsid w:val="00495B26"/>
    <w:rsid w:val="004967B1"/>
    <w:rsid w:val="004A4770"/>
    <w:rsid w:val="004A6D72"/>
    <w:rsid w:val="004B59A8"/>
    <w:rsid w:val="004B78F8"/>
    <w:rsid w:val="004C2851"/>
    <w:rsid w:val="004C53C5"/>
    <w:rsid w:val="004D0B02"/>
    <w:rsid w:val="004D0EBB"/>
    <w:rsid w:val="004D2A01"/>
    <w:rsid w:val="004D5E3B"/>
    <w:rsid w:val="004E61FE"/>
    <w:rsid w:val="004E7150"/>
    <w:rsid w:val="004E7AF6"/>
    <w:rsid w:val="004F0F2A"/>
    <w:rsid w:val="004F1BC0"/>
    <w:rsid w:val="004F2534"/>
    <w:rsid w:val="00501A0D"/>
    <w:rsid w:val="00503505"/>
    <w:rsid w:val="00507B2B"/>
    <w:rsid w:val="00513695"/>
    <w:rsid w:val="00513A6A"/>
    <w:rsid w:val="00514418"/>
    <w:rsid w:val="0052049A"/>
    <w:rsid w:val="00522BD7"/>
    <w:rsid w:val="005235C8"/>
    <w:rsid w:val="0052424D"/>
    <w:rsid w:val="00524508"/>
    <w:rsid w:val="00530B7E"/>
    <w:rsid w:val="00535C75"/>
    <w:rsid w:val="00541684"/>
    <w:rsid w:val="005423FB"/>
    <w:rsid w:val="00544186"/>
    <w:rsid w:val="00546144"/>
    <w:rsid w:val="00555305"/>
    <w:rsid w:val="00556B0D"/>
    <w:rsid w:val="00562E10"/>
    <w:rsid w:val="0056744D"/>
    <w:rsid w:val="0056795C"/>
    <w:rsid w:val="00567E4C"/>
    <w:rsid w:val="00571E35"/>
    <w:rsid w:val="00575888"/>
    <w:rsid w:val="00580010"/>
    <w:rsid w:val="0058039B"/>
    <w:rsid w:val="00582896"/>
    <w:rsid w:val="00582D88"/>
    <w:rsid w:val="00584D69"/>
    <w:rsid w:val="00585EDD"/>
    <w:rsid w:val="005930B2"/>
    <w:rsid w:val="00594A6E"/>
    <w:rsid w:val="005963DF"/>
    <w:rsid w:val="005A02CD"/>
    <w:rsid w:val="005A5325"/>
    <w:rsid w:val="005B02DC"/>
    <w:rsid w:val="005B64B5"/>
    <w:rsid w:val="005B772E"/>
    <w:rsid w:val="005C1786"/>
    <w:rsid w:val="005C18DC"/>
    <w:rsid w:val="005C3C41"/>
    <w:rsid w:val="005C4DDC"/>
    <w:rsid w:val="005C5131"/>
    <w:rsid w:val="005E419C"/>
    <w:rsid w:val="005E523E"/>
    <w:rsid w:val="005E771A"/>
    <w:rsid w:val="005F1C10"/>
    <w:rsid w:val="005F4280"/>
    <w:rsid w:val="006055E8"/>
    <w:rsid w:val="00614CE3"/>
    <w:rsid w:val="00614D4F"/>
    <w:rsid w:val="00617C73"/>
    <w:rsid w:val="00621807"/>
    <w:rsid w:val="006261A0"/>
    <w:rsid w:val="006270FD"/>
    <w:rsid w:val="0062766F"/>
    <w:rsid w:val="00627D80"/>
    <w:rsid w:val="00640DBC"/>
    <w:rsid w:val="00641232"/>
    <w:rsid w:val="0065006F"/>
    <w:rsid w:val="00653B99"/>
    <w:rsid w:val="0065441E"/>
    <w:rsid w:val="00654A7E"/>
    <w:rsid w:val="00656214"/>
    <w:rsid w:val="006608A9"/>
    <w:rsid w:val="006626D1"/>
    <w:rsid w:val="00662BB6"/>
    <w:rsid w:val="006639F8"/>
    <w:rsid w:val="006658C1"/>
    <w:rsid w:val="00665905"/>
    <w:rsid w:val="00670D76"/>
    <w:rsid w:val="0067212A"/>
    <w:rsid w:val="006729FD"/>
    <w:rsid w:val="006756C5"/>
    <w:rsid w:val="00684A91"/>
    <w:rsid w:val="0068733F"/>
    <w:rsid w:val="0069464E"/>
    <w:rsid w:val="006964E1"/>
    <w:rsid w:val="006966E2"/>
    <w:rsid w:val="006A3C8E"/>
    <w:rsid w:val="006A7177"/>
    <w:rsid w:val="006B0098"/>
    <w:rsid w:val="006B2274"/>
    <w:rsid w:val="006B32C4"/>
    <w:rsid w:val="006B3611"/>
    <w:rsid w:val="006C1F1C"/>
    <w:rsid w:val="006C3A2E"/>
    <w:rsid w:val="006C64C2"/>
    <w:rsid w:val="006D5D8A"/>
    <w:rsid w:val="006E2367"/>
    <w:rsid w:val="006E7F9C"/>
    <w:rsid w:val="006F1E43"/>
    <w:rsid w:val="006F4312"/>
    <w:rsid w:val="0070155F"/>
    <w:rsid w:val="0071389A"/>
    <w:rsid w:val="00722C92"/>
    <w:rsid w:val="00726E44"/>
    <w:rsid w:val="007276B7"/>
    <w:rsid w:val="00731D94"/>
    <w:rsid w:val="00732F55"/>
    <w:rsid w:val="00735ACB"/>
    <w:rsid w:val="00740745"/>
    <w:rsid w:val="00740B61"/>
    <w:rsid w:val="00741CAA"/>
    <w:rsid w:val="007431D2"/>
    <w:rsid w:val="0075464E"/>
    <w:rsid w:val="007551CB"/>
    <w:rsid w:val="00755724"/>
    <w:rsid w:val="00755A1B"/>
    <w:rsid w:val="00755AF9"/>
    <w:rsid w:val="00755F8B"/>
    <w:rsid w:val="00760553"/>
    <w:rsid w:val="00760915"/>
    <w:rsid w:val="00760DD2"/>
    <w:rsid w:val="00763099"/>
    <w:rsid w:val="007709F4"/>
    <w:rsid w:val="00771189"/>
    <w:rsid w:val="00772B8E"/>
    <w:rsid w:val="00772D47"/>
    <w:rsid w:val="007732C0"/>
    <w:rsid w:val="00775B77"/>
    <w:rsid w:val="007761B9"/>
    <w:rsid w:val="007770BF"/>
    <w:rsid w:val="00782510"/>
    <w:rsid w:val="007869A4"/>
    <w:rsid w:val="007871FA"/>
    <w:rsid w:val="007877C7"/>
    <w:rsid w:val="00793271"/>
    <w:rsid w:val="00796ACC"/>
    <w:rsid w:val="007A2B0C"/>
    <w:rsid w:val="007A4CE1"/>
    <w:rsid w:val="007A796C"/>
    <w:rsid w:val="007B17CC"/>
    <w:rsid w:val="007B1F77"/>
    <w:rsid w:val="007C04F3"/>
    <w:rsid w:val="007C1507"/>
    <w:rsid w:val="007C350D"/>
    <w:rsid w:val="007C68B3"/>
    <w:rsid w:val="007C7A5C"/>
    <w:rsid w:val="007D1C81"/>
    <w:rsid w:val="007E319C"/>
    <w:rsid w:val="007E3BD1"/>
    <w:rsid w:val="007E78B3"/>
    <w:rsid w:val="007F2ABD"/>
    <w:rsid w:val="007F4173"/>
    <w:rsid w:val="007F5EDA"/>
    <w:rsid w:val="0080437E"/>
    <w:rsid w:val="00807211"/>
    <w:rsid w:val="0081039C"/>
    <w:rsid w:val="00815489"/>
    <w:rsid w:val="00816866"/>
    <w:rsid w:val="0082224C"/>
    <w:rsid w:val="00826207"/>
    <w:rsid w:val="0083468A"/>
    <w:rsid w:val="00836639"/>
    <w:rsid w:val="00836E7A"/>
    <w:rsid w:val="0084003D"/>
    <w:rsid w:val="008404B2"/>
    <w:rsid w:val="00850EE5"/>
    <w:rsid w:val="008517E3"/>
    <w:rsid w:val="00860E9E"/>
    <w:rsid w:val="00862241"/>
    <w:rsid w:val="00864752"/>
    <w:rsid w:val="00865BA3"/>
    <w:rsid w:val="00865C35"/>
    <w:rsid w:val="008675B5"/>
    <w:rsid w:val="00871687"/>
    <w:rsid w:val="00871F27"/>
    <w:rsid w:val="008726EF"/>
    <w:rsid w:val="00882692"/>
    <w:rsid w:val="008826EF"/>
    <w:rsid w:val="008861CE"/>
    <w:rsid w:val="00892D32"/>
    <w:rsid w:val="008955F8"/>
    <w:rsid w:val="00895872"/>
    <w:rsid w:val="008A2692"/>
    <w:rsid w:val="008A5D6C"/>
    <w:rsid w:val="008A7020"/>
    <w:rsid w:val="008B1700"/>
    <w:rsid w:val="008B355C"/>
    <w:rsid w:val="008C0142"/>
    <w:rsid w:val="008C2F72"/>
    <w:rsid w:val="008C3426"/>
    <w:rsid w:val="008C411B"/>
    <w:rsid w:val="008C5663"/>
    <w:rsid w:val="008C5D6D"/>
    <w:rsid w:val="008C75DB"/>
    <w:rsid w:val="008C7C1C"/>
    <w:rsid w:val="008D0378"/>
    <w:rsid w:val="008D2424"/>
    <w:rsid w:val="008D7B19"/>
    <w:rsid w:val="008E0E32"/>
    <w:rsid w:val="008E2286"/>
    <w:rsid w:val="008E5339"/>
    <w:rsid w:val="008F620A"/>
    <w:rsid w:val="008F6407"/>
    <w:rsid w:val="009042E3"/>
    <w:rsid w:val="009104CB"/>
    <w:rsid w:val="00911CBC"/>
    <w:rsid w:val="009123F0"/>
    <w:rsid w:val="00915A3C"/>
    <w:rsid w:val="0091636E"/>
    <w:rsid w:val="00925755"/>
    <w:rsid w:val="009270A8"/>
    <w:rsid w:val="009334E3"/>
    <w:rsid w:val="00934745"/>
    <w:rsid w:val="00935C1D"/>
    <w:rsid w:val="00935E3E"/>
    <w:rsid w:val="009434D5"/>
    <w:rsid w:val="00943612"/>
    <w:rsid w:val="00943A2E"/>
    <w:rsid w:val="00945793"/>
    <w:rsid w:val="00946B9F"/>
    <w:rsid w:val="00947B20"/>
    <w:rsid w:val="009519C2"/>
    <w:rsid w:val="009543FD"/>
    <w:rsid w:val="009556DF"/>
    <w:rsid w:val="00961493"/>
    <w:rsid w:val="00964613"/>
    <w:rsid w:val="00970345"/>
    <w:rsid w:val="0097245C"/>
    <w:rsid w:val="00972905"/>
    <w:rsid w:val="0097426E"/>
    <w:rsid w:val="009742AB"/>
    <w:rsid w:val="009803E8"/>
    <w:rsid w:val="0098339E"/>
    <w:rsid w:val="0098647B"/>
    <w:rsid w:val="00994101"/>
    <w:rsid w:val="00996F9C"/>
    <w:rsid w:val="00997C33"/>
    <w:rsid w:val="009A05F8"/>
    <w:rsid w:val="009A0B2D"/>
    <w:rsid w:val="009A3F07"/>
    <w:rsid w:val="009A5F74"/>
    <w:rsid w:val="009B00B6"/>
    <w:rsid w:val="009B0AA9"/>
    <w:rsid w:val="009B2764"/>
    <w:rsid w:val="009C00E5"/>
    <w:rsid w:val="009D3587"/>
    <w:rsid w:val="009D6C97"/>
    <w:rsid w:val="009E106E"/>
    <w:rsid w:val="009F510E"/>
    <w:rsid w:val="009F5575"/>
    <w:rsid w:val="009F5671"/>
    <w:rsid w:val="009F631A"/>
    <w:rsid w:val="00A05680"/>
    <w:rsid w:val="00A11B28"/>
    <w:rsid w:val="00A132C7"/>
    <w:rsid w:val="00A13CFA"/>
    <w:rsid w:val="00A144C3"/>
    <w:rsid w:val="00A15CC4"/>
    <w:rsid w:val="00A21400"/>
    <w:rsid w:val="00A25AF6"/>
    <w:rsid w:val="00A2628B"/>
    <w:rsid w:val="00A26CE8"/>
    <w:rsid w:val="00A32629"/>
    <w:rsid w:val="00A33DD0"/>
    <w:rsid w:val="00A36059"/>
    <w:rsid w:val="00A3639D"/>
    <w:rsid w:val="00A40900"/>
    <w:rsid w:val="00A43AE6"/>
    <w:rsid w:val="00A44F15"/>
    <w:rsid w:val="00A4500B"/>
    <w:rsid w:val="00A457BE"/>
    <w:rsid w:val="00A47113"/>
    <w:rsid w:val="00A50A67"/>
    <w:rsid w:val="00A5444B"/>
    <w:rsid w:val="00A563CC"/>
    <w:rsid w:val="00A56F6B"/>
    <w:rsid w:val="00A721A2"/>
    <w:rsid w:val="00A750F4"/>
    <w:rsid w:val="00A77F94"/>
    <w:rsid w:val="00A827A7"/>
    <w:rsid w:val="00A838AF"/>
    <w:rsid w:val="00A85971"/>
    <w:rsid w:val="00A8598B"/>
    <w:rsid w:val="00A86512"/>
    <w:rsid w:val="00A91B01"/>
    <w:rsid w:val="00AA0329"/>
    <w:rsid w:val="00AA22A5"/>
    <w:rsid w:val="00AA3E02"/>
    <w:rsid w:val="00AA545C"/>
    <w:rsid w:val="00AA574F"/>
    <w:rsid w:val="00AA613A"/>
    <w:rsid w:val="00AA769C"/>
    <w:rsid w:val="00AB05D3"/>
    <w:rsid w:val="00AB0A80"/>
    <w:rsid w:val="00AB3507"/>
    <w:rsid w:val="00AB5D22"/>
    <w:rsid w:val="00AC2B4C"/>
    <w:rsid w:val="00AC5657"/>
    <w:rsid w:val="00AD3381"/>
    <w:rsid w:val="00AD44FA"/>
    <w:rsid w:val="00AD5668"/>
    <w:rsid w:val="00AE22A9"/>
    <w:rsid w:val="00AE2C59"/>
    <w:rsid w:val="00AE7E33"/>
    <w:rsid w:val="00AF36B1"/>
    <w:rsid w:val="00AF4B5A"/>
    <w:rsid w:val="00AF7B01"/>
    <w:rsid w:val="00B001A8"/>
    <w:rsid w:val="00B008F2"/>
    <w:rsid w:val="00B00FF8"/>
    <w:rsid w:val="00B04A68"/>
    <w:rsid w:val="00B106C7"/>
    <w:rsid w:val="00B107E0"/>
    <w:rsid w:val="00B11F72"/>
    <w:rsid w:val="00B1218A"/>
    <w:rsid w:val="00B123E3"/>
    <w:rsid w:val="00B166E8"/>
    <w:rsid w:val="00B17AFE"/>
    <w:rsid w:val="00B24304"/>
    <w:rsid w:val="00B246C7"/>
    <w:rsid w:val="00B26D42"/>
    <w:rsid w:val="00B35340"/>
    <w:rsid w:val="00B42EF4"/>
    <w:rsid w:val="00B433F4"/>
    <w:rsid w:val="00B456FA"/>
    <w:rsid w:val="00B52E3A"/>
    <w:rsid w:val="00B56B8D"/>
    <w:rsid w:val="00B668ED"/>
    <w:rsid w:val="00B70482"/>
    <w:rsid w:val="00B732B0"/>
    <w:rsid w:val="00B750E8"/>
    <w:rsid w:val="00B763CD"/>
    <w:rsid w:val="00B771C7"/>
    <w:rsid w:val="00B811E4"/>
    <w:rsid w:val="00B826EC"/>
    <w:rsid w:val="00B87E9B"/>
    <w:rsid w:val="00B90B27"/>
    <w:rsid w:val="00B91B81"/>
    <w:rsid w:val="00B91D2D"/>
    <w:rsid w:val="00B91D6D"/>
    <w:rsid w:val="00B936C2"/>
    <w:rsid w:val="00B9515B"/>
    <w:rsid w:val="00B97AA0"/>
    <w:rsid w:val="00B97ADE"/>
    <w:rsid w:val="00BB3BCA"/>
    <w:rsid w:val="00BB3FF9"/>
    <w:rsid w:val="00BB4AB4"/>
    <w:rsid w:val="00BC3471"/>
    <w:rsid w:val="00BC60F2"/>
    <w:rsid w:val="00BD6524"/>
    <w:rsid w:val="00BE227B"/>
    <w:rsid w:val="00BE471B"/>
    <w:rsid w:val="00BE6DED"/>
    <w:rsid w:val="00BF14A1"/>
    <w:rsid w:val="00BF54C0"/>
    <w:rsid w:val="00C02B07"/>
    <w:rsid w:val="00C03F9A"/>
    <w:rsid w:val="00C101B5"/>
    <w:rsid w:val="00C11110"/>
    <w:rsid w:val="00C11B93"/>
    <w:rsid w:val="00C132F1"/>
    <w:rsid w:val="00C15723"/>
    <w:rsid w:val="00C2178D"/>
    <w:rsid w:val="00C2314A"/>
    <w:rsid w:val="00C23704"/>
    <w:rsid w:val="00C2434D"/>
    <w:rsid w:val="00C2723A"/>
    <w:rsid w:val="00C34882"/>
    <w:rsid w:val="00C36834"/>
    <w:rsid w:val="00C37289"/>
    <w:rsid w:val="00C37FB3"/>
    <w:rsid w:val="00C43ECC"/>
    <w:rsid w:val="00C463A8"/>
    <w:rsid w:val="00C5139F"/>
    <w:rsid w:val="00C51854"/>
    <w:rsid w:val="00C5500F"/>
    <w:rsid w:val="00C56734"/>
    <w:rsid w:val="00C6354D"/>
    <w:rsid w:val="00C74799"/>
    <w:rsid w:val="00C768FF"/>
    <w:rsid w:val="00C77A58"/>
    <w:rsid w:val="00C87632"/>
    <w:rsid w:val="00C90953"/>
    <w:rsid w:val="00C95E9F"/>
    <w:rsid w:val="00C95ECF"/>
    <w:rsid w:val="00C9623B"/>
    <w:rsid w:val="00C9645C"/>
    <w:rsid w:val="00CA16DE"/>
    <w:rsid w:val="00CA21A4"/>
    <w:rsid w:val="00CA41DB"/>
    <w:rsid w:val="00CA423A"/>
    <w:rsid w:val="00CA75C6"/>
    <w:rsid w:val="00CB23B0"/>
    <w:rsid w:val="00CB615E"/>
    <w:rsid w:val="00CB6A13"/>
    <w:rsid w:val="00CC0DDF"/>
    <w:rsid w:val="00CC4F21"/>
    <w:rsid w:val="00CD1F47"/>
    <w:rsid w:val="00CD3A21"/>
    <w:rsid w:val="00CD7DF1"/>
    <w:rsid w:val="00CE0C6F"/>
    <w:rsid w:val="00CE1710"/>
    <w:rsid w:val="00CE1B66"/>
    <w:rsid w:val="00CE1D03"/>
    <w:rsid w:val="00CE687E"/>
    <w:rsid w:val="00CE6961"/>
    <w:rsid w:val="00CE7035"/>
    <w:rsid w:val="00CF1196"/>
    <w:rsid w:val="00CF217E"/>
    <w:rsid w:val="00CF5187"/>
    <w:rsid w:val="00CF564F"/>
    <w:rsid w:val="00D008FB"/>
    <w:rsid w:val="00D030DA"/>
    <w:rsid w:val="00D10267"/>
    <w:rsid w:val="00D11188"/>
    <w:rsid w:val="00D11B47"/>
    <w:rsid w:val="00D174EA"/>
    <w:rsid w:val="00D27C82"/>
    <w:rsid w:val="00D4316B"/>
    <w:rsid w:val="00D4406A"/>
    <w:rsid w:val="00D47365"/>
    <w:rsid w:val="00D50042"/>
    <w:rsid w:val="00D575B3"/>
    <w:rsid w:val="00D57BED"/>
    <w:rsid w:val="00D65C16"/>
    <w:rsid w:val="00D66FCB"/>
    <w:rsid w:val="00D72242"/>
    <w:rsid w:val="00D75070"/>
    <w:rsid w:val="00D7582F"/>
    <w:rsid w:val="00D7757F"/>
    <w:rsid w:val="00D77A97"/>
    <w:rsid w:val="00D82B27"/>
    <w:rsid w:val="00D92441"/>
    <w:rsid w:val="00D92966"/>
    <w:rsid w:val="00D974C3"/>
    <w:rsid w:val="00DA6D4F"/>
    <w:rsid w:val="00DB230C"/>
    <w:rsid w:val="00DB3587"/>
    <w:rsid w:val="00DB6E74"/>
    <w:rsid w:val="00DC17A6"/>
    <w:rsid w:val="00DC4C95"/>
    <w:rsid w:val="00DC5C83"/>
    <w:rsid w:val="00DD25E5"/>
    <w:rsid w:val="00DD3BB9"/>
    <w:rsid w:val="00DD4F5E"/>
    <w:rsid w:val="00DD5C14"/>
    <w:rsid w:val="00DE1D00"/>
    <w:rsid w:val="00DE3A9A"/>
    <w:rsid w:val="00DE48A2"/>
    <w:rsid w:val="00DE69B4"/>
    <w:rsid w:val="00DE78BB"/>
    <w:rsid w:val="00DF0CFD"/>
    <w:rsid w:val="00DF2895"/>
    <w:rsid w:val="00DF47F4"/>
    <w:rsid w:val="00DF7EE2"/>
    <w:rsid w:val="00E00F35"/>
    <w:rsid w:val="00E04A24"/>
    <w:rsid w:val="00E07A03"/>
    <w:rsid w:val="00E14821"/>
    <w:rsid w:val="00E23111"/>
    <w:rsid w:val="00E2353D"/>
    <w:rsid w:val="00E2424E"/>
    <w:rsid w:val="00E24526"/>
    <w:rsid w:val="00E260C2"/>
    <w:rsid w:val="00E27C68"/>
    <w:rsid w:val="00E43399"/>
    <w:rsid w:val="00E454E4"/>
    <w:rsid w:val="00E46770"/>
    <w:rsid w:val="00E525A1"/>
    <w:rsid w:val="00E52BAC"/>
    <w:rsid w:val="00E6565E"/>
    <w:rsid w:val="00E66AAC"/>
    <w:rsid w:val="00E6741B"/>
    <w:rsid w:val="00E70CA3"/>
    <w:rsid w:val="00E72B29"/>
    <w:rsid w:val="00E74777"/>
    <w:rsid w:val="00E75CC9"/>
    <w:rsid w:val="00E76AE3"/>
    <w:rsid w:val="00E76B43"/>
    <w:rsid w:val="00E7736A"/>
    <w:rsid w:val="00E804CF"/>
    <w:rsid w:val="00E8066F"/>
    <w:rsid w:val="00E8788F"/>
    <w:rsid w:val="00E92CEB"/>
    <w:rsid w:val="00E92D82"/>
    <w:rsid w:val="00E973A8"/>
    <w:rsid w:val="00EA794F"/>
    <w:rsid w:val="00EB2131"/>
    <w:rsid w:val="00EB26CD"/>
    <w:rsid w:val="00EB3219"/>
    <w:rsid w:val="00EB5C8B"/>
    <w:rsid w:val="00EC1A1F"/>
    <w:rsid w:val="00EC41ED"/>
    <w:rsid w:val="00ED7D17"/>
    <w:rsid w:val="00EE17A8"/>
    <w:rsid w:val="00EF3F69"/>
    <w:rsid w:val="00EF55F2"/>
    <w:rsid w:val="00EF5E7E"/>
    <w:rsid w:val="00EF74E4"/>
    <w:rsid w:val="00F02A37"/>
    <w:rsid w:val="00F02DA1"/>
    <w:rsid w:val="00F030A2"/>
    <w:rsid w:val="00F04095"/>
    <w:rsid w:val="00F06BCE"/>
    <w:rsid w:val="00F06FB0"/>
    <w:rsid w:val="00F10F9C"/>
    <w:rsid w:val="00F1347A"/>
    <w:rsid w:val="00F20305"/>
    <w:rsid w:val="00F20C49"/>
    <w:rsid w:val="00F22E4D"/>
    <w:rsid w:val="00F2483F"/>
    <w:rsid w:val="00F303C2"/>
    <w:rsid w:val="00F30715"/>
    <w:rsid w:val="00F32DAE"/>
    <w:rsid w:val="00F43691"/>
    <w:rsid w:val="00F437EB"/>
    <w:rsid w:val="00F4544F"/>
    <w:rsid w:val="00F45619"/>
    <w:rsid w:val="00F47697"/>
    <w:rsid w:val="00F50DA9"/>
    <w:rsid w:val="00F56A0D"/>
    <w:rsid w:val="00F629C0"/>
    <w:rsid w:val="00F6583F"/>
    <w:rsid w:val="00F65A34"/>
    <w:rsid w:val="00F7287E"/>
    <w:rsid w:val="00F72F66"/>
    <w:rsid w:val="00F75DD0"/>
    <w:rsid w:val="00F76875"/>
    <w:rsid w:val="00F76B72"/>
    <w:rsid w:val="00F8025C"/>
    <w:rsid w:val="00F802C1"/>
    <w:rsid w:val="00F863E5"/>
    <w:rsid w:val="00F919F0"/>
    <w:rsid w:val="00F94623"/>
    <w:rsid w:val="00F96B83"/>
    <w:rsid w:val="00F9786C"/>
    <w:rsid w:val="00FA43D9"/>
    <w:rsid w:val="00FB089D"/>
    <w:rsid w:val="00FB6B2F"/>
    <w:rsid w:val="00FC0851"/>
    <w:rsid w:val="00FC607B"/>
    <w:rsid w:val="00FD7B0D"/>
    <w:rsid w:val="00FE4802"/>
    <w:rsid w:val="00FE49CD"/>
    <w:rsid w:val="00FE682B"/>
    <w:rsid w:val="00FE7F1D"/>
    <w:rsid w:val="00FF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015CB"/>
  <w15:chartTrackingRefBased/>
  <w15:docId w15:val="{7C5004F6-CA38-4749-B1FE-61C26898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802"/>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FE4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44E2"/>
    <w:pPr>
      <w:autoSpaceDE w:val="0"/>
      <w:autoSpaceDN w:val="0"/>
      <w:adjustRightInd w:val="0"/>
      <w:spacing w:after="0" w:line="240" w:lineRule="auto"/>
    </w:pPr>
    <w:rPr>
      <w:rFonts w:ascii="Garamond" w:hAnsi="Garamond" w:cs="Garamond"/>
      <w:color w:val="000000"/>
      <w:sz w:val="24"/>
      <w:szCs w:val="24"/>
    </w:rPr>
  </w:style>
  <w:style w:type="paragraph" w:styleId="FootnoteText">
    <w:name w:val="footnote text"/>
    <w:basedOn w:val="Normal"/>
    <w:link w:val="FootnoteTextChar"/>
    <w:uiPriority w:val="99"/>
    <w:semiHidden/>
    <w:unhideWhenUsed/>
    <w:rsid w:val="00F10F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0F9C"/>
    <w:rPr>
      <w:sz w:val="20"/>
      <w:szCs w:val="20"/>
    </w:rPr>
  </w:style>
  <w:style w:type="character" w:styleId="FootnoteReference">
    <w:name w:val="footnote reference"/>
    <w:basedOn w:val="DefaultParagraphFont"/>
    <w:uiPriority w:val="99"/>
    <w:semiHidden/>
    <w:unhideWhenUsed/>
    <w:rsid w:val="00F10F9C"/>
    <w:rPr>
      <w:vertAlign w:val="superscript"/>
    </w:rPr>
  </w:style>
  <w:style w:type="paragraph" w:styleId="EndnoteText">
    <w:name w:val="endnote text"/>
    <w:basedOn w:val="Normal"/>
    <w:link w:val="EndnoteTextChar"/>
    <w:uiPriority w:val="99"/>
    <w:semiHidden/>
    <w:unhideWhenUsed/>
    <w:rsid w:val="00F10F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0F9C"/>
    <w:rPr>
      <w:sz w:val="20"/>
      <w:szCs w:val="20"/>
    </w:rPr>
  </w:style>
  <w:style w:type="character" w:styleId="EndnoteReference">
    <w:name w:val="endnote reference"/>
    <w:basedOn w:val="DefaultParagraphFont"/>
    <w:uiPriority w:val="99"/>
    <w:semiHidden/>
    <w:unhideWhenUsed/>
    <w:rsid w:val="00F10F9C"/>
    <w:rPr>
      <w:vertAlign w:val="superscript"/>
    </w:rPr>
  </w:style>
  <w:style w:type="character" w:customStyle="1" w:styleId="Heading1Char">
    <w:name w:val="Heading 1 Char"/>
    <w:basedOn w:val="DefaultParagraphFont"/>
    <w:link w:val="Heading1"/>
    <w:uiPriority w:val="9"/>
    <w:rsid w:val="00FE4802"/>
    <w:rPr>
      <w:rFonts w:eastAsiaTheme="majorEastAsia" w:cstheme="majorBidi"/>
      <w:b/>
      <w:szCs w:val="32"/>
    </w:rPr>
  </w:style>
  <w:style w:type="paragraph" w:styleId="ListParagraph">
    <w:name w:val="List Paragraph"/>
    <w:basedOn w:val="Normal"/>
    <w:uiPriority w:val="34"/>
    <w:qFormat/>
    <w:rsid w:val="00442144"/>
    <w:pPr>
      <w:ind w:left="720"/>
      <w:contextualSpacing/>
    </w:pPr>
  </w:style>
  <w:style w:type="paragraph" w:styleId="Bibliography">
    <w:name w:val="Bibliography"/>
    <w:basedOn w:val="Normal"/>
    <w:next w:val="Normal"/>
    <w:uiPriority w:val="37"/>
    <w:unhideWhenUsed/>
    <w:rsid w:val="00442144"/>
  </w:style>
  <w:style w:type="table" w:customStyle="1" w:styleId="Style1">
    <w:name w:val="Style1"/>
    <w:basedOn w:val="TableNormal"/>
    <w:uiPriority w:val="99"/>
    <w:rsid w:val="00FF1611"/>
    <w:pPr>
      <w:spacing w:after="0" w:line="240" w:lineRule="auto"/>
    </w:pPr>
    <w:tblPr/>
    <w:tcPr>
      <w:shd w:val="clear" w:color="auto" w:fill="F2F2F2" w:themeFill="background1" w:themeFillShade="F2"/>
    </w:tcPr>
    <w:tblStylePr w:type="firstRow">
      <w:tblPr/>
      <w:tcPr>
        <w:shd w:val="clear" w:color="auto" w:fill="E7E6E6" w:themeFill="background2"/>
      </w:tcPr>
    </w:tblStylePr>
  </w:style>
  <w:style w:type="character" w:styleId="Hyperlink">
    <w:name w:val="Hyperlink"/>
    <w:basedOn w:val="DefaultParagraphFont"/>
    <w:uiPriority w:val="99"/>
    <w:unhideWhenUsed/>
    <w:rsid w:val="005C3C41"/>
    <w:rPr>
      <w:color w:val="0563C1" w:themeColor="hyperlink"/>
      <w:u w:val="single"/>
    </w:rPr>
  </w:style>
  <w:style w:type="character" w:customStyle="1" w:styleId="Heading2Char">
    <w:name w:val="Heading 2 Char"/>
    <w:basedOn w:val="DefaultParagraphFont"/>
    <w:link w:val="Heading2"/>
    <w:uiPriority w:val="9"/>
    <w:semiHidden/>
    <w:rsid w:val="00FE480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2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755"/>
  </w:style>
  <w:style w:type="paragraph" w:styleId="Footer">
    <w:name w:val="footer"/>
    <w:basedOn w:val="Normal"/>
    <w:link w:val="FooterChar"/>
    <w:uiPriority w:val="99"/>
    <w:unhideWhenUsed/>
    <w:rsid w:val="0092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755"/>
  </w:style>
  <w:style w:type="paragraph" w:customStyle="1" w:styleId="basicquestion">
    <w:name w:val="basic question"/>
    <w:basedOn w:val="Normal"/>
    <w:link w:val="basicquestionChar"/>
    <w:qFormat/>
    <w:rsid w:val="00B008F2"/>
    <w:pPr>
      <w:spacing w:before="60" w:after="0" w:line="240" w:lineRule="auto"/>
      <w:ind w:left="720" w:hanging="720"/>
    </w:pPr>
    <w:rPr>
      <w:rFonts w:ascii="Arial" w:eastAsia="Times New Roman" w:hAnsi="Arial" w:cs="Arial"/>
      <w:szCs w:val="24"/>
    </w:rPr>
  </w:style>
  <w:style w:type="character" w:customStyle="1" w:styleId="basicquestionChar">
    <w:name w:val="basic question Char"/>
    <w:link w:val="basicquestion"/>
    <w:locked/>
    <w:rsid w:val="00B008F2"/>
    <w:rPr>
      <w:rFonts w:ascii="Arial" w:eastAsia="Times New Roman" w:hAnsi="Arial" w:cs="Arial"/>
      <w:szCs w:val="24"/>
    </w:rPr>
  </w:style>
  <w:style w:type="table" w:styleId="TableGrid">
    <w:name w:val="Table Grid"/>
    <w:basedOn w:val="TableNormal"/>
    <w:uiPriority w:val="39"/>
    <w:rsid w:val="00741CAA"/>
    <w:pPr>
      <w:spacing w:after="0" w:line="240" w:lineRule="auto"/>
    </w:pPr>
    <w:rPr>
      <w:rFonts w:eastAsia="Times New Roman"/>
      <w:sz w:val="20"/>
      <w:szCs w:val="20"/>
      <w:lang w:val="nl-NL" w:eastAsia="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sicChar">
    <w:name w:val="basic Char"/>
    <w:link w:val="basic"/>
    <w:locked/>
    <w:rsid w:val="00741CAA"/>
    <w:rPr>
      <w:rFonts w:ascii="Arial" w:hAnsi="Arial" w:cs="Arial"/>
      <w:szCs w:val="24"/>
    </w:rPr>
  </w:style>
  <w:style w:type="paragraph" w:customStyle="1" w:styleId="basic">
    <w:name w:val="basic"/>
    <w:basedOn w:val="Normal"/>
    <w:link w:val="basicChar"/>
    <w:qFormat/>
    <w:rsid w:val="00741CAA"/>
    <w:pPr>
      <w:spacing w:after="0" w:line="240" w:lineRule="auto"/>
    </w:pPr>
    <w:rPr>
      <w:rFonts w:ascii="Arial" w:hAnsi="Arial" w:cs="Arial"/>
      <w:szCs w:val="24"/>
    </w:rPr>
  </w:style>
  <w:style w:type="paragraph" w:styleId="BalloonText">
    <w:name w:val="Balloon Text"/>
    <w:basedOn w:val="Normal"/>
    <w:link w:val="BalloonTextChar"/>
    <w:uiPriority w:val="99"/>
    <w:semiHidden/>
    <w:unhideWhenUsed/>
    <w:rsid w:val="00772B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B8E"/>
    <w:rPr>
      <w:rFonts w:ascii="Segoe UI" w:hAnsi="Segoe UI" w:cs="Segoe UI"/>
      <w:sz w:val="18"/>
      <w:szCs w:val="18"/>
    </w:rPr>
  </w:style>
  <w:style w:type="character" w:styleId="Mention">
    <w:name w:val="Mention"/>
    <w:basedOn w:val="DefaultParagraphFont"/>
    <w:uiPriority w:val="99"/>
    <w:semiHidden/>
    <w:unhideWhenUsed/>
    <w:rsid w:val="007A2B0C"/>
    <w:rPr>
      <w:color w:val="2B579A"/>
      <w:shd w:val="clear" w:color="auto" w:fill="E6E6E6"/>
    </w:rPr>
  </w:style>
  <w:style w:type="paragraph" w:styleId="TOCHeading">
    <w:name w:val="TOC Heading"/>
    <w:basedOn w:val="Heading1"/>
    <w:next w:val="Normal"/>
    <w:uiPriority w:val="39"/>
    <w:unhideWhenUsed/>
    <w:qFormat/>
    <w:rsid w:val="00062C92"/>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62C92"/>
    <w:pPr>
      <w:spacing w:after="100"/>
    </w:pPr>
  </w:style>
  <w:style w:type="character" w:styleId="PlaceholderText">
    <w:name w:val="Placeholder Text"/>
    <w:basedOn w:val="DefaultParagraphFont"/>
    <w:uiPriority w:val="99"/>
    <w:semiHidden/>
    <w:rsid w:val="00F76B72"/>
    <w:rPr>
      <w:color w:val="808080"/>
    </w:rPr>
  </w:style>
  <w:style w:type="paragraph" w:styleId="NoSpacing">
    <w:name w:val="No Spacing"/>
    <w:uiPriority w:val="1"/>
    <w:qFormat/>
    <w:rsid w:val="00F76B72"/>
    <w:pPr>
      <w:spacing w:after="0" w:line="240" w:lineRule="auto"/>
    </w:pPr>
    <w:rPr>
      <w:rFonts w:asciiTheme="minorHAnsi" w:hAnsiTheme="minorHAnsi" w:cstheme="minorBidi"/>
    </w:rPr>
  </w:style>
  <w:style w:type="paragraph" w:styleId="TOC2">
    <w:name w:val="toc 2"/>
    <w:basedOn w:val="Normal"/>
    <w:next w:val="Normal"/>
    <w:autoRedefine/>
    <w:uiPriority w:val="39"/>
    <w:unhideWhenUsed/>
    <w:rsid w:val="00F76B72"/>
    <w:pPr>
      <w:spacing w:after="100"/>
      <w:ind w:left="220"/>
    </w:pPr>
    <w:rPr>
      <w:rFonts w:asciiTheme="minorHAnsi" w:hAnsiTheme="minorHAnsi" w:cstheme="minorBidi"/>
    </w:rPr>
  </w:style>
  <w:style w:type="character" w:styleId="CommentReference">
    <w:name w:val="annotation reference"/>
    <w:basedOn w:val="DefaultParagraphFont"/>
    <w:uiPriority w:val="99"/>
    <w:semiHidden/>
    <w:unhideWhenUsed/>
    <w:rsid w:val="0082224C"/>
    <w:rPr>
      <w:sz w:val="18"/>
      <w:szCs w:val="18"/>
    </w:rPr>
  </w:style>
  <w:style w:type="paragraph" w:styleId="CommentText">
    <w:name w:val="annotation text"/>
    <w:basedOn w:val="Normal"/>
    <w:link w:val="CommentTextChar"/>
    <w:uiPriority w:val="99"/>
    <w:semiHidden/>
    <w:unhideWhenUsed/>
    <w:rsid w:val="0082224C"/>
    <w:pPr>
      <w:spacing w:line="240" w:lineRule="auto"/>
    </w:pPr>
    <w:rPr>
      <w:sz w:val="24"/>
      <w:szCs w:val="24"/>
    </w:rPr>
  </w:style>
  <w:style w:type="character" w:customStyle="1" w:styleId="CommentTextChar">
    <w:name w:val="Comment Text Char"/>
    <w:basedOn w:val="DefaultParagraphFont"/>
    <w:link w:val="CommentText"/>
    <w:uiPriority w:val="99"/>
    <w:semiHidden/>
    <w:rsid w:val="0082224C"/>
    <w:rPr>
      <w:sz w:val="24"/>
      <w:szCs w:val="24"/>
    </w:rPr>
  </w:style>
  <w:style w:type="paragraph" w:styleId="CommentSubject">
    <w:name w:val="annotation subject"/>
    <w:basedOn w:val="CommentText"/>
    <w:next w:val="CommentText"/>
    <w:link w:val="CommentSubjectChar"/>
    <w:uiPriority w:val="99"/>
    <w:semiHidden/>
    <w:unhideWhenUsed/>
    <w:rsid w:val="0082224C"/>
    <w:rPr>
      <w:b/>
      <w:bCs/>
      <w:sz w:val="20"/>
      <w:szCs w:val="20"/>
    </w:rPr>
  </w:style>
  <w:style w:type="character" w:customStyle="1" w:styleId="CommentSubjectChar">
    <w:name w:val="Comment Subject Char"/>
    <w:basedOn w:val="CommentTextChar"/>
    <w:link w:val="CommentSubject"/>
    <w:uiPriority w:val="99"/>
    <w:semiHidden/>
    <w:rsid w:val="008222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844">
      <w:bodyDiv w:val="1"/>
      <w:marLeft w:val="0"/>
      <w:marRight w:val="0"/>
      <w:marTop w:val="0"/>
      <w:marBottom w:val="0"/>
      <w:divBdr>
        <w:top w:val="none" w:sz="0" w:space="0" w:color="auto"/>
        <w:left w:val="none" w:sz="0" w:space="0" w:color="auto"/>
        <w:bottom w:val="none" w:sz="0" w:space="0" w:color="auto"/>
        <w:right w:val="none" w:sz="0" w:space="0" w:color="auto"/>
      </w:divBdr>
    </w:div>
    <w:div w:id="127555045">
      <w:bodyDiv w:val="1"/>
      <w:marLeft w:val="0"/>
      <w:marRight w:val="0"/>
      <w:marTop w:val="0"/>
      <w:marBottom w:val="0"/>
      <w:divBdr>
        <w:top w:val="none" w:sz="0" w:space="0" w:color="auto"/>
        <w:left w:val="none" w:sz="0" w:space="0" w:color="auto"/>
        <w:bottom w:val="none" w:sz="0" w:space="0" w:color="auto"/>
        <w:right w:val="none" w:sz="0" w:space="0" w:color="auto"/>
      </w:divBdr>
    </w:div>
    <w:div w:id="244918924">
      <w:bodyDiv w:val="1"/>
      <w:marLeft w:val="0"/>
      <w:marRight w:val="0"/>
      <w:marTop w:val="0"/>
      <w:marBottom w:val="0"/>
      <w:divBdr>
        <w:top w:val="none" w:sz="0" w:space="0" w:color="auto"/>
        <w:left w:val="none" w:sz="0" w:space="0" w:color="auto"/>
        <w:bottom w:val="none" w:sz="0" w:space="0" w:color="auto"/>
        <w:right w:val="none" w:sz="0" w:space="0" w:color="auto"/>
      </w:divBdr>
    </w:div>
    <w:div w:id="246115975">
      <w:bodyDiv w:val="1"/>
      <w:marLeft w:val="0"/>
      <w:marRight w:val="0"/>
      <w:marTop w:val="0"/>
      <w:marBottom w:val="0"/>
      <w:divBdr>
        <w:top w:val="none" w:sz="0" w:space="0" w:color="auto"/>
        <w:left w:val="none" w:sz="0" w:space="0" w:color="auto"/>
        <w:bottom w:val="none" w:sz="0" w:space="0" w:color="auto"/>
        <w:right w:val="none" w:sz="0" w:space="0" w:color="auto"/>
      </w:divBdr>
    </w:div>
    <w:div w:id="316956778">
      <w:bodyDiv w:val="1"/>
      <w:marLeft w:val="0"/>
      <w:marRight w:val="0"/>
      <w:marTop w:val="0"/>
      <w:marBottom w:val="0"/>
      <w:divBdr>
        <w:top w:val="none" w:sz="0" w:space="0" w:color="auto"/>
        <w:left w:val="none" w:sz="0" w:space="0" w:color="auto"/>
        <w:bottom w:val="none" w:sz="0" w:space="0" w:color="auto"/>
        <w:right w:val="none" w:sz="0" w:space="0" w:color="auto"/>
      </w:divBdr>
    </w:div>
    <w:div w:id="323289517">
      <w:bodyDiv w:val="1"/>
      <w:marLeft w:val="0"/>
      <w:marRight w:val="0"/>
      <w:marTop w:val="0"/>
      <w:marBottom w:val="0"/>
      <w:divBdr>
        <w:top w:val="none" w:sz="0" w:space="0" w:color="auto"/>
        <w:left w:val="none" w:sz="0" w:space="0" w:color="auto"/>
        <w:bottom w:val="none" w:sz="0" w:space="0" w:color="auto"/>
        <w:right w:val="none" w:sz="0" w:space="0" w:color="auto"/>
      </w:divBdr>
    </w:div>
    <w:div w:id="339242360">
      <w:bodyDiv w:val="1"/>
      <w:marLeft w:val="0"/>
      <w:marRight w:val="0"/>
      <w:marTop w:val="0"/>
      <w:marBottom w:val="0"/>
      <w:divBdr>
        <w:top w:val="none" w:sz="0" w:space="0" w:color="auto"/>
        <w:left w:val="none" w:sz="0" w:space="0" w:color="auto"/>
        <w:bottom w:val="none" w:sz="0" w:space="0" w:color="auto"/>
        <w:right w:val="none" w:sz="0" w:space="0" w:color="auto"/>
      </w:divBdr>
    </w:div>
    <w:div w:id="404762922">
      <w:bodyDiv w:val="1"/>
      <w:marLeft w:val="0"/>
      <w:marRight w:val="0"/>
      <w:marTop w:val="0"/>
      <w:marBottom w:val="0"/>
      <w:divBdr>
        <w:top w:val="none" w:sz="0" w:space="0" w:color="auto"/>
        <w:left w:val="none" w:sz="0" w:space="0" w:color="auto"/>
        <w:bottom w:val="none" w:sz="0" w:space="0" w:color="auto"/>
        <w:right w:val="none" w:sz="0" w:space="0" w:color="auto"/>
      </w:divBdr>
    </w:div>
    <w:div w:id="421342887">
      <w:bodyDiv w:val="1"/>
      <w:marLeft w:val="0"/>
      <w:marRight w:val="0"/>
      <w:marTop w:val="0"/>
      <w:marBottom w:val="0"/>
      <w:divBdr>
        <w:top w:val="none" w:sz="0" w:space="0" w:color="auto"/>
        <w:left w:val="none" w:sz="0" w:space="0" w:color="auto"/>
        <w:bottom w:val="none" w:sz="0" w:space="0" w:color="auto"/>
        <w:right w:val="none" w:sz="0" w:space="0" w:color="auto"/>
      </w:divBdr>
    </w:div>
    <w:div w:id="480269537">
      <w:bodyDiv w:val="1"/>
      <w:marLeft w:val="0"/>
      <w:marRight w:val="0"/>
      <w:marTop w:val="0"/>
      <w:marBottom w:val="0"/>
      <w:divBdr>
        <w:top w:val="none" w:sz="0" w:space="0" w:color="auto"/>
        <w:left w:val="none" w:sz="0" w:space="0" w:color="auto"/>
        <w:bottom w:val="none" w:sz="0" w:space="0" w:color="auto"/>
        <w:right w:val="none" w:sz="0" w:space="0" w:color="auto"/>
      </w:divBdr>
    </w:div>
    <w:div w:id="488710883">
      <w:bodyDiv w:val="1"/>
      <w:marLeft w:val="0"/>
      <w:marRight w:val="0"/>
      <w:marTop w:val="0"/>
      <w:marBottom w:val="0"/>
      <w:divBdr>
        <w:top w:val="none" w:sz="0" w:space="0" w:color="auto"/>
        <w:left w:val="none" w:sz="0" w:space="0" w:color="auto"/>
        <w:bottom w:val="none" w:sz="0" w:space="0" w:color="auto"/>
        <w:right w:val="none" w:sz="0" w:space="0" w:color="auto"/>
      </w:divBdr>
    </w:div>
    <w:div w:id="502207869">
      <w:bodyDiv w:val="1"/>
      <w:marLeft w:val="0"/>
      <w:marRight w:val="0"/>
      <w:marTop w:val="0"/>
      <w:marBottom w:val="0"/>
      <w:divBdr>
        <w:top w:val="none" w:sz="0" w:space="0" w:color="auto"/>
        <w:left w:val="none" w:sz="0" w:space="0" w:color="auto"/>
        <w:bottom w:val="none" w:sz="0" w:space="0" w:color="auto"/>
        <w:right w:val="none" w:sz="0" w:space="0" w:color="auto"/>
      </w:divBdr>
    </w:div>
    <w:div w:id="516965228">
      <w:bodyDiv w:val="1"/>
      <w:marLeft w:val="0"/>
      <w:marRight w:val="0"/>
      <w:marTop w:val="0"/>
      <w:marBottom w:val="0"/>
      <w:divBdr>
        <w:top w:val="none" w:sz="0" w:space="0" w:color="auto"/>
        <w:left w:val="none" w:sz="0" w:space="0" w:color="auto"/>
        <w:bottom w:val="none" w:sz="0" w:space="0" w:color="auto"/>
        <w:right w:val="none" w:sz="0" w:space="0" w:color="auto"/>
      </w:divBdr>
    </w:div>
    <w:div w:id="646858813">
      <w:bodyDiv w:val="1"/>
      <w:marLeft w:val="0"/>
      <w:marRight w:val="0"/>
      <w:marTop w:val="0"/>
      <w:marBottom w:val="0"/>
      <w:divBdr>
        <w:top w:val="none" w:sz="0" w:space="0" w:color="auto"/>
        <w:left w:val="none" w:sz="0" w:space="0" w:color="auto"/>
        <w:bottom w:val="none" w:sz="0" w:space="0" w:color="auto"/>
        <w:right w:val="none" w:sz="0" w:space="0" w:color="auto"/>
      </w:divBdr>
      <w:divsChild>
        <w:div w:id="1819414980">
          <w:marLeft w:val="0"/>
          <w:marRight w:val="0"/>
          <w:marTop w:val="0"/>
          <w:marBottom w:val="0"/>
          <w:divBdr>
            <w:top w:val="none" w:sz="0" w:space="0" w:color="auto"/>
            <w:left w:val="none" w:sz="0" w:space="0" w:color="auto"/>
            <w:bottom w:val="none" w:sz="0" w:space="0" w:color="auto"/>
            <w:right w:val="none" w:sz="0" w:space="0" w:color="auto"/>
          </w:divBdr>
          <w:divsChild>
            <w:div w:id="135954023">
              <w:marLeft w:val="0"/>
              <w:marRight w:val="0"/>
              <w:marTop w:val="0"/>
              <w:marBottom w:val="0"/>
              <w:divBdr>
                <w:top w:val="none" w:sz="0" w:space="0" w:color="auto"/>
                <w:left w:val="single" w:sz="6" w:space="0" w:color="E2E2E2"/>
                <w:bottom w:val="none" w:sz="0" w:space="0" w:color="auto"/>
                <w:right w:val="single" w:sz="6" w:space="0" w:color="E2E2E2"/>
              </w:divBdr>
              <w:divsChild>
                <w:div w:id="688413209">
                  <w:marLeft w:val="0"/>
                  <w:marRight w:val="0"/>
                  <w:marTop w:val="0"/>
                  <w:marBottom w:val="0"/>
                  <w:divBdr>
                    <w:top w:val="none" w:sz="0" w:space="0" w:color="auto"/>
                    <w:left w:val="none" w:sz="0" w:space="0" w:color="auto"/>
                    <w:bottom w:val="none" w:sz="0" w:space="0" w:color="auto"/>
                    <w:right w:val="none" w:sz="0" w:space="0" w:color="auto"/>
                  </w:divBdr>
                  <w:divsChild>
                    <w:div w:id="20087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6231">
      <w:bodyDiv w:val="1"/>
      <w:marLeft w:val="0"/>
      <w:marRight w:val="0"/>
      <w:marTop w:val="0"/>
      <w:marBottom w:val="0"/>
      <w:divBdr>
        <w:top w:val="none" w:sz="0" w:space="0" w:color="auto"/>
        <w:left w:val="none" w:sz="0" w:space="0" w:color="auto"/>
        <w:bottom w:val="none" w:sz="0" w:space="0" w:color="auto"/>
        <w:right w:val="none" w:sz="0" w:space="0" w:color="auto"/>
      </w:divBdr>
    </w:div>
    <w:div w:id="690303427">
      <w:bodyDiv w:val="1"/>
      <w:marLeft w:val="0"/>
      <w:marRight w:val="0"/>
      <w:marTop w:val="0"/>
      <w:marBottom w:val="0"/>
      <w:divBdr>
        <w:top w:val="none" w:sz="0" w:space="0" w:color="auto"/>
        <w:left w:val="none" w:sz="0" w:space="0" w:color="auto"/>
        <w:bottom w:val="none" w:sz="0" w:space="0" w:color="auto"/>
        <w:right w:val="none" w:sz="0" w:space="0" w:color="auto"/>
      </w:divBdr>
    </w:div>
    <w:div w:id="694968269">
      <w:bodyDiv w:val="1"/>
      <w:marLeft w:val="0"/>
      <w:marRight w:val="0"/>
      <w:marTop w:val="0"/>
      <w:marBottom w:val="0"/>
      <w:divBdr>
        <w:top w:val="none" w:sz="0" w:space="0" w:color="auto"/>
        <w:left w:val="none" w:sz="0" w:space="0" w:color="auto"/>
        <w:bottom w:val="none" w:sz="0" w:space="0" w:color="auto"/>
        <w:right w:val="none" w:sz="0" w:space="0" w:color="auto"/>
      </w:divBdr>
    </w:div>
    <w:div w:id="708532816">
      <w:bodyDiv w:val="1"/>
      <w:marLeft w:val="0"/>
      <w:marRight w:val="0"/>
      <w:marTop w:val="0"/>
      <w:marBottom w:val="0"/>
      <w:divBdr>
        <w:top w:val="none" w:sz="0" w:space="0" w:color="auto"/>
        <w:left w:val="none" w:sz="0" w:space="0" w:color="auto"/>
        <w:bottom w:val="none" w:sz="0" w:space="0" w:color="auto"/>
        <w:right w:val="none" w:sz="0" w:space="0" w:color="auto"/>
      </w:divBdr>
    </w:div>
    <w:div w:id="792141328">
      <w:bodyDiv w:val="1"/>
      <w:marLeft w:val="0"/>
      <w:marRight w:val="0"/>
      <w:marTop w:val="0"/>
      <w:marBottom w:val="0"/>
      <w:divBdr>
        <w:top w:val="none" w:sz="0" w:space="0" w:color="auto"/>
        <w:left w:val="none" w:sz="0" w:space="0" w:color="auto"/>
        <w:bottom w:val="none" w:sz="0" w:space="0" w:color="auto"/>
        <w:right w:val="none" w:sz="0" w:space="0" w:color="auto"/>
      </w:divBdr>
    </w:div>
    <w:div w:id="802187871">
      <w:bodyDiv w:val="1"/>
      <w:marLeft w:val="0"/>
      <w:marRight w:val="0"/>
      <w:marTop w:val="0"/>
      <w:marBottom w:val="0"/>
      <w:divBdr>
        <w:top w:val="none" w:sz="0" w:space="0" w:color="auto"/>
        <w:left w:val="none" w:sz="0" w:space="0" w:color="auto"/>
        <w:bottom w:val="none" w:sz="0" w:space="0" w:color="auto"/>
        <w:right w:val="none" w:sz="0" w:space="0" w:color="auto"/>
      </w:divBdr>
    </w:div>
    <w:div w:id="813184803">
      <w:bodyDiv w:val="1"/>
      <w:marLeft w:val="0"/>
      <w:marRight w:val="0"/>
      <w:marTop w:val="0"/>
      <w:marBottom w:val="0"/>
      <w:divBdr>
        <w:top w:val="none" w:sz="0" w:space="0" w:color="auto"/>
        <w:left w:val="none" w:sz="0" w:space="0" w:color="auto"/>
        <w:bottom w:val="none" w:sz="0" w:space="0" w:color="auto"/>
        <w:right w:val="none" w:sz="0" w:space="0" w:color="auto"/>
      </w:divBdr>
    </w:div>
    <w:div w:id="837503605">
      <w:bodyDiv w:val="1"/>
      <w:marLeft w:val="0"/>
      <w:marRight w:val="0"/>
      <w:marTop w:val="0"/>
      <w:marBottom w:val="0"/>
      <w:divBdr>
        <w:top w:val="none" w:sz="0" w:space="0" w:color="auto"/>
        <w:left w:val="none" w:sz="0" w:space="0" w:color="auto"/>
        <w:bottom w:val="none" w:sz="0" w:space="0" w:color="auto"/>
        <w:right w:val="none" w:sz="0" w:space="0" w:color="auto"/>
      </w:divBdr>
      <w:divsChild>
        <w:div w:id="800731754">
          <w:marLeft w:val="0"/>
          <w:marRight w:val="0"/>
          <w:marTop w:val="0"/>
          <w:marBottom w:val="0"/>
          <w:divBdr>
            <w:top w:val="none" w:sz="0" w:space="0" w:color="auto"/>
            <w:left w:val="none" w:sz="0" w:space="0" w:color="auto"/>
            <w:bottom w:val="none" w:sz="0" w:space="0" w:color="auto"/>
            <w:right w:val="none" w:sz="0" w:space="0" w:color="auto"/>
          </w:divBdr>
          <w:divsChild>
            <w:div w:id="1940530036">
              <w:marLeft w:val="-225"/>
              <w:marRight w:val="-225"/>
              <w:marTop w:val="0"/>
              <w:marBottom w:val="0"/>
              <w:divBdr>
                <w:top w:val="none" w:sz="0" w:space="0" w:color="auto"/>
                <w:left w:val="none" w:sz="0" w:space="0" w:color="auto"/>
                <w:bottom w:val="none" w:sz="0" w:space="0" w:color="auto"/>
                <w:right w:val="none" w:sz="0" w:space="0" w:color="auto"/>
              </w:divBdr>
              <w:divsChild>
                <w:div w:id="1887521296">
                  <w:marLeft w:val="0"/>
                  <w:marRight w:val="0"/>
                  <w:marTop w:val="0"/>
                  <w:marBottom w:val="0"/>
                  <w:divBdr>
                    <w:top w:val="none" w:sz="0" w:space="0" w:color="auto"/>
                    <w:left w:val="none" w:sz="0" w:space="0" w:color="auto"/>
                    <w:bottom w:val="none" w:sz="0" w:space="0" w:color="auto"/>
                    <w:right w:val="none" w:sz="0" w:space="0" w:color="auto"/>
                  </w:divBdr>
                  <w:divsChild>
                    <w:div w:id="1582324712">
                      <w:marLeft w:val="0"/>
                      <w:marRight w:val="0"/>
                      <w:marTop w:val="0"/>
                      <w:marBottom w:val="0"/>
                      <w:divBdr>
                        <w:top w:val="single" w:sz="6" w:space="4" w:color="CCCCCC"/>
                        <w:left w:val="single" w:sz="6" w:space="0" w:color="CCCCCC"/>
                        <w:bottom w:val="single" w:sz="6" w:space="4" w:color="CCCCCC"/>
                        <w:right w:val="single" w:sz="6" w:space="0" w:color="CCCCCC"/>
                      </w:divBdr>
                      <w:divsChild>
                        <w:div w:id="1294022552">
                          <w:marLeft w:val="0"/>
                          <w:marRight w:val="0"/>
                          <w:marTop w:val="0"/>
                          <w:marBottom w:val="0"/>
                          <w:divBdr>
                            <w:top w:val="none" w:sz="0" w:space="0" w:color="auto"/>
                            <w:left w:val="none" w:sz="0" w:space="0" w:color="auto"/>
                            <w:bottom w:val="none" w:sz="0" w:space="0" w:color="auto"/>
                            <w:right w:val="none" w:sz="0" w:space="0" w:color="auto"/>
                          </w:divBdr>
                          <w:divsChild>
                            <w:div w:id="55979046">
                              <w:marLeft w:val="0"/>
                              <w:marRight w:val="0"/>
                              <w:marTop w:val="0"/>
                              <w:marBottom w:val="0"/>
                              <w:divBdr>
                                <w:top w:val="none" w:sz="0" w:space="0" w:color="auto"/>
                                <w:left w:val="none" w:sz="0" w:space="0" w:color="auto"/>
                                <w:bottom w:val="none" w:sz="0" w:space="0" w:color="auto"/>
                                <w:right w:val="none" w:sz="0" w:space="0" w:color="auto"/>
                              </w:divBdr>
                              <w:divsChild>
                                <w:div w:id="916324625">
                                  <w:marLeft w:val="0"/>
                                  <w:marRight w:val="0"/>
                                  <w:marTop w:val="0"/>
                                  <w:marBottom w:val="0"/>
                                  <w:divBdr>
                                    <w:top w:val="none" w:sz="0" w:space="0" w:color="auto"/>
                                    <w:left w:val="none" w:sz="0" w:space="0" w:color="auto"/>
                                    <w:bottom w:val="none" w:sz="0" w:space="0" w:color="auto"/>
                                    <w:right w:val="none" w:sz="0" w:space="0" w:color="auto"/>
                                  </w:divBdr>
                                  <w:divsChild>
                                    <w:div w:id="17342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785203">
      <w:bodyDiv w:val="1"/>
      <w:marLeft w:val="0"/>
      <w:marRight w:val="0"/>
      <w:marTop w:val="0"/>
      <w:marBottom w:val="0"/>
      <w:divBdr>
        <w:top w:val="none" w:sz="0" w:space="0" w:color="auto"/>
        <w:left w:val="none" w:sz="0" w:space="0" w:color="auto"/>
        <w:bottom w:val="none" w:sz="0" w:space="0" w:color="auto"/>
        <w:right w:val="none" w:sz="0" w:space="0" w:color="auto"/>
      </w:divBdr>
    </w:div>
    <w:div w:id="928733064">
      <w:bodyDiv w:val="1"/>
      <w:marLeft w:val="0"/>
      <w:marRight w:val="0"/>
      <w:marTop w:val="0"/>
      <w:marBottom w:val="0"/>
      <w:divBdr>
        <w:top w:val="none" w:sz="0" w:space="0" w:color="auto"/>
        <w:left w:val="none" w:sz="0" w:space="0" w:color="auto"/>
        <w:bottom w:val="none" w:sz="0" w:space="0" w:color="auto"/>
        <w:right w:val="none" w:sz="0" w:space="0" w:color="auto"/>
      </w:divBdr>
    </w:div>
    <w:div w:id="928925597">
      <w:bodyDiv w:val="1"/>
      <w:marLeft w:val="0"/>
      <w:marRight w:val="0"/>
      <w:marTop w:val="0"/>
      <w:marBottom w:val="0"/>
      <w:divBdr>
        <w:top w:val="none" w:sz="0" w:space="0" w:color="auto"/>
        <w:left w:val="none" w:sz="0" w:space="0" w:color="auto"/>
        <w:bottom w:val="none" w:sz="0" w:space="0" w:color="auto"/>
        <w:right w:val="none" w:sz="0" w:space="0" w:color="auto"/>
      </w:divBdr>
    </w:div>
    <w:div w:id="932129407">
      <w:bodyDiv w:val="1"/>
      <w:marLeft w:val="0"/>
      <w:marRight w:val="0"/>
      <w:marTop w:val="0"/>
      <w:marBottom w:val="0"/>
      <w:divBdr>
        <w:top w:val="none" w:sz="0" w:space="0" w:color="auto"/>
        <w:left w:val="none" w:sz="0" w:space="0" w:color="auto"/>
        <w:bottom w:val="none" w:sz="0" w:space="0" w:color="auto"/>
        <w:right w:val="none" w:sz="0" w:space="0" w:color="auto"/>
      </w:divBdr>
    </w:div>
    <w:div w:id="942104765">
      <w:bodyDiv w:val="1"/>
      <w:marLeft w:val="0"/>
      <w:marRight w:val="0"/>
      <w:marTop w:val="0"/>
      <w:marBottom w:val="0"/>
      <w:divBdr>
        <w:top w:val="none" w:sz="0" w:space="0" w:color="auto"/>
        <w:left w:val="none" w:sz="0" w:space="0" w:color="auto"/>
        <w:bottom w:val="none" w:sz="0" w:space="0" w:color="auto"/>
        <w:right w:val="none" w:sz="0" w:space="0" w:color="auto"/>
      </w:divBdr>
    </w:div>
    <w:div w:id="963391730">
      <w:bodyDiv w:val="1"/>
      <w:marLeft w:val="0"/>
      <w:marRight w:val="0"/>
      <w:marTop w:val="0"/>
      <w:marBottom w:val="0"/>
      <w:divBdr>
        <w:top w:val="none" w:sz="0" w:space="0" w:color="auto"/>
        <w:left w:val="none" w:sz="0" w:space="0" w:color="auto"/>
        <w:bottom w:val="none" w:sz="0" w:space="0" w:color="auto"/>
        <w:right w:val="none" w:sz="0" w:space="0" w:color="auto"/>
      </w:divBdr>
    </w:div>
    <w:div w:id="964849047">
      <w:bodyDiv w:val="1"/>
      <w:marLeft w:val="0"/>
      <w:marRight w:val="0"/>
      <w:marTop w:val="0"/>
      <w:marBottom w:val="0"/>
      <w:divBdr>
        <w:top w:val="none" w:sz="0" w:space="0" w:color="auto"/>
        <w:left w:val="none" w:sz="0" w:space="0" w:color="auto"/>
        <w:bottom w:val="none" w:sz="0" w:space="0" w:color="auto"/>
        <w:right w:val="none" w:sz="0" w:space="0" w:color="auto"/>
      </w:divBdr>
    </w:div>
    <w:div w:id="988679354">
      <w:bodyDiv w:val="1"/>
      <w:marLeft w:val="0"/>
      <w:marRight w:val="0"/>
      <w:marTop w:val="0"/>
      <w:marBottom w:val="0"/>
      <w:divBdr>
        <w:top w:val="none" w:sz="0" w:space="0" w:color="auto"/>
        <w:left w:val="none" w:sz="0" w:space="0" w:color="auto"/>
        <w:bottom w:val="none" w:sz="0" w:space="0" w:color="auto"/>
        <w:right w:val="none" w:sz="0" w:space="0" w:color="auto"/>
      </w:divBdr>
    </w:div>
    <w:div w:id="1009330215">
      <w:bodyDiv w:val="1"/>
      <w:marLeft w:val="0"/>
      <w:marRight w:val="0"/>
      <w:marTop w:val="0"/>
      <w:marBottom w:val="0"/>
      <w:divBdr>
        <w:top w:val="none" w:sz="0" w:space="0" w:color="auto"/>
        <w:left w:val="none" w:sz="0" w:space="0" w:color="auto"/>
        <w:bottom w:val="none" w:sz="0" w:space="0" w:color="auto"/>
        <w:right w:val="none" w:sz="0" w:space="0" w:color="auto"/>
      </w:divBdr>
    </w:div>
    <w:div w:id="1082948545">
      <w:bodyDiv w:val="1"/>
      <w:marLeft w:val="0"/>
      <w:marRight w:val="0"/>
      <w:marTop w:val="0"/>
      <w:marBottom w:val="0"/>
      <w:divBdr>
        <w:top w:val="none" w:sz="0" w:space="0" w:color="auto"/>
        <w:left w:val="none" w:sz="0" w:space="0" w:color="auto"/>
        <w:bottom w:val="none" w:sz="0" w:space="0" w:color="auto"/>
        <w:right w:val="none" w:sz="0" w:space="0" w:color="auto"/>
      </w:divBdr>
    </w:div>
    <w:div w:id="1094131967">
      <w:bodyDiv w:val="1"/>
      <w:marLeft w:val="0"/>
      <w:marRight w:val="0"/>
      <w:marTop w:val="0"/>
      <w:marBottom w:val="0"/>
      <w:divBdr>
        <w:top w:val="none" w:sz="0" w:space="0" w:color="auto"/>
        <w:left w:val="none" w:sz="0" w:space="0" w:color="auto"/>
        <w:bottom w:val="none" w:sz="0" w:space="0" w:color="auto"/>
        <w:right w:val="none" w:sz="0" w:space="0" w:color="auto"/>
      </w:divBdr>
    </w:div>
    <w:div w:id="1211115727">
      <w:bodyDiv w:val="1"/>
      <w:marLeft w:val="0"/>
      <w:marRight w:val="0"/>
      <w:marTop w:val="0"/>
      <w:marBottom w:val="0"/>
      <w:divBdr>
        <w:top w:val="none" w:sz="0" w:space="0" w:color="auto"/>
        <w:left w:val="none" w:sz="0" w:space="0" w:color="auto"/>
        <w:bottom w:val="none" w:sz="0" w:space="0" w:color="auto"/>
        <w:right w:val="none" w:sz="0" w:space="0" w:color="auto"/>
      </w:divBdr>
    </w:div>
    <w:div w:id="1247031389">
      <w:bodyDiv w:val="1"/>
      <w:marLeft w:val="0"/>
      <w:marRight w:val="0"/>
      <w:marTop w:val="0"/>
      <w:marBottom w:val="0"/>
      <w:divBdr>
        <w:top w:val="none" w:sz="0" w:space="0" w:color="auto"/>
        <w:left w:val="none" w:sz="0" w:space="0" w:color="auto"/>
        <w:bottom w:val="none" w:sz="0" w:space="0" w:color="auto"/>
        <w:right w:val="none" w:sz="0" w:space="0" w:color="auto"/>
      </w:divBdr>
    </w:div>
    <w:div w:id="1364750622">
      <w:bodyDiv w:val="1"/>
      <w:marLeft w:val="0"/>
      <w:marRight w:val="0"/>
      <w:marTop w:val="0"/>
      <w:marBottom w:val="0"/>
      <w:divBdr>
        <w:top w:val="none" w:sz="0" w:space="0" w:color="auto"/>
        <w:left w:val="none" w:sz="0" w:space="0" w:color="auto"/>
        <w:bottom w:val="none" w:sz="0" w:space="0" w:color="auto"/>
        <w:right w:val="none" w:sz="0" w:space="0" w:color="auto"/>
      </w:divBdr>
    </w:div>
    <w:div w:id="1382170075">
      <w:bodyDiv w:val="1"/>
      <w:marLeft w:val="0"/>
      <w:marRight w:val="0"/>
      <w:marTop w:val="0"/>
      <w:marBottom w:val="0"/>
      <w:divBdr>
        <w:top w:val="none" w:sz="0" w:space="0" w:color="auto"/>
        <w:left w:val="none" w:sz="0" w:space="0" w:color="auto"/>
        <w:bottom w:val="none" w:sz="0" w:space="0" w:color="auto"/>
        <w:right w:val="none" w:sz="0" w:space="0" w:color="auto"/>
      </w:divBdr>
    </w:div>
    <w:div w:id="1415473274">
      <w:bodyDiv w:val="1"/>
      <w:marLeft w:val="0"/>
      <w:marRight w:val="0"/>
      <w:marTop w:val="0"/>
      <w:marBottom w:val="0"/>
      <w:divBdr>
        <w:top w:val="none" w:sz="0" w:space="0" w:color="auto"/>
        <w:left w:val="none" w:sz="0" w:space="0" w:color="auto"/>
        <w:bottom w:val="none" w:sz="0" w:space="0" w:color="auto"/>
        <w:right w:val="none" w:sz="0" w:space="0" w:color="auto"/>
      </w:divBdr>
    </w:div>
    <w:div w:id="1446146700">
      <w:bodyDiv w:val="1"/>
      <w:marLeft w:val="0"/>
      <w:marRight w:val="0"/>
      <w:marTop w:val="0"/>
      <w:marBottom w:val="0"/>
      <w:divBdr>
        <w:top w:val="none" w:sz="0" w:space="0" w:color="auto"/>
        <w:left w:val="none" w:sz="0" w:space="0" w:color="auto"/>
        <w:bottom w:val="none" w:sz="0" w:space="0" w:color="auto"/>
        <w:right w:val="none" w:sz="0" w:space="0" w:color="auto"/>
      </w:divBdr>
    </w:div>
    <w:div w:id="1565674640">
      <w:bodyDiv w:val="1"/>
      <w:marLeft w:val="0"/>
      <w:marRight w:val="0"/>
      <w:marTop w:val="0"/>
      <w:marBottom w:val="0"/>
      <w:divBdr>
        <w:top w:val="none" w:sz="0" w:space="0" w:color="auto"/>
        <w:left w:val="none" w:sz="0" w:space="0" w:color="auto"/>
        <w:bottom w:val="none" w:sz="0" w:space="0" w:color="auto"/>
        <w:right w:val="none" w:sz="0" w:space="0" w:color="auto"/>
      </w:divBdr>
    </w:div>
    <w:div w:id="1612780066">
      <w:bodyDiv w:val="1"/>
      <w:marLeft w:val="0"/>
      <w:marRight w:val="0"/>
      <w:marTop w:val="0"/>
      <w:marBottom w:val="0"/>
      <w:divBdr>
        <w:top w:val="none" w:sz="0" w:space="0" w:color="auto"/>
        <w:left w:val="none" w:sz="0" w:space="0" w:color="auto"/>
        <w:bottom w:val="none" w:sz="0" w:space="0" w:color="auto"/>
        <w:right w:val="none" w:sz="0" w:space="0" w:color="auto"/>
      </w:divBdr>
    </w:div>
    <w:div w:id="1660767636">
      <w:bodyDiv w:val="1"/>
      <w:marLeft w:val="0"/>
      <w:marRight w:val="0"/>
      <w:marTop w:val="0"/>
      <w:marBottom w:val="0"/>
      <w:divBdr>
        <w:top w:val="none" w:sz="0" w:space="0" w:color="auto"/>
        <w:left w:val="none" w:sz="0" w:space="0" w:color="auto"/>
        <w:bottom w:val="none" w:sz="0" w:space="0" w:color="auto"/>
        <w:right w:val="none" w:sz="0" w:space="0" w:color="auto"/>
      </w:divBdr>
    </w:div>
    <w:div w:id="1787235165">
      <w:bodyDiv w:val="1"/>
      <w:marLeft w:val="0"/>
      <w:marRight w:val="0"/>
      <w:marTop w:val="0"/>
      <w:marBottom w:val="0"/>
      <w:divBdr>
        <w:top w:val="none" w:sz="0" w:space="0" w:color="auto"/>
        <w:left w:val="none" w:sz="0" w:space="0" w:color="auto"/>
        <w:bottom w:val="none" w:sz="0" w:space="0" w:color="auto"/>
        <w:right w:val="none" w:sz="0" w:space="0" w:color="auto"/>
      </w:divBdr>
    </w:div>
    <w:div w:id="1915699073">
      <w:bodyDiv w:val="1"/>
      <w:marLeft w:val="0"/>
      <w:marRight w:val="0"/>
      <w:marTop w:val="0"/>
      <w:marBottom w:val="0"/>
      <w:divBdr>
        <w:top w:val="none" w:sz="0" w:space="0" w:color="auto"/>
        <w:left w:val="none" w:sz="0" w:space="0" w:color="auto"/>
        <w:bottom w:val="none" w:sz="0" w:space="0" w:color="auto"/>
        <w:right w:val="none" w:sz="0" w:space="0" w:color="auto"/>
      </w:divBdr>
    </w:div>
    <w:div w:id="1958293378">
      <w:bodyDiv w:val="1"/>
      <w:marLeft w:val="0"/>
      <w:marRight w:val="0"/>
      <w:marTop w:val="0"/>
      <w:marBottom w:val="0"/>
      <w:divBdr>
        <w:top w:val="none" w:sz="0" w:space="0" w:color="auto"/>
        <w:left w:val="none" w:sz="0" w:space="0" w:color="auto"/>
        <w:bottom w:val="none" w:sz="0" w:space="0" w:color="auto"/>
        <w:right w:val="none" w:sz="0" w:space="0" w:color="auto"/>
      </w:divBdr>
    </w:div>
    <w:div w:id="20876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Zachary\Documents\Contingent%20valuation%20project%20Turk%20Kotchen%20Leiserowitz%202016\DID%20illustra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data\Kroon%20Survey%20Data\1Formatted%20results%20tabl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lt1"/>
            </a:solidFill>
            <a:ln w="12700" cap="flat" cmpd="sng" algn="ctr">
              <a:solidFill>
                <a:schemeClr val="dk1"/>
              </a:solidFill>
              <a:prstDash val="solid"/>
              <a:miter lim="800000"/>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(Sheet1!$B$2,Sheet1!$D$2)</c:f>
              <c:strCache>
                <c:ptCount val="2"/>
                <c:pt idx="0">
                  <c:v>Student &amp; visitor group</c:v>
                </c:pt>
                <c:pt idx="1">
                  <c:v>Faculty &amp; staff group</c:v>
                </c:pt>
              </c:strCache>
            </c:strRef>
          </c:cat>
          <c:val>
            <c:numRef>
              <c:f>(Sheet1!$B$3,Sheet1!$D$3)</c:f>
              <c:numCache>
                <c:formatCode>0.000</c:formatCode>
                <c:ptCount val="2"/>
                <c:pt idx="0" formatCode="General">
                  <c:v>0.77700000000000002</c:v>
                </c:pt>
                <c:pt idx="1">
                  <c:v>-0.11</c:v>
                </c:pt>
              </c:numCache>
            </c:numRef>
          </c:val>
          <c:extLst>
            <c:ext xmlns:c16="http://schemas.microsoft.com/office/drawing/2014/chart" uri="{C3380CC4-5D6E-409C-BE32-E72D297353CC}">
              <c16:uniqueId val="{00000000-F35B-4E0A-A7FA-413E39FB176E}"/>
            </c:ext>
          </c:extLst>
        </c:ser>
        <c:dLbls>
          <c:showLegendKey val="0"/>
          <c:showVal val="0"/>
          <c:showCatName val="0"/>
          <c:showSerName val="0"/>
          <c:showPercent val="0"/>
          <c:showBubbleSize val="0"/>
        </c:dLbls>
        <c:gapWidth val="164"/>
        <c:overlap val="-35"/>
        <c:axId val="524004848"/>
        <c:axId val="524007144"/>
      </c:barChart>
      <c:catAx>
        <c:axId val="524004848"/>
        <c:scaling>
          <c:orientation val="minMax"/>
        </c:scaling>
        <c:delete val="0"/>
        <c:axPos val="b"/>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24007144"/>
        <c:crosses val="autoZero"/>
        <c:auto val="1"/>
        <c:lblAlgn val="ctr"/>
        <c:lblOffset val="100"/>
        <c:noMultiLvlLbl val="0"/>
      </c:catAx>
      <c:valAx>
        <c:axId val="524007144"/>
        <c:scaling>
          <c:orientation val="minMax"/>
        </c:scaling>
        <c:delete val="0"/>
        <c:axPos val="l"/>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Coefficient estimates</a:t>
                </a:r>
              </a:p>
            </c:rich>
          </c:tx>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24004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'Count t comfort sat'!$J$3</c:f>
              <c:strCache>
                <c:ptCount val="1"/>
                <c:pt idx="0">
                  <c:v>Kroon &amp; office</c:v>
                </c:pt>
              </c:strCache>
            </c:strRef>
          </c:tx>
          <c:spPr>
            <a:ln w="28575" cap="rnd">
              <a:solidFill>
                <a:schemeClr val="accent3"/>
              </a:solidFill>
              <a:round/>
            </a:ln>
            <a:effectLst/>
          </c:spPr>
          <c:marker>
            <c:symbol val="none"/>
          </c:marker>
          <c:cat>
            <c:numRef>
              <c:f>'Count t comfort sat'!$F$4:$F$12</c:f>
              <c:numCache>
                <c:formatCode>@</c:formatCode>
                <c:ptCount val="9"/>
                <c:pt idx="0">
                  <c:v>0</c:v>
                </c:pt>
                <c:pt idx="1">
                  <c:v>1</c:v>
                </c:pt>
                <c:pt idx="2">
                  <c:v>2</c:v>
                </c:pt>
                <c:pt idx="3">
                  <c:v>3</c:v>
                </c:pt>
                <c:pt idx="4">
                  <c:v>4</c:v>
                </c:pt>
                <c:pt idx="5">
                  <c:v>5</c:v>
                </c:pt>
                <c:pt idx="6">
                  <c:v>6</c:v>
                </c:pt>
                <c:pt idx="7">
                  <c:v>7</c:v>
                </c:pt>
                <c:pt idx="8">
                  <c:v>8</c:v>
                </c:pt>
              </c:numCache>
            </c:numRef>
          </c:cat>
          <c:val>
            <c:numRef>
              <c:f>'Count t comfort sat'!$J$4:$J$12</c:f>
              <c:numCache>
                <c:formatCode>@</c:formatCode>
                <c:ptCount val="9"/>
                <c:pt idx="0">
                  <c:v>7.4999999999999997E-2</c:v>
                </c:pt>
                <c:pt idx="1">
                  <c:v>0.1128</c:v>
                </c:pt>
                <c:pt idx="2">
                  <c:v>2.5000000000000001E-2</c:v>
                </c:pt>
                <c:pt idx="3">
                  <c:v>0.1638</c:v>
                </c:pt>
                <c:pt idx="4">
                  <c:v>0.2104</c:v>
                </c:pt>
                <c:pt idx="5">
                  <c:v>0.17430000000000001</c:v>
                </c:pt>
                <c:pt idx="6">
                  <c:v>8.5500000000000007E-2</c:v>
                </c:pt>
                <c:pt idx="7">
                  <c:v>8.5500000000000007E-2</c:v>
                </c:pt>
                <c:pt idx="8">
                  <c:v>6.7699999999999996E-2</c:v>
                </c:pt>
              </c:numCache>
            </c:numRef>
          </c:val>
          <c:smooth val="0"/>
          <c:extLst>
            <c:ext xmlns:c16="http://schemas.microsoft.com/office/drawing/2014/chart" uri="{C3380CC4-5D6E-409C-BE32-E72D297353CC}">
              <c16:uniqueId val="{00000000-1B11-442D-9179-842448808193}"/>
            </c:ext>
          </c:extLst>
        </c:ser>
        <c:ser>
          <c:idx val="0"/>
          <c:order val="1"/>
          <c:tx>
            <c:strRef>
              <c:f>'Count t comfort sat'!$K$3</c:f>
              <c:strCache>
                <c:ptCount val="1"/>
                <c:pt idx="0">
                  <c:v>not Kroon &amp; office</c:v>
                </c:pt>
              </c:strCache>
            </c:strRef>
          </c:tx>
          <c:spPr>
            <a:ln w="28575" cap="rnd">
              <a:solidFill>
                <a:schemeClr val="accent1"/>
              </a:solidFill>
              <a:round/>
            </a:ln>
            <a:effectLst/>
          </c:spPr>
          <c:marker>
            <c:symbol val="none"/>
          </c:marker>
          <c:val>
            <c:numRef>
              <c:f>'Count t comfort sat'!$K$4:$K$12</c:f>
              <c:numCache>
                <c:formatCode>General</c:formatCode>
                <c:ptCount val="9"/>
                <c:pt idx="0">
                  <c:v>0.1007</c:v>
                </c:pt>
                <c:pt idx="1">
                  <c:v>5.04E-2</c:v>
                </c:pt>
                <c:pt idx="2">
                  <c:v>3.7600000000000001E-2</c:v>
                </c:pt>
                <c:pt idx="3">
                  <c:v>0.14879999999999999</c:v>
                </c:pt>
                <c:pt idx="4">
                  <c:v>0.33200000000000002</c:v>
                </c:pt>
                <c:pt idx="5">
                  <c:v>0.12670000000000001</c:v>
                </c:pt>
                <c:pt idx="6">
                  <c:v>0.1232</c:v>
                </c:pt>
                <c:pt idx="7">
                  <c:v>8.0500000000000002E-2</c:v>
                </c:pt>
                <c:pt idx="8">
                  <c:v>0</c:v>
                </c:pt>
              </c:numCache>
            </c:numRef>
          </c:val>
          <c:smooth val="0"/>
          <c:extLst>
            <c:ext xmlns:c16="http://schemas.microsoft.com/office/drawing/2014/chart" uri="{C3380CC4-5D6E-409C-BE32-E72D297353CC}">
              <c16:uniqueId val="{00000001-1B11-442D-9179-842448808193}"/>
            </c:ext>
          </c:extLst>
        </c:ser>
        <c:ser>
          <c:idx val="3"/>
          <c:order val="2"/>
          <c:tx>
            <c:strRef>
              <c:f>'Count t comfort sat'!$L$3</c:f>
              <c:strCache>
                <c:ptCount val="1"/>
                <c:pt idx="0">
                  <c:v>Kroon &amp; not office</c:v>
                </c:pt>
              </c:strCache>
            </c:strRef>
          </c:tx>
          <c:spPr>
            <a:ln w="28575" cap="rnd">
              <a:solidFill>
                <a:schemeClr val="accent4"/>
              </a:solidFill>
              <a:round/>
            </a:ln>
            <a:effectLst/>
          </c:spPr>
          <c:marker>
            <c:symbol val="none"/>
          </c:marker>
          <c:cat>
            <c:numRef>
              <c:f>'Count t comfort sat'!$F$4:$F$12</c:f>
              <c:numCache>
                <c:formatCode>@</c:formatCode>
                <c:ptCount val="9"/>
                <c:pt idx="0">
                  <c:v>0</c:v>
                </c:pt>
                <c:pt idx="1">
                  <c:v>1</c:v>
                </c:pt>
                <c:pt idx="2">
                  <c:v>2</c:v>
                </c:pt>
                <c:pt idx="3">
                  <c:v>3</c:v>
                </c:pt>
                <c:pt idx="4">
                  <c:v>4</c:v>
                </c:pt>
                <c:pt idx="5">
                  <c:v>5</c:v>
                </c:pt>
                <c:pt idx="6">
                  <c:v>6</c:v>
                </c:pt>
                <c:pt idx="7">
                  <c:v>7</c:v>
                </c:pt>
                <c:pt idx="8">
                  <c:v>8</c:v>
                </c:pt>
              </c:numCache>
            </c:numRef>
          </c:cat>
          <c:val>
            <c:numRef>
              <c:f>'Count t comfort sat'!$L$4:$L$12</c:f>
              <c:numCache>
                <c:formatCode>@</c:formatCode>
                <c:ptCount val="9"/>
                <c:pt idx="0">
                  <c:v>0.188</c:v>
                </c:pt>
                <c:pt idx="1">
                  <c:v>0.2069</c:v>
                </c:pt>
                <c:pt idx="2">
                  <c:v>0.23419999999999999</c:v>
                </c:pt>
                <c:pt idx="3">
                  <c:v>0.26290000000000002</c:v>
                </c:pt>
                <c:pt idx="4">
                  <c:v>8.2900000000000001E-2</c:v>
                </c:pt>
                <c:pt idx="5">
                  <c:v>2.5100000000000001E-2</c:v>
                </c:pt>
                <c:pt idx="6">
                  <c:v>0</c:v>
                </c:pt>
                <c:pt idx="7">
                  <c:v>0</c:v>
                </c:pt>
                <c:pt idx="8">
                  <c:v>0</c:v>
                </c:pt>
              </c:numCache>
            </c:numRef>
          </c:val>
          <c:smooth val="0"/>
          <c:extLst>
            <c:ext xmlns:c16="http://schemas.microsoft.com/office/drawing/2014/chart" uri="{C3380CC4-5D6E-409C-BE32-E72D297353CC}">
              <c16:uniqueId val="{00000002-1B11-442D-9179-842448808193}"/>
            </c:ext>
          </c:extLst>
        </c:ser>
        <c:ser>
          <c:idx val="1"/>
          <c:order val="3"/>
          <c:tx>
            <c:strRef>
              <c:f>'Count t comfort sat'!$M$3</c:f>
              <c:strCache>
                <c:ptCount val="1"/>
                <c:pt idx="0">
                  <c:v>not Kroon or office</c:v>
                </c:pt>
              </c:strCache>
            </c:strRef>
          </c:tx>
          <c:spPr>
            <a:ln w="28575" cap="rnd">
              <a:solidFill>
                <a:schemeClr val="accent2"/>
              </a:solidFill>
              <a:round/>
            </a:ln>
            <a:effectLst/>
          </c:spPr>
          <c:marker>
            <c:symbol val="none"/>
          </c:marker>
          <c:val>
            <c:numRef>
              <c:f>'Count t comfort sat'!$M$4:$M$12</c:f>
              <c:numCache>
                <c:formatCode>0.0000</c:formatCode>
                <c:ptCount val="9"/>
                <c:pt idx="0">
                  <c:v>0.28820000000000001</c:v>
                </c:pt>
                <c:pt idx="1">
                  <c:v>6.3200000000000006E-2</c:v>
                </c:pt>
                <c:pt idx="2">
                  <c:v>0.1978</c:v>
                </c:pt>
                <c:pt idx="3">
                  <c:v>0.19889999999999999</c:v>
                </c:pt>
                <c:pt idx="4">
                  <c:v>0.2006</c:v>
                </c:pt>
                <c:pt idx="5">
                  <c:v>5.1200000000000002E-2</c:v>
                </c:pt>
                <c:pt idx="6">
                  <c:v>0</c:v>
                </c:pt>
                <c:pt idx="7">
                  <c:v>0</c:v>
                </c:pt>
                <c:pt idx="8">
                  <c:v>0</c:v>
                </c:pt>
              </c:numCache>
            </c:numRef>
          </c:val>
          <c:smooth val="0"/>
          <c:extLst>
            <c:ext xmlns:c16="http://schemas.microsoft.com/office/drawing/2014/chart" uri="{C3380CC4-5D6E-409C-BE32-E72D297353CC}">
              <c16:uniqueId val="{00000003-1B11-442D-9179-842448808193}"/>
            </c:ext>
          </c:extLst>
        </c:ser>
        <c:dLbls>
          <c:showLegendKey val="0"/>
          <c:showVal val="0"/>
          <c:showCatName val="0"/>
          <c:showSerName val="0"/>
          <c:showPercent val="0"/>
          <c:showBubbleSize val="0"/>
        </c:dLbls>
        <c:smooth val="0"/>
        <c:axId val="195249168"/>
        <c:axId val="195253072"/>
      </c:lineChart>
      <c:catAx>
        <c:axId val="195249168"/>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Number of adaptive behaviors reported</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5253072"/>
        <c:crosses val="autoZero"/>
        <c:auto val="1"/>
        <c:lblAlgn val="ctr"/>
        <c:lblOffset val="100"/>
        <c:noMultiLvlLbl val="0"/>
      </c:catAx>
      <c:valAx>
        <c:axId val="195253072"/>
        <c:scaling>
          <c:orientation val="minMax"/>
          <c:max val="0.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Share of respondents</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524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5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0.16153</cdr:x>
      <cdr:y>0.73437</cdr:y>
    </cdr:from>
    <cdr:to>
      <cdr:x>0.84153</cdr:x>
      <cdr:y>0.73437</cdr:y>
    </cdr:to>
    <cdr:cxnSp macro="">
      <cdr:nvCxnSpPr>
        <cdr:cNvPr id="3" name="Straight Connector 2">
          <a:extLst xmlns:a="http://schemas.openxmlformats.org/drawingml/2006/main">
            <a:ext uri="{FF2B5EF4-FFF2-40B4-BE49-F238E27FC236}">
              <a16:creationId xmlns:a16="http://schemas.microsoft.com/office/drawing/2014/main" id="{0CD129E9-575C-48B3-BE6A-FE73D1DC9C75}"/>
            </a:ext>
          </a:extLst>
        </cdr:cNvPr>
        <cdr:cNvCxnSpPr/>
      </cdr:nvCxnSpPr>
      <cdr:spPr>
        <a:xfrm xmlns:a="http://schemas.openxmlformats.org/drawingml/2006/main" flipV="1">
          <a:off x="738515" y="2014524"/>
          <a:ext cx="3108960" cy="0"/>
        </a:xfrm>
        <a:prstGeom xmlns:a="http://schemas.openxmlformats.org/drawingml/2006/main" prst="line">
          <a:avLst/>
        </a:prstGeom>
        <a:ln xmlns:a="http://schemas.openxmlformats.org/drawingml/2006/main" w="952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0.27569</cdr:x>
      <cdr:y>0.14178</cdr:y>
    </cdr:from>
    <cdr:to>
      <cdr:x>0.84194</cdr:x>
      <cdr:y>0.81597</cdr:y>
    </cdr:to>
    <cdr:grpSp>
      <cdr:nvGrpSpPr>
        <cdr:cNvPr id="11" name="Group 10">
          <a:extLst xmlns:a="http://schemas.openxmlformats.org/drawingml/2006/main">
            <a:ext uri="{FF2B5EF4-FFF2-40B4-BE49-F238E27FC236}">
              <a16:creationId xmlns:a16="http://schemas.microsoft.com/office/drawing/2014/main" id="{D17635DE-3B37-428D-9FB9-5906838EE9CB}"/>
            </a:ext>
          </a:extLst>
        </cdr:cNvPr>
        <cdr:cNvGrpSpPr/>
      </cdr:nvGrpSpPr>
      <cdr:grpSpPr>
        <a:xfrm xmlns:a="http://schemas.openxmlformats.org/drawingml/2006/main">
          <a:off x="1260475" y="388938"/>
          <a:ext cx="2588895" cy="1849437"/>
          <a:chOff x="1260475" y="388938"/>
          <a:chExt cx="2588895" cy="1849437"/>
        </a:xfrm>
      </cdr:grpSpPr>
      <cdr:sp macro="" textlink="">
        <cdr:nvSpPr>
          <cdr:cNvPr id="5" name="Rectangle 4">
            <a:extLst xmlns:a="http://schemas.openxmlformats.org/drawingml/2006/main">
              <a:ext uri="{FF2B5EF4-FFF2-40B4-BE49-F238E27FC236}">
                <a16:creationId xmlns:a16="http://schemas.microsoft.com/office/drawing/2014/main" id="{990BF01B-52B3-4277-83FD-FE28E038BB28}"/>
              </a:ext>
            </a:extLst>
          </cdr:cNvPr>
          <cdr:cNvSpPr/>
        </cdr:nvSpPr>
        <cdr:spPr>
          <a:xfrm xmlns:a="http://schemas.openxmlformats.org/drawingml/2006/main">
            <a:off x="2162175" y="395287"/>
            <a:ext cx="781050" cy="1843088"/>
          </a:xfrm>
          <a:prstGeom xmlns:a="http://schemas.openxmlformats.org/drawingml/2006/main" prst="rect">
            <a:avLst/>
          </a:prstGeom>
          <a:solidFill xmlns:a="http://schemas.openxmlformats.org/drawingml/2006/main">
            <a:schemeClr val="accent1">
              <a:lumMod val="60000"/>
              <a:lumOff val="40000"/>
            </a:schemeClr>
          </a:solidFill>
          <a:ln xmlns:a="http://schemas.openxmlformats.org/drawingml/2006/main">
            <a:solidFill>
              <a:schemeClr val="accent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cxnSp macro="">
        <cdr:nvCxnSpPr>
          <cdr:cNvPr id="8" name="Straight Connector 7">
            <a:extLst xmlns:a="http://schemas.openxmlformats.org/drawingml/2006/main">
              <a:ext uri="{FF2B5EF4-FFF2-40B4-BE49-F238E27FC236}">
                <a16:creationId xmlns:a16="http://schemas.microsoft.com/office/drawing/2014/main" id="{C68E80D0-B361-4530-8410-73ABED42AFB5}"/>
              </a:ext>
            </a:extLst>
          </cdr:cNvPr>
          <cdr:cNvCxnSpPr/>
        </cdr:nvCxnSpPr>
        <cdr:spPr>
          <a:xfrm xmlns:a="http://schemas.openxmlformats.org/drawingml/2006/main" flipV="1">
            <a:off x="1289050" y="2236788"/>
            <a:ext cx="2560320" cy="0"/>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cxnSp macro="">
        <cdr:nvCxnSpPr>
          <cdr:cNvPr id="9" name="Straight Connector 8">
            <a:extLst xmlns:a="http://schemas.openxmlformats.org/drawingml/2006/main">
              <a:ext uri="{FF2B5EF4-FFF2-40B4-BE49-F238E27FC236}">
                <a16:creationId xmlns:a16="http://schemas.microsoft.com/office/drawing/2014/main" id="{C68E80D0-B361-4530-8410-73ABED42AFB5}"/>
              </a:ext>
            </a:extLst>
          </cdr:cNvPr>
          <cdr:cNvCxnSpPr/>
        </cdr:nvCxnSpPr>
        <cdr:spPr>
          <a:xfrm xmlns:a="http://schemas.openxmlformats.org/drawingml/2006/main" flipV="1">
            <a:off x="1260475" y="388938"/>
            <a:ext cx="2560320" cy="0"/>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sp macro="" textlink="">
        <cdr:nvSpPr>
          <cdr:cNvPr id="10" name="TextBox 9">
            <a:extLst xmlns:a="http://schemas.openxmlformats.org/drawingml/2006/main">
              <a:ext uri="{FF2B5EF4-FFF2-40B4-BE49-F238E27FC236}">
                <a16:creationId xmlns:a16="http://schemas.microsoft.com/office/drawing/2014/main" id="{182EAA78-459F-48C4-9D8E-D04A78EE568F}"/>
              </a:ext>
            </a:extLst>
          </cdr:cNvPr>
          <cdr:cNvSpPr txBox="1"/>
        </cdr:nvSpPr>
        <cdr:spPr>
          <a:xfrm xmlns:a="http://schemas.openxmlformats.org/drawingml/2006/main">
            <a:off x="2105024" y="1014413"/>
            <a:ext cx="914400" cy="60483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050">
                <a:latin typeface="Times New Roman" panose="02020603050405020304" pitchFamily="18" charset="0"/>
                <a:cs typeface="Times New Roman" panose="02020603050405020304" pitchFamily="18" charset="0"/>
              </a:rPr>
              <a:t>Difference</a:t>
            </a:r>
            <a:r>
              <a:rPr lang="en-US" sz="1050" baseline="0">
                <a:latin typeface="Times New Roman" panose="02020603050405020304" pitchFamily="18" charset="0"/>
                <a:cs typeface="Times New Roman" panose="02020603050405020304" pitchFamily="18" charset="0"/>
              </a:rPr>
              <a:t> in differences estimate</a:t>
            </a:r>
            <a:endParaRPr lang="en-US" sz="1050">
              <a:latin typeface="Times New Roman" panose="02020603050405020304" pitchFamily="18" charset="0"/>
              <a:cs typeface="Times New Roman" panose="02020603050405020304" pitchFamily="18" charset="0"/>
            </a:endParaRPr>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{BE1586A3-EB89-415A-B429-567ED853D08C}</b:Guid>
    <b:Author>
      <b:Author>
        <b:NameList>
          <b:Person>
            <b:Last>Aldy</b:Last>
            <b:First>J.</b:First>
            <b:Middle>E., Kotchen, M. J., &amp; Leiserowitz, A. A.</b:Middle>
          </b:Person>
        </b:NameList>
      </b:Author>
    </b:Author>
    <b:Title>Willingness to pay and political support for a US national clean energy standard</b:Title>
    <b:JournalName>Nature Climate Change 2</b:JournalName>
    <b:Year>2012</b:Year>
    <b:Pages>596-599</b:Pages>
    <b:RefOrder>1</b:RefOrder>
  </b:Source>
</b:Sources>
</file>

<file path=customXml/itemProps1.xml><?xml version="1.0" encoding="utf-8"?>
<ds:datastoreItem xmlns:ds="http://schemas.openxmlformats.org/officeDocument/2006/customXml" ds:itemID="{6570F3C2-3AE9-448A-B158-A35F11AE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15972</Words>
  <Characters>91041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Turk</dc:creator>
  <cp:keywords/>
  <dc:description/>
  <cp:lastModifiedBy>Zachary Turk</cp:lastModifiedBy>
  <cp:revision>53</cp:revision>
  <cp:lastPrinted>2017-05-11T01:17:00Z</cp:lastPrinted>
  <dcterms:created xsi:type="dcterms:W3CDTF">2017-05-09T18:17:00Z</dcterms:created>
  <dcterms:modified xsi:type="dcterms:W3CDTF">2017-05-11T01:17:00Z</dcterms:modified>
</cp:coreProperties>
</file>