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Thunder + AI Filler</w:t>
      </w:r>
    </w:p>
    <w:p>
      <w:pPr>
        <w:spacing w:after="60"/>
      </w:pPr>
      <w:r>
        <w:rPr>
          <w:color w:val="555555"/>
          <w:sz w:val="28"/>
          <w:szCs w:val="28"/>
        </w:rPr>
        <w:t xml:space="preserve">Competitive Brief — Positioning &amp; GTM</w:t>
      </w:r>
    </w:p>
    <w:p>
      <w:pPr>
        <w:spacing w:after="360"/>
      </w:pPr>
      <w:r>
        <w:rPr>
          <w:color w:val="777777"/>
          <w:sz w:val="20"/>
          <w:szCs w:val="20"/>
        </w:rPr>
        <w:t xml:space="preserve">Prepared for Zach   </w:t>
      </w:r>
      <w:r>
        <w:rPr>
          <w:color w:val="777777"/>
          <w:sz w:val="20"/>
          <w:szCs w:val="20"/>
        </w:rPr>
        <w:t xml:space="preserve">•   </w:t>
      </w:r>
      <w:r>
        <w:rPr>
          <w:color w:val="777777"/>
          <w:sz w:val="20"/>
          <w:szCs w:val="20"/>
        </w:rPr>
        <w:t xml:space="preserve">22 April 2026</w:t>
      </w:r>
    </w:p>
    <w:p>
      <w:pPr>
        <w:pStyle w:val="Heading1"/>
      </w:pPr>
      <w:r>
        <w:t xml:space="preserve">Executive Summary</w:t>
      </w:r>
    </w:p>
    <w:p>
      <w:pPr>
        <w:spacing w:after="120"/>
      </w:pPr>
      <w:r>
        <w:t xml:space="preserve">You've identified a real expansion opportunity. The Thunder architecture you accepted on 21 April 2026 — structured facets plus unstructured corpus plus just-in-time LLM reasoning — is already an engine, not a vertical app. Grant applications are just the first form category it knows how to fill. An "AI filler" product that handles any input template, in any format, with a user's stored profile is a natural generalisation of Thunder's draft stage, and the data model is ready for it.</w:t>
      </w:r>
    </w:p>
    <w:p>
      <w:pPr>
        <w:spacing w:after="120"/>
      </w:pPr>
      <w:r>
        <w:t xml:space="preserve">Commercial landscape in Hong Kong: the horizontal AI form-filler category (Instafill, AutoFillPDF, FillApp, Fill A Form AI) is crowded globally but shallow in HK — none of them know an NNC1 from an IR56B, none integrate with iAM Smart, and none understand local consultancy pricing norms. HK-local incumbents (Osome, Sleek, Tricor, Air Corporate, FormX.ai) are either service-heavy bundled offerings or stop at document extraction. Browser-agent infrastructure (OpenAI Operator, Anthropic Computer Use, Browser Use) is now commoditised — what is not commoditised is the jurisdiction-specific form corpus and the user-data vault sitting behind the filler.</w:t>
      </w:r>
    </w:p>
    <w:p>
      <w:pPr>
        <w:spacing w:after="120"/>
      </w:pPr>
      <w:r>
        <w:t xml:space="preserve">Recommended positioning: "The AI that fills Hong Kong's paperwork." Lead with HK vertical depth, not horizontal breadth. Thunder becomes the flagship vertical app that proves the engine can win against human consultants; the AI filler becomes the horizontal product that sells the engine to everyone else. This gives you two differentiated commercial surfaces without two backend builds.</w:t>
      </w:r>
    </w:p>
    <w:p>
      <w:pPr>
        <w:spacing w:after="120"/>
      </w:pPr>
      <w:r>
        <w:t xml:space="preserve">Recommended GTM: dual-motion with a single funnel. Thunder remains the top-of-funnel wedge through the 11 May 2026 Easy BUD launch — free, high-signal, tied to HKPC's own Easy BUD launch on 23 April. Once a user's applicant profile is populated, cross-sell them into the AI filler subscription for BR renewals, NAR1, IR56, visa filings, and everything else the same profile already answers. Wedge the filler into prosumer/SMB at HK$99–299/mo and the professional segment (accountants, CoSec agents, consultants) at HK$500–2,000/mo per seat. Platform/API tier opens a B2B2B channel into banks, CoSec firms, and vertical ISVs.</w:t>
      </w:r>
    </w:p>
    <w:p>
      <w:pPr>
        <w:spacing w:after="120"/>
      </w:pPr>
      <w:r>
        <w:t xml:space="preserve">Key risk: this is a fast-moving window. Computer-use models will halve in cost every 9–12 months and every CoSec SaaS in HK will ship a "fill this for me" button within 18 months. Your moat is not the filler itself — it is (1) the HK form corpus you curate the way Thunder curates schemes, (2) the user-data vault that compounds with each filed form, and (3) the vertical apps you stack on top. All three are investments you should start now, not after Thunder v1 ships.</w:t>
      </w:r>
    </w:p>
    <w:p>
      <w:r>
        <w:br w:type="page"/>
      </w:r>
    </w:p>
    <w:p>
      <w:pPr>
        <w:pStyle w:val="Heading1"/>
      </w:pPr>
      <w:r>
        <w:t xml:space="preserve">1. The HK Form Economy</w:t>
      </w:r>
    </w:p>
    <w:p>
      <w:pPr>
        <w:spacing w:after="120"/>
      </w:pPr>
      <w:r>
        <w:t xml:space="preserve">Hong Kong is unusually form-heavy for its size. The Companies Registry, IRD, Immigration, and sector regulators (SFC, HKMA, Customs, FEHD) all run parallel filing regimes, most with paper-legacy PDFs that have only recently gained e-submission counterparts. The government's own digital infrastructure (iAM Smart, Central e-Form Services, CorpID) is expanding but piecemeal — most SMEs still fill forms manually or pay a CoSec/accountant to do it.</w:t>
      </w:r>
    </w:p>
    <w:p>
      <w:pPr>
        <w:pStyle w:val="Heading2"/>
      </w:pPr>
      <w:r>
        <w:t xml:space="preserve">Form volume indicators (2025–26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Category</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Annual volume</w:t>
            </w:r>
          </w:p>
        </w:tc>
        <w:tc>
          <w:tcPr>
            <w:tcW w:type="dxa" w:w="2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Typical cost to outsource</w:t>
            </w:r>
          </w:p>
        </w:tc>
        <w:tc>
          <w:tcPr>
            <w:tcW w:type="dxa" w:w="2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Automation maturity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Company / BR / CoSec (NNC1, NAR1, AR, director/share changes)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~1.5M registered companies; annual NAR1 mandatory</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HK$1,200–7,800/yr (Osome, Sleek) / HK$3,000–10,000+ (Tricor)</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Medium — CoSec SaaS exists, AI filling does not</w:t>
            </w:r>
          </w:p>
        </w:tc>
      </w:tr>
      <w:tr>
        <w:tc>
          <w:tcPr>
            <w:tcW w:type="dxa" w:w="26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Tax / IRD (Profits Tax, Employer Return IR56 series, Property)</w:t>
            </w:r>
          </w:p>
        </w:tc>
        <w:tc>
          <w:tcPr>
            <w:tcW w:type="dxa" w:w="16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IRD issued 270k profits + 120k property + 340k employer returns on 1 April 2026</w:t>
            </w:r>
          </w:p>
        </w:tc>
        <w:tc>
          <w:tcPr>
            <w:tcW w:type="dxa" w:w="26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HK$2,000–15,000 per filing via accountant</w:t>
            </w:r>
          </w:p>
        </w:tc>
        <w:tc>
          <w:tcPr>
            <w:tcW w:type="dxa" w:w="25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Medium — IR56 Forms Preparation Tool, eTAX, iAM Smart+ signing</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Grants &amp; funding (BUD, Easy BUD, ITF, TVP, HKSTP, Cyberport)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~10k+ BUD applications/yr; 70-project cap per company</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10–20% success fee or HK$20k–80k flat consultancy fee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Low — Thunder is the first AI-native entrant</w:t>
            </w:r>
          </w:p>
        </w:tc>
      </w:tr>
      <w:tr>
        <w:tc>
          <w:tcPr>
            <w:tcW w:type="dxa" w:w="26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Immigration / visa / licensing (work visa, dependant, SFC, MSO)</w:t>
            </w:r>
          </w:p>
        </w:tc>
        <w:tc>
          <w:tcPr>
            <w:tcW w:type="dxa" w:w="16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Tens of thousands/yr; high specialist gating</w:t>
            </w:r>
          </w:p>
        </w:tc>
        <w:tc>
          <w:tcPr>
            <w:tcW w:type="dxa" w:w="26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HK$8,000–50,000+ per matter via professional firms</w:t>
            </w:r>
          </w:p>
        </w:tc>
        <w:tc>
          <w:tcPr>
            <w:tcW w:type="dxa" w:w="25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Very low — manual-heavy, compliance-sensitive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HR / payroll (MPF, IR56B/E/F/G/M, contracts)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Every employer, every year</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Bundled into payroll SaaS (Talenox, Workstem) or accountant</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Medium — payroll SaaS embeds it</w:t>
            </w:r>
          </w:p>
        </w:tc>
      </w:tr>
    </w:tbl>
    <w:p>
      <w:pPr>
        <w:spacing w:after="120"/>
      </w:pPr>
      <w:r>
        <w:t xml:space="preserve"/>
      </w:r>
    </w:p>
    <w:p>
      <w:pPr>
        <w:spacing w:after="120"/>
      </w:pPr>
      <w:r>
        <w:t xml:space="preserve">What this tells you: the wedge is not evenly distributed. CoSec and grant forms have the highest pain-to-willingness-to-pay ratio for SMBs; tax and payroll are already partly automated by incumbents; immigration/licensing are highest-margin but specialist-gated. Go where the ratio is best and the incumbents are weakest.</w:t>
      </w:r>
    </w:p>
    <w:p>
      <w:r>
        <w:br w:type="page"/>
      </w:r>
    </w:p>
    <w:p>
      <w:pPr>
        <w:pStyle w:val="Heading1"/>
      </w:pPr>
      <w:r>
        <w:t xml:space="preserve">2. Competitive Set</w:t>
      </w:r>
    </w:p>
    <w:p>
      <w:pPr>
        <w:spacing w:after="120"/>
      </w:pPr>
      <w:r>
        <w:t xml:space="preserve">I've grouped competitors by how they approach the "fill a form" problem, not by company type. Each group has a different customer pattern and a different attack surface for you.</w:t>
      </w:r>
    </w:p>
    <w:p>
      <w:pPr>
        <w:pStyle w:val="Heading2"/>
      </w:pPr>
      <w:r>
        <w:t xml:space="preserve">Group A — Horizontal AI form-fillers (global, shallow)</w:t>
      </w:r>
    </w:p>
    <w:p>
      <w:pPr>
        <w:pStyle w:val="ListParagraph"/>
        <w:numPr>
          <w:ilvl w:val="0"/>
          <w:numId w:val="2"/>
        </w:numPr>
        <w:spacing w:after="60"/>
      </w:pPr>
      <w:r>
        <w:rPr>
          <w:b/>
          <w:bCs/>
        </w:rPr>
        <w:t xml:space="preserve">Instafill.ai</w:t>
      </w:r>
      <w:r>
        <w:t xml:space="preserve"> — consumer-ish, markets "fill a form in 37 seconds," per-form pricing. Strong demo, no HK depth.</w:t>
      </w:r>
    </w:p>
    <w:p>
      <w:pPr>
        <w:pStyle w:val="ListParagraph"/>
        <w:numPr>
          <w:ilvl w:val="0"/>
          <w:numId w:val="2"/>
        </w:numPr>
        <w:spacing w:after="60"/>
      </w:pPr>
      <w:r>
        <w:rPr>
          <w:b/>
          <w:bCs/>
        </w:rPr>
        <w:t xml:space="preserve">AutoFillPDF</w:t>
      </w:r>
      <w:r>
        <w:t xml:space="preserve"> — 100+ languages, PDF-first, emphasises field-recognition. Hobbyist positioning.</w:t>
      </w:r>
    </w:p>
    <w:p>
      <w:pPr>
        <w:pStyle w:val="ListParagraph"/>
        <w:numPr>
          <w:ilvl w:val="0"/>
          <w:numId w:val="2"/>
        </w:numPr>
        <w:spacing w:after="60"/>
      </w:pPr>
      <w:r>
        <w:rPr>
          <w:b/>
          <w:bCs/>
        </w:rPr>
        <w:t xml:space="preserve">FillApp</w:t>
      </w:r>
      <w:r>
        <w:t xml:space="preserve"> — Chrome extension, visual browser-agent style filling. Targets job applications and repetitive web forms.</w:t>
      </w:r>
    </w:p>
    <w:p>
      <w:pPr>
        <w:pStyle w:val="ListParagraph"/>
        <w:numPr>
          <w:ilvl w:val="0"/>
          <w:numId w:val="2"/>
        </w:numPr>
        <w:spacing w:after="60"/>
      </w:pPr>
      <w:r>
        <w:rPr>
          <w:b/>
          <w:bCs/>
        </w:rPr>
        <w:t xml:space="preserve">Fill A Form AI / Energent.ai / Wondershare PDFelement AI</w:t>
      </w:r>
      <w:r>
        <w:t xml:space="preserve"> — adjacent feature sets; Energent focuses on inspection/compliance forms for enterprise ops.</w:t>
      </w:r>
    </w:p>
    <w:p>
      <w:pPr>
        <w:spacing w:after="120"/>
      </w:pPr>
      <w:r>
        <w:t xml:space="preserve">Pattern: these products treat a form as a solved OCR + field-matching problem. None of them curate domain corpora (what NAR1 means, why a late BR renewal triggers a HK$50k fine, how BUD eligibility interacts with CEPA). They assume the user already knows what to put in each field; they just type it faster.</w:t>
      </w:r>
    </w:p>
    <w:p>
      <w:pPr>
        <w:pStyle w:val="Heading2"/>
      </w:pPr>
      <w:r>
        <w:t xml:space="preserve">Group B — HK-local document-AI (Oursky / FormX.ai)</w:t>
      </w:r>
    </w:p>
    <w:p>
      <w:pPr>
        <w:spacing w:after="120"/>
      </w:pPr>
      <w:r>
        <w:t xml:space="preserve">FormX.ai, by Hong Kong's Oursky (founded 2008), is the most credible local AI document player. It was deployed for the Consumption Voucher Scheme to process ID cards at scale. Pricing starts at US$299/mo for 3,000 pages. Important: FormX does extraction (document → structured data), not filling (profile + template → completed form). Adjacent, not head-to-head — but they have the brand, gov relationships, and the engineering team to pivot into filling if they choose. Treat as a frenemy.</w:t>
      </w:r>
    </w:p>
    <w:p>
      <w:pPr>
        <w:pStyle w:val="Heading2"/>
      </w:pPr>
      <w:r>
        <w:t xml:space="preserve">Group C — HK corporate service incumbents (bundled service + software)</w:t>
      </w:r>
    </w:p>
    <w:p>
      <w:pPr>
        <w:pStyle w:val="ListParagraph"/>
        <w:numPr>
          <w:ilvl w:val="0"/>
          <w:numId w:val="2"/>
        </w:numPr>
        <w:spacing w:after="60"/>
      </w:pPr>
      <w:r>
        <w:rPr>
          <w:b/>
          <w:bCs/>
        </w:rPr>
        <w:t xml:space="preserve">Osome</w:t>
      </w:r>
      <w:r>
        <w:t xml:space="preserve"> — ~13,000 clients across SG/HK/UK; HK plans HK$1,200–7,800/yr bundling CoSec + accounting + filings. Service-led, light on AI.</w:t>
      </w:r>
    </w:p>
    <w:p>
      <w:pPr>
        <w:pStyle w:val="ListParagraph"/>
        <w:numPr>
          <w:ilvl w:val="0"/>
          <w:numId w:val="2"/>
        </w:numPr>
        <w:spacing w:after="60"/>
      </w:pPr>
      <w:r>
        <w:rPr>
          <w:b/>
          <w:bCs/>
        </w:rPr>
        <w:t xml:space="preserve">Sleek</w:t>
      </w:r>
      <w:r>
        <w:t xml:space="preserve"> — HK$1,300–3,800/yr, self-serve + support, SME-focused. Closest "tech-enabled" competitor in the bundle layer.</w:t>
      </w:r>
    </w:p>
    <w:p>
      <w:pPr>
        <w:pStyle w:val="ListParagraph"/>
        <w:numPr>
          <w:ilvl w:val="0"/>
          <w:numId w:val="2"/>
        </w:numPr>
        <w:spacing w:after="60"/>
      </w:pPr>
      <w:r>
        <w:rPr>
          <w:b/>
          <w:bCs/>
        </w:rPr>
        <w:t xml:space="preserve">Tricor</w:t>
      </w:r>
      <w:r>
        <w:t xml:space="preserve"> — 10,000+ clients including 50%+ of HK-listed companies. Enterprise and listed-company play. Not going downmarket.</w:t>
      </w:r>
    </w:p>
    <w:p>
      <w:pPr>
        <w:pStyle w:val="ListParagraph"/>
        <w:numPr>
          <w:ilvl w:val="0"/>
          <w:numId w:val="2"/>
        </w:numPr>
        <w:spacing w:after="60"/>
      </w:pPr>
      <w:r>
        <w:rPr>
          <w:b/>
          <w:bCs/>
        </w:rPr>
        <w:t xml:space="preserve">Air Corporate / Statrys / BBCIncorp / Athenasia / Fastlane</w:t>
      </w:r>
      <w:r>
        <w:t xml:space="preserve"> — newer digital-first CoSec firms targeting founders. Thin tech layers, strong content marketing.</w:t>
      </w:r>
    </w:p>
    <w:p>
      <w:pPr>
        <w:spacing w:after="120"/>
      </w:pPr>
      <w:r>
        <w:t xml:space="preserve">Pattern: these are services with a software wrapper, not software. AI form filling is a feature they would add, not a product they would lead with. But they own the customer relationship and the filing frequency (every year, every director change, every share issue).</w:t>
      </w:r>
    </w:p>
    <w:p>
      <w:pPr>
        <w:pStyle w:val="Heading2"/>
      </w:pPr>
      <w:r>
        <w:t xml:space="preserve">Group D — Grant consultancies (direct Thunder competitors, filler-adjacent)</w:t>
      </w:r>
    </w:p>
    <w:p>
      <w:pPr>
        <w:spacing w:after="120"/>
      </w:pPr>
      <w:r>
        <w:t xml:space="preserve">bud-hk.com, hkfundingconsult.com, fundfluent.io, Real Inbound Consulting, InCorp HK — typically 10–20% success fee or flat HK$20–80k. Their value is proposal quality and compliance, and a large part of their work is literally filling the BUD/ITF/TVP forms correctly. Thunder is built to eat this market; the filler generalises the same attack into CoSec, tax, and visa consultants.</w:t>
      </w:r>
    </w:p>
    <w:p>
      <w:pPr>
        <w:pStyle w:val="Heading2"/>
      </w:pPr>
      <w:r>
        <w:t xml:space="preserve">Group E — Browser/computer-use agents (infrastructure, not product)</w:t>
      </w:r>
    </w:p>
    <w:p>
      <w:pPr>
        <w:spacing w:after="120"/>
      </w:pPr>
      <w:r>
        <w:t xml:space="preserve">OpenAI Operator (CUA) reached 38% on OSWorld, 58% on WebArena, 87% on WebVoyager in 2026. Anthropic's Computer Use jumped from &lt;15% to 72.5% on OSWorld after the Vercept acquisition (Feb 2026). Google has a Gemini equivalent. Browser Use (open-source, 81k GitHub stars) is the reference framework. None of these are products an HK SME will adopt — they are the raw substrate you and every competitor will build on. Assume they keep halving in cost.</w:t>
      </w:r>
    </w:p>
    <w:p>
      <w:pPr>
        <w:pStyle w:val="Heading2"/>
      </w:pPr>
      <w:r>
        <w:t xml:space="preserve">Group F — General-purpose AI (ChatGPT, Claude, Gemini)</w:t>
      </w:r>
    </w:p>
    <w:p>
      <w:pPr>
        <w:spacing w:after="120"/>
      </w:pPr>
      <w:r>
        <w:t xml:space="preserve">The realistic substitute. A motivated user can paste an NAR1 PDF into Claude and get 80% of the way there today. Your product has to be materially better than that workflow — less copy/paste, persistent profile, correct HK specifics, submission, not just drafting.</w:t>
      </w:r>
    </w:p>
    <w:p>
      <w:pPr>
        <w:pStyle w:val="Heading2"/>
      </w:pPr>
      <w:r>
        <w:t xml:space="preserve">Group G — Substitutes and non-consumption</w:t>
      </w:r>
    </w:p>
    <w:p>
      <w:pPr>
        <w:pStyle w:val="ListParagraph"/>
        <w:numPr>
          <w:ilvl w:val="0"/>
          <w:numId w:val="2"/>
        </w:numPr>
        <w:spacing w:after="60"/>
      </w:pPr>
      <w:r>
        <w:t xml:space="preserve">Hiring a company secretary or accountant (the default for most HK SMEs)</w:t>
      </w:r>
    </w:p>
    <w:p>
      <w:pPr>
        <w:pStyle w:val="ListParagraph"/>
        <w:numPr>
          <w:ilvl w:val="0"/>
          <w:numId w:val="2"/>
        </w:numPr>
        <w:spacing w:after="60"/>
      </w:pPr>
      <w:r>
        <w:t xml:space="preserve">iAM Smart e-ME form-filling (free, but only works for participating gov forms, and still requires the user to know what to fill)</w:t>
      </w:r>
    </w:p>
    <w:p>
      <w:pPr>
        <w:pStyle w:val="ListParagraph"/>
        <w:numPr>
          <w:ilvl w:val="0"/>
          <w:numId w:val="2"/>
        </w:numPr>
        <w:spacing w:after="60"/>
      </w:pPr>
      <w:r>
        <w:t xml:space="preserve">DIY manual filling (free, error-prone, incurs penalty risk)</w:t>
      </w:r>
    </w:p>
    <w:p>
      <w:pPr>
        <w:pStyle w:val="ListParagraph"/>
        <w:numPr>
          <w:ilvl w:val="0"/>
          <w:numId w:val="2"/>
        </w:numPr>
        <w:spacing w:after="60"/>
      </w:pPr>
      <w:r>
        <w:t xml:space="preserve">Doing nothing — late filings and HK$50k fines are not rare</w:t>
      </w:r>
    </w:p>
    <w:p>
      <w:r>
        <w:br w:type="page"/>
      </w:r>
    </w:p>
    <w:p>
      <w:pPr>
        <w:pStyle w:val="Heading1"/>
      </w:pPr>
      <w:r>
        <w:t xml:space="preserve">3. Landscape Map</w:t>
      </w:r>
    </w:p>
    <w:p>
      <w:pPr>
        <w:spacing w:after="120"/>
      </w:pPr>
      <w:r>
        <w:t xml:space="preserve">Two axes that reveal strategic positioning in HK: horizontal breadth (how many form types the product handles) versus HK/jurisdictional depth (how much it knows about local rules, forms, and filing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
            </w:r>
          </w:p>
        </w:tc>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Shallow HK depth</w:t>
            </w:r>
          </w:p>
        </w:tc>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Medium HK depth</w:t>
            </w:r>
          </w:p>
        </w:tc>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Deep HK depth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Narrow form scope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Grant consultancies
HR / payroll SaaS (Talenox, Workstem)</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Thunder v1
(grants only, HK-deep)</w:t>
            </w:r>
          </w:p>
        </w:tc>
      </w:tr>
      <w:tr>
        <w:tc>
          <w:tcPr>
            <w:tcW w:type="dxa" w:w="23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Medium form scope</w:t>
            </w:r>
          </w:p>
        </w:tc>
        <w:tc>
          <w:tcPr>
            <w:tcW w:type="dxa" w:w="23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Instafill, FillApp, AutoFillPDF, Fill A Form AI</w:t>
            </w:r>
          </w:p>
        </w:tc>
        <w:tc>
          <w:tcPr>
            <w:tcW w:type="dxa" w:w="23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Osome, Sleek, Air Corporate
(CoSec + accounting, service-heavy)</w:t>
            </w:r>
          </w:p>
        </w:tc>
        <w:tc>
          <w:tcPr>
            <w:tcW w:type="dxa" w:w="23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Tricor (enterprise, not SMB)</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Broad form scope (any form)</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ChatGPT / Claude general-purpose
Browser agents (Operator, CUA)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FormX.ai (extraction, adjacent)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 whitespace you're aiming for</w:t>
            </w:r>
          </w:p>
        </w:tc>
      </w:tr>
    </w:tbl>
    <w:p>
      <w:pPr>
        <w:spacing w:after="120"/>
      </w:pPr>
      <w:r>
        <w:t xml:space="preserve"/>
      </w:r>
    </w:p>
    <w:p>
      <w:pPr>
        <w:spacing w:after="120"/>
      </w:pPr>
      <w:r>
        <w:t xml:space="preserve">The bottom-right cell — broad form scope with deep HK depth — is empty. That is the target position for the AI filler. No global player wants to curate 200+ HK form templates; no HK incumbent has the AI-first architecture or the appetite to build a horizontal product.</w:t>
      </w:r>
    </w:p>
    <w:p>
      <w:r>
        <w:br w:type="page"/>
      </w:r>
    </w:p>
    <w:p>
      <w:pPr>
        <w:pStyle w:val="Heading1"/>
      </w:pPr>
      <w:r>
        <w:t xml:space="preserve">4. Feature Comparison</w:t>
      </w:r>
    </w:p>
    <w:p>
      <w:pPr>
        <w:spacing w:after="120"/>
      </w:pPr>
      <w:r>
        <w:t xml:space="preserve">Rated on a four-point scale: Strong / Adequate / Weak / Absent. Ratings reflect current product reality as of April 2026, not marketing claims.</w:t>
      </w:r>
    </w:p>
    <w:p>
      <w:pPr>
        <w:pStyle w:val="Heading2"/>
      </w:pPr>
      <w:r>
        <w:t xml:space="preserve">4.1 Capabilities that matter for an HK AI filler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Capability</w:t>
            </w:r>
          </w:p>
        </w:tc>
        <w:tc>
          <w:tcPr>
            <w:tcW w:type="dxa" w:w="16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You (Thunder + Filler)</w:t>
            </w:r>
          </w:p>
        </w:tc>
        <w:tc>
          <w:tcPr>
            <w:tcW w:type="dxa" w:w="16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Horizontal fillers (Instafill/FillApp)</w:t>
            </w:r>
          </w:p>
        </w:tc>
        <w:tc>
          <w:tcPr>
            <w:tcW w:type="dxa" w:w="16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HK CoSec (Osome/Sleek)</w:t>
            </w:r>
          </w:p>
        </w:tc>
        <w:tc>
          <w:tcPr>
            <w:tcW w:type="dxa" w:w="16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FormX.ai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HK-specific form corpus (NAR1, NNC1, BUD, IR56, visa)</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Strong (planned)</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Absent</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Adequate (narrow set)</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Weak (extraction only)</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Persistent applicant profile / data vault</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Strong</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Weak (session-scoped)</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Adequate</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Absent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Eligibility + compliance reasoning (JIT LLM)</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Strong</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Absent</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Strong (human)</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Absent</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Any-format template ingestion (PDF / Word / web)</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Strong (planned)</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Adequate</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Weak</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Strong (for extraction)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iAM Smart / CorpID integration</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Target feature</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Absent</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Partial</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Adequate</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End-to-end submission, not just drafting</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Target feature</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Weak</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Strong (human)</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Absent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Self-serve SMB pricing (&lt;HK$500/mo)</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Planned</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Strong</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Adequate</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Weak (US$299+ enterprise)</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Professional-grade workflow (multi-client, audit trail)</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Roadmap</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Weak</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Adequate</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Strong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Vertical-app layer (e.g., grants, tax, HR)</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Strong (Thunder)</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Absent</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Bundled service</w:t>
            </w:r>
          </w:p>
        </w:tc>
        <w:tc>
          <w:tcPr>
            <w:tcW w:type="dxa" w:w="1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Absent</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Cross-jurisdiction extensibility (beyond HK)</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Strong (architecture)</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Strong (but shallow everywhere)</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Weak (HK-locked)</w:t>
            </w:r>
          </w:p>
        </w:tc>
        <w:tc>
          <w:tcPr>
            <w:tcW w:type="dxa" w:w="16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Adequate</w:t>
            </w:r>
          </w:p>
        </w:tc>
      </w:tr>
    </w:tbl>
    <w:p>
      <w:pPr>
        <w:spacing w:after="120"/>
      </w:pPr>
      <w:r>
        <w:t xml:space="preserve"/>
      </w:r>
    </w:p>
    <w:p>
      <w:pPr>
        <w:spacing w:after="120"/>
      </w:pPr>
      <w:r>
        <w:t xml:space="preserve">Reading the matrix: you don't win on any single row. You win on the combination — HK depth plus horizontal breadth plus vertical apps plus architecture that scales beyond HK. No competitor assembles that stack today.</w:t>
      </w:r>
    </w:p>
    <w:p>
      <w:pPr>
        <w:pStyle w:val="Heading2"/>
      </w:pPr>
      <w:r>
        <w:t xml:space="preserve">4.2 Honest weaknesses</w:t>
      </w:r>
    </w:p>
    <w:p>
      <w:pPr>
        <w:pStyle w:val="ListParagraph"/>
        <w:numPr>
          <w:ilvl w:val="0"/>
          <w:numId w:val="2"/>
        </w:numPr>
        <w:spacing w:after="60"/>
      </w:pPr>
      <w:r>
        <w:t xml:space="preserve">You have no brand, no gov relationship, no distribution. FormX.ai, Osome, Sleek, and Tricor all have one or more.</w:t>
      </w:r>
    </w:p>
    <w:p>
      <w:pPr>
        <w:pStyle w:val="ListParagraph"/>
        <w:numPr>
          <w:ilvl w:val="0"/>
          <w:numId w:val="2"/>
        </w:numPr>
        <w:spacing w:after="60"/>
      </w:pPr>
      <w:r>
        <w:t xml:space="preserve">Your form corpus is aspirational — you have BUD-shaped prompts today, not a library. Curating 200+ HK forms is months of work, not weeks.</w:t>
      </w:r>
    </w:p>
    <w:p>
      <w:pPr>
        <w:pStyle w:val="ListParagraph"/>
        <w:numPr>
          <w:ilvl w:val="0"/>
          <w:numId w:val="2"/>
        </w:numPr>
        <w:spacing w:after="60"/>
      </w:pPr>
      <w:r>
        <w:t xml:space="preserve">Submission (the last mile) is harder than drafting. Many HK submission channels still require iAM Smart+ signing, paper originals, or courier delivery. You may never own the last mile for every form.</w:t>
      </w:r>
    </w:p>
    <w:p>
      <w:pPr>
        <w:pStyle w:val="ListParagraph"/>
        <w:numPr>
          <w:ilvl w:val="0"/>
          <w:numId w:val="2"/>
        </w:numPr>
        <w:spacing w:after="60"/>
      </w:pPr>
      <w:r>
        <w:t xml:space="preserve">Two products with one team is a focus tax. Thunder v1 is not shipped yet.</w:t>
      </w:r>
    </w:p>
    <w:p>
      <w:r>
        <w:br w:type="page"/>
      </w:r>
    </w:p>
    <w:p>
      <w:pPr>
        <w:pStyle w:val="Heading1"/>
      </w:pPr>
      <w:r>
        <w:t xml:space="preserve">5. Positioning Analysis</w:t>
      </w:r>
    </w:p>
    <w:p>
      <w:pPr>
        <w:pStyle w:val="Heading2"/>
      </w:pPr>
      <w:r>
        <w:t xml:space="preserve">5.1 How competitors position themselves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30"/>
        <w:gridCol w:w="2530"/>
      </w:tblGrid>
      <w:tr>
        <w:tc>
          <w:tcPr>
            <w:tcW w:type="dxa" w:w="1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Player</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Target customer</w:t>
            </w:r>
          </w:p>
        </w:tc>
        <w:tc>
          <w:tcPr>
            <w:tcW w:type="dxa" w:w="253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Category claim</w:t>
            </w:r>
          </w:p>
        </w:tc>
        <w:tc>
          <w:tcPr>
            <w:tcW w:type="dxa" w:w="253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Key differentiator</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Instafill.ai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Small offices, individuals</w:t>
            </w:r>
          </w:p>
        </w:tc>
        <w:tc>
          <w:tcPr>
            <w:tcW w:type="dxa" w:w="2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AI PDF form filler</w:t>
            </w:r>
          </w:p>
        </w:tc>
        <w:tc>
          <w:tcPr>
            <w:tcW w:type="dxa" w:w="2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Speed ("fill in 37 seconds")</w:t>
            </w:r>
          </w:p>
        </w:tc>
      </w:tr>
      <w:tr>
        <w:tc>
          <w:tcPr>
            <w:tcW w:type="dxa" w:w="19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FillApp</w:t>
            </w:r>
          </w:p>
        </w:tc>
        <w:tc>
          <w:tcPr>
            <w:tcW w:type="dxa" w:w="2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Job seekers, repetitive web forms</w:t>
            </w:r>
          </w:p>
        </w:tc>
        <w:tc>
          <w:tcPr>
            <w:tcW w:type="dxa" w:w="253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AI form filler Chrome extension</w:t>
            </w:r>
          </w:p>
        </w:tc>
        <w:tc>
          <w:tcPr>
            <w:tcW w:type="dxa" w:w="253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Visual browser automation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FormX.ai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Enterprise ops teams</w:t>
            </w:r>
          </w:p>
        </w:tc>
        <w:tc>
          <w:tcPr>
            <w:tcW w:type="dxa" w:w="2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AI data extraction platform</w:t>
            </w:r>
          </w:p>
        </w:tc>
        <w:tc>
          <w:tcPr>
            <w:tcW w:type="dxa" w:w="2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Accuracy at scale, HK gov creds</w:t>
            </w:r>
          </w:p>
        </w:tc>
      </w:tr>
      <w:tr>
        <w:tc>
          <w:tcPr>
            <w:tcW w:type="dxa" w:w="19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Osome</w:t>
            </w:r>
          </w:p>
        </w:tc>
        <w:tc>
          <w:tcPr>
            <w:tcW w:type="dxa" w:w="2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SG/HK/UK founders</w:t>
            </w:r>
          </w:p>
        </w:tc>
        <w:tc>
          <w:tcPr>
            <w:tcW w:type="dxa" w:w="253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Digital corporate services</w:t>
            </w:r>
          </w:p>
        </w:tc>
        <w:tc>
          <w:tcPr>
            <w:tcW w:type="dxa" w:w="253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Bundled CoSec + accounting online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Sleek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Entrepreneurs, SMBs</w:t>
            </w:r>
          </w:p>
        </w:tc>
        <w:tc>
          <w:tcPr>
            <w:tcW w:type="dxa" w:w="2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Tech-enabled business services</w:t>
            </w:r>
          </w:p>
        </w:tc>
        <w:tc>
          <w:tcPr>
            <w:tcW w:type="dxa" w:w="2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Modern UX, transparent pricing</w:t>
            </w:r>
          </w:p>
        </w:tc>
      </w:tr>
      <w:tr>
        <w:tc>
          <w:tcPr>
            <w:tcW w:type="dxa" w:w="19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Tricor</w:t>
            </w:r>
          </w:p>
        </w:tc>
        <w:tc>
          <w:tcPr>
            <w:tcW w:type="dxa" w:w="2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Listed / enterprise clients</w:t>
            </w:r>
          </w:p>
        </w:tc>
        <w:tc>
          <w:tcPr>
            <w:tcW w:type="dxa" w:w="253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Corporate secretarial (largest in HK)</w:t>
            </w:r>
          </w:p>
        </w:tc>
        <w:tc>
          <w:tcPr>
            <w:tcW w:type="dxa" w:w="253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Scale + regulatory depth</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Grant consultancies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SMEs applying for funding</w:t>
            </w:r>
          </w:p>
        </w:tc>
        <w:tc>
          <w:tcPr>
            <w:tcW w:type="dxa" w:w="2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Funding advisory</w:t>
            </w:r>
          </w:p>
        </w:tc>
        <w:tc>
          <w:tcPr>
            <w:tcW w:type="dxa" w:w="2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Success-fee, human expertise</w:t>
            </w:r>
          </w:p>
        </w:tc>
      </w:tr>
      <w:tr>
        <w:tc>
          <w:tcPr>
            <w:tcW w:type="dxa" w:w="19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ChatGPT / Claude</w:t>
            </w:r>
          </w:p>
        </w:tc>
        <w:tc>
          <w:tcPr>
            <w:tcW w:type="dxa" w:w="2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Everyone</w:t>
            </w:r>
          </w:p>
        </w:tc>
        <w:tc>
          <w:tcPr>
            <w:tcW w:type="dxa" w:w="253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General AI assistant</w:t>
            </w:r>
          </w:p>
        </w:tc>
        <w:tc>
          <w:tcPr>
            <w:tcW w:type="dxa" w:w="253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Generality</w:t>
            </w:r>
          </w:p>
        </w:tc>
      </w:tr>
    </w:tbl>
    <w:p>
      <w:pPr>
        <w:spacing w:after="120"/>
      </w:pPr>
      <w:r>
        <w:t xml:space="preserve"/>
      </w:r>
    </w:p>
    <w:p>
      <w:pPr>
        <w:pStyle w:val="Heading2"/>
      </w:pPr>
      <w:r>
        <w:t xml:space="preserve">5.2 Unclaimed positions</w:t>
      </w:r>
    </w:p>
    <w:p>
      <w:pPr>
        <w:pStyle w:val="ListParagraph"/>
        <w:numPr>
          <w:ilvl w:val="0"/>
          <w:numId w:val="2"/>
        </w:numPr>
        <w:spacing w:after="60"/>
      </w:pPr>
      <w:r>
        <w:rPr>
          <w:b/>
          <w:bCs/>
        </w:rPr>
        <w:t xml:space="preserve">"The AI that fills Hong Kong's paperwork."</w:t>
      </w:r>
      <w:r>
        <w:t xml:space="preserve"> No one owns this phrase. Horizontal fillers can't credibly claim it; HK incumbents sell service, not AI. This is your headline.</w:t>
      </w:r>
    </w:p>
    <w:p>
      <w:pPr>
        <w:pStyle w:val="ListParagraph"/>
        <w:numPr>
          <w:ilvl w:val="0"/>
          <w:numId w:val="2"/>
        </w:numPr>
        <w:spacing w:after="60"/>
      </w:pPr>
      <w:r>
        <w:rPr>
          <w:b/>
          <w:bCs/>
        </w:rPr>
        <w:t xml:space="preserve">"Your applicant profile, filed automatically."</w:t>
      </w:r>
      <w:r>
        <w:t xml:space="preserve"> The data-vault framing — once — is what competitors don't build. Every filler today treats each form as stateless.</w:t>
      </w:r>
    </w:p>
    <w:p>
      <w:pPr>
        <w:pStyle w:val="ListParagraph"/>
        <w:numPr>
          <w:ilvl w:val="0"/>
          <w:numId w:val="2"/>
        </w:numPr>
        <w:spacing w:after="60"/>
      </w:pPr>
      <w:r>
        <w:rPr>
          <w:b/>
          <w:bCs/>
        </w:rPr>
        <w:t xml:space="preserve">"Built for HK, engineered to travel."</w:t>
      </w:r>
      <w:r>
        <w:t xml:space="preserve"> Lets you signal global ambition (important for investors, per your project scope memory) while staying credible on HK specifics.</w:t>
      </w:r>
    </w:p>
    <w:p>
      <w:pPr>
        <w:pStyle w:val="Heading2"/>
      </w:pPr>
      <w:r>
        <w:t xml:space="preserve">5.3 Your positioning statement</w:t>
      </w:r>
    </w:p>
    <w:p>
      <w:pPr>
        <w:pBdr>
          <w:left w:val="single" w:color="1F3A5F" w:sz="18" w:space="12"/>
        </w:pBdr>
        <w:spacing w:after="120" w:before="120"/>
        <w:ind w:left="720" w:right="720"/>
      </w:pPr>
      <w:r>
        <w:rPr>
          <w:i/>
          <w:iCs/>
        </w:rPr>
        <w:t xml:space="preserve">For Hong Kong SMBs, founders, and the professionals who serve them, </w:t>
      </w:r>
      <w:r>
        <w:rPr>
          <w:b/>
          <w:bCs/>
          <w:i/>
          <w:iCs/>
        </w:rPr>
        <w:t xml:space="preserve">Thunder</w:t>
      </w:r>
      <w:r>
        <w:rPr>
          <w:i/>
          <w:iCs/>
        </w:rPr>
        <w:t xml:space="preserve"> is an AI platform that fills and files any Hong Kong form — from BUD and Easy BUD to NAR1, IR56, and visa applications — using a single applicant profile you only build once. Unlike horizontal form-fillers that don't know HK, or CoSec firms that bill by the hour, Thunder combines AI-native drafting with jurisdiction-deep form knowledge and lives inside your filing workflow end to end.</w:t>
      </w:r>
    </w:p>
    <w:p>
      <w:pPr>
        <w:pStyle w:val="Heading2"/>
      </w:pPr>
      <w:r>
        <w:t xml:space="preserve">5.4 Message architecture</w:t>
      </w:r>
    </w:p>
    <w:p>
      <w:pPr>
        <w:pStyle w:val="ListParagraph"/>
        <w:numPr>
          <w:ilvl w:val="0"/>
          <w:numId w:val="2"/>
        </w:numPr>
        <w:spacing w:after="60"/>
      </w:pPr>
      <w:r>
        <w:rPr>
          <w:b/>
          <w:bCs/>
        </w:rPr>
        <w:t xml:space="preserve">Level 1 — Category: </w:t>
      </w:r>
      <w:r>
        <w:t xml:space="preserve">AI filing platform for Hong Kong (not "form filler," which reads as a utility)</w:t>
      </w:r>
    </w:p>
    <w:p>
      <w:pPr>
        <w:pStyle w:val="ListParagraph"/>
        <w:numPr>
          <w:ilvl w:val="0"/>
          <w:numId w:val="2"/>
        </w:numPr>
        <w:spacing w:after="60"/>
      </w:pPr>
      <w:r>
        <w:rPr>
          <w:b/>
          <w:bCs/>
        </w:rPr>
        <w:t xml:space="preserve">Level 2 — Differentiator: </w:t>
      </w:r>
      <w:r>
        <w:t xml:space="preserve">HK-deep, profile-persistent, submission-complete</w:t>
      </w:r>
    </w:p>
    <w:p>
      <w:pPr>
        <w:pStyle w:val="ListParagraph"/>
        <w:numPr>
          <w:ilvl w:val="0"/>
          <w:numId w:val="2"/>
        </w:numPr>
        <w:spacing w:after="60"/>
      </w:pPr>
      <w:r>
        <w:rPr>
          <w:b/>
          <w:bCs/>
        </w:rPr>
        <w:t xml:space="preserve">Level 3 — Value proposition: </w:t>
      </w:r>
      <w:r>
        <w:t xml:space="preserve">"Fill your applicant profile once. Thunder handles every form after that."</w:t>
      </w:r>
    </w:p>
    <w:p>
      <w:pPr>
        <w:pStyle w:val="ListParagraph"/>
        <w:numPr>
          <w:ilvl w:val="0"/>
          <w:numId w:val="2"/>
        </w:numPr>
        <w:spacing w:after="60"/>
      </w:pPr>
      <w:r>
        <w:rPr>
          <w:b/>
          <w:bCs/>
        </w:rPr>
        <w:t xml:space="preserve">Level 4 — Proof points: </w:t>
      </w:r>
      <w:r>
        <w:t xml:space="preserve">BUD success rate (Thunder flagship), endorsed partners (HKPC, HKSTP, Cyberport ideally), client logos from CoSec/accounting firms using the API</w:t>
      </w:r>
    </w:p>
    <w:p>
      <w:r>
        <w:br w:type="page"/>
      </w:r>
    </w:p>
    <w:p>
      <w:pPr>
        <w:pStyle w:val="Heading1"/>
      </w:pPr>
      <w:r>
        <w:t xml:space="preserve">6. Strengths, Weaknesses, Opportunities, Threats</w:t>
      </w:r>
    </w:p>
    <w:p>
      <w:pPr>
        <w:pStyle w:val="Heading2"/>
      </w:pPr>
      <w:r>
        <w:t xml:space="preserve">6.1 Your strengths (honestly)</w:t>
      </w:r>
    </w:p>
    <w:p>
      <w:pPr>
        <w:pStyle w:val="ListParagraph"/>
        <w:numPr>
          <w:ilvl w:val="0"/>
          <w:numId w:val="2"/>
        </w:numPr>
        <w:spacing w:after="60"/>
      </w:pPr>
      <w:r>
        <w:t xml:space="preserve">Architecture already generalises: schemes-as-data means forms-as-data is a rename, not a rewrite.</w:t>
      </w:r>
    </w:p>
    <w:p>
      <w:pPr>
        <w:pStyle w:val="ListParagraph"/>
        <w:numPr>
          <w:ilvl w:val="0"/>
          <w:numId w:val="2"/>
        </w:numPr>
        <w:spacing w:after="60"/>
      </w:pPr>
      <w:r>
        <w:t xml:space="preserve">Thunder flagship gives you a concrete demo of depth (HK grant reasoning) that no horizontal filler can copy in a demo call.</w:t>
      </w:r>
    </w:p>
    <w:p>
      <w:pPr>
        <w:pStyle w:val="ListParagraph"/>
        <w:numPr>
          <w:ilvl w:val="0"/>
          <w:numId w:val="2"/>
        </w:numPr>
        <w:spacing w:after="60"/>
      </w:pPr>
      <w:r>
        <w:t xml:space="preserve">Cross-segment applicant profile — the same data fills BUD, NAR1, and an IR56B. Compound value per user.</w:t>
      </w:r>
    </w:p>
    <w:p>
      <w:pPr>
        <w:pStyle w:val="ListParagraph"/>
        <w:numPr>
          <w:ilvl w:val="0"/>
          <w:numId w:val="2"/>
        </w:numPr>
        <w:spacing w:after="60"/>
      </w:pPr>
      <w:r>
        <w:t xml:space="preserve">Two-stage Discover (structured pre-filter + batched LLM re-rank) is cost-disciplined in a world where competitors burn tokens per form.</w:t>
      </w:r>
    </w:p>
    <w:p>
      <w:pPr>
        <w:pStyle w:val="ListParagraph"/>
        <w:numPr>
          <w:ilvl w:val="0"/>
          <w:numId w:val="2"/>
        </w:numPr>
        <w:spacing w:after="60"/>
      </w:pPr>
      <w:r>
        <w:t xml:space="preserve">You are technically close to an MVP; most incumbents would need a team rebuild to compete.</w:t>
      </w:r>
    </w:p>
    <w:p>
      <w:pPr>
        <w:pStyle w:val="Heading2"/>
      </w:pPr>
      <w:r>
        <w:t xml:space="preserve">6.2 Your weaknesses (the uncomfortable list)</w:t>
      </w:r>
    </w:p>
    <w:p>
      <w:pPr>
        <w:pStyle w:val="ListParagraph"/>
        <w:numPr>
          <w:ilvl w:val="0"/>
          <w:numId w:val="2"/>
        </w:numPr>
        <w:spacing w:after="60"/>
      </w:pPr>
      <w:r>
        <w:t xml:space="preserve">Zero distribution. No HKPC / HKSTP / Cyberport partnership yet. No Big 4 or Tricor referral. No CoSec SaaS integration.</w:t>
      </w:r>
    </w:p>
    <w:p>
      <w:pPr>
        <w:pStyle w:val="ListParagraph"/>
        <w:numPr>
          <w:ilvl w:val="0"/>
          <w:numId w:val="2"/>
        </w:numPr>
        <w:spacing w:after="60"/>
      </w:pPr>
      <w:r>
        <w:t xml:space="preserve">No brand. Competitors have 5–25 years of incumbency.</w:t>
      </w:r>
    </w:p>
    <w:p>
      <w:pPr>
        <w:pStyle w:val="ListParagraph"/>
        <w:numPr>
          <w:ilvl w:val="0"/>
          <w:numId w:val="2"/>
        </w:numPr>
        <w:spacing w:after="60"/>
      </w:pPr>
      <w:r>
        <w:t xml:space="preserve">Corpus is hand-curated — this is a moat long-term but a cost short-term.</w:t>
      </w:r>
    </w:p>
    <w:p>
      <w:pPr>
        <w:pStyle w:val="ListParagraph"/>
        <w:numPr>
          <w:ilvl w:val="0"/>
          <w:numId w:val="2"/>
        </w:numPr>
        <w:spacing w:after="60"/>
      </w:pPr>
      <w:r>
        <w:t xml:space="preserve">Compliance / data-residency story is undeveloped. IRD, Immigration, and SFC data all have sensitivities. PDPO compliance needs to be in v1, not v3.</w:t>
      </w:r>
    </w:p>
    <w:p>
      <w:pPr>
        <w:pStyle w:val="ListParagraph"/>
        <w:numPr>
          <w:ilvl w:val="0"/>
          <w:numId w:val="2"/>
        </w:numPr>
        <w:spacing w:after="60"/>
      </w:pPr>
      <w:r>
        <w:t xml:space="preserve">Two surfaces, one team. If Thunder v1 slips to catch a filler feature, both suffer.</w:t>
      </w:r>
    </w:p>
    <w:p>
      <w:pPr>
        <w:pStyle w:val="Heading2"/>
      </w:pPr>
      <w:r>
        <w:t xml:space="preserve">6.3 Opportunities</w:t>
      </w:r>
    </w:p>
    <w:p>
      <w:pPr>
        <w:pStyle w:val="ListParagraph"/>
        <w:numPr>
          <w:ilvl w:val="0"/>
          <w:numId w:val="2"/>
        </w:numPr>
        <w:spacing w:after="60"/>
      </w:pPr>
      <w:r>
        <w:rPr>
          <w:b/>
          <w:bCs/>
        </w:rPr>
        <w:t xml:space="preserve">HKPC Easy BUD launch window (23 April 2026). </w:t>
      </w:r>
      <w:r>
        <w:t xml:space="preserve">Your own 11 May launch is adjacent. Pitch Thunder as the AI-native companion to Easy BUD's simplified track; use the wedge to validate the filler thesis.</w:t>
      </w:r>
    </w:p>
    <w:p>
      <w:pPr>
        <w:pStyle w:val="ListParagraph"/>
        <w:numPr>
          <w:ilvl w:val="0"/>
          <w:numId w:val="2"/>
        </w:numPr>
        <w:spacing w:after="60"/>
      </w:pPr>
      <w:r>
        <w:rPr>
          <w:b/>
          <w:bCs/>
        </w:rPr>
        <w:t xml:space="preserve">HK gov digital infrastructure maturing. </w:t>
      </w:r>
      <w:r>
        <w:t xml:space="preserve">iAM Smart, CorpID, Central e-Form Services all expanding in 2026. Early API integration = moat.</w:t>
      </w:r>
    </w:p>
    <w:p>
      <w:pPr>
        <w:pStyle w:val="ListParagraph"/>
        <w:numPr>
          <w:ilvl w:val="0"/>
          <w:numId w:val="2"/>
        </w:numPr>
        <w:spacing w:after="60"/>
      </w:pPr>
      <w:r>
        <w:rPr>
          <w:b/>
          <w:bCs/>
        </w:rPr>
        <w:t xml:space="preserve">Grant consultancy disruption. </w:t>
      </w:r>
      <w:r>
        <w:t xml:space="preserve">HK$20–80k flat fees and 10–20% success fees are fat margins. A subscription filler + flat-fee review service undercuts them 5–10x.</w:t>
      </w:r>
    </w:p>
    <w:p>
      <w:pPr>
        <w:pStyle w:val="ListParagraph"/>
        <w:numPr>
          <w:ilvl w:val="0"/>
          <w:numId w:val="2"/>
        </w:numPr>
        <w:spacing w:after="60"/>
      </w:pPr>
      <w:r>
        <w:rPr>
          <w:b/>
          <w:bCs/>
        </w:rPr>
        <w:t xml:space="preserve">CoSec SaaS partnership lane. </w:t>
      </w:r>
      <w:r>
        <w:t xml:space="preserve">Osome, Sleek, Air Corporate all need an AI story in 2026. White-label the filler engine; they own the customer, you own the IP. Platform thesis validates itself.</w:t>
      </w:r>
    </w:p>
    <w:p>
      <w:pPr>
        <w:pStyle w:val="ListParagraph"/>
        <w:numPr>
          <w:ilvl w:val="0"/>
          <w:numId w:val="2"/>
        </w:numPr>
        <w:spacing w:after="60"/>
      </w:pPr>
      <w:r>
        <w:rPr>
          <w:b/>
          <w:bCs/>
        </w:rPr>
        <w:t xml:space="preserve">Professional-firm seat expansion. </w:t>
      </w:r>
      <w:r>
        <w:t xml:space="preserve">Accountants, CoSec agents, immigration consultants are higher-ARPU than SMBs and re-use the same forms weekly. High LTV, clear ROI.</w:t>
      </w:r>
    </w:p>
    <w:p>
      <w:pPr>
        <w:pStyle w:val="ListParagraph"/>
        <w:numPr>
          <w:ilvl w:val="0"/>
          <w:numId w:val="2"/>
        </w:numPr>
        <w:spacing w:after="60"/>
      </w:pPr>
      <w:r>
        <w:rPr>
          <w:b/>
          <w:bCs/>
        </w:rPr>
        <w:t xml:space="preserve">APAC expansion runway. </w:t>
      </w:r>
      <w:r>
        <w:t xml:space="preserve">Your memory says HK is the beachhead, not the ceiling. Singapore (ACRA BizFile+), Taiwan, and Thailand have analogous form regimes. The corpus pattern travels.</w:t>
      </w:r>
    </w:p>
    <w:p>
      <w:pPr>
        <w:pStyle w:val="Heading2"/>
      </w:pPr>
      <w:r>
        <w:t xml:space="preserve">6.4 Threats</w:t>
      </w:r>
    </w:p>
    <w:p>
      <w:pPr>
        <w:pStyle w:val="ListParagraph"/>
        <w:numPr>
          <w:ilvl w:val="0"/>
          <w:numId w:val="2"/>
        </w:numPr>
        <w:spacing w:after="60"/>
      </w:pPr>
      <w:r>
        <w:rPr>
          <w:b/>
          <w:bCs/>
        </w:rPr>
        <w:t xml:space="preserve">Fast-follow by HK CoSec incumbents. </w:t>
      </w:r>
      <w:r>
        <w:t xml:space="preserve">Sleek or Osome bolting on "AI autofill" is an 8-week engineering task. Their distribution advantage would be overwhelming if they moved first.</w:t>
      </w:r>
    </w:p>
    <w:p>
      <w:pPr>
        <w:pStyle w:val="ListParagraph"/>
        <w:numPr>
          <w:ilvl w:val="0"/>
          <w:numId w:val="2"/>
        </w:numPr>
        <w:spacing w:after="60"/>
      </w:pPr>
      <w:r>
        <w:rPr>
          <w:b/>
          <w:bCs/>
        </w:rPr>
        <w:t xml:space="preserve">FormX.ai pivots from extraction to filling. </w:t>
      </w:r>
      <w:r>
        <w:t xml:space="preserve">They have the HK gov relationship, the AI chops, and the enterprise customers. A pivot is plausible.</w:t>
      </w:r>
    </w:p>
    <w:p>
      <w:pPr>
        <w:pStyle w:val="ListParagraph"/>
        <w:numPr>
          <w:ilvl w:val="0"/>
          <w:numId w:val="2"/>
        </w:numPr>
        <w:spacing w:after="60"/>
      </w:pPr>
      <w:r>
        <w:rPr>
          <w:b/>
          <w:bCs/>
        </w:rPr>
        <w:t xml:space="preserve">OpenAI / Anthropic commoditise the platform. </w:t>
      </w:r>
      <w:r>
        <w:t xml:space="preserve">Operator + a well-prompted agent could plausibly fill an NAR1 in 18 months. Your moat has to be the HK corpus and the customer data, not the agent.</w:t>
      </w:r>
    </w:p>
    <w:p>
      <w:pPr>
        <w:pStyle w:val="ListParagraph"/>
        <w:numPr>
          <w:ilvl w:val="0"/>
          <w:numId w:val="2"/>
        </w:numPr>
        <w:spacing w:after="60"/>
      </w:pPr>
      <w:r>
        <w:rPr>
          <w:b/>
          <w:bCs/>
        </w:rPr>
        <w:t xml:space="preserve">HK gov builds its own one-stop filler. </w:t>
      </w:r>
      <w:r>
        <w:t xml:space="preserve">iAM Smart e-ME + CorpID pre-fill is already moving this direction. If they ship a full filler for gov forms, you lose the gov-form category unless you're the partner.</w:t>
      </w:r>
    </w:p>
    <w:p>
      <w:pPr>
        <w:pStyle w:val="ListParagraph"/>
        <w:numPr>
          <w:ilvl w:val="0"/>
          <w:numId w:val="2"/>
        </w:numPr>
        <w:spacing w:after="60"/>
      </w:pPr>
      <w:r>
        <w:rPr>
          <w:b/>
          <w:bCs/>
        </w:rPr>
        <w:t xml:space="preserve">Compliance incident. </w:t>
      </w:r>
      <w:r>
        <w:t xml:space="preserve">One PDPO breach or one wrong-autofill that triggers an HK$50k penalty for a customer is an extinction event for trust. This is the single biggest operational risk.</w:t>
      </w:r>
    </w:p>
    <w:p>
      <w:r>
        <w:br w:type="page"/>
      </w:r>
    </w:p>
    <w:p>
      <w:pPr>
        <w:pStyle w:val="Heading1"/>
      </w:pPr>
      <w:r>
        <w:t xml:space="preserve">7. Strategic Recommendations</w:t>
      </w:r>
    </w:p>
    <w:p>
      <w:pPr>
        <w:pStyle w:val="Heading2"/>
      </w:pPr>
      <w:r>
        <w:t xml:space="preserve">7.1 Positioning (recommended)</w:t>
      </w:r>
    </w:p>
    <w:p>
      <w:pPr>
        <w:spacing w:after="120"/>
      </w:pPr>
      <w:r>
        <w:t xml:space="preserve">Lead with the HK filing platform frame, not the generic "AI filler" frame. The word "filler" commoditises you — it makes you comparable to Instafill. "Filing platform for Hong Kong" makes you comparable to Osome + FormX combined, which is a much better neighborhood.</w:t>
      </w:r>
    </w:p>
    <w:p>
      <w:pPr>
        <w:spacing w:after="120"/>
      </w:pPr>
      <w:r>
        <w:t xml:space="preserve">Keep Thunder as the brand umbrella. The name is good; it evokes power and speed, which is on-message for filing. Inside Thunder:</w:t>
      </w:r>
    </w:p>
    <w:p>
      <w:pPr>
        <w:pStyle w:val="ListParagraph"/>
        <w:numPr>
          <w:ilvl w:val="0"/>
          <w:numId w:val="2"/>
        </w:numPr>
        <w:spacing w:after="60"/>
      </w:pPr>
      <w:r>
        <w:rPr>
          <w:b/>
          <w:bCs/>
        </w:rPr>
        <w:t xml:space="preserve">Thunder Grants</w:t>
      </w:r>
      <w:r>
        <w:t xml:space="preserve"> — the vertical app (current scope, 11 May launch).</w:t>
      </w:r>
    </w:p>
    <w:p>
      <w:pPr>
        <w:pStyle w:val="ListParagraph"/>
        <w:numPr>
          <w:ilvl w:val="0"/>
          <w:numId w:val="2"/>
        </w:numPr>
        <w:spacing w:after="60"/>
      </w:pPr>
      <w:r>
        <w:rPr>
          <w:b/>
          <w:bCs/>
        </w:rPr>
        <w:t xml:space="preserve">Thunder Filings</w:t>
      </w:r>
      <w:r>
        <w:t xml:space="preserve"> — the horizontal product (BR, NAR1, IR56, visa, licensing).</w:t>
      </w:r>
    </w:p>
    <w:p>
      <w:pPr>
        <w:pStyle w:val="ListParagraph"/>
        <w:numPr>
          <w:ilvl w:val="0"/>
          <w:numId w:val="2"/>
        </w:numPr>
        <w:spacing w:after="60"/>
      </w:pPr>
      <w:r>
        <w:rPr>
          <w:b/>
          <w:bCs/>
        </w:rPr>
        <w:t xml:space="preserve">Thunder for Firms</w:t>
      </w:r>
      <w:r>
        <w:t xml:space="preserve"> — the professional/team tier (CoSec agents, accountants, immigration consultants).</w:t>
      </w:r>
    </w:p>
    <w:p>
      <w:pPr>
        <w:pStyle w:val="ListParagraph"/>
        <w:numPr>
          <w:ilvl w:val="0"/>
          <w:numId w:val="2"/>
        </w:numPr>
        <w:spacing w:after="60"/>
      </w:pPr>
      <w:r>
        <w:rPr>
          <w:b/>
          <w:bCs/>
        </w:rPr>
        <w:t xml:space="preserve">Thunder API</w:t>
      </w:r>
      <w:r>
        <w:t xml:space="preserve"> — platform tier for ISVs, banks, CoSec SaaS white-labels.</w:t>
      </w:r>
    </w:p>
    <w:p>
      <w:pPr>
        <w:spacing w:after="120"/>
      </w:pPr>
      <w:r>
        <w:t xml:space="preserve">One brand, four surfaces, one backend. Each surface has its own pricing and its own GTM, but they compound the same applicant profile. This matches your "AI filler as platform, Thunder as vertical app" answer — just with tighter naming.</w:t>
      </w:r>
    </w:p>
    <w:p>
      <w:pPr>
        <w:pStyle w:val="Heading2"/>
      </w:pPr>
      <w:r>
        <w:t xml:space="preserve">7.2 GTM sequencing</w:t>
      </w:r>
    </w:p>
    <w:p>
      <w:pPr>
        <w:pStyle w:val="ListParagraph"/>
        <w:numPr>
          <w:ilvl w:val="0"/>
          <w:numId w:val="3"/>
        </w:numPr>
        <w:spacing w:after="60"/>
      </w:pPr>
      <w:r>
        <w:rPr>
          <w:b/>
          <w:bCs/>
        </w:rPr>
        <w:t xml:space="preserve">Weeks 0–3 (now → 11 May launch): </w:t>
      </w:r>
      <w:r>
        <w:t xml:space="preserve">Thunder Grants / Easy BUD. Free tier, tied to the HKPC Easy BUD launch narrative. Goal is 500 signups and 20 submitted applications. Instrument heavily — the data you capture here becomes the applicant-profile primitive for Thunder Filings.</w:t>
      </w:r>
    </w:p>
    <w:p>
      <w:pPr>
        <w:pStyle w:val="ListParagraph"/>
        <w:numPr>
          <w:ilvl w:val="0"/>
          <w:numId w:val="3"/>
        </w:numPr>
        <w:spacing w:after="60"/>
      </w:pPr>
      <w:r>
        <w:rPr>
          <w:b/>
          <w:bCs/>
        </w:rPr>
        <w:t xml:space="preserve">Weeks 4–8: </w:t>
      </w:r>
      <w:r>
        <w:t xml:space="preserve">Closed alpha of Thunder Filings with NAR1 + BR renewal + IR56B (the three highest-volume, lowest-risk forms). Use Thunder Grants signups as the waitlist. Price the alpha free for Thunder Grants users; HK$99/mo for new users.</w:t>
      </w:r>
    </w:p>
    <w:p>
      <w:pPr>
        <w:pStyle w:val="ListParagraph"/>
        <w:numPr>
          <w:ilvl w:val="0"/>
          <w:numId w:val="3"/>
        </w:numPr>
        <w:spacing w:after="60"/>
      </w:pPr>
      <w:r>
        <w:rPr>
          <w:b/>
          <w:bCs/>
        </w:rPr>
        <w:t xml:space="preserve">Weeks 8–16: </w:t>
      </w:r>
      <w:r>
        <w:t xml:space="preserve">Public launch of Thunder Filings with a pricing ladder (below). Start outreach to 2–3 CoSec SaaS firms (Air Corporate, Statrys, or similar — not Osome/Sleek, who would prefer to build rather than partner) for API pilots.</w:t>
      </w:r>
    </w:p>
    <w:p>
      <w:pPr>
        <w:pStyle w:val="ListParagraph"/>
        <w:numPr>
          <w:ilvl w:val="0"/>
          <w:numId w:val="3"/>
        </w:numPr>
        <w:spacing w:after="60"/>
      </w:pPr>
      <w:r>
        <w:rPr>
          <w:b/>
          <w:bCs/>
        </w:rPr>
        <w:t xml:space="preserve">Weeks 16–24: </w:t>
      </w:r>
      <w:r>
        <w:t xml:space="preserve">Launch Thunder for Firms. Outreach target: 50 HK accounting firms, 20 immigration consultants, 10 grant consultancies who will adopt rather than compete.</w:t>
      </w:r>
    </w:p>
    <w:p>
      <w:pPr>
        <w:pStyle w:val="ListParagraph"/>
        <w:numPr>
          <w:ilvl w:val="0"/>
          <w:numId w:val="3"/>
        </w:numPr>
        <w:spacing w:after="60"/>
      </w:pPr>
      <w:r>
        <w:rPr>
          <w:b/>
          <w:bCs/>
        </w:rPr>
        <w:t xml:space="preserve">Quarter 3 2026 onward: </w:t>
      </w:r>
      <w:r>
        <w:t xml:space="preserve">Expand vertical apps (Thunder Visa, Thunder Tax). Begin Singapore corpus for ACRA/IRAS forms as the first jurisdictional extension — proves the architecture claim.</w:t>
      </w:r>
    </w:p>
    <w:p>
      <w:pPr>
        <w:pStyle w:val="Heading2"/>
      </w:pPr>
      <w:r>
        <w:t xml:space="preserve">7.3 Pricing ladder (initial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610"/>
        <w:gridCol w:w="2610"/>
      </w:tblGrid>
      <w:tr>
        <w:tc>
          <w:tcPr>
            <w:tcW w:type="dxa" w:w="2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Tier</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Price (HKD)</w:t>
            </w:r>
          </w:p>
        </w:tc>
        <w:tc>
          <w:tcPr>
            <w:tcW w:type="dxa" w:w="261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Who it's for</w:t>
            </w:r>
          </w:p>
        </w:tc>
        <w:tc>
          <w:tcPr>
            <w:tcW w:type="dxa" w:w="261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What's included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Free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HK$0</w:t>
            </w:r>
          </w:p>
        </w:tc>
        <w:tc>
          <w:tcPr>
            <w:tcW w:type="dxa" w:w="26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Thunder Grants users, first-time SMBs</w:t>
            </w:r>
          </w:p>
        </w:tc>
        <w:tc>
          <w:tcPr>
            <w:tcW w:type="dxa" w:w="26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1 application, 1 filing per quarter, watermark, community support</w:t>
            </w:r>
          </w:p>
        </w:tc>
      </w:tr>
      <w:tr>
        <w:tc>
          <w:tcPr>
            <w:tcW w:type="dxa" w:w="23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Personal</w:t>
            </w:r>
          </w:p>
        </w:tc>
        <w:tc>
          <w:tcPr>
            <w:tcW w:type="dxa" w:w="1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HK$99 / mo</w:t>
            </w:r>
          </w:p>
        </w:tc>
        <w:tc>
          <w:tcPr>
            <w:tcW w:type="dxa" w:w="261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Founders, solopreneurs, individual filers</w:t>
            </w:r>
          </w:p>
        </w:tc>
        <w:tc>
          <w:tcPr>
            <w:tcW w:type="dxa" w:w="261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Unlimited self-serve filings, BR, NAR1, IR56, Grant drafts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Business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HK$299 / mo</w:t>
            </w:r>
          </w:p>
        </w:tc>
        <w:tc>
          <w:tcPr>
            <w:tcW w:type="dxa" w:w="26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SMBs with 1–10 employees</w:t>
            </w:r>
          </w:p>
        </w:tc>
        <w:tc>
          <w:tcPr>
            <w:tcW w:type="dxa" w:w="26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Everything in Personal + multi-director profiles, priority LLM queue, submission tracking</w:t>
            </w:r>
          </w:p>
        </w:tc>
      </w:tr>
      <w:tr>
        <w:tc>
          <w:tcPr>
            <w:tcW w:type="dxa" w:w="23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Firms (per seat)</w:t>
            </w:r>
          </w:p>
        </w:tc>
        <w:tc>
          <w:tcPr>
            <w:tcW w:type="dxa" w:w="1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HK$500–2,000 / seat / mo</w:t>
            </w:r>
          </w:p>
        </w:tc>
        <w:tc>
          <w:tcPr>
            <w:tcW w:type="dxa" w:w="261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CoSec, accounting, immigration consultants</w:t>
            </w:r>
          </w:p>
        </w:tc>
        <w:tc>
          <w:tcPr>
            <w:tcW w:type="dxa" w:w="261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Multi-client workspaces, audit log, client portals, white-label option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API / Platform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Usage-based (~HK$3–8 / form)</w:t>
            </w:r>
          </w:p>
        </w:tc>
        <w:tc>
          <w:tcPr>
            <w:tcW w:type="dxa" w:w="26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CoSec SaaS, banks, ISVs</w:t>
            </w:r>
          </w:p>
        </w:tc>
        <w:tc>
          <w:tcPr>
            <w:tcW w:type="dxa" w:w="26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Engine access, no UI, SLA, custom corpora</w:t>
            </w:r>
          </w:p>
        </w:tc>
      </w:tr>
      <w:tr>
        <w:tc>
          <w:tcPr>
            <w:tcW w:type="dxa" w:w="234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Thunder Grants (standalone)</w:t>
            </w:r>
          </w:p>
        </w:tc>
        <w:tc>
          <w:tcPr>
            <w:tcW w:type="dxa" w:w="1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Free / success fee optional</w:t>
            </w:r>
          </w:p>
        </w:tc>
        <w:tc>
          <w:tcPr>
            <w:tcW w:type="dxa" w:w="261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Grant applicants</w:t>
            </w:r>
          </w:p>
        </w:tc>
        <w:tc>
          <w:tcPr>
            <w:tcW w:type="dxa" w:w="261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Kept free as top-of-funnel; monetised via cross-sell, not per-application</w:t>
            </w:r>
          </w:p>
        </w:tc>
      </w:tr>
    </w:tbl>
    <w:p>
      <w:pPr>
        <w:spacing w:after="120"/>
      </w:pPr>
      <w:r>
        <w:t xml:space="preserve"/>
      </w:r>
    </w:p>
    <w:p>
      <w:pPr>
        <w:spacing w:after="120"/>
      </w:pPr>
      <w:r>
        <w:t xml:space="preserve">Pricing logic: the Business tier (HK$299/mo) undercuts Osome's Unlimited (HK$3,300/yr ≈ HK$275/mo) while offering something different — AI for any form, not bundled human service for a narrow set. The Firms tier is the expansion engine once you have ~500 SMB users; professional firms will pay 5–10x SMB rates for audit trails, multi-client workspaces, and SLA. The API tier is your platform bet — zero direct CAC, but requires product maturity.</w:t>
      </w:r>
    </w:p>
    <w:p>
      <w:pPr>
        <w:pStyle w:val="Heading2"/>
      </w:pPr>
      <w:r>
        <w:t xml:space="preserve">7.4 Where to compete vs. achieve parity</w:t>
      </w:r>
    </w:p>
    <w:p>
      <w:pPr>
        <w:pStyle w:val="ListParagraph"/>
        <w:numPr>
          <w:ilvl w:val="0"/>
          <w:numId w:val="2"/>
        </w:numPr>
        <w:spacing w:after="60"/>
      </w:pPr>
      <w:r>
        <w:rPr>
          <w:b/>
          <w:bCs/>
        </w:rPr>
        <w:t xml:space="preserve">Compete (differentiate hard): </w:t>
      </w:r>
      <w:r>
        <w:t xml:space="preserve">HK form corpus depth, applicant-profile persistence, grants vertical (Thunder's original moat), cross-jurisdiction architecture claim.</w:t>
      </w:r>
    </w:p>
    <w:p>
      <w:pPr>
        <w:pStyle w:val="ListParagraph"/>
        <w:numPr>
          <w:ilvl w:val="0"/>
          <w:numId w:val="2"/>
        </w:numPr>
        <w:spacing w:after="60"/>
      </w:pPr>
      <w:r>
        <w:rPr>
          <w:b/>
          <w:bCs/>
        </w:rPr>
        <w:t xml:space="preserve">Achieve parity (don't try to lead): </w:t>
      </w:r>
      <w:r>
        <w:t xml:space="preserve">Raw OCR / field detection accuracy (Instafill and FormX are already excellent here; use Anthropic + a reliable OCR stack and move on), general PDF manipulation, Chrome-extension form filling (FillApp owns this shape — don't chase it).</w:t>
      </w:r>
    </w:p>
    <w:p>
      <w:pPr>
        <w:pStyle w:val="ListParagraph"/>
        <w:numPr>
          <w:ilvl w:val="0"/>
          <w:numId w:val="2"/>
        </w:numPr>
        <w:spacing w:after="60"/>
      </w:pPr>
      <w:r>
        <w:rPr>
          <w:b/>
          <w:bCs/>
        </w:rPr>
        <w:t xml:space="preserve">Cede (explicitly): </w:t>
      </w:r>
      <w:r>
        <w:t xml:space="preserve">Enterprise CoSec (Tricor's turf — you will not win HSBC's listed-entity filings in v2), consumer-grade job applications (FillApp / JobWizard — different buyer, different funnel), pure document extraction (FormX — if a customer asks for this, refer them).</w:t>
      </w:r>
    </w:p>
    <w:p>
      <w:r>
        <w:br w:type="page"/>
      </w:r>
    </w:p>
    <w:p>
      <w:pPr>
        <w:pStyle w:val="Heading1"/>
      </w:pPr>
      <w:r>
        <w:t xml:space="preserve">8. Monitoring Plan</w:t>
      </w:r>
    </w:p>
    <w:p>
      <w:pPr>
        <w:spacing w:after="120"/>
      </w:pPr>
      <w:r>
        <w:t xml:space="preserve">Competitive analysis has a shelf life. Refresh these signals monthly until 31 December 2026, then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Signal</w:t>
            </w:r>
          </w:p>
        </w:tc>
        <w:tc>
          <w:tcPr>
            <w:tcW w:type="dxa" w:w="3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What to watch</w:t>
            </w:r>
          </w:p>
        </w:tc>
        <w:tc>
          <w:tcPr>
            <w:tcW w:type="dxa" w:w="3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Trigger action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HK CoSec incumbents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Osome, Sleek, Air Corporate changelogs, press releases, job postings for ML/AI roles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If any of them announces AI autofill, compress Thunder Filings launch; accelerate CoSec-firm partnership outreach</w:t>
            </w:r>
          </w:p>
        </w:tc>
      </w:tr>
      <w:tr>
        <w:tc>
          <w:tcPr>
            <w:tcW w:type="dxa" w:w="2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FormX.ai / Oursky</w:t>
            </w:r>
          </w:p>
        </w:tc>
        <w:tc>
          <w:tcPr>
            <w:tcW w:type="dxa" w:w="348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Product page, blog, LinkedIn — any pivot from extraction to filling</w:t>
            </w:r>
          </w:p>
        </w:tc>
        <w:tc>
          <w:tcPr>
            <w:tcW w:type="dxa" w:w="348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If they pivot, consider partnership talk before they build the filler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iAM Smart + CorpID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Digital Policy Office announcements on e-form prefill, CorpID expansion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Pursue API partnership proactively; don't wait to be invited</w:t>
            </w:r>
          </w:p>
        </w:tc>
      </w:tr>
      <w:tr>
        <w:tc>
          <w:tcPr>
            <w:tcW w:type="dxa" w:w="2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Browser-agent cost curves</w:t>
            </w:r>
          </w:p>
        </w:tc>
        <w:tc>
          <w:tcPr>
            <w:tcW w:type="dxa" w:w="348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OpenAI Operator, Anthropic Computer Use pricing and capability updates</w:t>
            </w:r>
          </w:p>
        </w:tc>
        <w:tc>
          <w:tcPr>
            <w:tcW w:type="dxa" w:w="348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Re-model unit economics every 90 days; expect 50% cost reduction per year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Grant consultancies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Price changes, success-fee renegotiations, new consultancies launching</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If consolidation begins, pitch a partnership-or-acquisition lane to 1–2 of the top firms</w:t>
            </w:r>
          </w:p>
        </w:tc>
      </w:tr>
      <w:tr>
        <w:tc>
          <w:tcPr>
            <w:tcW w:type="dxa" w:w="2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HK regulatory</w:t>
            </w:r>
          </w:p>
        </w:tc>
        <w:tc>
          <w:tcPr>
            <w:tcW w:type="dxa" w:w="348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PDPO guidance on AI, Companies Ordinance amendments, IRD e-filing mandates</w:t>
            </w:r>
          </w:p>
        </w:tc>
        <w:tc>
          <w:tcPr>
            <w:tcW w:type="dxa" w:w="348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tcPr>
          <w:p>
            <w:r>
              <w:rPr>
                <w:b w:val="false"/>
                <w:bCs w:val="false"/>
                <w:color w:val="000000"/>
                <w:sz w:val="20"/>
                <w:szCs w:val="20"/>
              </w:rPr>
              <w:t xml:space="preserve">Adjust compliance posture; use new mandates as marketing hooks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General AI models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ChatGPT / Claude / Gemini HK-specific capability benchmarks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0"/>
                <w:szCs w:val="20"/>
              </w:rPr>
              <w:t xml:space="preserve">If their native HK form accuracy crosses ~85%, your moat is the corpus + data vault, not the model — double down on curation</w:t>
            </w:r>
          </w:p>
        </w:tc>
      </w:tr>
    </w:tbl>
    <w:p>
      <w:r>
        <w:br w:type="page"/>
      </w:r>
    </w:p>
    <w:p>
      <w:pPr>
        <w:pStyle w:val="Heading1"/>
      </w:pPr>
      <w:r>
        <w:t xml:space="preserve">9. Strategic Implications (the "So What")</w:t>
      </w:r>
    </w:p>
    <w:p>
      <w:pPr>
        <w:spacing w:after="120"/>
      </w:pPr>
      <w:r>
        <w:t xml:space="preserve">Pulling it all together, the strategic picture for Thunder + AI Filler in HK looks like this:</w:t>
      </w:r>
    </w:p>
    <w:p>
      <w:pPr>
        <w:spacing w:after="120"/>
      </w:pPr>
      <w:r>
        <w:t xml:space="preserve">1. The opportunity is real and the whitespace is genuine. No one in HK combines horizontal form breadth with deep local corpus. The combination of Thunder's architecture, your 11 May Easy BUD wedge, and the maturing HK gov digital stack gives you a 12–18 month window before it closes.</w:t>
      </w:r>
    </w:p>
    <w:p>
      <w:pPr>
        <w:spacing w:after="120"/>
      </w:pPr>
      <w:r>
        <w:t xml:space="preserve">2. Don't commercialise them as two products. Commercialise as one brand with four surfaces. Thunder Grants (vertical), Thunder Filings (horizontal), Thunder for Firms (professional), Thunder API (platform). Same backend, same applicant profile, four different funnels and pricing tables. This preserves the platform thesis without fragmenting the brand.</w:t>
      </w:r>
    </w:p>
    <w:p>
      <w:pPr>
        <w:spacing w:after="120"/>
      </w:pPr>
      <w:r>
        <w:t xml:space="preserve">3. The moat is not "AI fills forms." That will commoditise in 18 months. The moat is (a) the curated HK form corpus — authored the same way Thunder curates schemes, (b) the applicant-profile vault that compounds with every filing, and (c) the vertical apps stacked on top (starting with Grants) that are expensive for horizontal competitors to replicate. Invest in all three now.</w:t>
      </w:r>
    </w:p>
    <w:p>
      <w:pPr>
        <w:spacing w:after="120"/>
      </w:pPr>
      <w:r>
        <w:t xml:space="preserve">4. Thunder Grants stays free. It's not a revenue product; it's the top-of-funnel wedge for the whole platform. Monetisation runs through Filings, Firms, and API. Trying to monetise Grants directly would blunt its acquisition power and annoy the HKPC / HKSTP partners you'll want.</w:t>
      </w:r>
    </w:p>
    <w:p>
      <w:pPr>
        <w:spacing w:after="120"/>
      </w:pPr>
      <w:r>
        <w:t xml:space="preserve">5. Partner with the CoSec middle (Air Corporate, Statrys, newer digital firms), compete with the incumbent giants (Tricor's turf is not yours), and convert the grant consultancies (white-label or acquire 1–2 within 18 months).</w:t>
      </w:r>
    </w:p>
    <w:p>
      <w:pPr>
        <w:spacing w:after="120"/>
      </w:pPr>
      <w:r>
        <w:t xml:space="preserve">6. Build with APAC in mind from week one. Your project memory explicitly says HK is the beachhead, not the ceiling. Every piece of infrastructure — corpus schema, jurisdiction tag, i18n, compliance framework — should be parameterised by jurisdiction. The cost of building HK-only and retrofitting is enormous; the cost of building HK-first with APAC structure is marginal.</w:t>
      </w:r>
    </w:p>
    <w:p>
      <w:pPr>
        <w:spacing w:after="120"/>
      </w:pPr>
      <w:r>
        <w:t xml:space="preserve">7. Biggest immediate decision: do you hire a form-corpus curator (HK CoSec/tax background, non-engineer) in the next 60 days? The architecture says schemes-and-forms-as-data. Data needs a curator. Without one, you are the curator, and that is a distraction from the engineering work Thunder v1 still needs.</w:t>
      </w:r>
    </w:p>
    <w:p>
      <w:r>
        <w:br w:type="page"/>
      </w:r>
    </w:p>
    <w:p>
      <w:pPr>
        <w:pStyle w:val="Heading1"/>
      </w:pPr>
      <w:r>
        <w:t xml:space="preserve">Appendix A — Sources</w:t>
      </w:r>
    </w:p>
    <w:p>
      <w:pPr>
        <w:spacing w:after="120"/>
      </w:pPr>
      <w:r>
        <w:t xml:space="preserve">Primary web sources consulted for this brief (all accessed 22 April 2026):</w:t>
      </w:r>
    </w:p>
    <w:p>
      <w:pPr>
        <w:pStyle w:val="ListParagraph"/>
        <w:numPr>
          <w:ilvl w:val="0"/>
          <w:numId w:val="2"/>
        </w:numPr>
        <w:spacing w:after="60"/>
      </w:pPr>
      <w:hyperlink w:history="1" r:id="rIdoqtwznucomxcs89-axeyp">
        <w:r>
          <w:rPr>
            <w:color w:val="1F3A5F"/>
            <w:u w:val="single"/>
          </w:rPr>
          <w:t xml:space="preserve">Companies Registry — Annual Return compliance guidance</w:t>
        </w:r>
      </w:hyperlink>
    </w:p>
    <w:p>
      <w:pPr>
        <w:pStyle w:val="ListParagraph"/>
        <w:numPr>
          <w:ilvl w:val="0"/>
          <w:numId w:val="2"/>
        </w:numPr>
        <w:spacing w:after="60"/>
      </w:pPr>
      <w:hyperlink w:history="1" r:id="rIdx14gv4momopjo11hlu6um">
        <w:r>
          <w:rPr>
            <w:color w:val="1F3A5F"/>
            <w:u w:val="single"/>
          </w:rPr>
          <w:t xml:space="preserve">IRD — Employers (IR56 forms + eTAX)</w:t>
        </w:r>
      </w:hyperlink>
    </w:p>
    <w:p>
      <w:pPr>
        <w:pStyle w:val="ListParagraph"/>
        <w:numPr>
          <w:ilvl w:val="0"/>
          <w:numId w:val="2"/>
        </w:numPr>
        <w:spacing w:after="60"/>
      </w:pPr>
      <w:hyperlink w:history="1" r:id="rIdvqhs-ou0my9u4yf76-yyx">
        <w:r>
          <w:rPr>
            <w:color w:val="1F3A5F"/>
            <w:u w:val="single"/>
          </w:rPr>
          <w:t xml:space="preserve">Trade &amp; Industry Department — BUD Fund</w:t>
        </w:r>
      </w:hyperlink>
    </w:p>
    <w:p>
      <w:pPr>
        <w:pStyle w:val="ListParagraph"/>
        <w:numPr>
          <w:ilvl w:val="0"/>
          <w:numId w:val="2"/>
        </w:numPr>
        <w:spacing w:after="60"/>
      </w:pPr>
      <w:hyperlink w:history="1" r:id="rIde0bxyjkeuslwem7jbyfkj">
        <w:r>
          <w:rPr>
            <w:color w:val="1F3A5F"/>
            <w:u w:val="single"/>
          </w:rPr>
          <w:t xml:space="preserve">iAM Smart — Digital Policy Office</w:t>
        </w:r>
      </w:hyperlink>
    </w:p>
    <w:p>
      <w:pPr>
        <w:pStyle w:val="ListParagraph"/>
        <w:numPr>
          <w:ilvl w:val="0"/>
          <w:numId w:val="2"/>
        </w:numPr>
        <w:spacing w:after="60"/>
      </w:pPr>
      <w:hyperlink w:history="1" r:id="rIdz0wiwpk9mt1ulx38h0mo8">
        <w:r>
          <w:rPr>
            <w:color w:val="1F3A5F"/>
            <w:u w:val="single"/>
          </w:rPr>
          <w:t xml:space="preserve">FormX.ai (Oursky) — product &amp; pricing</w:t>
        </w:r>
      </w:hyperlink>
    </w:p>
    <w:p>
      <w:pPr>
        <w:pStyle w:val="ListParagraph"/>
        <w:numPr>
          <w:ilvl w:val="0"/>
          <w:numId w:val="2"/>
        </w:numPr>
        <w:spacing w:after="60"/>
      </w:pPr>
      <w:hyperlink w:history="1" r:id="rIdjh72-yrll15ynge-uvbc9">
        <w:r>
          <w:rPr>
            <w:color w:val="1F3A5F"/>
            <w:u w:val="single"/>
          </w:rPr>
          <w:t xml:space="preserve">Osome HK — corporate services + pricing</w:t>
        </w:r>
      </w:hyperlink>
    </w:p>
    <w:p>
      <w:pPr>
        <w:pStyle w:val="ListParagraph"/>
        <w:numPr>
          <w:ilvl w:val="0"/>
          <w:numId w:val="2"/>
        </w:numPr>
        <w:spacing w:after="60"/>
      </w:pPr>
      <w:hyperlink w:history="1" r:id="rIdvkdbwwu1kl32ew9o931ru">
        <w:r>
          <w:rPr>
            <w:color w:val="1F3A5F"/>
            <w:u w:val="single"/>
          </w:rPr>
          <w:t xml:space="preserve">Sleek HK — service comparison</w:t>
        </w:r>
      </w:hyperlink>
    </w:p>
    <w:p>
      <w:pPr>
        <w:pStyle w:val="ListParagraph"/>
        <w:numPr>
          <w:ilvl w:val="0"/>
          <w:numId w:val="2"/>
        </w:numPr>
        <w:spacing w:after="60"/>
      </w:pPr>
      <w:hyperlink w:history="1" r:id="rIdxj27xhaxsm-wpieth-6iy">
        <w:r>
          <w:rPr>
            <w:color w:val="1F3A5F"/>
            <w:u w:val="single"/>
          </w:rPr>
          <w:t xml:space="preserve">Instafill.ai — AI form filler</w:t>
        </w:r>
      </w:hyperlink>
    </w:p>
    <w:p>
      <w:pPr>
        <w:pStyle w:val="ListParagraph"/>
        <w:numPr>
          <w:ilvl w:val="0"/>
          <w:numId w:val="2"/>
        </w:numPr>
        <w:spacing w:after="60"/>
      </w:pPr>
      <w:hyperlink w:history="1" r:id="rIdbwugkvqvwslxatgou1pyq">
        <w:r>
          <w:rPr>
            <w:color w:val="1F3A5F"/>
            <w:u w:val="single"/>
          </w:rPr>
          <w:t xml:space="preserve">FillApp — Chrome-extension filler</w:t>
        </w:r>
      </w:hyperlink>
    </w:p>
    <w:p>
      <w:pPr>
        <w:pStyle w:val="ListParagraph"/>
        <w:numPr>
          <w:ilvl w:val="0"/>
          <w:numId w:val="2"/>
        </w:numPr>
        <w:spacing w:after="60"/>
      </w:pPr>
      <w:hyperlink w:history="1" r:id="rIdopbzrkqzrhcwk81a_h6gi">
        <w:r>
          <w:rPr>
            <w:color w:val="1F3A5F"/>
            <w:u w:val="single"/>
          </w:rPr>
          <w:t xml:space="preserve">OpenAI — Introducing Operator</w:t>
        </w:r>
      </w:hyperlink>
    </w:p>
    <w:p>
      <w:pPr>
        <w:pStyle w:val="ListParagraph"/>
        <w:numPr>
          <w:ilvl w:val="0"/>
          <w:numId w:val="2"/>
        </w:numPr>
        <w:spacing w:after="60"/>
      </w:pPr>
      <w:hyperlink w:history="1" r:id="rIdymbssismgh9ibphl4-slb">
        <w:r>
          <w:rPr>
            <w:color w:val="1F3A5F"/>
            <w:u w:val="single"/>
          </w:rPr>
          <w:t xml:space="preserve">Anthropic Computer Use — CNBC coverage</w:t>
        </w:r>
      </w:hyperlink>
    </w:p>
    <w:p>
      <w:pPr>
        <w:pStyle w:val="Heading1"/>
      </w:pPr>
      <w:r>
        <w:t xml:space="preserve">Appendix B — Key assumptions &amp; caveats</w:t>
      </w:r>
    </w:p>
    <w:p>
      <w:pPr>
        <w:pStyle w:val="ListParagraph"/>
        <w:numPr>
          <w:ilvl w:val="0"/>
          <w:numId w:val="2"/>
        </w:numPr>
        <w:spacing w:after="60"/>
      </w:pPr>
      <w:r>
        <w:t xml:space="preserve">Pricing figures for competitors sourced from public pricing pages on 22 April 2026; enterprise custom pricing not captured.</w:t>
      </w:r>
    </w:p>
    <w:p>
      <w:pPr>
        <w:pStyle w:val="ListParagraph"/>
        <w:numPr>
          <w:ilvl w:val="0"/>
          <w:numId w:val="2"/>
        </w:numPr>
        <w:spacing w:after="60"/>
      </w:pPr>
      <w:r>
        <w:t xml:space="preserve">HK form volume figures are directional (from IRD / Companies Registry public statements); exact SME counts not always segmented publicly.</w:t>
      </w:r>
    </w:p>
    <w:p>
      <w:pPr>
        <w:pStyle w:val="ListParagraph"/>
        <w:numPr>
          <w:ilvl w:val="0"/>
          <w:numId w:val="2"/>
        </w:numPr>
        <w:spacing w:after="60"/>
      </w:pPr>
      <w:r>
        <w:t xml:space="preserve">Competitor ratings are evidence-based but subjective — validate with a small set of target-customer interviews before finalising GTM.</w:t>
      </w:r>
    </w:p>
    <w:p>
      <w:pPr>
        <w:pStyle w:val="ListParagraph"/>
        <w:numPr>
          <w:ilvl w:val="0"/>
          <w:numId w:val="2"/>
        </w:numPr>
        <w:spacing w:after="60"/>
      </w:pPr>
      <w:r>
        <w:t xml:space="preserve">No win/loss data yet — Thunder is pre-launch. Build win/loss interview discipline into the 11 May launch cohort; refresh this brief after ~50 applications submitted.</w:t>
      </w:r>
    </w:p>
    <w:p>
      <w:pPr>
        <w:pStyle w:val="ListParagraph"/>
        <w:numPr>
          <w:ilvl w:val="0"/>
          <w:numId w:val="2"/>
        </w:numPr>
        <w:spacing w:after="60"/>
      </w:pPr>
      <w:r>
        <w:t xml:space="preserve">This brief is positioning-and-GTM focused per your selection. It deliberately does not deep-dive TAM sizing, investor pitch framing, or full product scope. Ask if you want any of those as follow-ups.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qtwznucomxcs89-axeyp" Type="http://schemas.openxmlformats.org/officeDocument/2006/relationships/hyperlink" Target="https://www.cr.gov.hk/en/compliance/annual-return/private-company.htm" TargetMode="External"/><Relationship Id="rIdx14gv4momopjo11hlu6um" Type="http://schemas.openxmlformats.org/officeDocument/2006/relationships/hyperlink" Target="https://www.ird.gov.hk/eng/tax/ere.htm" TargetMode="External"/><Relationship Id="rIdvqhs-ou0my9u4yf76-yyx" Type="http://schemas.openxmlformats.org/officeDocument/2006/relationships/hyperlink" Target="https://www.tid.gov.hk/en/our_work/support_for_trade_industry/bud.html" TargetMode="External"/><Relationship Id="rIde0bxyjkeuslwem7jbyfkj" Type="http://schemas.openxmlformats.org/officeDocument/2006/relationships/hyperlink" Target="https://www.digitalpolicy.gov.hk/en/our_work/data_governance/common_data_platforms/iam_smart/" TargetMode="External"/><Relationship Id="rIdz0wiwpk9mt1ulx38h0mo8" Type="http://schemas.openxmlformats.org/officeDocument/2006/relationships/hyperlink" Target="https://www.formx.ai/" TargetMode="External"/><Relationship Id="rIdjh72-yrll15ynge-uvbc9" Type="http://schemas.openxmlformats.org/officeDocument/2006/relationships/hyperlink" Target="https://osome.com/hk/company-secretary/" TargetMode="External"/><Relationship Id="rIdvkdbwwu1kl32ew9o931ru" Type="http://schemas.openxmlformats.org/officeDocument/2006/relationships/hyperlink" Target="https://sleek.com/hk/resources/sleek-vs-osome/" TargetMode="External"/><Relationship Id="rIdxj27xhaxsm-wpieth-6iy" Type="http://schemas.openxmlformats.org/officeDocument/2006/relationships/hyperlink" Target="https://instafill.ai/" TargetMode="External"/><Relationship Id="rIdbwugkvqvwslxatgou1pyq" Type="http://schemas.openxmlformats.org/officeDocument/2006/relationships/hyperlink" Target="https://fillapp.ai/" TargetMode="External"/><Relationship Id="rIdopbzrkqzrhcwk81a_h6gi" Type="http://schemas.openxmlformats.org/officeDocument/2006/relationships/hyperlink" Target="https://openai.com/index/introducing-operator/" TargetMode="External"/><Relationship Id="rIdymbssismgh9ibphl4-slb" Type="http://schemas.openxmlformats.org/officeDocument/2006/relationships/hyperlink" Target="https://www.cnbc.com/2026/03/24/anthropic-claude-ai-agent-use-computer-finish-task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Thunder + AI Filler Competitive Brief</dc:title>
  <dc:creator>Claude</dc:creator>
  <dc:description>Positioning &amp; GTM analysis for Thunder and the AI filler platform, HK beachhead</dc:description>
  <cp:lastModifiedBy>Un-named</cp:lastModifiedBy>
  <cp:revision>1</cp:revision>
  <dcterms:created xsi:type="dcterms:W3CDTF">2026-04-22T12:30:15.746Z</dcterms:created>
  <dcterms:modified xsi:type="dcterms:W3CDTF">2026-04-22T12:30:15.746Z</dcterms:modified>
</cp:coreProperties>
</file>

<file path=docProps/custom.xml><?xml version="1.0" encoding="utf-8"?>
<Properties xmlns="http://schemas.openxmlformats.org/officeDocument/2006/custom-properties" xmlns:vt="http://schemas.openxmlformats.org/officeDocument/2006/docPropsVTypes"/>
</file>