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46A" w:rsidRDefault="00D02D7D">
      <w:pPr>
        <w:pStyle w:val="Heading1"/>
      </w:pPr>
      <w:bookmarkStart w:id="0" w:name="header-n0"/>
      <w:r>
        <w:t>Introduction</w:t>
      </w:r>
    </w:p>
    <w:p w:rsidR="001E546A" w:rsidRDefault="00D02D7D" w:rsidP="004B1CD8">
      <w:pPr>
        <w:pStyle w:val="FirstParagraph"/>
        <w:jc w:val="both"/>
      </w:pPr>
      <w:r>
        <w:t>The study is designed to investigate the correlation of marital satisfaction to the degree of parental challenges parents of children aged 7-16 years old in Singapore. Based on literature review, marital satisfaction was an important predictor of</w:t>
      </w:r>
      <w:r>
        <w:br/>
        <w:t>parenting</w:t>
      </w:r>
      <w:r>
        <w:t xml:space="preserve"> experiences. A research done with parents of adolescents and adults with autism shows that parents in the general population who are in well-functioning marital relationships report less parenting burden or stress than otherwise. Research shows that it al</w:t>
      </w:r>
      <w:r>
        <w:t xml:space="preserve">so affects quality of parent-child relationships, parents with less than average marital satisfaction experiencing more burden than those with above average satisfaction (Hartley, Barker, Seltzer &amp; Greenberg, 2012). </w:t>
      </w:r>
    </w:p>
    <w:p w:rsidR="001E546A" w:rsidRDefault="00D02D7D" w:rsidP="004B1CD8">
      <w:pPr>
        <w:pStyle w:val="BodyText"/>
        <w:jc w:val="both"/>
      </w:pPr>
      <w:r>
        <w:t>Children of distressed couples often ha</w:t>
      </w:r>
      <w:r>
        <w:t>ve poorer school performance, more behavioural problems, greater chances of having physical illness and on the more extreme end, higher rate of emotional problems and lower level of well-being. In a longitudinal study (Linville, Chornister, Dishion, Todahl</w:t>
      </w:r>
      <w:r>
        <w:t>, Miller, Shaw, Gardner, &amp; Wilson, 2010), it shows that couple satisfaction, parenting practices and parental depression were significantly interrelated, which predicts child behavioural problems over time. Although parent depression and parenting practice</w:t>
      </w:r>
      <w:r>
        <w:t xml:space="preserve">s were associated to problem behaviours, but only couple satisfaction predicted later child problem behaviour. </w:t>
      </w:r>
    </w:p>
    <w:p w:rsidR="001E546A" w:rsidRDefault="00D02D7D" w:rsidP="004B1CD8">
      <w:pPr>
        <w:pStyle w:val="Heading1"/>
        <w:jc w:val="both"/>
      </w:pPr>
      <w:bookmarkStart w:id="1" w:name="header-n20"/>
      <w:bookmarkEnd w:id="0"/>
      <w:r>
        <w:t>Design</w:t>
      </w:r>
    </w:p>
    <w:p w:rsidR="001E546A" w:rsidRDefault="00D02D7D" w:rsidP="004B1CD8">
      <w:pPr>
        <w:pStyle w:val="FirstParagraph"/>
        <w:jc w:val="both"/>
      </w:pPr>
      <w:r>
        <w:t>This study obtained information on parental issues faced and relationship quality of SDQ parents with their spouses. Data was collected o</w:t>
      </w:r>
      <w:r>
        <w:t xml:space="preserve">ver 3 months. The initial sample size was targeted to be </w:t>
      </w:r>
      <w:r>
        <w:rPr>
          <w:b/>
        </w:rPr>
        <w:t>156</w:t>
      </w:r>
      <w:r>
        <w:t xml:space="preserve"> parents. However, as a result of survey limitations, only 24 parents were included in the final survey. Data was collected separately with regards to parent's marital satisfaction and SDQ score.</w:t>
      </w:r>
    </w:p>
    <w:p w:rsidR="001E546A" w:rsidRDefault="00D02D7D" w:rsidP="004B1CD8">
      <w:pPr>
        <w:pStyle w:val="BodyText"/>
        <w:jc w:val="both"/>
      </w:pPr>
      <w:r>
        <w:t>R Version 4.0.2 was used for the statistical analysis.</w:t>
      </w:r>
    </w:p>
    <w:p w:rsidR="001E546A" w:rsidRDefault="00D02D7D" w:rsidP="004B1CD8">
      <w:pPr>
        <w:pStyle w:val="Heading1"/>
        <w:jc w:val="both"/>
      </w:pPr>
      <w:bookmarkStart w:id="2" w:name="header-n29"/>
      <w:bookmarkEnd w:id="1"/>
      <w:r>
        <w:t>Results</w:t>
      </w:r>
    </w:p>
    <w:p w:rsidR="001E546A" w:rsidRDefault="00D02D7D" w:rsidP="004B1CD8">
      <w:pPr>
        <w:pStyle w:val="FirstParagraph"/>
        <w:jc w:val="both"/>
      </w:pPr>
      <w:r>
        <w:t>An initial linear regression was performed, with the SDQ score as the response variable. All the elements of marital satisfaction as collected in the survey (e.g. frequency of arguments with sp</w:t>
      </w:r>
      <w:r>
        <w:t xml:space="preserve">ouse, stability of marriage, overall happiness etc.) were set as explanatory variables. The results of the linear regression model is shown below. </w:t>
      </w:r>
    </w:p>
    <w:p w:rsidR="00AC2ED4" w:rsidRDefault="00AC2ED4" w:rsidP="00AC2ED4">
      <w:pPr>
        <w:pStyle w:val="BodyText"/>
      </w:pPr>
    </w:p>
    <w:p w:rsidR="00AC2ED4" w:rsidRDefault="00AC2ED4" w:rsidP="00AC2ED4">
      <w:pPr>
        <w:pStyle w:val="BodyText"/>
      </w:pPr>
    </w:p>
    <w:p w:rsidR="00AC2ED4" w:rsidRPr="00AC2ED4" w:rsidRDefault="00AC2ED4" w:rsidP="00AC2ED4">
      <w:pPr>
        <w:pStyle w:val="BodyText"/>
      </w:pPr>
    </w:p>
    <w:p w:rsidR="001E546A" w:rsidRDefault="00AC2ED4">
      <w:pPr>
        <w:pStyle w:val="SourceCode"/>
      </w:pPr>
      <w:r>
        <w:rPr>
          <w:noProof/>
          <w:lang w:val="en-SG" w:eastAsia="zh-CN"/>
        </w:rPr>
        <w:lastRenderedPageBreak/>
        <w:drawing>
          <wp:anchor distT="0" distB="0" distL="114300" distR="114300" simplePos="0" relativeHeight="251667456" behindDoc="0" locked="0" layoutInCell="1" allowOverlap="1" wp14:anchorId="316DE667" wp14:editId="602CCC2A">
            <wp:simplePos x="0" y="0"/>
            <wp:positionH relativeFrom="margin">
              <wp:posOffset>2330450</wp:posOffset>
            </wp:positionH>
            <wp:positionV relativeFrom="margin">
              <wp:posOffset>3594101</wp:posOffset>
            </wp:positionV>
            <wp:extent cx="1287780" cy="4679315"/>
            <wp:effectExtent l="1695450" t="0" r="1684020" b="0"/>
            <wp:wrapNone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8678549/104799302-01053300-5809-11eb-86da-331e876060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87780" cy="4679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02D7D">
        <w:rPr>
          <w:rStyle w:val="KeywordTok"/>
        </w:rPr>
        <w:t>lm</w:t>
      </w:r>
      <w:r w:rsidR="00D02D7D">
        <w:rPr>
          <w:rStyle w:val="NormalTok"/>
        </w:rPr>
        <w:t>(</w:t>
      </w:r>
      <w:r w:rsidR="00D02D7D">
        <w:rPr>
          <w:rStyle w:val="DataTypeTok"/>
        </w:rPr>
        <w:t>formula =</w:t>
      </w:r>
      <w:r w:rsidR="00D02D7D">
        <w:rPr>
          <w:rStyle w:val="NormalTok"/>
        </w:rPr>
        <w:t xml:space="preserve"> Total </w:t>
      </w:r>
      <w:r w:rsidR="00D02D7D">
        <w:rPr>
          <w:rStyle w:val="OperatorTok"/>
        </w:rPr>
        <w:t>~</w:t>
      </w:r>
      <w:r w:rsidR="00D02D7D">
        <w:rPr>
          <w:rStyle w:val="StringTok"/>
        </w:rPr>
        <w:t xml:space="preserve"> </w:t>
      </w:r>
      <w:r w:rsidR="00D02D7D">
        <w:rPr>
          <w:rStyle w:val="NormalTok"/>
        </w:rPr>
        <w:t xml:space="preserve">., </w:t>
      </w:r>
      <w:r w:rsidR="00D02D7D">
        <w:rPr>
          <w:rStyle w:val="DataTypeTok"/>
        </w:rPr>
        <w:t>data =</w:t>
      </w:r>
      <w:r w:rsidR="00D02D7D">
        <w:rPr>
          <w:rStyle w:val="NormalTok"/>
        </w:rPr>
        <w:t xml:space="preserve"> survey) </w:t>
      </w:r>
      <w:r w:rsidR="00D02D7D">
        <w:br/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>Residuals</w:t>
      </w:r>
      <w:r w:rsidR="00D02D7D">
        <w:rPr>
          <w:rStyle w:val="OperatorTok"/>
        </w:rPr>
        <w:t>:</w:t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 xml:space="preserve">    Min      1Q  Median      3Q     Max  </w:t>
      </w:r>
      <w:r w:rsidR="00D02D7D">
        <w:br/>
      </w:r>
      <w:r w:rsidR="00D02D7D">
        <w:rPr>
          <w:rStyle w:val="FloatTok"/>
        </w:rPr>
        <w:t>-3.4330</w:t>
      </w:r>
      <w:r w:rsidR="00D02D7D">
        <w:rPr>
          <w:rStyle w:val="NormalTok"/>
        </w:rPr>
        <w:t xml:space="preserve"> </w:t>
      </w:r>
      <w:r w:rsidR="00D02D7D">
        <w:rPr>
          <w:rStyle w:val="FloatTok"/>
        </w:rPr>
        <w:t>-1.0</w:t>
      </w:r>
      <w:r w:rsidR="00D02D7D">
        <w:rPr>
          <w:rStyle w:val="FloatTok"/>
        </w:rPr>
        <w:t>772</w:t>
      </w:r>
      <w:r w:rsidR="00D02D7D">
        <w:rPr>
          <w:rStyle w:val="NormalTok"/>
        </w:rPr>
        <w:t xml:space="preserve"> </w:t>
      </w:r>
      <w:r w:rsidR="00D02D7D">
        <w:rPr>
          <w:rStyle w:val="FloatTok"/>
        </w:rPr>
        <w:t>-0.2089</w:t>
      </w:r>
      <w:r w:rsidR="00D02D7D">
        <w:rPr>
          <w:rStyle w:val="NormalTok"/>
        </w:rPr>
        <w:t xml:space="preserve">  </w:t>
      </w:r>
      <w:r w:rsidR="00D02D7D">
        <w:rPr>
          <w:rStyle w:val="FloatTok"/>
        </w:rPr>
        <w:t>0.9223</w:t>
      </w:r>
      <w:r w:rsidR="00D02D7D">
        <w:rPr>
          <w:rStyle w:val="NormalTok"/>
        </w:rPr>
        <w:t xml:space="preserve">  </w:t>
      </w:r>
      <w:r w:rsidR="00D02D7D">
        <w:rPr>
          <w:rStyle w:val="FloatTok"/>
        </w:rPr>
        <w:t>3.5670</w:t>
      </w:r>
      <w:r w:rsidR="00D02D7D">
        <w:rPr>
          <w:rStyle w:val="NormalTok"/>
        </w:rPr>
        <w:t xml:space="preserve">  </w:t>
      </w:r>
      <w:r w:rsidR="00D02D7D">
        <w:br/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>Coefficients</w:t>
      </w:r>
      <w:r w:rsidR="00D02D7D">
        <w:rPr>
          <w:rStyle w:val="OperatorTok"/>
        </w:rPr>
        <w:t>:</w:t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 xml:space="preserve">               Estimate Std. Error t value </w:t>
      </w:r>
      <w:r w:rsidR="00D02D7D">
        <w:rPr>
          <w:rStyle w:val="KeywordTok"/>
        </w:rPr>
        <w:t>Pr</w:t>
      </w:r>
      <w:r w:rsidR="00D02D7D">
        <w:rPr>
          <w:rStyle w:val="NormalTok"/>
        </w:rPr>
        <w:t>(</w:t>
      </w:r>
      <w:r w:rsidR="00D02D7D">
        <w:rPr>
          <w:rStyle w:val="OperatorTok"/>
        </w:rPr>
        <w:t>&gt;</w:t>
      </w:r>
      <w:r w:rsidR="00D02D7D">
        <w:rPr>
          <w:rStyle w:val="ErrorTok"/>
        </w:rPr>
        <w:t>|</w:t>
      </w:r>
      <w:r w:rsidR="00D02D7D">
        <w:rPr>
          <w:rStyle w:val="NormalTok"/>
        </w:rPr>
        <w:t>t</w:t>
      </w:r>
      <w:r w:rsidR="00D02D7D">
        <w:rPr>
          <w:rStyle w:val="OperatorTok"/>
        </w:rPr>
        <w:t>|</w:t>
      </w:r>
      <w:r w:rsidR="00D02D7D">
        <w:rPr>
          <w:rStyle w:val="NormalTok"/>
        </w:rPr>
        <w:t xml:space="preserve">)    </w:t>
      </w:r>
      <w:r w:rsidR="00D02D7D">
        <w:br/>
      </w:r>
      <w:r w:rsidR="00D02D7D">
        <w:rPr>
          <w:rStyle w:val="NormalTok"/>
        </w:rPr>
        <w:t xml:space="preserve">(Intercept)    </w:t>
      </w:r>
      <w:r w:rsidR="00D02D7D">
        <w:rPr>
          <w:rStyle w:val="FloatTok"/>
        </w:rPr>
        <w:t>14.24258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4.36792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3.261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0.0062</w:t>
      </w:r>
      <w:r w:rsidR="00D02D7D">
        <w:rPr>
          <w:rStyle w:val="NormalTok"/>
        </w:rPr>
        <w:t xml:space="preserve"> </w:t>
      </w:r>
      <w:r w:rsidR="00D02D7D">
        <w:rPr>
          <w:rStyle w:val="OperatorTok"/>
        </w:rPr>
        <w:t>**</w:t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 xml:space="preserve">commitment      </w:t>
      </w:r>
      <w:r w:rsidR="00D02D7D">
        <w:rPr>
          <w:rStyle w:val="FloatTok"/>
        </w:rPr>
        <w:t>2.16818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1.09246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1.985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0.0687</w:t>
      </w:r>
      <w:r w:rsidR="00D02D7D">
        <w:rPr>
          <w:rStyle w:val="NormalTok"/>
        </w:rPr>
        <w:t xml:space="preserve"> .  </w:t>
      </w:r>
      <w:r w:rsidR="00D02D7D">
        <w:br/>
      </w:r>
      <w:r w:rsidR="00D02D7D">
        <w:rPr>
          <w:rStyle w:val="NormalTok"/>
        </w:rPr>
        <w:t xml:space="preserve">spousal_commit </w:t>
      </w:r>
      <w:r w:rsidR="00D02D7D">
        <w:rPr>
          <w:rStyle w:val="FloatTok"/>
        </w:rPr>
        <w:t>-1.04049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0.91504</w:t>
      </w:r>
      <w:r w:rsidR="00D02D7D">
        <w:rPr>
          <w:rStyle w:val="NormalTok"/>
        </w:rPr>
        <w:t xml:space="preserve">  </w:t>
      </w:r>
      <w:r w:rsidR="00D02D7D">
        <w:rPr>
          <w:rStyle w:val="FloatTok"/>
        </w:rPr>
        <w:t>-1.13</w:t>
      </w:r>
      <w:r w:rsidR="00D02D7D">
        <w:rPr>
          <w:rStyle w:val="FloatTok"/>
        </w:rPr>
        <w:t>7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0.2760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stable          </w:t>
      </w:r>
      <w:r w:rsidR="00D02D7D">
        <w:rPr>
          <w:rStyle w:val="FloatTok"/>
        </w:rPr>
        <w:t>1.43601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1.33353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1.077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0.3011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strong         </w:t>
      </w:r>
      <w:r w:rsidR="00D02D7D">
        <w:rPr>
          <w:rStyle w:val="FloatTok"/>
        </w:rPr>
        <w:t>-2.76143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1.47466</w:t>
      </w:r>
      <w:r w:rsidR="00D02D7D">
        <w:rPr>
          <w:rStyle w:val="NormalTok"/>
        </w:rPr>
        <w:t xml:space="preserve">  </w:t>
      </w:r>
      <w:r w:rsidR="00D02D7D">
        <w:rPr>
          <w:rStyle w:val="FloatTok"/>
        </w:rPr>
        <w:t>-1.873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0.0838</w:t>
      </w:r>
      <w:r w:rsidR="00D02D7D">
        <w:rPr>
          <w:rStyle w:val="NormalTok"/>
        </w:rPr>
        <w:t xml:space="preserve"> .  </w:t>
      </w:r>
      <w:r w:rsidR="00D02D7D">
        <w:br/>
      </w:r>
      <w:r w:rsidR="00D02D7D">
        <w:rPr>
          <w:rStyle w:val="NormalTok"/>
        </w:rPr>
        <w:t xml:space="preserve">happy          </w:t>
      </w:r>
      <w:r w:rsidR="00D02D7D">
        <w:rPr>
          <w:rStyle w:val="FloatTok"/>
        </w:rPr>
        <w:t>-0.13228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1.55774</w:t>
      </w:r>
      <w:r w:rsidR="00D02D7D">
        <w:rPr>
          <w:rStyle w:val="NormalTok"/>
        </w:rPr>
        <w:t xml:space="preserve">  </w:t>
      </w:r>
      <w:r w:rsidR="00D02D7D">
        <w:rPr>
          <w:rStyle w:val="FloatTok"/>
        </w:rPr>
        <w:t>-0.085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0.9336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team            </w:t>
      </w:r>
      <w:r w:rsidR="00D02D7D">
        <w:rPr>
          <w:rStyle w:val="FloatTok"/>
        </w:rPr>
        <w:t>0.10950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1.06150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0.103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0.9194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overall_hap     </w:t>
      </w:r>
      <w:r w:rsidR="00D02D7D">
        <w:rPr>
          <w:rStyle w:val="FloatTok"/>
        </w:rPr>
        <w:t>0.08357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0.83691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0.100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0.9220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argue           </w:t>
      </w:r>
      <w:r w:rsidR="00D02D7D">
        <w:rPr>
          <w:rStyle w:val="FloatTok"/>
        </w:rPr>
        <w:t>0.76391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0.94993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0.804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0.4358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NormalTok"/>
        </w:rPr>
        <w:t xml:space="preserve">parent_stress   </w:t>
      </w:r>
      <w:r w:rsidR="00D02D7D">
        <w:rPr>
          <w:rStyle w:val="FloatTok"/>
        </w:rPr>
        <w:t>0.24674</w:t>
      </w:r>
      <w:r w:rsidR="00D02D7D">
        <w:rPr>
          <w:rStyle w:val="NormalTok"/>
        </w:rPr>
        <w:t xml:space="preserve">    </w:t>
      </w:r>
      <w:r w:rsidR="00D02D7D">
        <w:rPr>
          <w:rStyle w:val="FloatTok"/>
        </w:rPr>
        <w:t>0.73125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0.337</w:t>
      </w:r>
      <w:r w:rsidR="00D02D7D">
        <w:rPr>
          <w:rStyle w:val="NormalTok"/>
        </w:rPr>
        <w:t xml:space="preserve">   </w:t>
      </w:r>
      <w:r w:rsidR="00D02D7D">
        <w:rPr>
          <w:rStyle w:val="FloatTok"/>
        </w:rPr>
        <w:t>0.7412</w:t>
      </w:r>
      <w:r w:rsidR="00D02D7D">
        <w:rPr>
          <w:rStyle w:val="NormalTok"/>
        </w:rPr>
        <w:t xml:space="preserve">    </w:t>
      </w:r>
      <w:r w:rsidR="00D02D7D">
        <w:br/>
      </w:r>
      <w:r w:rsidR="00D02D7D">
        <w:rPr>
          <w:rStyle w:val="OperatorTok"/>
        </w:rPr>
        <w:t>---</w:t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>Signif. codes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 </w:t>
      </w:r>
      <w:r w:rsidR="00D02D7D">
        <w:rPr>
          <w:rStyle w:val="DecValTok"/>
        </w:rPr>
        <w:t>0</w:t>
      </w:r>
      <w:r w:rsidR="00D02D7D">
        <w:rPr>
          <w:rStyle w:val="NormalTok"/>
        </w:rPr>
        <w:t xml:space="preserve"> ‘</w:t>
      </w:r>
      <w:r w:rsidR="00D02D7D">
        <w:rPr>
          <w:rStyle w:val="OperatorTok"/>
        </w:rPr>
        <w:t>*</w:t>
      </w:r>
      <w:r w:rsidR="006461FA">
        <w:rPr>
          <w:rStyle w:val="OperatorTok"/>
        </w:rPr>
        <w:t>*</w:t>
      </w:r>
      <w:r w:rsidR="00D02D7D">
        <w:rPr>
          <w:rStyle w:val="OperatorTok"/>
        </w:rPr>
        <w:t>*</w:t>
      </w:r>
      <w:r w:rsidR="00D02D7D">
        <w:rPr>
          <w:rStyle w:val="NormalTok"/>
        </w:rPr>
        <w:t xml:space="preserve">’ </w:t>
      </w:r>
      <w:r w:rsidR="00D02D7D">
        <w:rPr>
          <w:rStyle w:val="FloatTok"/>
        </w:rPr>
        <w:t>0.001</w:t>
      </w:r>
      <w:r w:rsidR="00D02D7D">
        <w:rPr>
          <w:rStyle w:val="NormalTok"/>
        </w:rPr>
        <w:t xml:space="preserve"> ‘</w:t>
      </w:r>
      <w:r w:rsidR="00D02D7D">
        <w:rPr>
          <w:rStyle w:val="OperatorTok"/>
        </w:rPr>
        <w:t>**</w:t>
      </w:r>
      <w:r w:rsidR="00D02D7D">
        <w:rPr>
          <w:rStyle w:val="NormalTok"/>
        </w:rPr>
        <w:t xml:space="preserve">’ </w:t>
      </w:r>
      <w:r w:rsidR="00D02D7D">
        <w:rPr>
          <w:rStyle w:val="FloatTok"/>
        </w:rPr>
        <w:t>0.01</w:t>
      </w:r>
      <w:r w:rsidR="00D02D7D">
        <w:rPr>
          <w:rStyle w:val="NormalTok"/>
        </w:rPr>
        <w:t xml:space="preserve"> ‘</w:t>
      </w:r>
      <w:r w:rsidR="00D02D7D">
        <w:rPr>
          <w:rStyle w:val="OperatorTok"/>
        </w:rPr>
        <w:t>*</w:t>
      </w:r>
      <w:r w:rsidR="00D02D7D">
        <w:rPr>
          <w:rStyle w:val="NormalTok"/>
        </w:rPr>
        <w:t xml:space="preserve">’ </w:t>
      </w:r>
      <w:r w:rsidR="00D02D7D">
        <w:rPr>
          <w:rStyle w:val="FloatTok"/>
        </w:rPr>
        <w:t>0.05</w:t>
      </w:r>
      <w:r w:rsidR="00D02D7D">
        <w:rPr>
          <w:rStyle w:val="NormalTok"/>
        </w:rPr>
        <w:t xml:space="preserve"> ‘.’ </w:t>
      </w:r>
      <w:r w:rsidR="00D02D7D">
        <w:rPr>
          <w:rStyle w:val="FloatTok"/>
        </w:rPr>
        <w:t>0.1</w:t>
      </w:r>
      <w:r w:rsidR="00D02D7D">
        <w:rPr>
          <w:rStyle w:val="NormalTok"/>
        </w:rPr>
        <w:t xml:space="preserve"> ‘ ’ </w:t>
      </w:r>
      <w:r w:rsidR="00D02D7D">
        <w:rPr>
          <w:rStyle w:val="DecValTok"/>
        </w:rPr>
        <w:t>1</w:t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 xml:space="preserve"> </w:t>
      </w:r>
      <w:r w:rsidR="00D02D7D">
        <w:br/>
      </w:r>
      <w:r w:rsidR="00D02D7D">
        <w:rPr>
          <w:rStyle w:val="NormalTok"/>
        </w:rPr>
        <w:t xml:space="preserve">Residual </w:t>
      </w:r>
      <w:r w:rsidR="00D02D7D">
        <w:rPr>
          <w:rStyle w:val="NormalTok"/>
        </w:rPr>
        <w:t>standard error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</w:t>
      </w:r>
      <w:r w:rsidR="00D02D7D">
        <w:rPr>
          <w:rStyle w:val="FloatTok"/>
        </w:rPr>
        <w:t>2.273</w:t>
      </w:r>
      <w:r w:rsidR="00D02D7D">
        <w:rPr>
          <w:rStyle w:val="NormalTok"/>
        </w:rPr>
        <w:t xml:space="preserve"> on </w:t>
      </w:r>
      <w:r w:rsidR="00D02D7D">
        <w:rPr>
          <w:rStyle w:val="DecValTok"/>
        </w:rPr>
        <w:t>13</w:t>
      </w:r>
      <w:r w:rsidR="00D02D7D">
        <w:rPr>
          <w:rStyle w:val="NormalTok"/>
        </w:rPr>
        <w:t xml:space="preserve"> degrees of freedom </w:t>
      </w:r>
      <w:r w:rsidR="00D02D7D">
        <w:br/>
      </w:r>
      <w:r w:rsidR="00D02D7D">
        <w:rPr>
          <w:rStyle w:val="NormalTok"/>
        </w:rPr>
        <w:t>Multiple R</w:t>
      </w:r>
      <w:r w:rsidR="00D02D7D">
        <w:rPr>
          <w:rStyle w:val="OperatorTok"/>
        </w:rPr>
        <w:t>-</w:t>
      </w:r>
      <w:r w:rsidR="00D02D7D">
        <w:rPr>
          <w:rStyle w:val="NormalTok"/>
        </w:rPr>
        <w:t>squared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 </w:t>
      </w:r>
      <w:r w:rsidR="00D02D7D">
        <w:rPr>
          <w:rStyle w:val="FloatTok"/>
        </w:rPr>
        <w:t>0.4962</w:t>
      </w:r>
      <w:r w:rsidR="00D02D7D">
        <w:rPr>
          <w:rStyle w:val="NormalTok"/>
        </w:rPr>
        <w:t>,</w:t>
      </w:r>
      <w:r w:rsidR="00D02D7D">
        <w:rPr>
          <w:rStyle w:val="NormalTok"/>
        </w:rPr>
        <w:tab/>
        <w:t>Adjusted R</w:t>
      </w:r>
      <w:r w:rsidR="00D02D7D">
        <w:rPr>
          <w:rStyle w:val="OperatorTok"/>
        </w:rPr>
        <w:t>-</w:t>
      </w:r>
      <w:r w:rsidR="00D02D7D">
        <w:rPr>
          <w:rStyle w:val="NormalTok"/>
        </w:rPr>
        <w:t>squared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 </w:t>
      </w:r>
      <w:r w:rsidR="00D02D7D">
        <w:rPr>
          <w:rStyle w:val="FloatTok"/>
        </w:rPr>
        <w:t>0.1086</w:t>
      </w:r>
      <w:r w:rsidR="00D02D7D">
        <w:rPr>
          <w:rStyle w:val="NormalTok"/>
        </w:rPr>
        <w:t xml:space="preserve">  </w:t>
      </w:r>
      <w:r w:rsidR="00D02D7D">
        <w:br/>
      </w:r>
      <w:r w:rsidR="00D02D7D">
        <w:rPr>
          <w:rStyle w:val="NormalTok"/>
        </w:rPr>
        <w:t>F</w:t>
      </w:r>
      <w:r w:rsidR="00D02D7D">
        <w:rPr>
          <w:rStyle w:val="OperatorTok"/>
        </w:rPr>
        <w:t>-</w:t>
      </w:r>
      <w:r w:rsidR="00D02D7D">
        <w:rPr>
          <w:rStyle w:val="NormalTok"/>
        </w:rPr>
        <w:t>statistic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 </w:t>
      </w:r>
      <w:r w:rsidR="00D02D7D">
        <w:rPr>
          <w:rStyle w:val="FloatTok"/>
        </w:rPr>
        <w:t>1.28</w:t>
      </w:r>
      <w:r w:rsidR="00D02D7D">
        <w:rPr>
          <w:rStyle w:val="NormalTok"/>
        </w:rPr>
        <w:t xml:space="preserve"> on </w:t>
      </w:r>
      <w:r w:rsidR="00D02D7D">
        <w:rPr>
          <w:rStyle w:val="DecValTok"/>
        </w:rPr>
        <w:t>10</w:t>
      </w:r>
      <w:r w:rsidR="00D02D7D">
        <w:rPr>
          <w:rStyle w:val="NormalTok"/>
        </w:rPr>
        <w:t xml:space="preserve"> and </w:t>
      </w:r>
      <w:r w:rsidR="00D02D7D">
        <w:rPr>
          <w:rStyle w:val="DecValTok"/>
        </w:rPr>
        <w:t>13</w:t>
      </w:r>
      <w:r w:rsidR="00D02D7D">
        <w:rPr>
          <w:rStyle w:val="NormalTok"/>
        </w:rPr>
        <w:t xml:space="preserve"> DF,  p</w:t>
      </w:r>
      <w:r w:rsidR="00D02D7D">
        <w:rPr>
          <w:rStyle w:val="OperatorTok"/>
        </w:rPr>
        <w:t>-</w:t>
      </w:r>
      <w:r w:rsidR="00D02D7D">
        <w:rPr>
          <w:rStyle w:val="NormalTok"/>
        </w:rPr>
        <w:t>value</w:t>
      </w:r>
      <w:r w:rsidR="00D02D7D">
        <w:rPr>
          <w:rStyle w:val="OperatorTok"/>
        </w:rPr>
        <w:t>:</w:t>
      </w:r>
      <w:r w:rsidR="00D02D7D">
        <w:rPr>
          <w:rStyle w:val="StringTok"/>
        </w:rPr>
        <w:t xml:space="preserve"> </w:t>
      </w:r>
      <w:r w:rsidR="00D02D7D">
        <w:rPr>
          <w:rStyle w:val="FloatTok"/>
        </w:rPr>
        <w:t>0.3321</w:t>
      </w:r>
    </w:p>
    <w:p w:rsidR="001E546A" w:rsidRDefault="00D02D7D" w:rsidP="004B1CD8">
      <w:pPr>
        <w:pStyle w:val="FirstParagraph"/>
        <w:jc w:val="both"/>
      </w:pPr>
      <w:r>
        <w:t xml:space="preserve">As can be observed, none of the specific variables were particularly correlated with SDQ score. </w:t>
      </w:r>
      <w:r w:rsidR="00DB344D">
        <w:t>The model is unable to accurately predict the response variable as can be seen by the extremely low “Adjusted R-squared” value of 0.1086, implying that only 10.86% of the variability of the SDQ score can be expla</w:t>
      </w:r>
      <w:bookmarkStart w:id="3" w:name="_GoBack"/>
      <w:bookmarkEnd w:id="3"/>
      <w:r w:rsidR="00DB344D">
        <w:t xml:space="preserve">ined by the explanatory variables. </w:t>
      </w:r>
      <w:r>
        <w:t xml:space="preserve">This is also </w:t>
      </w:r>
      <w:r w:rsidR="00DB344D">
        <w:t xml:space="preserve">further </w:t>
      </w:r>
      <w:r>
        <w:t>evidence</w:t>
      </w:r>
      <w:r>
        <w:t>d by the correlation plot shown below, where SDQ score was</w:t>
      </w:r>
      <w:r>
        <w:t xml:space="preserve"> </w:t>
      </w:r>
      <w:r w:rsidR="00820786">
        <w:t>n</w:t>
      </w:r>
      <w:r>
        <w:t>either strongly nor positively corre</w:t>
      </w:r>
      <w:r w:rsidR="00820786">
        <w:t>lated with any of the variable</w:t>
      </w:r>
    </w:p>
    <w:p w:rsidR="00820786" w:rsidRDefault="00820786" w:rsidP="00820786">
      <w:pPr>
        <w:pStyle w:val="BodyText"/>
      </w:pPr>
    </w:p>
    <w:p w:rsidR="00820786" w:rsidRDefault="00820786" w:rsidP="00820786">
      <w:pPr>
        <w:pStyle w:val="BodyText"/>
      </w:pPr>
    </w:p>
    <w:p w:rsidR="00820786" w:rsidRDefault="00820786" w:rsidP="00820786">
      <w:pPr>
        <w:pStyle w:val="BodyText"/>
      </w:pPr>
    </w:p>
    <w:p w:rsidR="00820786" w:rsidRPr="00820786" w:rsidRDefault="00820786" w:rsidP="00820786">
      <w:pPr>
        <w:pStyle w:val="BodyText"/>
      </w:pPr>
    </w:p>
    <w:p w:rsidR="001E546A" w:rsidRDefault="001E546A">
      <w:pPr>
        <w:pStyle w:val="ImageCaption"/>
      </w:pPr>
    </w:p>
    <w:p w:rsidR="001E546A" w:rsidRDefault="00D02D7D" w:rsidP="004B1CD8">
      <w:pPr>
        <w:pStyle w:val="BodyText"/>
        <w:jc w:val="both"/>
      </w:pPr>
      <w:r>
        <w:t>If we plot overall happiness against SDQ score, we do see a relatively negative correlation, showing that as overall marital</w:t>
      </w:r>
      <w:r>
        <w:t xml:space="preserve"> happiness increases, SDQ score does decrease. However, note the largeness of the error bars surrounding the plot, showing the relatively large errors of the linear regression line plotted. </w:t>
      </w: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  <w:r>
        <w:rPr>
          <w:noProof/>
          <w:lang w:val="en-SG" w:eastAsia="zh-CN"/>
        </w:rPr>
        <w:drawing>
          <wp:anchor distT="0" distB="0" distL="114300" distR="114300" simplePos="0" relativeHeight="251672576" behindDoc="0" locked="0" layoutInCell="1" allowOverlap="1" wp14:anchorId="31A163CA" wp14:editId="177E11E1">
            <wp:simplePos x="0" y="0"/>
            <wp:positionH relativeFrom="column">
              <wp:posOffset>1149350</wp:posOffset>
            </wp:positionH>
            <wp:positionV relativeFrom="paragraph">
              <wp:posOffset>8255</wp:posOffset>
            </wp:positionV>
            <wp:extent cx="3638241" cy="2439495"/>
            <wp:effectExtent l="0" t="0" r="0" b="0"/>
            <wp:wrapNone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user-images.githubusercontent.com/68678549/104799349-77a23080-5809-11eb-9e8f-a4d4a6762ec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241" cy="2439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612A80" w:rsidRDefault="00612A80">
      <w:pPr>
        <w:pStyle w:val="BodyText"/>
      </w:pPr>
    </w:p>
    <w:p w:rsidR="001E546A" w:rsidRDefault="001E546A">
      <w:pPr>
        <w:pStyle w:val="CaptionedFigure"/>
      </w:pPr>
    </w:p>
    <w:p w:rsidR="00612A80" w:rsidRDefault="00612A80">
      <w:pPr>
        <w:pStyle w:val="CaptionedFigure"/>
      </w:pPr>
    </w:p>
    <w:p w:rsidR="00612A80" w:rsidRDefault="00612A80">
      <w:pPr>
        <w:pStyle w:val="CaptionedFigure"/>
      </w:pPr>
    </w:p>
    <w:p w:rsidR="001E546A" w:rsidRDefault="00D02D7D">
      <w:pPr>
        <w:pStyle w:val="Heading1"/>
      </w:pPr>
      <w:bookmarkStart w:id="4" w:name="header-n50"/>
      <w:bookmarkEnd w:id="2"/>
      <w:r>
        <w:t>Discussion</w:t>
      </w:r>
    </w:p>
    <w:p w:rsidR="001E546A" w:rsidRDefault="00D02D7D" w:rsidP="004B1CD8">
      <w:pPr>
        <w:pStyle w:val="FirstParagraph"/>
        <w:jc w:val="both"/>
      </w:pPr>
      <w:r>
        <w:t>The results of the survey and the statistical analy</w:t>
      </w:r>
      <w:r>
        <w:t>sis perform show that there was no significant correlation between marital satisfaction/happiness and SDQ score. While certain graphed variables might appear to give this impression, it would be dangerous to accept these results given the lack of correlati</w:t>
      </w:r>
      <w:r>
        <w:t xml:space="preserve">on found in the linear regression model. The key limitation of this research paper is the paucity of data collected. 24 participants is too low a number to draw any significant conclusions. </w:t>
      </w:r>
    </w:p>
    <w:p w:rsidR="001E546A" w:rsidRDefault="001E546A">
      <w:pPr>
        <w:pStyle w:val="BodyText"/>
      </w:pPr>
    </w:p>
    <w:bookmarkEnd w:id="4"/>
    <w:p w:rsidR="001E546A" w:rsidRDefault="001E546A">
      <w:pPr>
        <w:pStyle w:val="BodyText"/>
      </w:pPr>
    </w:p>
    <w:sectPr w:rsidR="001E54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D7D" w:rsidRDefault="00D02D7D">
      <w:pPr>
        <w:spacing w:after="0"/>
      </w:pPr>
      <w:r>
        <w:separator/>
      </w:r>
    </w:p>
  </w:endnote>
  <w:endnote w:type="continuationSeparator" w:id="0">
    <w:p w:rsidR="00D02D7D" w:rsidRDefault="00D02D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D7D" w:rsidRDefault="00D02D7D">
      <w:r>
        <w:separator/>
      </w:r>
    </w:p>
  </w:footnote>
  <w:footnote w:type="continuationSeparator" w:id="0">
    <w:p w:rsidR="00D02D7D" w:rsidRDefault="00D02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131090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E546A"/>
    <w:rsid w:val="004B1CD8"/>
    <w:rsid w:val="004E29B3"/>
    <w:rsid w:val="00590D07"/>
    <w:rsid w:val="00612A80"/>
    <w:rsid w:val="006461FA"/>
    <w:rsid w:val="00784D58"/>
    <w:rsid w:val="00820786"/>
    <w:rsid w:val="008D6863"/>
    <w:rsid w:val="00AC2ED4"/>
    <w:rsid w:val="00B86B75"/>
    <w:rsid w:val="00BC48D5"/>
    <w:rsid w:val="00C36279"/>
    <w:rsid w:val="00D02D7D"/>
    <w:rsid w:val="00DB344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9728C-6DE9-46A1-B62E-02AC77C0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Zachary Lim</cp:lastModifiedBy>
  <cp:revision>7</cp:revision>
  <dcterms:created xsi:type="dcterms:W3CDTF">2021-01-16T06:52:00Z</dcterms:created>
  <dcterms:modified xsi:type="dcterms:W3CDTF">2021-01-16T06:58:00Z</dcterms:modified>
</cp:coreProperties>
</file>