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left"/>
      </w:pPr>
      <w:r>
        <w:rPr>
          <w:rFonts w:ascii="Times New Roman" w:cs="Times New Roman" w:eastAsia="Times New Roman" w:hAnsi="Times New Roman"/>
          <w:b/>
          <w:bCs/>
          <w:i w:val="false"/>
          <w:iCs w:val="false"/>
          <w:sz w:val="24"/>
          <w:szCs w:val="24"/>
        </w:rPr>
        <w:t xml:space="preserve">[FULL NAME]</w:t>
      </w:r>
    </w:p>
    <w:p>
      <w:pPr>
        <w:spacing w:after="0" w:line="276"/>
        <w:jc w:val="left"/>
      </w:pPr>
      <w:r>
        <w:rPr>
          <w:rFonts w:ascii="Times New Roman" w:cs="Times New Roman" w:eastAsia="Times New Roman" w:hAnsi="Times New Roman"/>
          <w:b w:val="false"/>
          <w:bCs w:val="false"/>
          <w:i w:val="false"/>
          <w:iCs w:val="false"/>
          <w:sz w:val="24"/>
          <w:szCs w:val="24"/>
        </w:rPr>
        <w:t xml:space="preserve">New York University School of Law</w:t>
      </w:r>
    </w:p>
    <w:p>
      <w:pPr>
        <w:spacing w:after="0" w:line="276"/>
        <w:jc w:val="left"/>
      </w:pPr>
      <w:r>
        <w:rPr>
          <w:rFonts w:ascii="Times New Roman" w:cs="Times New Roman" w:eastAsia="Times New Roman" w:hAnsi="Times New Roman"/>
          <w:b w:val="false"/>
          <w:bCs w:val="false"/>
          <w:i w:val="false"/>
          <w:iCs w:val="false"/>
          <w:sz w:val="24"/>
          <w:szCs w:val="24"/>
        </w:rPr>
        <w:t xml:space="preserve">[Street Address]</w:t>
      </w:r>
    </w:p>
    <w:p>
      <w:pPr>
        <w:spacing w:after="0" w:line="276"/>
        <w:jc w:val="left"/>
      </w:pPr>
      <w:r>
        <w:rPr>
          <w:rFonts w:ascii="Times New Roman" w:cs="Times New Roman" w:eastAsia="Times New Roman" w:hAnsi="Times New Roman"/>
          <w:b w:val="false"/>
          <w:bCs w:val="false"/>
          <w:i w:val="false"/>
          <w:iCs w:val="false"/>
          <w:sz w:val="24"/>
          <w:szCs w:val="24"/>
        </w:rPr>
        <w:t xml:space="preserve">[City, State ZIP]</w:t>
      </w:r>
    </w:p>
    <w:p>
      <w:pPr>
        <w:spacing w:after="320" w:line="276"/>
        <w:jc w:val="left"/>
      </w:pPr>
      <w:r>
        <w:rPr>
          <w:rFonts w:ascii="Times New Roman" w:cs="Times New Roman" w:eastAsia="Times New Roman" w:hAnsi="Times New Roman"/>
          <w:b w:val="false"/>
          <w:bCs w:val="false"/>
          <w:i w:val="false"/>
          <w:iCs w:val="false"/>
          <w:sz w:val="24"/>
          <w:szCs w:val="24"/>
        </w:rPr>
        <w:t xml:space="preserve">[phone]  ·  [email]</w:t>
      </w:r>
    </w:p>
    <w:p>
      <w:pPr>
        <w:spacing w:after="320" w:line="276"/>
        <w:jc w:val="left"/>
      </w:pPr>
      <w:r>
        <w:rPr>
          <w:rFonts w:ascii="Times New Roman" w:cs="Times New Roman" w:eastAsia="Times New Roman" w:hAnsi="Times New Roman"/>
          <w:b w:val="false"/>
          <w:bCs w:val="false"/>
          <w:i w:val="false"/>
          <w:iCs w:val="false"/>
          <w:sz w:val="24"/>
          <w:szCs w:val="24"/>
        </w:rPr>
        <w:t xml:space="preserve">[Date]</w:t>
      </w:r>
    </w:p>
    <w:p>
      <w:pPr>
        <w:spacing w:after="0" w:line="276"/>
        <w:jc w:val="left"/>
      </w:pPr>
      <w:r>
        <w:rPr>
          <w:rFonts w:ascii="Times New Roman" w:cs="Times New Roman" w:eastAsia="Times New Roman" w:hAnsi="Times New Roman"/>
          <w:b w:val="false"/>
          <w:bCs w:val="false"/>
          <w:i w:val="false"/>
          <w:iCs w:val="false"/>
          <w:sz w:val="24"/>
          <w:szCs w:val="24"/>
        </w:rPr>
        <w:t xml:space="preserve">Carolyn A. Dubay, Secretary</w:t>
      </w:r>
    </w:p>
    <w:p>
      <w:pPr>
        <w:spacing w:after="0" w:line="276"/>
        <w:jc w:val="left"/>
      </w:pPr>
      <w:r>
        <w:rPr>
          <w:rFonts w:ascii="Times New Roman" w:cs="Times New Roman" w:eastAsia="Times New Roman" w:hAnsi="Times New Roman"/>
          <w:b w:val="false"/>
          <w:bCs w:val="false"/>
          <w:i w:val="false"/>
          <w:iCs w:val="false"/>
          <w:sz w:val="24"/>
          <w:szCs w:val="24"/>
        </w:rPr>
        <w:t xml:space="preserve">Committee on Rules of Practice and Procedure</w:t>
      </w:r>
    </w:p>
    <w:p>
      <w:pPr>
        <w:spacing w:after="0" w:line="276"/>
        <w:jc w:val="left"/>
      </w:pPr>
      <w:r>
        <w:rPr>
          <w:rFonts w:ascii="Times New Roman" w:cs="Times New Roman" w:eastAsia="Times New Roman" w:hAnsi="Times New Roman"/>
          <w:b w:val="false"/>
          <w:bCs w:val="false"/>
          <w:i w:val="false"/>
          <w:iCs w:val="false"/>
          <w:sz w:val="24"/>
          <w:szCs w:val="24"/>
        </w:rPr>
        <w:t xml:space="preserve">Administrative Office of the United States Courts</w:t>
      </w:r>
    </w:p>
    <w:p>
      <w:pPr>
        <w:spacing w:after="0" w:line="276"/>
        <w:jc w:val="left"/>
      </w:pPr>
      <w:r>
        <w:rPr>
          <w:rFonts w:ascii="Times New Roman" w:cs="Times New Roman" w:eastAsia="Times New Roman" w:hAnsi="Times New Roman"/>
          <w:b w:val="false"/>
          <w:bCs w:val="false"/>
          <w:i w:val="false"/>
          <w:iCs w:val="false"/>
          <w:sz w:val="24"/>
          <w:szCs w:val="24"/>
        </w:rPr>
        <w:t xml:space="preserve">One Columbus Circle, NE, Room 7-300</w:t>
      </w:r>
    </w:p>
    <w:p>
      <w:pPr>
        <w:spacing w:after="80" w:line="276"/>
        <w:jc w:val="left"/>
      </w:pPr>
      <w:r>
        <w:rPr>
          <w:rFonts w:ascii="Times New Roman" w:cs="Times New Roman" w:eastAsia="Times New Roman" w:hAnsi="Times New Roman"/>
          <w:b w:val="false"/>
          <w:bCs w:val="false"/>
          <w:i w:val="false"/>
          <w:iCs w:val="false"/>
          <w:sz w:val="24"/>
          <w:szCs w:val="24"/>
        </w:rPr>
        <w:t xml:space="preserve">Washington, D.C. 20544</w:t>
      </w:r>
    </w:p>
    <w:p>
      <w:pPr>
        <w:spacing w:after="320" w:line="276"/>
        <w:jc w:val="left"/>
      </w:pPr>
      <w:r>
        <w:rPr>
          <w:rFonts w:ascii="Times New Roman" w:cs="Times New Roman" w:eastAsia="Times New Roman" w:hAnsi="Times New Roman"/>
          <w:b w:val="false"/>
          <w:bCs w:val="false"/>
          <w:i/>
          <w:iCs/>
          <w:sz w:val="24"/>
          <w:szCs w:val="24"/>
        </w:rPr>
        <w:t xml:space="preserve">By email: RulesCommittee_Secretary@ao.uscourts.gov</w:t>
      </w:r>
    </w:p>
    <w:p>
      <w:pPr>
        <w:spacing w:after="320" w:line="276"/>
        <w:jc w:val="left"/>
      </w:pPr>
      <w:r>
        <w:rPr>
          <w:rFonts w:ascii="Times New Roman" w:cs="Times New Roman" w:eastAsia="Times New Roman" w:hAnsi="Times New Roman"/>
          <w:b/>
          <w:bCs/>
          <w:i w:val="false"/>
          <w:iCs w:val="false"/>
          <w:sz w:val="24"/>
          <w:szCs w:val="24"/>
        </w:rPr>
        <w:t xml:space="preserve">Re:  </w:t>
      </w:r>
      <w:r>
        <w:rPr>
          <w:rFonts w:ascii="Times New Roman" w:cs="Times New Roman" w:eastAsia="Times New Roman" w:hAnsi="Times New Roman"/>
          <w:b/>
          <w:bCs/>
          <w:i w:val="false"/>
          <w:iCs w:val="false"/>
          <w:sz w:val="24"/>
          <w:szCs w:val="24"/>
        </w:rPr>
        <w:t xml:space="preserve">Suggestion Concerning Fed. R. Civ. P. 16.1 — Empirical Data on the Rule’s First Eight Months, and Two Low-Cost Measures</w:t>
      </w:r>
    </w:p>
    <w:p>
      <w:pPr>
        <w:spacing w:after="240" w:line="276"/>
        <w:jc w:val="left"/>
      </w:pPr>
      <w:r>
        <w:rPr>
          <w:rFonts w:ascii="Times New Roman" w:cs="Times New Roman" w:eastAsia="Times New Roman" w:hAnsi="Times New Roman"/>
          <w:b w:val="false"/>
          <w:bCs w:val="false"/>
          <w:i w:val="false"/>
          <w:iCs w:val="false"/>
          <w:sz w:val="24"/>
          <w:szCs w:val="24"/>
        </w:rPr>
        <w:t xml:space="preserve">Dear Secretary Dubay:</w:t>
      </w:r>
    </w:p>
    <w:p>
      <w:pPr>
        <w:spacing w:after="160" w:line="276"/>
        <w:jc w:val="left"/>
      </w:pPr>
      <w:r>
        <w:rPr>
          <w:rFonts w:ascii="Times New Roman" w:cs="Times New Roman" w:eastAsia="Times New Roman" w:hAnsi="Times New Roman"/>
          <w:b w:val="false"/>
          <w:bCs w:val="false"/>
          <w:i w:val="false"/>
          <w:iCs w:val="false"/>
          <w:sz w:val="24"/>
          <w:szCs w:val="24"/>
        </w:rPr>
        <w:t xml:space="preserve">I write to submit empirical data on how transferee courts and litigants have applied Federal Rule of Civil Procedure 16.1 since it took effect on December 1, 2025, and to suggest two measures the Advisory Committee on Civil Rules may wish to consider. I am a third-year student at New York University School of Law. I have no client, no funder, and no interest in any of the litigation described below. The underlying dataset is public, free, and offered to the Committee and its reporters without restriction.</w:t>
      </w:r>
    </w:p>
    <w:p>
      <w:pPr>
        <w:spacing w:after="160" w:line="276"/>
        <w:jc w:val="left"/>
      </w:pPr>
      <w:r>
        <w:rPr>
          <w:rFonts w:ascii="Times New Roman" w:cs="Times New Roman" w:eastAsia="Times New Roman" w:hAnsi="Times New Roman"/>
          <w:b w:val="false"/>
          <w:bCs w:val="false"/>
          <w:i w:val="false"/>
          <w:iCs w:val="false"/>
          <w:sz w:val="24"/>
          <w:szCs w:val="24"/>
        </w:rPr>
        <w:t xml:space="preserve">The short version: of the thirteen MDLs created since the effective date whose initial management orders I have been able to read, </w:t>
      </w:r>
      <w:r>
        <w:rPr>
          <w:rFonts w:ascii="Times New Roman" w:cs="Times New Roman" w:eastAsia="Times New Roman" w:hAnsi="Times New Roman"/>
          <w:b/>
          <w:bCs/>
          <w:i w:val="false"/>
          <w:iCs w:val="false"/>
          <w:sz w:val="24"/>
          <w:szCs w:val="24"/>
        </w:rPr>
        <w:t xml:space="preserve">six cite Rule 16.1 and seven do not</w:t>
      </w:r>
      <w:r>
        <w:rPr>
          <w:rFonts w:ascii="Times New Roman" w:cs="Times New Roman" w:eastAsia="Times New Roman" w:hAnsi="Times New Roman"/>
          <w:b w:val="false"/>
          <w:bCs w:val="false"/>
          <w:i w:val="false"/>
          <w:iCs w:val="false"/>
          <w:sz w:val="24"/>
          <w:szCs w:val="24"/>
        </w:rPr>
        <w:t xml:space="preserve">. No two of the thirteen orders take the same approach. The interval between transfer and the initial management conference ranges from 21 days to 198. Not one order has required disclosure of third-party litigation funding. Two courts have directed the parties’ Rule 16.1(b)(1) report to a chambers email address rather than the docket — one instructing that it “should not be filed.” And the two Rule 16.1 reports I have been able to read each record a dispute about what that report is supposed to be.</w:t>
      </w:r>
    </w:p>
    <w:p>
      <w:pPr>
        <w:spacing w:after="160" w:before="320"/>
      </w:pPr>
      <w:r>
        <w:rPr>
          <w:rFonts w:ascii="Times New Roman" w:cs="Times New Roman" w:eastAsia="Times New Roman" w:hAnsi="Times New Roman"/>
          <w:b/>
          <w:bCs/>
          <w:sz w:val="24"/>
          <w:szCs w:val="24"/>
        </w:rPr>
        <w:t xml:space="preserve">I.  The dataset and why the method matters</w:t>
      </w:r>
    </w:p>
    <w:p>
      <w:pPr>
        <w:spacing w:after="160" w:line="276"/>
        <w:jc w:val="left"/>
      </w:pPr>
      <w:r>
        <w:rPr>
          <w:rFonts w:ascii="Times New Roman" w:cs="Times New Roman" w:eastAsia="Times New Roman" w:hAnsi="Times New Roman"/>
          <w:b w:val="false"/>
          <w:bCs w:val="false"/>
          <w:i w:val="false"/>
          <w:iCs w:val="false"/>
          <w:sz w:val="24"/>
          <w:szCs w:val="24"/>
        </w:rPr>
        <w:t xml:space="preserve">Existing commentary on Rule 16.1 is uniformly qualitative. Firm alerts report that courts have taken varied approaches without citing which courts or counting how many. To my knowledge no one has assembled the population.</w:t>
      </w:r>
    </w:p>
    <w:p>
      <w:pPr>
        <w:spacing w:after="160" w:line="276"/>
        <w:jc w:val="left"/>
      </w:pPr>
      <w:r>
        <w:rPr>
          <w:rFonts w:ascii="Times New Roman" w:cs="Times New Roman" w:eastAsia="Times New Roman" w:hAnsi="Times New Roman"/>
          <w:b w:val="false"/>
          <w:bCs w:val="false"/>
          <w:i w:val="false"/>
          <w:iCs w:val="false"/>
          <w:sz w:val="24"/>
          <w:szCs w:val="24"/>
        </w:rPr>
        <w:t xml:space="preserve">I did so as follows. The universe is every MDL centralized by the Judicial Panel on Multidistrict Litigation on or after December 1, 2025, taken from the Panel’s own monthly </w:t>
      </w:r>
      <w:r>
        <w:rPr>
          <w:rFonts w:ascii="Times New Roman" w:cs="Times New Roman" w:eastAsia="Times New Roman" w:hAnsi="Times New Roman"/>
          <w:b w:val="false"/>
          <w:bCs w:val="false"/>
          <w:i/>
          <w:iCs/>
          <w:sz w:val="24"/>
          <w:szCs w:val="24"/>
        </w:rPr>
        <w:t xml:space="preserve">Pending MDL Dockets By MDL Number</w:t>
      </w:r>
      <w:r>
        <w:rPr>
          <w:rFonts w:ascii="Times New Roman" w:cs="Times New Roman" w:eastAsia="Times New Roman" w:hAnsi="Times New Roman"/>
          <w:b w:val="false"/>
          <w:bCs w:val="false"/>
          <w:i w:val="false"/>
          <w:iCs w:val="false"/>
          <w:sz w:val="24"/>
          <w:szCs w:val="24"/>
        </w:rPr>
        <w:t xml:space="preserve"> report (August 3, 2026 edition). That is sixteen MDLs. For each, I located the transferee court’s initial management order and coded it against fifty-plus variables tracking every enumerated topic in Rule 16.1(b)(2) and (b)(3), the threshold applications of 16.1(a), (b)(1) and (c), and matters courts added beyond the Rule. A second table records party filings that invoke the Rule.</w:t>
      </w:r>
    </w:p>
    <w:p>
      <w:pPr>
        <w:spacing w:after="160" w:line="276"/>
        <w:jc w:val="left"/>
      </w:pPr>
      <w:r>
        <w:rPr>
          <w:rFonts w:ascii="Times New Roman" w:cs="Times New Roman" w:eastAsia="Times New Roman" w:hAnsi="Times New Roman"/>
          <w:b w:val="false"/>
          <w:bCs w:val="false"/>
          <w:i w:val="false"/>
          <w:iCs w:val="false"/>
          <w:sz w:val="24"/>
          <w:szCs w:val="24"/>
        </w:rPr>
        <w:t xml:space="preserve">Three coding rules govern, and they are conservative by design. I code only what a document says, never what it appears to mean. Silence is coded NOT ADDRESSED, never NO; only an affirmative refusal is NO. Where a document is ambiguous I code UNCLEAR and quote the language rather than resolve it. Every affirmative finding carries a pin cite to the document and paragraph. Where I was unsure whether something qualified, I recorded that it did not. </w:t>
      </w:r>
      <w:r>
        <w:rPr>
          <w:rFonts w:ascii="Times New Roman" w:cs="Times New Roman" w:eastAsia="Times New Roman" w:hAnsi="Times New Roman"/>
          <w:b/>
          <w:bCs/>
          <w:i w:val="false"/>
          <w:iCs w:val="false"/>
          <w:sz w:val="24"/>
          <w:szCs w:val="24"/>
        </w:rPr>
        <w:t xml:space="preserve">Every number below is therefore a floor.</w:t>
      </w:r>
    </w:p>
    <w:p>
      <w:pPr>
        <w:spacing w:after="160" w:line="276"/>
        <w:jc w:val="left"/>
      </w:pPr>
      <w:r>
        <w:rPr>
          <w:rFonts w:ascii="Times New Roman" w:cs="Times New Roman" w:eastAsia="Times New Roman" w:hAnsi="Times New Roman"/>
          <w:b w:val="false"/>
          <w:bCs w:val="false"/>
          <w:i w:val="false"/>
          <w:iCs w:val="false"/>
          <w:sz w:val="24"/>
          <w:szCs w:val="24"/>
        </w:rPr>
        <w:t xml:space="preserve">One methodological point bears emphasis because it likely affects other information reaching the Committee. My first three coded orders all cited Rule 16.1 — a 100% uptake rate. That was an artifact. Those three surfaced from a full-text search for the phrase “Federal Rule of Civil Procedure 16.1,” and a full-text search can only return documents that use the phrase. Only after enumerating the Panel’s universe and reviewing each docket individually did the rate fall to six of thirteen. </w:t>
      </w:r>
      <w:r>
        <w:rPr>
          <w:rFonts w:ascii="Times New Roman" w:cs="Times New Roman" w:eastAsia="Times New Roman" w:hAnsi="Times New Roman"/>
          <w:b/>
          <w:bCs/>
          <w:i w:val="false"/>
          <w:iCs w:val="false"/>
          <w:sz w:val="24"/>
          <w:szCs w:val="24"/>
        </w:rPr>
        <w:t xml:space="preserve">Any measure of this Rule’s uptake built from full-text search of court documents will substantially overstate it</w:t>
      </w:r>
      <w:r>
        <w:rPr>
          <w:rFonts w:ascii="Times New Roman" w:cs="Times New Roman" w:eastAsia="Times New Roman" w:hAnsi="Times New Roman"/>
          <w:b w:val="false"/>
          <w:bCs w:val="false"/>
          <w:i w:val="false"/>
          <w:iCs w:val="false"/>
          <w:sz w:val="24"/>
          <w:szCs w:val="24"/>
        </w:rPr>
        <w:t xml:space="preserve">, and will be structurally blind to precisely the orders that would be most informative to the Committee. Several of the non-citing orders are also unreadable by search because their PDFs carry no text layer at all.</w:t>
      </w:r>
    </w:p>
    <w:p>
      <w:pPr>
        <w:spacing w:after="160" w:before="320"/>
      </w:pPr>
      <w:r>
        <w:rPr>
          <w:rFonts w:ascii="Times New Roman" w:cs="Times New Roman" w:eastAsia="Times New Roman" w:hAnsi="Times New Roman"/>
          <w:b/>
          <w:bCs/>
          <w:sz w:val="24"/>
          <w:szCs w:val="24"/>
        </w:rPr>
        <w:t xml:space="preserve">II.  What the orders show</w:t>
      </w:r>
    </w:p>
    <w:p>
      <w:pPr>
        <w:spacing w:after="160" w:line="276"/>
        <w:jc w:val="left"/>
      </w:pPr>
      <w:r>
        <w:rPr>
          <w:rFonts w:ascii="Times New Roman" w:cs="Times New Roman" w:eastAsia="Times New Roman" w:hAnsi="Times New Roman"/>
          <w:b/>
          <w:bCs/>
          <w:i w:val="false"/>
          <w:iCs w:val="false"/>
          <w:sz w:val="24"/>
          <w:szCs w:val="24"/>
        </w:rPr>
        <w:t xml:space="preserve">A.  Six of thirteen orders cite the Rule; seven never mention it.</w:t>
      </w:r>
      <w:r>
        <w:rPr>
          <w:rFonts w:ascii="Times New Roman" w:cs="Times New Roman" w:eastAsia="Times New Roman" w:hAnsi="Times New Roman"/>
          <w:b w:val="false"/>
          <w:bCs w:val="false"/>
          <w:i w:val="false"/>
          <w:iCs w:val="false"/>
          <w:sz w:val="24"/>
          <w:szCs w:val="24"/>
        </w:rPr>
        <w:t xml:space="preserve"> The six are in MDL Nos. 3162, 3167, 3170, 3171, 3174 and 3175; the seven are 3163, 3166, 3172, 3178, 3179, 3181 and 3185. That is a fact about citation, not about compliance, and I draw no inference from it about any court. It is reported because it is the denominator everything else sits on.</w:t>
      </w:r>
    </w:p>
    <w:p>
      <w:pPr>
        <w:spacing w:after="160" w:line="276"/>
        <w:jc w:val="left"/>
      </w:pPr>
      <w:r>
        <w:rPr>
          <w:rFonts w:ascii="Times New Roman" w:cs="Times New Roman" w:eastAsia="Times New Roman" w:hAnsi="Times New Roman"/>
          <w:b/>
          <w:bCs/>
          <w:i w:val="false"/>
          <w:iCs w:val="false"/>
          <w:sz w:val="24"/>
          <w:szCs w:val="24"/>
        </w:rPr>
        <w:t xml:space="preserve">B.  Among the orders that do cite the Rule, no two use it the same way.</w:t>
      </w:r>
      <w:r>
        <w:rPr>
          <w:rFonts w:ascii="Times New Roman" w:cs="Times New Roman" w:eastAsia="Times New Roman" w:hAnsi="Times New Roman"/>
          <w:b w:val="false"/>
          <w:bCs w:val="false"/>
          <w:i w:val="false"/>
          <w:iCs w:val="false"/>
          <w:sz w:val="24"/>
          <w:szCs w:val="24"/>
        </w:rPr>
        <w:t xml:space="preserve"> Four distinguishable patterns emerged, and I record them descriptively:</w:t>
      </w:r>
    </w:p>
    <w:p>
      <w:pPr>
        <w:pStyle w:val="ListParagraph"/>
        <w:numPr>
          <w:ilvl w:val="0"/>
          <w:numId w:val="1"/>
        </w:numPr>
        <w:spacing w:after="120" w:line="276"/>
        <w:ind w:left="720" w:hanging="360"/>
      </w:pPr>
      <w:r>
        <w:rPr>
          <w:rFonts w:ascii="Times New Roman" w:cs="Times New Roman" w:eastAsia="Times New Roman" w:hAnsi="Times New Roman"/>
          <w:b w:val="false"/>
          <w:bCs w:val="false"/>
          <w:i/>
          <w:iCs/>
          <w:sz w:val="24"/>
          <w:szCs w:val="24"/>
        </w:rPr>
        <w:t xml:space="preserve">The Rule as agenda.</w:t>
      </w:r>
      <w:r>
        <w:rPr>
          <w:rFonts w:ascii="Times New Roman" w:cs="Times New Roman" w:eastAsia="Times New Roman" w:hAnsi="Times New Roman"/>
          <w:b w:val="false"/>
          <w:bCs w:val="false"/>
          <w:i w:val="false"/>
          <w:iCs w:val="false"/>
          <w:sz w:val="24"/>
          <w:szCs w:val="24"/>
        </w:rPr>
        <w:t xml:space="preserve"> MDL 3162 provides that the items listed in Rule 16.1 “shall … constitute a tentative agenda” for the conference, reproduces (b)(2)(A)–(E) and (b)(3)(A)–(G), and adds four topics of its own.</w:t>
      </w:r>
    </w:p>
    <w:p>
      <w:pPr>
        <w:pStyle w:val="ListParagraph"/>
        <w:numPr>
          <w:ilvl w:val="0"/>
          <w:numId w:val="1"/>
        </w:numPr>
        <w:spacing w:after="120" w:line="276"/>
        <w:ind w:left="720" w:hanging="360"/>
      </w:pPr>
      <w:r>
        <w:rPr>
          <w:rFonts w:ascii="Times New Roman" w:cs="Times New Roman" w:eastAsia="Times New Roman" w:hAnsi="Times New Roman"/>
          <w:b w:val="false"/>
          <w:bCs w:val="false"/>
          <w:i/>
          <w:iCs/>
          <w:sz w:val="24"/>
          <w:szCs w:val="24"/>
        </w:rPr>
        <w:t xml:space="preserve">The Rule as residual clause.</w:t>
      </w:r>
      <w:r>
        <w:rPr>
          <w:rFonts w:ascii="Times New Roman" w:cs="Times New Roman" w:eastAsia="Times New Roman" w:hAnsi="Times New Roman"/>
          <w:b w:val="false"/>
          <w:bCs w:val="false"/>
          <w:i w:val="false"/>
          <w:iCs w:val="false"/>
          <w:sz w:val="24"/>
          <w:szCs w:val="24"/>
        </w:rPr>
        <w:t xml:space="preserve"> MDL 3171 sets out seventeen topics of the court’s own and then adds “any topics not already listed but included in Federal Rule of Civil Procedure 16.1(b).”</w:t>
      </w:r>
    </w:p>
    <w:p>
      <w:pPr>
        <w:pStyle w:val="ListParagraph"/>
        <w:numPr>
          <w:ilvl w:val="0"/>
          <w:numId w:val="1"/>
        </w:numPr>
        <w:spacing w:after="120" w:line="276"/>
        <w:ind w:left="720" w:hanging="360"/>
      </w:pPr>
      <w:r>
        <w:rPr>
          <w:rFonts w:ascii="Times New Roman" w:cs="Times New Roman" w:eastAsia="Times New Roman" w:hAnsi="Times New Roman"/>
          <w:b w:val="false"/>
          <w:bCs w:val="false"/>
          <w:i/>
          <w:iCs/>
          <w:sz w:val="24"/>
          <w:szCs w:val="24"/>
        </w:rPr>
        <w:t xml:space="preserve">The Rule transcribed.</w:t>
      </w:r>
      <w:r>
        <w:rPr>
          <w:rFonts w:ascii="Times New Roman" w:cs="Times New Roman" w:eastAsia="Times New Roman" w:hAnsi="Times New Roman"/>
          <w:b w:val="false"/>
          <w:bCs w:val="false"/>
          <w:i w:val="false"/>
          <w:iCs w:val="false"/>
          <w:sz w:val="24"/>
          <w:szCs w:val="24"/>
        </w:rPr>
        <w:t xml:space="preserve"> MDL 3174 and MDL 3170 reproduce the enumerated topics using the Rule’s own structure and add nothing.</w:t>
      </w:r>
    </w:p>
    <w:p>
      <w:pPr>
        <w:pStyle w:val="ListParagraph"/>
        <w:numPr>
          <w:ilvl w:val="0"/>
          <w:numId w:val="1"/>
        </w:numPr>
        <w:spacing w:after="120" w:line="276"/>
        <w:ind w:left="720" w:hanging="360"/>
      </w:pPr>
      <w:r>
        <w:rPr>
          <w:rFonts w:ascii="Times New Roman" w:cs="Times New Roman" w:eastAsia="Times New Roman" w:hAnsi="Times New Roman"/>
          <w:b w:val="false"/>
          <w:bCs w:val="false"/>
          <w:i/>
          <w:iCs/>
          <w:sz w:val="24"/>
          <w:szCs w:val="24"/>
        </w:rPr>
        <w:t xml:space="preserve">The Rule incorporated by reference.</w:t>
      </w:r>
      <w:r>
        <w:rPr>
          <w:rFonts w:ascii="Times New Roman" w:cs="Times New Roman" w:eastAsia="Times New Roman" w:hAnsi="Times New Roman"/>
          <w:b w:val="false"/>
          <w:bCs w:val="false"/>
          <w:i w:val="false"/>
          <w:iCs w:val="false"/>
          <w:sz w:val="24"/>
          <w:szCs w:val="24"/>
        </w:rPr>
        <w:t xml:space="preserve"> MDL 3175 directs a joint report “that addresses each of the matters listed in the rule,” without enumeration; MDL 3167 requires “[a] Joint Case Management Report addressing the matters included in Rule 16.1(b).”</w:t>
      </w:r>
    </w:p>
    <w:p>
      <w:pPr>
        <w:spacing w:after="160" w:line="276"/>
        <w:jc w:val="left"/>
      </w:pPr>
      <w:r>
        <w:rPr>
          <w:rFonts w:ascii="Times New Roman" w:cs="Times New Roman" w:eastAsia="Times New Roman" w:hAnsi="Times New Roman"/>
          <w:b/>
          <w:bCs/>
          <w:i w:val="false"/>
          <w:iCs w:val="false"/>
          <w:sz w:val="24"/>
          <w:szCs w:val="24"/>
        </w:rPr>
        <w:t xml:space="preserve">C.  The seven non-citing orders are not doing less; several are doing more.</w:t>
      </w:r>
      <w:r>
        <w:rPr>
          <w:rFonts w:ascii="Times New Roman" w:cs="Times New Roman" w:eastAsia="Times New Roman" w:hAnsi="Times New Roman"/>
          <w:b w:val="false"/>
          <w:bCs w:val="false"/>
          <w:i w:val="false"/>
          <w:iCs w:val="false"/>
          <w:sz w:val="24"/>
          <w:szCs w:val="24"/>
        </w:rPr>
        <w:t xml:space="preserve"> Every one of the thirteen orders addresses leadership counsel. The single richest order in the set — MDL 3163, which raises a court-initiated case census, a plaintiff fact sheet, bellwethers, and common-benefit compensation — never mentions Rule 16.1. The clearest analogue to the Rule’s leadership-compensation item, 16.1(b)(2)(A)(vii), appears in MDL 3172, which likewise never mentions the Rule. </w:t>
      </w:r>
      <w:r>
        <w:rPr>
          <w:rFonts w:ascii="Times New Roman" w:cs="Times New Roman" w:eastAsia="Times New Roman" w:hAnsi="Times New Roman"/>
          <w:b/>
          <w:bCs/>
          <w:i w:val="false"/>
          <w:iCs w:val="false"/>
          <w:sz w:val="24"/>
          <w:szCs w:val="24"/>
        </w:rPr>
        <w:t xml:space="preserve">A citation count is a poor proxy for whether the Rule’s substance is being addressed</w:t>
      </w:r>
      <w:r>
        <w:rPr>
          <w:rFonts w:ascii="Times New Roman" w:cs="Times New Roman" w:eastAsia="Times New Roman" w:hAnsi="Times New Roman"/>
          <w:b w:val="false"/>
          <w:bCs w:val="false"/>
          <w:i w:val="false"/>
          <w:iCs w:val="false"/>
          <w:sz w:val="24"/>
          <w:szCs w:val="24"/>
        </w:rPr>
        <w:t xml:space="preserve">, which is why the dataset codes each enumerated topic separately.</w:t>
      </w:r>
    </w:p>
    <w:p>
      <w:pPr>
        <w:spacing w:after="160" w:line="276"/>
        <w:jc w:val="left"/>
      </w:pPr>
      <w:r>
        <w:rPr>
          <w:rFonts w:ascii="Times New Roman" w:cs="Times New Roman" w:eastAsia="Times New Roman" w:hAnsi="Times New Roman"/>
          <w:b/>
          <w:bCs/>
          <w:i w:val="false"/>
          <w:iCs w:val="false"/>
          <w:sz w:val="24"/>
          <w:szCs w:val="24"/>
        </w:rPr>
        <w:t xml:space="preserve">D.  Time from transfer to initial management conference ranges from 21 days to 198.</w:t>
      </w:r>
      <w:r>
        <w:rPr>
          <w:rFonts w:ascii="Times New Roman" w:cs="Times New Roman" w:eastAsia="Times New Roman" w:hAnsi="Times New Roman"/>
          <w:b w:val="false"/>
          <w:bCs w:val="false"/>
          <w:i w:val="false"/>
          <w:iCs w:val="false"/>
          <w:sz w:val="24"/>
          <w:szCs w:val="24"/>
        </w:rPr>
        <w:t xml:space="preserve"> Rule 16.1(a) provides that the transferee court “should schedule an initial management conference” and sets no time. The observed intervals: 21, 29, 42, 48, 49, 61, 65, 84, 105, 126 and 198 days. This is the cleanest measure in the dataset — one variable, no coding judgment, trivially reproducible — and it may be useful if the Committee ever considers whether 16.1(a) should carry a presumptive outer limit. I take no position on whether it should.</w:t>
      </w:r>
    </w:p>
    <w:p>
      <w:pPr>
        <w:spacing w:after="160" w:line="276"/>
        <w:jc w:val="left"/>
      </w:pPr>
      <w:r>
        <w:rPr>
          <w:rFonts w:ascii="Times New Roman" w:cs="Times New Roman" w:eastAsia="Times New Roman" w:hAnsi="Times New Roman"/>
          <w:b/>
          <w:bCs/>
          <w:i w:val="false"/>
          <w:iCs w:val="false"/>
          <w:sz w:val="24"/>
          <w:szCs w:val="24"/>
        </w:rPr>
        <w:t xml:space="preserve">E.  Rule 16.1 has not displaced the Manual for Complex Litigation.</w:t>
      </w:r>
      <w:r>
        <w:rPr>
          <w:rFonts w:ascii="Times New Roman" w:cs="Times New Roman" w:eastAsia="Times New Roman" w:hAnsi="Times New Roman"/>
          <w:b w:val="false"/>
          <w:bCs w:val="false"/>
          <w:i w:val="false"/>
          <w:iCs w:val="false"/>
          <w:sz w:val="24"/>
          <w:szCs w:val="24"/>
        </w:rPr>
        <w:t xml:space="preserve"> Two orders designate the Manual as their governing framework — MDL 3172 (“The Court will be guided by the Manual for Complex Litigation, Fourth … Counsel are directed to familiarize themselves with that publication”) and MDL 3181 (“Counsel are expected to be familiar with the Manual for Complex Litigation, Fourth Edition”). Neither cites Rule 16.1. On the bar side, both Rule 16.1 reports I have read brief the Manual, one of them citing six separate sections. Bench and bar, several districts, independently. If that pattern holds, the more accurate description of the first year is not that the Rule was overlooked but that </w:t>
      </w:r>
      <w:r>
        <w:rPr>
          <w:rFonts w:ascii="Times New Roman" w:cs="Times New Roman" w:eastAsia="Times New Roman" w:hAnsi="Times New Roman"/>
          <w:b/>
          <w:bCs/>
          <w:i w:val="false"/>
          <w:iCs w:val="false"/>
          <w:sz w:val="24"/>
          <w:szCs w:val="24"/>
        </w:rPr>
        <w:t xml:space="preserve">it has not yet supplanted the authority practitioners and courts already had</w:t>
      </w:r>
      <w:r>
        <w:rPr>
          <w:rFonts w:ascii="Times New Roman" w:cs="Times New Roman" w:eastAsia="Times New Roman" w:hAnsi="Times New Roman"/>
          <w:b w:val="false"/>
          <w:bCs w:val="false"/>
          <w:i w:val="false"/>
          <w:iCs w:val="false"/>
          <w:sz w:val="24"/>
          <w:szCs w:val="24"/>
        </w:rPr>
        <w:t xml:space="preserve">, which may be relevant to how the Rule is presented in the Manual’s next edition and in Federal Judicial Center materials.</w:t>
      </w:r>
    </w:p>
    <w:p>
      <w:pPr>
        <w:spacing w:after="160" w:line="276"/>
        <w:jc w:val="left"/>
      </w:pPr>
      <w:r>
        <w:rPr>
          <w:rFonts w:ascii="Times New Roman" w:cs="Times New Roman" w:eastAsia="Times New Roman" w:hAnsi="Times New Roman"/>
          <w:b/>
          <w:bCs/>
          <w:i w:val="false"/>
          <w:iCs w:val="false"/>
          <w:sz w:val="24"/>
          <w:szCs w:val="24"/>
        </w:rPr>
        <w:t xml:space="preserve">F.  Three orders frame the MDL initial conference under Rule 16 rather than 16.1.</w:t>
      </w:r>
      <w:r>
        <w:rPr>
          <w:rFonts w:ascii="Times New Roman" w:cs="Times New Roman" w:eastAsia="Times New Roman" w:hAnsi="Times New Roman"/>
          <w:b w:val="false"/>
          <w:bCs w:val="false"/>
          <w:i w:val="false"/>
          <w:iCs w:val="false"/>
          <w:sz w:val="24"/>
          <w:szCs w:val="24"/>
        </w:rPr>
        <w:t xml:space="preserve"> MDL 3181 provides that the conference “will be held for the purposes specified in Federal Rules of Civil Procedure 16(a), 16(b), 16(c), and 26(f).” MDL 3185 asks the parties to address “[t]he scheduling of a Rule 16 conference, if necessary.” MDL 3179 describes the product as a “case management plan” and imports Rule 1’s “just, speedy, and inexpensive” formulation. I note these without inference; Rule 16.1(a) is itself permissive, so nothing here is inconsistent with the Rule.</w:t>
      </w:r>
    </w:p>
    <w:p>
      <w:pPr>
        <w:spacing w:after="160" w:line="276"/>
        <w:jc w:val="left"/>
      </w:pPr>
      <w:r>
        <w:rPr>
          <w:rFonts w:ascii="Times New Roman" w:cs="Times New Roman" w:eastAsia="Times New Roman" w:hAnsi="Times New Roman"/>
          <w:b/>
          <w:bCs/>
          <w:i w:val="false"/>
          <w:iCs w:val="false"/>
          <w:sz w:val="24"/>
          <w:szCs w:val="24"/>
        </w:rPr>
        <w:t xml:space="preserve">G.  The Rule’s number is becoming the name of a document.</w:t>
      </w:r>
      <w:r>
        <w:rPr>
          <w:rFonts w:ascii="Times New Roman" w:cs="Times New Roman" w:eastAsia="Times New Roman" w:hAnsi="Times New Roman"/>
          <w:b w:val="false"/>
          <w:bCs w:val="false"/>
          <w:i w:val="false"/>
          <w:iCs w:val="false"/>
          <w:sz w:val="24"/>
          <w:szCs w:val="24"/>
        </w:rPr>
        <w:t xml:space="preserve"> This is the clearest sign of the Rule taking hold, and a citation count scores it wrong. Four instances across three MDLs, bench and bar: Judge Shelby’s order in MDL 3167 refers to the required filing as “the Rule 16.1(b) Report”; the party filing in MDL 3170 is captioned “Fed. R. Civ. P. 16.1 Report”; Judge Peterson’s leadership order in MDL 3175 credits an applicant with “drafting the Rule 16.1 conference report on behalf of plaintiffs”; and defendants in that MDL write “[i]n their Rule 16.1 report, the current parties proposed ….” In each, the Rule number is not a citation to authority — it is the </w:t>
      </w:r>
      <w:r>
        <w:rPr>
          <w:rFonts w:ascii="Times New Roman" w:cs="Times New Roman" w:eastAsia="Times New Roman" w:hAnsi="Times New Roman"/>
          <w:b w:val="false"/>
          <w:bCs w:val="false"/>
          <w:i/>
          <w:iCs/>
          <w:sz w:val="24"/>
          <w:szCs w:val="24"/>
        </w:rPr>
        <w:t xml:space="preserve">name of a filing</w:t>
      </w:r>
      <w:r>
        <w:rPr>
          <w:rFonts w:ascii="Times New Roman" w:cs="Times New Roman" w:eastAsia="Times New Roman" w:hAnsi="Times New Roman"/>
          <w:b w:val="false"/>
          <w:bCs w:val="false"/>
          <w:i w:val="false"/>
          <w:iCs w:val="false"/>
          <w:sz w:val="24"/>
          <w:szCs w:val="24"/>
        </w:rPr>
        <w:t xml:space="preserve">. A rule can naturalize into practice as a noun before, or instead of, being invoked as authority, and a binary “cites the Rule” variable cannot tell the two apart.</w:t>
      </w:r>
    </w:p>
    <w:p>
      <w:pPr>
        <w:spacing w:after="160" w:before="320"/>
      </w:pPr>
      <w:r>
        <w:rPr>
          <w:rFonts w:ascii="Times New Roman" w:cs="Times New Roman" w:eastAsia="Times New Roman" w:hAnsi="Times New Roman"/>
          <w:b/>
          <w:bCs/>
          <w:sz w:val="24"/>
          <w:szCs w:val="24"/>
        </w:rPr>
        <w:t xml:space="preserve">III.  What the reports show</w:t>
      </w:r>
    </w:p>
    <w:p>
      <w:pPr>
        <w:spacing w:after="160" w:line="276"/>
        <w:jc w:val="left"/>
      </w:pPr>
      <w:r>
        <w:rPr>
          <w:rFonts w:ascii="Times New Roman" w:cs="Times New Roman" w:eastAsia="Times New Roman" w:hAnsi="Times New Roman"/>
          <w:b w:val="false"/>
          <w:bCs w:val="false"/>
          <w:i w:val="false"/>
          <w:iCs w:val="false"/>
          <w:sz w:val="24"/>
          <w:szCs w:val="24"/>
        </w:rPr>
        <w:t xml:space="preserve">Rule 16.1’s operative requirements run to the parties’ report, not to the court. I have read two, and a third is known to exist and is not readable. Both of the readable ones are on the public docket; both are worth the Committee’s attention; and </w:t>
      </w:r>
      <w:r>
        <w:rPr>
          <w:rFonts w:ascii="Times New Roman" w:cs="Times New Roman" w:eastAsia="Times New Roman" w:hAnsi="Times New Roman"/>
          <w:b/>
          <w:bCs/>
          <w:i w:val="false"/>
          <w:iCs w:val="false"/>
          <w:sz w:val="24"/>
          <w:szCs w:val="24"/>
        </w:rPr>
        <w:t xml:space="preserve">both record a dispute about what the report is supposed to be.</w:t>
      </w:r>
    </w:p>
    <w:p>
      <w:pPr>
        <w:spacing w:after="160" w:line="276"/>
        <w:jc w:val="left"/>
      </w:pPr>
      <w:r>
        <w:rPr>
          <w:rFonts w:ascii="Times New Roman" w:cs="Times New Roman" w:eastAsia="Times New Roman" w:hAnsi="Times New Roman"/>
          <w:b/>
          <w:bCs/>
          <w:i w:val="false"/>
          <w:iCs w:val="false"/>
          <w:sz w:val="24"/>
          <w:szCs w:val="24"/>
        </w:rPr>
        <w:t xml:space="preserve">The mechanism worked in MDL 3162.</w:t>
      </w:r>
      <w:r>
        <w:rPr>
          <w:rFonts w:ascii="Times New Roman" w:cs="Times New Roman" w:eastAsia="Times New Roman" w:hAnsi="Times New Roman"/>
          <w:b w:val="false"/>
          <w:bCs w:val="false"/>
          <w:i w:val="false"/>
          <w:iCs w:val="false"/>
          <w:sz w:val="24"/>
          <w:szCs w:val="24"/>
        </w:rPr>
        <w:t xml:space="preserve"> On March 6, 2026, all plaintiffs and all defendants filed a 49-page “Joint Initial Management Report,” organized under seventeen headings tracking the court’s order, recording a February 2 meet-and-confer, and stating that “[u]nless otherwise noted, the positions set forth below reflect the joint position of undersigned counsel for the Parties. Where undersigned counsel for the Parties could not reach agreement, the current positions of the Parties are set forth separately under the labeled headings.” That is the Committee Note’s design working as written.</w:t>
      </w:r>
    </w:p>
    <w:p>
      <w:pPr>
        <w:spacing w:after="160" w:line="276"/>
        <w:jc w:val="left"/>
      </w:pPr>
      <w:r>
        <w:rPr>
          <w:rFonts w:ascii="Times New Roman" w:cs="Times New Roman" w:eastAsia="Times New Roman" w:hAnsi="Times New Roman"/>
          <w:b/>
          <w:bCs/>
          <w:i w:val="false"/>
          <w:iCs w:val="false"/>
          <w:sz w:val="24"/>
          <w:szCs w:val="24"/>
        </w:rPr>
        <w:t xml:space="preserve">It did not work in MDL 3170.</w:t>
      </w:r>
      <w:r>
        <w:rPr>
          <w:rFonts w:ascii="Times New Roman" w:cs="Times New Roman" w:eastAsia="Times New Roman" w:hAnsi="Times New Roman"/>
          <w:b w:val="false"/>
          <w:bCs w:val="false"/>
          <w:i w:val="false"/>
          <w:iCs w:val="false"/>
          <w:sz w:val="24"/>
          <w:szCs w:val="24"/>
        </w:rPr>
        <w:t xml:space="preserve"> There, two filings went in instead of one: a one-paragraph joint status report and, the same day, a thirteen-page unilateral report captioned “Fed. R. Civ. P. 16.1 Report.” Counsel filing the latter quoted the Note’s single-report language and stated that they “were unable to achieve this despite efforts to confer.” The same filing records a disagreement about how much the Rule requires — “other counsel may not agree that a robust approach to this Report was necessary,” and counsel “believed the truncated report did not comply with the Court’s [order].”</w:t>
      </w:r>
    </w:p>
    <w:p>
      <w:pPr>
        <w:spacing w:after="160" w:line="276"/>
        <w:jc w:val="left"/>
      </w:pPr>
      <w:r>
        <w:rPr>
          <w:rFonts w:ascii="Times New Roman" w:cs="Times New Roman" w:eastAsia="Times New Roman" w:hAnsi="Times New Roman"/>
          <w:b/>
          <w:bCs/>
          <w:i w:val="false"/>
          <w:iCs w:val="false"/>
          <w:sz w:val="24"/>
          <w:szCs w:val="24"/>
        </w:rPr>
        <w:t xml:space="preserve">The common thread is more interesting than either instance.</w:t>
      </w:r>
      <w:r>
        <w:rPr>
          <w:rFonts w:ascii="Times New Roman" w:cs="Times New Roman" w:eastAsia="Times New Roman" w:hAnsi="Times New Roman"/>
          <w:b w:val="false"/>
          <w:bCs w:val="false"/>
          <w:i w:val="false"/>
          <w:iCs w:val="false"/>
          <w:sz w:val="24"/>
          <w:szCs w:val="24"/>
        </w:rPr>
        <w:t xml:space="preserve"> In MDL 3162 the joint report was produced, and the parties then divided over whether meet-and-confer statements could be quoted in it. Plaintiffs’ counsel wrote that defendants “elected to incorporate alleged quotations from meet and confer discussions to support Defendants’ positions in this Initial Joint Report,” and that “doing so is antithetical to the purpose and spirit of the meet-and-confer process.” In MDL 3170 the parties could not produce a joint report at all, and divided over how much detail the Rule demands.</w:t>
      </w:r>
    </w:p>
    <w:p>
      <w:pPr>
        <w:spacing w:after="160" w:line="276"/>
        <w:jc w:val="left"/>
      </w:pPr>
      <w:r>
        <w:rPr>
          <w:rFonts w:ascii="Times New Roman" w:cs="Times New Roman" w:eastAsia="Times New Roman" w:hAnsi="Times New Roman"/>
          <w:b w:val="false"/>
          <w:bCs w:val="false"/>
          <w:i w:val="false"/>
          <w:iCs w:val="false"/>
          <w:sz w:val="24"/>
          <w:szCs w:val="24"/>
        </w:rPr>
        <w:t xml:space="preserve">Rule 16.1(b)(1) and its Note establish that the report should be single and may reflect divergent views. Neither says whether the report is a </w:t>
      </w:r>
      <w:r>
        <w:rPr>
          <w:rFonts w:ascii="Times New Roman" w:cs="Times New Roman" w:eastAsia="Times New Roman" w:hAnsi="Times New Roman"/>
          <w:b w:val="false"/>
          <w:bCs w:val="false"/>
          <w:i/>
          <w:iCs/>
          <w:sz w:val="24"/>
          <w:szCs w:val="24"/>
        </w:rPr>
        <w:t xml:space="preserve">negotiation</w:t>
      </w:r>
      <w:r>
        <w:rPr>
          <w:rFonts w:ascii="Times New Roman" w:cs="Times New Roman" w:eastAsia="Times New Roman" w:hAnsi="Times New Roman"/>
          <w:b w:val="false"/>
          <w:bCs w:val="false"/>
          <w:i w:val="false"/>
          <w:iCs w:val="false"/>
          <w:sz w:val="24"/>
          <w:szCs w:val="24"/>
        </w:rPr>
        <w:t xml:space="preserve"> document or an </w:t>
      </w:r>
      <w:r>
        <w:rPr>
          <w:rFonts w:ascii="Times New Roman" w:cs="Times New Roman" w:eastAsia="Times New Roman" w:hAnsi="Times New Roman"/>
          <w:b w:val="false"/>
          <w:bCs w:val="false"/>
          <w:i/>
          <w:iCs/>
          <w:sz w:val="24"/>
          <w:szCs w:val="24"/>
        </w:rPr>
        <w:t xml:space="preserve">advocacy</w:t>
      </w:r>
      <w:r>
        <w:rPr>
          <w:rFonts w:ascii="Times New Roman" w:cs="Times New Roman" w:eastAsia="Times New Roman" w:hAnsi="Times New Roman"/>
          <w:b w:val="false"/>
          <w:bCs w:val="false"/>
          <w:i w:val="false"/>
          <w:iCs w:val="false"/>
          <w:sz w:val="24"/>
          <w:szCs w:val="24"/>
        </w:rPr>
        <w:t xml:space="preserve"> document — whether positions taken in the meet-and-confer are usable in it, and how complete an answer to each enumerated topic is expected. Two of two readable reports fought over precisely that. With N of two I generalize nothing; I flag it because it is a discrete, answerable question that guidance could resolve at no cost, and because it is invisible unless someone reads the reports.</w:t>
      </w:r>
    </w:p>
    <w:p>
      <w:pPr>
        <w:spacing w:after="160" w:line="276"/>
        <w:jc w:val="left"/>
      </w:pPr>
      <w:r>
        <w:rPr>
          <w:rFonts w:ascii="Times New Roman" w:cs="Times New Roman" w:eastAsia="Times New Roman" w:hAnsi="Times New Roman"/>
          <w:b/>
          <w:bCs/>
          <w:i w:val="false"/>
          <w:iCs w:val="false"/>
          <w:sz w:val="24"/>
          <w:szCs w:val="24"/>
        </w:rPr>
        <w:t xml:space="preserve">The third report shows why that last point matters.</w:t>
      </w:r>
      <w:r>
        <w:rPr>
          <w:rFonts w:ascii="Times New Roman" w:cs="Times New Roman" w:eastAsia="Times New Roman" w:hAnsi="Times New Roman"/>
          <w:b w:val="false"/>
          <w:bCs w:val="false"/>
          <w:i w:val="false"/>
          <w:iCs w:val="false"/>
          <w:sz w:val="24"/>
          <w:szCs w:val="24"/>
        </w:rPr>
        <w:t xml:space="preserve"> In MDL 3175 the parties filed a Rule 16.1 report; it has no text layer in the free archive and no copy exists on any of the roughly twenty member dockets. Its content is known to me only because defendants later quoted it: “[i]n their Rule 16.1 report, the current parties proposed that … any plaintiff whose action would be subject to transfer to this Court as a tag-along action to the MDL may file directly in this MDL before this Court.” That is a substantive Rule 16.1(b)(2)(D) proposal, made in the report and evidently adopted — and it is legible only in secondhand quotation.</w:t>
      </w:r>
    </w:p>
    <w:p>
      <w:pPr>
        <w:spacing w:after="160" w:before="320"/>
      </w:pPr>
      <w:r>
        <w:rPr>
          <w:rFonts w:ascii="Times New Roman" w:cs="Times New Roman" w:eastAsia="Times New Roman" w:hAnsi="Times New Roman"/>
          <w:b/>
          <w:bCs/>
          <w:sz w:val="24"/>
          <w:szCs w:val="24"/>
        </w:rPr>
        <w:t xml:space="preserve">IV.  Suggestion one: publish an official model Rule 16.1 order or checklist</w:t>
      </w:r>
    </w:p>
    <w:p>
      <w:pPr>
        <w:spacing w:after="160" w:line="276"/>
        <w:jc w:val="left"/>
      </w:pPr>
      <w:r>
        <w:rPr>
          <w:rFonts w:ascii="Times New Roman" w:cs="Times New Roman" w:eastAsia="Times New Roman" w:hAnsi="Times New Roman"/>
          <w:b w:val="false"/>
          <w:bCs w:val="false"/>
          <w:i w:val="false"/>
          <w:iCs w:val="false"/>
          <w:sz w:val="24"/>
          <w:szCs w:val="24"/>
        </w:rPr>
        <w:t xml:space="preserve">Both orders that reproduce the Rule’s enumerated topics in full depart from the Rule text in exactly one particular, and the two departures are different:</w:t>
      </w:r>
    </w:p>
    <w:p>
      <w:pPr>
        <w:pStyle w:val="ListParagraph"/>
        <w:numPr>
          <w:ilvl w:val="0"/>
          <w:numId w:val="1"/>
        </w:numPr>
        <w:spacing w:after="120" w:line="276"/>
        <w:ind w:left="720" w:hanging="360"/>
      </w:pPr>
      <w:r>
        <w:rPr>
          <w:rFonts w:ascii="Times New Roman" w:cs="Times New Roman" w:eastAsia="Times New Roman" w:hAnsi="Times New Roman"/>
          <w:b/>
          <w:bCs/>
          <w:i w:val="false"/>
          <w:iCs w:val="false"/>
          <w:sz w:val="24"/>
          <w:szCs w:val="24"/>
        </w:rPr>
        <w:t xml:space="preserve">MDL 3174</w:t>
      </w:r>
      <w:r>
        <w:rPr>
          <w:rFonts w:ascii="Times New Roman" w:cs="Times New Roman" w:eastAsia="Times New Roman" w:hAnsi="Times New Roman"/>
          <w:b w:val="false"/>
          <w:bCs w:val="false"/>
          <w:i w:val="false"/>
          <w:iCs w:val="false"/>
          <w:sz w:val="24"/>
          <w:szCs w:val="24"/>
        </w:rPr>
        <w:t xml:space="preserve"> correctly introduces its second list with “Pursuant to Rule 16.1(b)(3), the report shall also address the parties’ initial views on: (A)–(G),” and then introduces the permissive catch-all with the same designation — “Pursuant to Rule 16.1(b)(3), the report may also include any other matters that the parties wish to bring to the court’s attention.” The permissive catch-all is Rule 16.1(b)(4).</w:t>
      </w:r>
    </w:p>
    <w:p>
      <w:pPr>
        <w:pStyle w:val="ListParagraph"/>
        <w:numPr>
          <w:ilvl w:val="0"/>
          <w:numId w:val="1"/>
        </w:numPr>
        <w:spacing w:after="120" w:line="276"/>
        <w:ind w:left="720" w:hanging="360"/>
      </w:pPr>
      <w:r>
        <w:rPr>
          <w:rFonts w:ascii="Times New Roman" w:cs="Times New Roman" w:eastAsia="Times New Roman" w:hAnsi="Times New Roman"/>
          <w:b/>
          <w:bCs/>
          <w:i w:val="false"/>
          <w:iCs w:val="false"/>
          <w:sz w:val="24"/>
          <w:szCs w:val="24"/>
        </w:rPr>
        <w:t xml:space="preserve">MDL 3170</w:t>
      </w:r>
      <w:r>
        <w:rPr>
          <w:rFonts w:ascii="Times New Roman" w:cs="Times New Roman" w:eastAsia="Times New Roman" w:hAnsi="Times New Roman"/>
          <w:b w:val="false"/>
          <w:bCs w:val="false"/>
          <w:i w:val="false"/>
          <w:iCs w:val="false"/>
          <w:sz w:val="24"/>
          <w:szCs w:val="24"/>
        </w:rPr>
        <w:t xml:space="preserve"> reproduces seventeen of the Rule’s eighteen enumerated report topics — all seven leadership sub-items of (b)(2)(A)(i)–(vii), all four of (b)(2)(B)–(E), and six of the seven in (b)(3) — omitting only </w:t>
      </w:r>
      <w:r>
        <w:rPr>
          <w:rFonts w:ascii="Times New Roman" w:cs="Times New Roman" w:eastAsia="Times New Roman" w:hAnsi="Times New Roman"/>
          <w:b/>
          <w:bCs/>
          <w:i w:val="false"/>
          <w:iCs w:val="false"/>
          <w:sz w:val="24"/>
          <w:szCs w:val="24"/>
        </w:rPr>
        <w:t xml:space="preserve">16.1(b)(3)(E)</w:t>
      </w:r>
      <w:r>
        <w:rPr>
          <w:rFonts w:ascii="Times New Roman" w:cs="Times New Roman" w:eastAsia="Times New Roman" w:hAnsi="Times New Roman"/>
          <w:b w:val="false"/>
          <w:bCs w:val="false"/>
          <w:i w:val="false"/>
          <w:iCs w:val="false"/>
          <w:sz w:val="24"/>
          <w:szCs w:val="24"/>
        </w:rPr>
        <w:t xml:space="preserve">, measures to facilitate resolving some or all of the actions. That order is otherwise the most faithful implementation of the Rule in the dataset.</w:t>
      </w:r>
    </w:p>
    <w:p>
      <w:pPr>
        <w:spacing w:after="160" w:line="276"/>
        <w:jc w:val="left"/>
      </w:pPr>
      <w:r>
        <w:rPr>
          <w:rFonts w:ascii="Times New Roman" w:cs="Times New Roman" w:eastAsia="Times New Roman" w:hAnsi="Times New Roman"/>
          <w:b w:val="false"/>
          <w:bCs w:val="false"/>
          <w:i w:val="false"/>
          <w:iCs w:val="false"/>
          <w:sz w:val="24"/>
          <w:szCs w:val="24"/>
        </w:rPr>
        <w:t xml:space="preserve">The pattern is not confined to the bench. The brief discussed in Part VI cites “Fed. R. Civ. P. 16.1(b)(3)” for the leadership provision, which is 16.1(b)(2)(A). Two subsection mislabels, one on the bench and one at the bar, in eight months, in a rule whose enumerated topics run to four levels of subdivision.</w:t>
      </w:r>
    </w:p>
    <w:p>
      <w:pPr>
        <w:spacing w:after="160" w:line="276"/>
        <w:jc w:val="left"/>
      </w:pPr>
      <w:r>
        <w:rPr>
          <w:rFonts w:ascii="Times New Roman" w:cs="Times New Roman" w:eastAsia="Times New Roman" w:hAnsi="Times New Roman"/>
          <w:b w:val="false"/>
          <w:bCs w:val="false"/>
          <w:i w:val="false"/>
          <w:iCs w:val="false"/>
          <w:sz w:val="24"/>
          <w:szCs w:val="24"/>
        </w:rPr>
        <w:t xml:space="preserve">I raise this in no critical spirit. The point is the opposite: </w:t>
      </w:r>
      <w:r>
        <w:rPr>
          <w:rFonts w:ascii="Times New Roman" w:cs="Times New Roman" w:eastAsia="Times New Roman" w:hAnsi="Times New Roman"/>
          <w:b/>
          <w:bCs/>
          <w:i w:val="false"/>
          <w:iCs w:val="false"/>
          <w:sz w:val="24"/>
          <w:szCs w:val="24"/>
        </w:rPr>
        <w:t xml:space="preserve">the two courts that tried hardest to follow the Rule exactly are the two that departed from it, because hand transcription is error-prone.</w:t>
      </w:r>
      <w:r>
        <w:rPr>
          <w:rFonts w:ascii="Times New Roman" w:cs="Times New Roman" w:eastAsia="Times New Roman" w:hAnsi="Times New Roman"/>
          <w:b w:val="false"/>
          <w:bCs w:val="false"/>
          <w:i w:val="false"/>
          <w:iCs w:val="false"/>
          <w:sz w:val="24"/>
          <w:szCs w:val="24"/>
        </w:rPr>
        <w:t xml:space="preserve"> A judge who wants to track Rule 16.1 closely has, at present, no authoritative form to work from and must retype eighteen enumerated items.</w:t>
      </w:r>
    </w:p>
    <w:p>
      <w:pPr>
        <w:spacing w:after="160" w:line="276"/>
        <w:jc w:val="left"/>
      </w:pPr>
      <w:r>
        <w:rPr>
          <w:rFonts w:ascii="Times New Roman" w:cs="Times New Roman" w:eastAsia="Times New Roman" w:hAnsi="Times New Roman"/>
          <w:b w:val="false"/>
          <w:bCs w:val="false"/>
          <w:i w:val="false"/>
          <w:iCs w:val="false"/>
          <w:sz w:val="24"/>
          <w:szCs w:val="24"/>
        </w:rPr>
        <w:t xml:space="preserve">There is also evidence that a gap propagates. In MDL 3170 the parties’ report tracks the court’s order item for item — and therefore contains no section answering 16.1(b)(3)(E) either. The parties answered the questions the order asked.</w:t>
      </w:r>
    </w:p>
    <w:p>
      <w:pPr>
        <w:spacing w:after="160" w:line="276"/>
        <w:jc w:val="left"/>
      </w:pPr>
      <w:r>
        <w:rPr>
          <w:rFonts w:ascii="Times New Roman" w:cs="Times New Roman" w:eastAsia="Times New Roman" w:hAnsi="Times New Roman"/>
          <w:b/>
          <w:bCs/>
          <w:i w:val="false"/>
          <w:iCs w:val="false"/>
          <w:sz w:val="24"/>
          <w:szCs w:val="24"/>
        </w:rPr>
        <w:t xml:space="preserve">Suggestion:</w:t>
      </w:r>
      <w:r>
        <w:rPr>
          <w:rFonts w:ascii="Times New Roman" w:cs="Times New Roman" w:eastAsia="Times New Roman" w:hAnsi="Times New Roman"/>
          <w:b w:val="false"/>
          <w:bCs w:val="false"/>
          <w:i w:val="false"/>
          <w:iCs w:val="false"/>
          <w:sz w:val="24"/>
          <w:szCs w:val="24"/>
        </w:rPr>
        <w:t xml:space="preserve"> that the Committee consider recommending publication of an official model Rule 16.1 initial management order, or a checklist of the (b)(2)–(b)(3) topics, through the Federal Judicial Center, the Manual for Complex Litigation, or the Committee’s own materials. This requires no rule amendment, costs essentially nothing, and would spare transferee courts the transcription work altogether.</w:t>
      </w:r>
    </w:p>
    <w:p>
      <w:pPr>
        <w:spacing w:after="160" w:before="320"/>
      </w:pPr>
      <w:r>
        <w:rPr>
          <w:rFonts w:ascii="Times New Roman" w:cs="Times New Roman" w:eastAsia="Times New Roman" w:hAnsi="Times New Roman"/>
          <w:b/>
          <w:bCs/>
          <w:sz w:val="24"/>
          <w:szCs w:val="24"/>
        </w:rPr>
        <w:t xml:space="preserve">V.  Suggestion two: whether the Rule 16.1(b)(1) report should be filed</w:t>
      </w:r>
    </w:p>
    <w:p>
      <w:pPr>
        <w:spacing w:after="160" w:line="276"/>
        <w:jc w:val="left"/>
      </w:pPr>
      <w:r>
        <w:rPr>
          <w:rFonts w:ascii="Times New Roman" w:cs="Times New Roman" w:eastAsia="Times New Roman" w:hAnsi="Times New Roman"/>
          <w:b w:val="false"/>
          <w:bCs w:val="false"/>
          <w:i w:val="false"/>
          <w:iCs w:val="false"/>
          <w:sz w:val="24"/>
          <w:szCs w:val="24"/>
        </w:rPr>
        <w:t xml:space="preserve">Two of the thirteen courts have directed the report — or its functional equivalent — to a chambers email address rather than the public docket:</w:t>
      </w:r>
    </w:p>
    <w:p>
      <w:pPr>
        <w:pStyle w:val="ListParagraph"/>
        <w:numPr>
          <w:ilvl w:val="0"/>
          <w:numId w:val="1"/>
        </w:numPr>
        <w:spacing w:after="120" w:line="276"/>
        <w:ind w:left="720" w:hanging="360"/>
      </w:pPr>
      <w:r>
        <w:rPr>
          <w:rFonts w:ascii="Times New Roman" w:cs="Times New Roman" w:eastAsia="Times New Roman" w:hAnsi="Times New Roman"/>
          <w:b/>
          <w:bCs/>
          <w:i w:val="false"/>
          <w:iCs w:val="false"/>
          <w:sz w:val="24"/>
          <w:szCs w:val="24"/>
        </w:rPr>
        <w:t xml:space="preserve">MDL 3163</w:t>
      </w:r>
      <w:r>
        <w:rPr>
          <w:rFonts w:ascii="Times New Roman" w:cs="Times New Roman" w:eastAsia="Times New Roman" w:hAnsi="Times New Roman"/>
          <w:b w:val="false"/>
          <w:bCs w:val="false"/>
          <w:i w:val="false"/>
          <w:iCs w:val="false"/>
          <w:sz w:val="24"/>
          <w:szCs w:val="24"/>
        </w:rPr>
        <w:t xml:space="preserve"> directs the parties’ position statements to a chambers email address and provides that they “should not be filed.”</w:t>
      </w:r>
    </w:p>
    <w:p>
      <w:pPr>
        <w:pStyle w:val="ListParagraph"/>
        <w:numPr>
          <w:ilvl w:val="0"/>
          <w:numId w:val="1"/>
        </w:numPr>
        <w:spacing w:after="120" w:line="276"/>
        <w:ind w:left="720" w:hanging="360"/>
      </w:pPr>
      <w:r>
        <w:rPr>
          <w:rFonts w:ascii="Times New Roman" w:cs="Times New Roman" w:eastAsia="Times New Roman" w:hAnsi="Times New Roman"/>
          <w:b/>
          <w:bCs/>
          <w:i w:val="false"/>
          <w:iCs w:val="false"/>
          <w:sz w:val="24"/>
          <w:szCs w:val="24"/>
        </w:rPr>
        <w:t xml:space="preserve">MDL 3172</w:t>
      </w:r>
      <w:r>
        <w:rPr>
          <w:rFonts w:ascii="Times New Roman" w:cs="Times New Roman" w:eastAsia="Times New Roman" w:hAnsi="Times New Roman"/>
          <w:b w:val="false"/>
          <w:bCs w:val="false"/>
          <w:i w:val="false"/>
          <w:iCs w:val="false"/>
          <w:sz w:val="24"/>
          <w:szCs w:val="24"/>
        </w:rPr>
        <w:t xml:space="preserve"> provides that the leadership proposals and the procedural-posture summaries “should be submitted only by email to” chambers.</w:t>
      </w:r>
    </w:p>
    <w:p>
      <w:pPr>
        <w:spacing w:after="160" w:line="276"/>
        <w:jc w:val="left"/>
      </w:pPr>
      <w:r>
        <w:rPr>
          <w:rFonts w:ascii="Times New Roman" w:cs="Times New Roman" w:eastAsia="Times New Roman" w:hAnsi="Times New Roman"/>
          <w:b w:val="false"/>
          <w:bCs w:val="false"/>
          <w:i w:val="false"/>
          <w:iCs w:val="false"/>
          <w:sz w:val="24"/>
          <w:szCs w:val="24"/>
        </w:rPr>
        <w:t xml:space="preserve">I want to be careful here. Nothing in Rule 16.1 requires the report to be filed, these are sensible case-management choices, and I intend no criticism of either court. But the consequence for the Committee is concrete and, I think, not obvious: </w:t>
      </w:r>
      <w:r>
        <w:rPr>
          <w:rFonts w:ascii="Times New Roman" w:cs="Times New Roman" w:eastAsia="Times New Roman" w:hAnsi="Times New Roman"/>
          <w:b/>
          <w:bCs/>
          <w:i w:val="false"/>
          <w:iCs w:val="false"/>
          <w:sz w:val="24"/>
          <w:szCs w:val="24"/>
        </w:rPr>
        <w:t xml:space="preserve">where the report does not reach the docket, no docket-based assessment of Rule 16.1 — including this one — can observe what the Rule actually produced.</w:t>
      </w:r>
      <w:r>
        <w:rPr>
          <w:rFonts w:ascii="Times New Roman" w:cs="Times New Roman" w:eastAsia="Times New Roman" w:hAnsi="Times New Roman"/>
          <w:b w:val="false"/>
          <w:bCs w:val="false"/>
          <w:i w:val="false"/>
          <w:iCs w:val="false"/>
          <w:sz w:val="24"/>
          <w:szCs w:val="24"/>
        </w:rPr>
        <w:t xml:space="preserve"> The orders remain visible; the filings the Rule governs do not. At two of thirteen the effect is modest. If the practice spreads, the Committee’s ability to evaluate its own rule degrades accordingly — and, as Part III shows, the reports are where the interesting information is.</w:t>
      </w:r>
    </w:p>
    <w:p>
      <w:pPr>
        <w:spacing w:after="160" w:line="276"/>
        <w:jc w:val="left"/>
      </w:pPr>
      <w:r>
        <w:rPr>
          <w:rFonts w:ascii="Times New Roman" w:cs="Times New Roman" w:eastAsia="Times New Roman" w:hAnsi="Times New Roman"/>
          <w:b/>
          <w:bCs/>
          <w:i w:val="false"/>
          <w:iCs w:val="false"/>
          <w:sz w:val="24"/>
          <w:szCs w:val="24"/>
        </w:rPr>
        <w:t xml:space="preserve">Suggestion:</w:t>
      </w:r>
      <w:r>
        <w:rPr>
          <w:rFonts w:ascii="Times New Roman" w:cs="Times New Roman" w:eastAsia="Times New Roman" w:hAnsi="Times New Roman"/>
          <w:b w:val="false"/>
          <w:bCs w:val="false"/>
          <w:i w:val="false"/>
          <w:iCs w:val="false"/>
          <w:sz w:val="24"/>
          <w:szCs w:val="24"/>
        </w:rPr>
        <w:t xml:space="preserve"> that the Committee consider whether guidance — in the Manual, in Federal Judicial Center materials, or if warranted in a future Committee Note — should address whether the Rule 16.1(b)(1) report is ordinarily to be filed on the docket, and note the consequences for evaluation when it is not.</w:t>
      </w:r>
    </w:p>
    <w:p>
      <w:pPr>
        <w:spacing w:after="160" w:before="320"/>
      </w:pPr>
      <w:r>
        <w:rPr>
          <w:rFonts w:ascii="Times New Roman" w:cs="Times New Roman" w:eastAsia="Times New Roman" w:hAnsi="Times New Roman"/>
          <w:b/>
          <w:bCs/>
          <w:sz w:val="24"/>
          <w:szCs w:val="24"/>
        </w:rPr>
        <w:t xml:space="preserve">VI.  Rule 16.1 is being invoked outside Section 1407</w:t>
      </w:r>
    </w:p>
    <w:p>
      <w:pPr>
        <w:spacing w:after="160" w:line="276"/>
        <w:jc w:val="left"/>
      </w:pPr>
      <w:r>
        <w:rPr>
          <w:rFonts w:ascii="Times New Roman" w:cs="Times New Roman" w:eastAsia="Times New Roman" w:hAnsi="Times New Roman"/>
          <w:b w:val="false"/>
          <w:bCs w:val="false"/>
          <w:i w:val="false"/>
          <w:iCs w:val="false"/>
          <w:sz w:val="24"/>
          <w:szCs w:val="24"/>
        </w:rPr>
        <w:t xml:space="preserve">One finding sits outside the MDL population and I report it because it would not otherwise reach the Committee. In </w:t>
      </w:r>
      <w:r>
        <w:rPr>
          <w:rFonts w:ascii="Times New Roman" w:cs="Times New Roman" w:eastAsia="Times New Roman" w:hAnsi="Times New Roman"/>
          <w:b w:val="false"/>
          <w:bCs w:val="false"/>
          <w:i/>
          <w:iCs/>
          <w:sz w:val="24"/>
          <w:szCs w:val="24"/>
        </w:rPr>
        <w:t xml:space="preserve">In re FedEx Tariff Litigation</w:t>
      </w:r>
      <w:r>
        <w:rPr>
          <w:rFonts w:ascii="Times New Roman" w:cs="Times New Roman" w:eastAsia="Times New Roman" w:hAnsi="Times New Roman"/>
          <w:b w:val="false"/>
          <w:bCs w:val="false"/>
          <w:i w:val="false"/>
          <w:iCs w:val="false"/>
          <w:sz w:val="24"/>
          <w:szCs w:val="24"/>
        </w:rPr>
        <w:t xml:space="preserve">, No. 2:26-cv-02181 (W.D. Tenn.) — a single-district consolidation, not a Panel transfer — counsel opposing competing leadership motions briefed Rule 16.1 as persuasive authority, twice acknowledging that it does not apply:</w:t>
      </w:r>
    </w:p>
    <w:p>
      <w:pPr>
        <w:spacing w:after="160" w:before="120" w:line="276"/>
        <w:ind w:left="720" w:right="720"/>
      </w:pPr>
      <w:r>
        <w:rPr>
          <w:rFonts w:ascii="Times New Roman" w:cs="Times New Roman" w:eastAsia="Times New Roman" w:hAnsi="Times New Roman"/>
          <w:i/>
          <w:iCs/>
          <w:sz w:val="24"/>
          <w:szCs w:val="24"/>
        </w:rPr>
        <w:t xml:space="preserve">“Although new Rule 16.1, effective December 1, 2025, governs Section 1407 proceedings and so does not control this consolidation, its leadership instruction is squarely on point and reflects the considered judgment of the federal rulemakers …”</w:t>
      </w:r>
    </w:p>
    <w:p>
      <w:pPr>
        <w:spacing w:after="160" w:line="276"/>
        <w:jc w:val="left"/>
      </w:pPr>
      <w:r>
        <w:rPr>
          <w:rFonts w:ascii="Times New Roman" w:cs="Times New Roman" w:eastAsia="Times New Roman" w:hAnsi="Times New Roman"/>
          <w:b w:val="false"/>
          <w:bCs w:val="false"/>
          <w:i w:val="false"/>
          <w:iCs w:val="false"/>
          <w:sz w:val="24"/>
          <w:szCs w:val="24"/>
        </w:rPr>
        <w:t xml:space="preserve">The brief then treats the Rule as interchangeable with existing authority — “[w]hether the source is Rule 23(g)(1)(B), the Duke Guidelines, or the Rule 16.1 leadership note, the federal standard is the same” — and urges the court to follow “the [course] the federal rulemakers have now modeled in Rule 16.1: to address the structure and responsibilities of leadership at an initial management conference, on the parties’ submissions.”</w:t>
      </w:r>
    </w:p>
    <w:p>
      <w:pPr>
        <w:spacing w:after="160" w:line="276"/>
        <w:jc w:val="left"/>
      </w:pPr>
      <w:r>
        <w:rPr>
          <w:rFonts w:ascii="Times New Roman" w:cs="Times New Roman" w:eastAsia="Times New Roman" w:hAnsi="Times New Roman"/>
          <w:b w:val="false"/>
          <w:bCs w:val="false"/>
          <w:i w:val="false"/>
          <w:iCs w:val="false"/>
          <w:sz w:val="24"/>
          <w:szCs w:val="24"/>
        </w:rPr>
        <w:t xml:space="preserve">Two observations. First, if this recurs, </w:t>
      </w:r>
      <w:r>
        <w:rPr>
          <w:rFonts w:ascii="Times New Roman" w:cs="Times New Roman" w:eastAsia="Times New Roman" w:hAnsi="Times New Roman"/>
          <w:b/>
          <w:bCs/>
          <w:i w:val="false"/>
          <w:iCs w:val="false"/>
          <w:sz w:val="24"/>
          <w:szCs w:val="24"/>
        </w:rPr>
        <w:t xml:space="preserve">Rule 16.1 is beginning to operate as a general standard for leadership appointment in aggregate litigation, beyond the population it addresses</w:t>
      </w:r>
      <w:r>
        <w:rPr>
          <w:rFonts w:ascii="Times New Roman" w:cs="Times New Roman" w:eastAsia="Times New Roman" w:hAnsi="Times New Roman"/>
          <w:b w:val="false"/>
          <w:bCs w:val="false"/>
          <w:i w:val="false"/>
          <w:iCs w:val="false"/>
          <w:sz w:val="24"/>
          <w:szCs w:val="24"/>
        </w:rPr>
        <w:t xml:space="preserve"> — which no MDL-scoped study would detect. Second, every substantive proposition in that brief is sourced to the </w:t>
      </w:r>
      <w:r>
        <w:rPr>
          <w:rFonts w:ascii="Times New Roman" w:cs="Times New Roman" w:eastAsia="Times New Roman" w:hAnsi="Times New Roman"/>
          <w:b w:val="false"/>
          <w:bCs w:val="false"/>
          <w:i/>
          <w:iCs/>
          <w:sz w:val="24"/>
          <w:szCs w:val="24"/>
        </w:rPr>
        <w:t xml:space="preserve">Advisory Committee Note</w:t>
      </w:r>
      <w:r>
        <w:rPr>
          <w:rFonts w:ascii="Times New Roman" w:cs="Times New Roman" w:eastAsia="Times New Roman" w:hAnsi="Times New Roman"/>
          <w:b w:val="false"/>
          <w:bCs w:val="false"/>
          <w:i w:val="false"/>
          <w:iCs w:val="false"/>
          <w:sz w:val="24"/>
          <w:szCs w:val="24"/>
        </w:rPr>
        <w:t xml:space="preserve">, not to the Rule text. That is unsurprising, since the Rule itself supplies no leadership-selection criteria; but it means the operative content of Rule 16.1, as the bar is using it, currently resides in the Note. The same is true of the MDL 3170 report, which quotes the Note four times and also cites written testimony submitted to this Committee on the proposed Rule.</w:t>
      </w:r>
    </w:p>
    <w:p>
      <w:pPr>
        <w:spacing w:after="160" w:before="320"/>
      </w:pPr>
      <w:r>
        <w:rPr>
          <w:rFonts w:ascii="Times New Roman" w:cs="Times New Roman" w:eastAsia="Times New Roman" w:hAnsi="Times New Roman"/>
          <w:b/>
          <w:bCs/>
          <w:sz w:val="24"/>
          <w:szCs w:val="24"/>
        </w:rPr>
        <w:t xml:space="preserve">VII.  Data responsive to questions already before the Committee</w:t>
      </w:r>
    </w:p>
    <w:p>
      <w:pPr>
        <w:spacing w:after="160" w:line="276"/>
        <w:jc w:val="left"/>
      </w:pPr>
      <w:r>
        <w:rPr>
          <w:rFonts w:ascii="Times New Roman" w:cs="Times New Roman" w:eastAsia="Times New Roman" w:hAnsi="Times New Roman"/>
          <w:b/>
          <w:bCs/>
          <w:i w:val="false"/>
          <w:iCs w:val="false"/>
          <w:sz w:val="24"/>
          <w:szCs w:val="24"/>
        </w:rPr>
        <w:t xml:space="preserve">Third-party litigation funding: zero of thirteen.</w:t>
      </w:r>
      <w:r>
        <w:rPr>
          <w:rFonts w:ascii="Times New Roman" w:cs="Times New Roman" w:eastAsia="Times New Roman" w:hAnsi="Times New Roman"/>
          <w:b w:val="false"/>
          <w:bCs w:val="false"/>
          <w:i w:val="false"/>
          <w:iCs w:val="false"/>
          <w:sz w:val="24"/>
          <w:szCs w:val="24"/>
        </w:rPr>
        <w:t xml:space="preserve"> No order in the dataset requires disclosure of third-party litigation funding, under the Rule 16.1(b)(4) catch-all or otherwise. TPLF disclosure was deliberately omitted from Rule 16.1, and the April 14, 2026 agenda book reflects the funding subcommittee’s continuing work. Whether courts would order disclosure anyway under “any other matter” appears, so far, to be answered in the negative in every post-effective-date MDL I can read. I coded this variable in every row from the outset precisely so that the denominator would be meaningful, and I will continue to report it.</w:t>
      </w:r>
    </w:p>
    <w:p>
      <w:pPr>
        <w:spacing w:after="160" w:line="276"/>
        <w:jc w:val="left"/>
      </w:pPr>
      <w:r>
        <w:rPr>
          <w:rFonts w:ascii="Times New Roman" w:cs="Times New Roman" w:eastAsia="Times New Roman" w:hAnsi="Times New Roman"/>
          <w:b/>
          <w:bCs/>
          <w:i w:val="false"/>
          <w:iCs w:val="false"/>
          <w:sz w:val="24"/>
          <w:szCs w:val="24"/>
        </w:rPr>
        <w:t xml:space="preserve">Census orders and plaintiff fact sheets: none ordered — and where a court asked, both sides said no.</w:t>
      </w:r>
      <w:r>
        <w:rPr>
          <w:rFonts w:ascii="Times New Roman" w:cs="Times New Roman" w:eastAsia="Times New Roman" w:hAnsi="Times New Roman"/>
          <w:b w:val="false"/>
          <w:bCs w:val="false"/>
          <w:i w:val="false"/>
          <w:iCs w:val="false"/>
          <w:sz w:val="24"/>
          <w:szCs w:val="24"/>
        </w:rPr>
        <w:t xml:space="preserve"> Mandatory plaintiff-side vetting was sought during rulemaking and not adopted. Across thirteen orders, one court asked whether “an initial census or some similar process would be beneficial” without ordering one (MDL 3162); one raised a court-initiated census as a conference topic, stating that “[t]he Court is interested in generating an initial census” (MDL 3163); and one inverted the mechanism, directing the </w:t>
      </w:r>
      <w:r>
        <w:rPr>
          <w:rFonts w:ascii="Times New Roman" w:cs="Times New Roman" w:eastAsia="Times New Roman" w:hAnsi="Times New Roman"/>
          <w:b w:val="false"/>
          <w:bCs w:val="false"/>
          <w:i/>
          <w:iCs/>
          <w:sz w:val="24"/>
          <w:szCs w:val="24"/>
        </w:rPr>
        <w:t xml:space="preserve">defendant</w:t>
      </w:r>
      <w:r>
        <w:rPr>
          <w:rFonts w:ascii="Times New Roman" w:cs="Times New Roman" w:eastAsia="Times New Roman" w:hAnsi="Times New Roman"/>
          <w:b w:val="false"/>
          <w:bCs w:val="false"/>
          <w:i w:val="false"/>
          <w:iCs w:val="false"/>
          <w:sz w:val="24"/>
          <w:szCs w:val="24"/>
        </w:rPr>
        <w:t xml:space="preserve"> to produce a case inventory charting every member and tag-along action (MDL 3171). No court has ordered a plaintiff fact sheet or census from plaintiffs in an initial management order.</w:t>
      </w:r>
    </w:p>
    <w:p>
      <w:pPr>
        <w:spacing w:after="160" w:line="276"/>
        <w:jc w:val="left"/>
      </w:pPr>
      <w:r>
        <w:rPr>
          <w:rFonts w:ascii="Times New Roman" w:cs="Times New Roman" w:eastAsia="Times New Roman" w:hAnsi="Times New Roman"/>
          <w:b w:val="false"/>
          <w:bCs w:val="false"/>
          <w:i w:val="false"/>
          <w:iCs w:val="false"/>
          <w:sz w:val="24"/>
          <w:szCs w:val="24"/>
        </w:rPr>
        <w:t xml:space="preserve">The answer in MDL 3162 is worth setting out, because it is the only instance in which a court put the question to the parties and received a considered answer. Section O of the joint report reads, in its entirety: </w:t>
      </w:r>
      <w:r>
        <w:rPr>
          <w:rFonts w:ascii="Times New Roman" w:cs="Times New Roman" w:eastAsia="Times New Roman" w:hAnsi="Times New Roman"/>
          <w:b w:val="false"/>
          <w:bCs w:val="false"/>
          <w:i/>
          <w:iCs/>
          <w:sz w:val="24"/>
          <w:szCs w:val="24"/>
        </w:rPr>
        <w:t xml:space="preserve">“At this time, the Parties do not see the benefit or utility of conducting a census of the current consolidated or future filed cases.”</w:t>
      </w:r>
      <w:r>
        <w:rPr>
          <w:rFonts w:ascii="Times New Roman" w:cs="Times New Roman" w:eastAsia="Times New Roman" w:hAnsi="Times New Roman"/>
          <w:b w:val="false"/>
          <w:bCs w:val="false"/>
          <w:i w:val="false"/>
          <w:iCs w:val="false"/>
          <w:sz w:val="24"/>
          <w:szCs w:val="24"/>
        </w:rPr>
        <w:t xml:space="preserve"> That is a </w:t>
      </w:r>
      <w:r>
        <w:rPr>
          <w:rFonts w:ascii="Times New Roman" w:cs="Times New Roman" w:eastAsia="Times New Roman" w:hAnsi="Times New Roman"/>
          <w:b/>
          <w:bCs/>
          <w:i w:val="false"/>
          <w:iCs w:val="false"/>
          <w:sz w:val="24"/>
          <w:szCs w:val="24"/>
        </w:rPr>
        <w:t xml:space="preserve">joint</w:t>
      </w:r>
      <w:r>
        <w:rPr>
          <w:rFonts w:ascii="Times New Roman" w:cs="Times New Roman" w:eastAsia="Times New Roman" w:hAnsi="Times New Roman"/>
          <w:b w:val="false"/>
          <w:bCs w:val="false"/>
          <w:i w:val="false"/>
          <w:iCs w:val="false"/>
          <w:sz w:val="24"/>
          <w:szCs w:val="24"/>
        </w:rPr>
        <w:t xml:space="preserve"> position of plaintiffs and defendants. Where a court asked, the defense did not press for the mechanism the defense bar sought in rulemaking.</w:t>
      </w:r>
    </w:p>
    <w:p>
      <w:pPr>
        <w:spacing w:after="160" w:line="276"/>
        <w:jc w:val="left"/>
      </w:pPr>
      <w:r>
        <w:rPr>
          <w:rFonts w:ascii="Times New Roman" w:cs="Times New Roman" w:eastAsia="Times New Roman" w:hAnsi="Times New Roman"/>
          <w:b w:val="false"/>
          <w:bCs w:val="false"/>
          <w:i w:val="false"/>
          <w:iCs w:val="false"/>
          <w:sz w:val="24"/>
          <w:szCs w:val="24"/>
        </w:rPr>
        <w:t xml:space="preserve">That MDL is also the only one in which a court told the parties how to operationalize 16.1(b)(3)(B), the contested factual-basis-exchange topic — and it operationalized it as a question about Rule 26(a)(1). The order asks the parties to address “how and when the parties will exchange information about the factual bases for their claims and defenses, </w:t>
      </w:r>
      <w:r>
        <w:rPr>
          <w:rFonts w:ascii="Times New Roman" w:cs="Times New Roman" w:eastAsia="Times New Roman" w:hAnsi="Times New Roman"/>
          <w:b w:val="false"/>
          <w:bCs w:val="false"/>
          <w:i/>
          <w:iCs/>
          <w:sz w:val="24"/>
          <w:szCs w:val="24"/>
        </w:rPr>
        <w:t xml:space="preserve">including whether the parties should stipulate to dispense with the initial disclosures required by Rule 26(a)(1) … and, if not, what if any changes should be made in the scope, form or timing of those disclosures.</w:t>
      </w:r>
      <w:r>
        <w:rPr>
          <w:rFonts w:ascii="Times New Roman" w:cs="Times New Roman" w:eastAsia="Times New Roman" w:hAnsi="Times New Roman"/>
          <w:b w:val="false"/>
          <w:bCs w:val="false"/>
          <w:i w:val="false"/>
          <w:iCs w:val="false"/>
          <w:sz w:val="24"/>
          <w:szCs w:val="24"/>
        </w:rPr>
        <w:t xml:space="preserve">” The parties answered under a heading named for initial disclosures. In the one MDL where the (b)(3)(B) question was actually worked through, </w:t>
      </w:r>
      <w:r>
        <w:rPr>
          <w:rFonts w:ascii="Times New Roman" w:cs="Times New Roman" w:eastAsia="Times New Roman" w:hAnsi="Times New Roman"/>
          <w:b/>
          <w:bCs/>
          <w:i w:val="false"/>
          <w:iCs w:val="false"/>
          <w:sz w:val="24"/>
          <w:szCs w:val="24"/>
        </w:rPr>
        <w:t xml:space="preserve">it became a question about initial disclosures, not about plaintiff fact sheets.</w:t>
      </w:r>
    </w:p>
    <w:p>
      <w:pPr>
        <w:spacing w:after="160" w:line="276"/>
        <w:jc w:val="left"/>
      </w:pPr>
      <w:r>
        <w:rPr>
          <w:rFonts w:ascii="Times New Roman" w:cs="Times New Roman" w:eastAsia="Times New Roman" w:hAnsi="Times New Roman"/>
          <w:b/>
          <w:bCs/>
          <w:i w:val="false"/>
          <w:iCs w:val="false"/>
          <w:sz w:val="24"/>
          <w:szCs w:val="24"/>
        </w:rPr>
        <w:t xml:space="preserve">Leadership compensation is being addressed earlier than the Committee Note contemplates.</w:t>
      </w:r>
      <w:r>
        <w:rPr>
          <w:rFonts w:ascii="Times New Roman" w:cs="Times New Roman" w:eastAsia="Times New Roman" w:hAnsi="Times New Roman"/>
          <w:b w:val="false"/>
          <w:bCs w:val="false"/>
          <w:i w:val="false"/>
          <w:iCs w:val="false"/>
          <w:sz w:val="24"/>
          <w:szCs w:val="24"/>
        </w:rPr>
        <w:t xml:space="preserve"> The Note advises that compensation is ordinarily best deferred until well into the proceedings. Four of thirteen orders address it at the outset; the most explicit requires lead-counsel applicants to state the “[a]ttorney fee proposals, rates, and/or percentages that applicants expect to seek if the litigation succeeds in creating a common fund” (MDL 3181). The MDL 3170 report takes the opposite position — plaintiffs’ counsel argue the discussion is “probably premature at this time” and should be “deferred until at least a second case management conference,” citing the Note. On this record the front-loading appears to originate with courts rather than with the bar.</w:t>
      </w:r>
    </w:p>
    <w:p>
      <w:pPr>
        <w:spacing w:after="160" w:before="320"/>
      </w:pPr>
      <w:r>
        <w:rPr>
          <w:rFonts w:ascii="Times New Roman" w:cs="Times New Roman" w:eastAsia="Times New Roman" w:hAnsi="Times New Roman"/>
          <w:b/>
          <w:bCs/>
          <w:sz w:val="24"/>
          <w:szCs w:val="24"/>
        </w:rPr>
        <w:t xml:space="preserve">VIII.  Limitations</w:t>
      </w:r>
    </w:p>
    <w:p>
      <w:pPr>
        <w:spacing w:after="160" w:line="276"/>
        <w:jc w:val="left"/>
      </w:pPr>
      <w:r>
        <w:rPr>
          <w:rFonts w:ascii="Times New Roman" w:cs="Times New Roman" w:eastAsia="Times New Roman" w:hAnsi="Times New Roman"/>
          <w:b w:val="false"/>
          <w:bCs w:val="false"/>
          <w:i w:val="false"/>
          <w:iCs w:val="false"/>
          <w:sz w:val="24"/>
          <w:szCs w:val="24"/>
        </w:rPr>
        <w:t xml:space="preserve">I state these plainly because the Committee should discount the data accordingly.</w:t>
      </w:r>
    </w:p>
    <w:p>
      <w:pPr>
        <w:pStyle w:val="ListParagraph"/>
        <w:numPr>
          <w:ilvl w:val="0"/>
          <w:numId w:val="1"/>
        </w:numPr>
        <w:spacing w:after="120" w:line="276"/>
        <w:ind w:left="720" w:hanging="360"/>
      </w:pPr>
      <w:r>
        <w:rPr>
          <w:rFonts w:ascii="Times New Roman" w:cs="Times New Roman" w:eastAsia="Times New Roman" w:hAnsi="Times New Roman"/>
          <w:b/>
          <w:bCs/>
          <w:i w:val="false"/>
          <w:iCs w:val="false"/>
          <w:sz w:val="24"/>
          <w:szCs w:val="24"/>
        </w:rPr>
        <w:t xml:space="preserve">Coverage is thirteen of sixteen.</w:t>
      </w:r>
      <w:r>
        <w:rPr>
          <w:rFonts w:ascii="Times New Roman" w:cs="Times New Roman" w:eastAsia="Times New Roman" w:hAnsi="Times New Roman"/>
          <w:b w:val="false"/>
          <w:bCs w:val="false"/>
          <w:i w:val="false"/>
          <w:iCs w:val="false"/>
          <w:sz w:val="24"/>
          <w:szCs w:val="24"/>
        </w:rPr>
        <w:t xml:space="preserve"> Two orders exist but I have not read them: MDL 3180 (a free public copy has been located but not yet reviewed) and MDL 3187 (four orders appear on the docket, none available in the free RECAP archive). One MDL, No. 3176, has issued no qualifying order at all — a finding about that proceeding, not a gap, and reported separately. I do not merge the two categories.</w:t>
      </w:r>
    </w:p>
    <w:p>
      <w:pPr>
        <w:pStyle w:val="ListParagraph"/>
        <w:numPr>
          <w:ilvl w:val="0"/>
          <w:numId w:val="1"/>
        </w:numPr>
        <w:spacing w:after="120" w:line="276"/>
        <w:ind w:left="720" w:hanging="360"/>
      </w:pPr>
      <w:r>
        <w:rPr>
          <w:rFonts w:ascii="Times New Roman" w:cs="Times New Roman" w:eastAsia="Times New Roman" w:hAnsi="Times New Roman"/>
          <w:b/>
          <w:bCs/>
          <w:i w:val="false"/>
          <w:iCs w:val="false"/>
          <w:sz w:val="24"/>
          <w:szCs w:val="24"/>
        </w:rPr>
        <w:t xml:space="preserve">The report layer is N of two read, three known.</w:t>
      </w:r>
      <w:r>
        <w:rPr>
          <w:rFonts w:ascii="Times New Roman" w:cs="Times New Roman" w:eastAsia="Times New Roman" w:hAnsi="Times New Roman"/>
          <w:b w:val="false"/>
          <w:bCs w:val="false"/>
          <w:i w:val="false"/>
          <w:iCs w:val="false"/>
          <w:sz w:val="24"/>
          <w:szCs w:val="24"/>
        </w:rPr>
        <w:t xml:space="preserve"> Nothing in Part III supports a general claim. Both readable reports were read in full and are quoted rather than characterized; the third is described only as its own parties described it.</w:t>
      </w:r>
    </w:p>
    <w:p>
      <w:pPr>
        <w:pStyle w:val="ListParagraph"/>
        <w:numPr>
          <w:ilvl w:val="0"/>
          <w:numId w:val="1"/>
        </w:numPr>
        <w:spacing w:after="120" w:line="276"/>
        <w:ind w:left="720" w:hanging="360"/>
      </w:pPr>
      <w:r>
        <w:rPr>
          <w:rFonts w:ascii="Times New Roman" w:cs="Times New Roman" w:eastAsia="Times New Roman" w:hAnsi="Times New Roman"/>
          <w:b/>
          <w:bCs/>
          <w:i w:val="false"/>
          <w:iCs w:val="false"/>
          <w:sz w:val="24"/>
          <w:szCs w:val="24"/>
        </w:rPr>
        <w:t xml:space="preserve">One coder, no second-rater.</w:t>
      </w:r>
      <w:r>
        <w:rPr>
          <w:rFonts w:ascii="Times New Roman" w:cs="Times New Roman" w:eastAsia="Times New Roman" w:hAnsi="Times New Roman"/>
          <w:b w:val="false"/>
          <w:bCs w:val="false"/>
          <w:i w:val="false"/>
          <w:iCs w:val="false"/>
          <w:sz w:val="24"/>
          <w:szCs w:val="24"/>
        </w:rPr>
        <w:t xml:space="preserve"> There is no inter-coder reliability statistic. Every coding decision carries a pin cite so that any disagreement is with a quotation rather than with my judgment.</w:t>
      </w:r>
    </w:p>
    <w:p>
      <w:pPr>
        <w:pStyle w:val="ListParagraph"/>
        <w:numPr>
          <w:ilvl w:val="0"/>
          <w:numId w:val="1"/>
        </w:numPr>
        <w:spacing w:after="120" w:line="276"/>
        <w:ind w:left="720" w:hanging="360"/>
      </w:pPr>
      <w:r>
        <w:rPr>
          <w:rFonts w:ascii="Times New Roman" w:cs="Times New Roman" w:eastAsia="Times New Roman" w:hAnsi="Times New Roman"/>
          <w:b/>
          <w:bCs/>
          <w:i w:val="false"/>
          <w:iCs w:val="false"/>
          <w:sz w:val="24"/>
          <w:szCs w:val="24"/>
        </w:rPr>
        <w:t xml:space="preserve">Initial orders only, with one exception.</w:t>
      </w:r>
      <w:r>
        <w:rPr>
          <w:rFonts w:ascii="Times New Roman" w:cs="Times New Roman" w:eastAsia="Times New Roman" w:hAnsi="Times New Roman"/>
          <w:b w:val="false"/>
          <w:bCs w:val="false"/>
          <w:i w:val="false"/>
          <w:iCs w:val="false"/>
          <w:sz w:val="24"/>
          <w:szCs w:val="24"/>
        </w:rPr>
        <w:t xml:space="preserve"> I have coded the initial management order in each MDL, not the full run of subsequent case management orders. Later orders may invoke the Rule where the first did not — as one already has, in MDL 3175.</w:t>
      </w:r>
    </w:p>
    <w:p>
      <w:pPr>
        <w:pStyle w:val="ListParagraph"/>
        <w:numPr>
          <w:ilvl w:val="0"/>
          <w:numId w:val="1"/>
        </w:numPr>
        <w:spacing w:after="120" w:line="276"/>
        <w:ind w:left="720" w:hanging="360"/>
      </w:pPr>
      <w:r>
        <w:rPr>
          <w:rFonts w:ascii="Times New Roman" w:cs="Times New Roman" w:eastAsia="Times New Roman" w:hAnsi="Times New Roman"/>
          <w:b/>
          <w:bCs/>
          <w:i w:val="false"/>
          <w:iCs w:val="false"/>
          <w:sz w:val="24"/>
          <w:szCs w:val="24"/>
        </w:rPr>
        <w:t xml:space="preserve">N is small and the Rule is eight months old.</w:t>
      </w:r>
      <w:r>
        <w:rPr>
          <w:rFonts w:ascii="Times New Roman" w:cs="Times New Roman" w:eastAsia="Times New Roman" w:hAnsi="Times New Roman"/>
          <w:b w:val="false"/>
          <w:bCs w:val="false"/>
          <w:i w:val="false"/>
          <w:iCs w:val="false"/>
          <w:sz w:val="24"/>
          <w:szCs w:val="24"/>
        </w:rPr>
        <w:t xml:space="preserve"> Nothing here supports a claim about long-run practice. It supports a claim about the first eight months, which is the only period there is.</w:t>
      </w:r>
    </w:p>
    <w:p>
      <w:pPr>
        <w:spacing w:after="160" w:before="320"/>
      </w:pPr>
      <w:r>
        <w:rPr>
          <w:rFonts w:ascii="Times New Roman" w:cs="Times New Roman" w:eastAsia="Times New Roman" w:hAnsi="Times New Roman"/>
          <w:b/>
          <w:bCs/>
          <w:sz w:val="24"/>
          <w:szCs w:val="24"/>
        </w:rPr>
        <w:t xml:space="preserve">IX.  Availability</w:t>
      </w:r>
    </w:p>
    <w:p>
      <w:pPr>
        <w:spacing w:after="160" w:line="276"/>
        <w:jc w:val="left"/>
      </w:pPr>
      <w:r>
        <w:rPr>
          <w:rFonts w:ascii="Times New Roman" w:cs="Times New Roman" w:eastAsia="Times New Roman" w:hAnsi="Times New Roman"/>
          <w:b w:val="false"/>
          <w:bCs w:val="false"/>
          <w:i w:val="false"/>
          <w:iCs w:val="false"/>
          <w:sz w:val="24"/>
          <w:szCs w:val="24"/>
        </w:rPr>
        <w:t xml:space="preserve">The dataset, the party-invocation table, the coding protocol, and the full findings log are public, free, and licensed CC-BY at [URL], and archived with a permanent identifier at [DOI]. Every source is linked to a free, stable CourtListener document or to the transferee court’s own published copy; none requires a PACER account. The coding protocol, including the rules for NOT ADDRESSED versus NO and the instruction to undercount, is published alongside the data so that any reader can audit or contest a coding decision.</w:t>
      </w:r>
    </w:p>
    <w:p>
      <w:pPr>
        <w:spacing w:after="160" w:line="276"/>
        <w:jc w:val="left"/>
      </w:pPr>
      <w:r>
        <w:rPr>
          <w:rFonts w:ascii="Times New Roman" w:cs="Times New Roman" w:eastAsia="Times New Roman" w:hAnsi="Times New Roman"/>
          <w:b w:val="false"/>
          <w:bCs w:val="false"/>
          <w:i w:val="false"/>
          <w:iCs w:val="false"/>
          <w:sz w:val="24"/>
          <w:szCs w:val="24"/>
        </w:rPr>
        <w:t xml:space="preserve">I would be glad to provide the underlying documents, a per-MDL breakdown of any variable, or the data in another format at the Committee’s or the reporters’ convenience. I will continue to update the dataset monthly against the Panel’s report and can supply a refreshed version at any point in the Committee’s cycle.</w:t>
      </w:r>
    </w:p>
    <w:p>
      <w:pPr>
        <w:spacing w:after="320" w:line="276"/>
        <w:jc w:val="left"/>
      </w:pPr>
      <w:r>
        <w:rPr>
          <w:rFonts w:ascii="Times New Roman" w:cs="Times New Roman" w:eastAsia="Times New Roman" w:hAnsi="Times New Roman"/>
          <w:b w:val="false"/>
          <w:bCs w:val="false"/>
          <w:i w:val="false"/>
          <w:iCs w:val="false"/>
          <w:sz w:val="24"/>
          <w:szCs w:val="24"/>
        </w:rPr>
        <w:t xml:space="preserve">Thank you for your consideration.</w:t>
      </w:r>
    </w:p>
    <w:p>
      <w:pPr>
        <w:spacing w:after="480" w:line="276"/>
        <w:jc w:val="left"/>
      </w:pPr>
      <w:r>
        <w:rPr>
          <w:rFonts w:ascii="Times New Roman" w:cs="Times New Roman" w:eastAsia="Times New Roman" w:hAnsi="Times New Roman"/>
          <w:b w:val="false"/>
          <w:bCs w:val="false"/>
          <w:i w:val="false"/>
          <w:iCs w:val="false"/>
          <w:sz w:val="24"/>
          <w:szCs w:val="24"/>
        </w:rPr>
        <w:t xml:space="preserve">Respectfully submitted,</w:t>
      </w:r>
    </w:p>
    <w:p>
      <w:pPr>
        <w:spacing w:after="0" w:line="276"/>
        <w:jc w:val="left"/>
      </w:pPr>
      <w:r>
        <w:rPr>
          <w:rFonts w:ascii="Times New Roman" w:cs="Times New Roman" w:eastAsia="Times New Roman" w:hAnsi="Times New Roman"/>
          <w:b/>
          <w:bCs/>
          <w:i w:val="false"/>
          <w:iCs w:val="false"/>
          <w:sz w:val="24"/>
          <w:szCs w:val="24"/>
        </w:rPr>
        <w:t xml:space="preserve">[FULL NAME]</w:t>
      </w:r>
    </w:p>
    <w:p>
      <w:pPr>
        <w:spacing w:after="0" w:line="276"/>
        <w:jc w:val="left"/>
      </w:pPr>
      <w:r>
        <w:rPr>
          <w:rFonts w:ascii="Times New Roman" w:cs="Times New Roman" w:eastAsia="Times New Roman" w:hAnsi="Times New Roman"/>
          <w:b w:val="false"/>
          <w:bCs w:val="false"/>
          <w:i w:val="false"/>
          <w:iCs w:val="false"/>
          <w:sz w:val="24"/>
          <w:szCs w:val="24"/>
        </w:rPr>
        <w:t xml:space="preserve">J.D. Candidate, 2027</w:t>
      </w:r>
    </w:p>
    <w:p>
      <w:pPr>
        <w:spacing w:after="0" w:line="276"/>
        <w:jc w:val="left"/>
      </w:pPr>
      <w:r>
        <w:rPr>
          <w:rFonts w:ascii="Times New Roman" w:cs="Times New Roman" w:eastAsia="Times New Roman" w:hAnsi="Times New Roman"/>
          <w:b w:val="false"/>
          <w:bCs w:val="false"/>
          <w:i w:val="false"/>
          <w:iCs w:val="false"/>
          <w:sz w:val="24"/>
          <w:szCs w:val="24"/>
        </w:rPr>
        <w:t xml:space="preserve">New York University School of Law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Suggestion Concerning Fed. R. Civ. P. 16.1</dc:title>
  <dc:creator>[FULL NAME]</dc:creator>
  <cp:lastModifiedBy>Un-named</cp:lastModifiedBy>
  <cp:revision>1</cp:revision>
  <dcterms:created xsi:type="dcterms:W3CDTF">2026-08-11T15:49:49.552Z</dcterms:created>
  <dcterms:modified xsi:type="dcterms:W3CDTF">2026-08-11T15:49:49.554Z</dcterms:modified>
</cp:coreProperties>
</file>

<file path=docProps/custom.xml><?xml version="1.0" encoding="utf-8"?>
<Properties xmlns="http://schemas.openxmlformats.org/officeDocument/2006/custom-properties" xmlns:vt="http://schemas.openxmlformats.org/officeDocument/2006/docPropsVTypes"/>
</file>