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0422D" w14:textId="77777777" w:rsidR="00A865F7" w:rsidRDefault="00A865F7" w:rsidP="00A865F7">
      <w:pPr>
        <w:tabs>
          <w:tab w:val="left" w:pos="9270"/>
        </w:tabs>
        <w:spacing w:after="0" w:line="480" w:lineRule="auto"/>
        <w:rPr>
          <w:rFonts w:cs="Times New Roman"/>
        </w:rPr>
      </w:pPr>
      <w:r>
        <w:rPr>
          <w:rFonts w:cs="Times New Roman"/>
          <w:b/>
          <w:bCs/>
          <w:u w:val="single"/>
        </w:rPr>
        <w:t>Title:</w:t>
      </w:r>
      <w:r w:rsidRPr="0057028B">
        <w:rPr>
          <w:rFonts w:cs="Times New Roman"/>
        </w:rPr>
        <w:t xml:space="preserve">  </w:t>
      </w:r>
      <w:bookmarkStart w:id="0" w:name="_Hlk191117511"/>
      <w:r>
        <w:rPr>
          <w:rFonts w:cs="Times New Roman"/>
        </w:rPr>
        <w:t xml:space="preserve">Increasing wildfire frequency </w:t>
      </w:r>
      <w:r w:rsidRPr="0000633B">
        <w:rPr>
          <w:rFonts w:cs="Times New Roman"/>
          <w:shd w:val="clear" w:color="auto" w:fill="FFFFFF"/>
        </w:rPr>
        <w:t>decrease</w:t>
      </w:r>
      <w:r>
        <w:rPr>
          <w:rFonts w:cs="Times New Roman"/>
          <w:shd w:val="clear" w:color="auto" w:fill="FFFFFF"/>
        </w:rPr>
        <w:t>s</w:t>
      </w:r>
      <w:r w:rsidRPr="0000633B">
        <w:rPr>
          <w:rFonts w:cs="Times New Roman"/>
          <w:shd w:val="clear" w:color="auto" w:fill="FFFFFF"/>
        </w:rPr>
        <w:t xml:space="preserve"> carbon storage and lead</w:t>
      </w:r>
      <w:r>
        <w:rPr>
          <w:rFonts w:cs="Times New Roman"/>
          <w:shd w:val="clear" w:color="auto" w:fill="FFFFFF"/>
        </w:rPr>
        <w:t>s</w:t>
      </w:r>
      <w:r w:rsidRPr="0000633B">
        <w:rPr>
          <w:rFonts w:cs="Times New Roman"/>
          <w:shd w:val="clear" w:color="auto" w:fill="FFFFFF"/>
        </w:rPr>
        <w:t xml:space="preserve"> to regeneration failure in boreal forest</w:t>
      </w:r>
      <w:r>
        <w:rPr>
          <w:rFonts w:cs="Times New Roman"/>
          <w:shd w:val="clear" w:color="auto" w:fill="FFFFFF"/>
        </w:rPr>
        <w:t>s</w:t>
      </w:r>
      <w:bookmarkEnd w:id="0"/>
    </w:p>
    <w:p w14:paraId="1CD76981" w14:textId="77777777" w:rsidR="00A865F7" w:rsidRDefault="00A865F7" w:rsidP="00A865F7">
      <w:pPr>
        <w:tabs>
          <w:tab w:val="left" w:pos="9270"/>
        </w:tabs>
        <w:spacing w:after="0" w:line="480" w:lineRule="auto"/>
        <w:rPr>
          <w:rFonts w:cs="Times New Roman"/>
        </w:rPr>
      </w:pPr>
    </w:p>
    <w:p w14:paraId="0EF73356" w14:textId="77777777" w:rsidR="00A865F7" w:rsidRDefault="00A865F7" w:rsidP="00A865F7">
      <w:pPr>
        <w:tabs>
          <w:tab w:val="left" w:pos="9270"/>
        </w:tabs>
        <w:spacing w:after="0" w:line="480" w:lineRule="auto"/>
        <w:rPr>
          <w:rFonts w:cs="Times New Roman"/>
          <w:vertAlign w:val="superscript"/>
        </w:rPr>
      </w:pPr>
      <w:r w:rsidRPr="00E447A1">
        <w:rPr>
          <w:rFonts w:cs="Times New Roman"/>
          <w:b/>
          <w:bCs/>
          <w:u w:val="single"/>
        </w:rPr>
        <w:t>Authors:</w:t>
      </w:r>
      <w:r>
        <w:rPr>
          <w:rFonts w:cs="Times New Roman"/>
        </w:rPr>
        <w:t xml:space="preserve"> Xanthe J. Walker</w:t>
      </w:r>
      <w:r w:rsidRPr="00E77973">
        <w:rPr>
          <w:rFonts w:cs="Times New Roman"/>
          <w:vertAlign w:val="superscript"/>
        </w:rPr>
        <w:t>1</w:t>
      </w:r>
      <w:r>
        <w:rPr>
          <w:rFonts w:cs="Times New Roman"/>
          <w:vertAlign w:val="superscript"/>
        </w:rPr>
        <w:t xml:space="preserve">,2* </w:t>
      </w:r>
      <w:r>
        <w:rPr>
          <w:rFonts w:cs="Times New Roman"/>
        </w:rPr>
        <w:t>(</w:t>
      </w:r>
      <w:hyperlink r:id="rId6" w:history="1">
        <w:r w:rsidRPr="00D20FAF">
          <w:rPr>
            <w:rStyle w:val="Hyperlink"/>
            <w:rFonts w:cs="Times New Roman"/>
          </w:rPr>
          <w:t>xanthe.walker@nau.edu</w:t>
        </w:r>
      </w:hyperlink>
      <w:r>
        <w:rPr>
          <w:rFonts w:cs="Times New Roman"/>
        </w:rPr>
        <w:t>, 928-637-5642), Michelle C. Mack</w:t>
      </w:r>
      <w:r w:rsidRPr="00E77973">
        <w:rPr>
          <w:rFonts w:cs="Times New Roman"/>
          <w:vertAlign w:val="superscript"/>
        </w:rPr>
        <w:t>1</w:t>
      </w:r>
      <w:r>
        <w:rPr>
          <w:rFonts w:cs="Times New Roman"/>
        </w:rPr>
        <w:t>,</w:t>
      </w:r>
      <w:r>
        <w:rPr>
          <w:rFonts w:cs="Times New Roman"/>
          <w:vertAlign w:val="superscript"/>
        </w:rPr>
        <w:t xml:space="preserve"> </w:t>
      </w:r>
      <w:r>
        <w:rPr>
          <w:rFonts w:cs="Times New Roman"/>
        </w:rPr>
        <w:t>Betsy Black</w:t>
      </w:r>
      <w:r w:rsidRPr="00E77973">
        <w:rPr>
          <w:rFonts w:cs="Times New Roman"/>
          <w:vertAlign w:val="superscript"/>
        </w:rPr>
        <w:t>1</w:t>
      </w:r>
      <w:r>
        <w:rPr>
          <w:rFonts w:cs="Times New Roman"/>
          <w:vertAlign w:val="superscript"/>
        </w:rPr>
        <w:t>,3</w:t>
      </w:r>
      <w:r>
        <w:rPr>
          <w:rFonts w:cs="Times New Roman"/>
        </w:rPr>
        <w:t>, Jacqueline Dean</w:t>
      </w:r>
      <w:r>
        <w:rPr>
          <w:rFonts w:cs="Times New Roman"/>
          <w:vertAlign w:val="superscript"/>
        </w:rPr>
        <w:t>4</w:t>
      </w:r>
      <w:r>
        <w:rPr>
          <w:rFonts w:cs="Times New Roman"/>
        </w:rPr>
        <w:t>, Lauren F. Kemper</w:t>
      </w:r>
      <w:r w:rsidRPr="00E77973">
        <w:rPr>
          <w:rFonts w:cs="Times New Roman"/>
          <w:vertAlign w:val="superscript"/>
        </w:rPr>
        <w:t>1</w:t>
      </w:r>
      <w:r>
        <w:rPr>
          <w:rFonts w:cs="Times New Roman"/>
        </w:rPr>
        <w:t>, Stefano Potter</w:t>
      </w:r>
      <w:r>
        <w:rPr>
          <w:rFonts w:cs="Times New Roman"/>
          <w:vertAlign w:val="superscript"/>
        </w:rPr>
        <w:t>4</w:t>
      </w:r>
      <w:r>
        <w:rPr>
          <w:rFonts w:cs="Times New Roman"/>
        </w:rPr>
        <w:t>, Brendan M. Rogers</w:t>
      </w:r>
      <w:r>
        <w:rPr>
          <w:rFonts w:cs="Times New Roman"/>
          <w:vertAlign w:val="superscript"/>
        </w:rPr>
        <w:t>4</w:t>
      </w:r>
      <w:r>
        <w:rPr>
          <w:rFonts w:cs="Times New Roman"/>
        </w:rPr>
        <w:t>, Charles M. Truettner</w:t>
      </w:r>
      <w:r w:rsidRPr="00E77973">
        <w:rPr>
          <w:rFonts w:cs="Times New Roman"/>
          <w:vertAlign w:val="superscript"/>
        </w:rPr>
        <w:t>1</w:t>
      </w:r>
      <w:r>
        <w:rPr>
          <w:rFonts w:cs="Times New Roman"/>
          <w:vertAlign w:val="superscript"/>
        </w:rPr>
        <w:t>,5</w:t>
      </w:r>
    </w:p>
    <w:p w14:paraId="3C7929EF" w14:textId="77777777" w:rsidR="00A865F7" w:rsidRDefault="00A865F7" w:rsidP="00A865F7">
      <w:pPr>
        <w:tabs>
          <w:tab w:val="left" w:pos="9270"/>
        </w:tabs>
        <w:spacing w:after="0" w:line="480" w:lineRule="auto"/>
        <w:jc w:val="both"/>
        <w:rPr>
          <w:rFonts w:cs="Times New Roman"/>
          <w:vertAlign w:val="superscript"/>
        </w:rPr>
      </w:pPr>
    </w:p>
    <w:p w14:paraId="0F4A7870" w14:textId="77777777" w:rsidR="00A865F7" w:rsidRDefault="00A865F7" w:rsidP="00A865F7">
      <w:pPr>
        <w:tabs>
          <w:tab w:val="left" w:pos="9270"/>
        </w:tabs>
        <w:spacing w:after="0" w:line="480" w:lineRule="auto"/>
        <w:jc w:val="both"/>
        <w:rPr>
          <w:rFonts w:cs="Times New Roman"/>
        </w:rPr>
      </w:pPr>
      <w:r>
        <w:rPr>
          <w:rFonts w:cs="Times New Roman"/>
          <w:b/>
          <w:bCs/>
          <w:u w:val="single"/>
        </w:rPr>
        <w:t>Affiliations:</w:t>
      </w:r>
    </w:p>
    <w:p w14:paraId="36FB2686" w14:textId="77777777" w:rsidR="00A865F7" w:rsidRPr="00CB13D7" w:rsidRDefault="00A865F7" w:rsidP="00A865F7">
      <w:pPr>
        <w:tabs>
          <w:tab w:val="left" w:pos="9270"/>
        </w:tabs>
        <w:spacing w:after="0" w:line="480" w:lineRule="auto"/>
        <w:jc w:val="both"/>
        <w:rPr>
          <w:rFonts w:cs="Times New Roman"/>
        </w:rPr>
      </w:pPr>
      <w:r>
        <w:rPr>
          <w:rFonts w:cs="Times New Roman"/>
        </w:rPr>
        <w:t xml:space="preserve">1. </w:t>
      </w:r>
      <w:r w:rsidRPr="00CB13D7">
        <w:rPr>
          <w:rFonts w:cs="Times New Roman"/>
        </w:rPr>
        <w:t>Center for Ecosystem Science and Society, Department of Biological Sciences, Northern Arizona University</w:t>
      </w:r>
      <w:r>
        <w:rPr>
          <w:rFonts w:cs="Times New Roman"/>
        </w:rPr>
        <w:t>, Flagstaff, AZ, 86011, USA</w:t>
      </w:r>
    </w:p>
    <w:p w14:paraId="5C01A13E" w14:textId="77777777" w:rsidR="00A865F7" w:rsidRPr="00CB13D7" w:rsidRDefault="00A865F7" w:rsidP="00A865F7">
      <w:pPr>
        <w:tabs>
          <w:tab w:val="left" w:pos="9270"/>
        </w:tabs>
        <w:spacing w:after="0" w:line="480" w:lineRule="auto"/>
        <w:jc w:val="both"/>
        <w:rPr>
          <w:rFonts w:cs="Times New Roman"/>
        </w:rPr>
      </w:pPr>
      <w:r>
        <w:rPr>
          <w:rFonts w:cs="Times New Roman"/>
        </w:rPr>
        <w:t xml:space="preserve">2. </w:t>
      </w:r>
      <w:r w:rsidRPr="00CB13D7">
        <w:rPr>
          <w:rFonts w:cs="Times New Roman"/>
        </w:rPr>
        <w:t>School of Informatics, Computing and Cyber Systems, Northern Arizona University</w:t>
      </w:r>
      <w:r>
        <w:rPr>
          <w:rFonts w:cs="Times New Roman"/>
        </w:rPr>
        <w:t>, Flagstaff, AZ, 86011, USA</w:t>
      </w:r>
    </w:p>
    <w:p w14:paraId="4593BB10" w14:textId="77777777" w:rsidR="00A865F7" w:rsidRDefault="00A865F7" w:rsidP="00A865F7">
      <w:pPr>
        <w:tabs>
          <w:tab w:val="left" w:pos="9270"/>
        </w:tabs>
        <w:spacing w:after="0" w:line="480" w:lineRule="auto"/>
        <w:jc w:val="both"/>
        <w:rPr>
          <w:rFonts w:cs="Times New Roman"/>
        </w:rPr>
      </w:pPr>
      <w:r>
        <w:rPr>
          <w:rFonts w:cs="Times New Roman"/>
        </w:rPr>
        <w:t xml:space="preserve">3. Current affiliation: </w:t>
      </w:r>
      <w:r w:rsidRPr="009A5175">
        <w:rPr>
          <w:rFonts w:cs="Times New Roman"/>
        </w:rPr>
        <w:t>USDA Forest Service, Pacific Southwest Research Station (ORISE), Redding, CA, 96002, USA</w:t>
      </w:r>
    </w:p>
    <w:p w14:paraId="4F7C3219" w14:textId="77777777" w:rsidR="00A865F7" w:rsidRPr="00CB13D7" w:rsidRDefault="00A865F7" w:rsidP="00A865F7">
      <w:pPr>
        <w:tabs>
          <w:tab w:val="left" w:pos="9270"/>
        </w:tabs>
        <w:spacing w:after="0" w:line="480" w:lineRule="auto"/>
        <w:jc w:val="both"/>
        <w:rPr>
          <w:rFonts w:cs="Times New Roman"/>
        </w:rPr>
      </w:pPr>
      <w:r>
        <w:rPr>
          <w:rFonts w:cs="Times New Roman"/>
        </w:rPr>
        <w:t xml:space="preserve">4. </w:t>
      </w:r>
      <w:r w:rsidRPr="00CB13D7">
        <w:rPr>
          <w:rFonts w:cs="Times New Roman"/>
        </w:rPr>
        <w:t>Woodwell Climate Research Center</w:t>
      </w:r>
      <w:r>
        <w:rPr>
          <w:rFonts w:cs="Times New Roman"/>
        </w:rPr>
        <w:t>, Falmouth, MA, 02540, USA</w:t>
      </w:r>
    </w:p>
    <w:p w14:paraId="6A9AC863" w14:textId="77777777" w:rsidR="00A865F7" w:rsidRPr="00CB13D7" w:rsidRDefault="00A865F7" w:rsidP="00A865F7">
      <w:pPr>
        <w:tabs>
          <w:tab w:val="left" w:pos="9270"/>
        </w:tabs>
        <w:spacing w:after="0" w:line="480" w:lineRule="auto"/>
        <w:jc w:val="both"/>
        <w:rPr>
          <w:rFonts w:cs="Times New Roman"/>
        </w:rPr>
      </w:pPr>
      <w:r>
        <w:rPr>
          <w:rFonts w:cs="Times New Roman"/>
        </w:rPr>
        <w:t xml:space="preserve">5. Current affiliation: </w:t>
      </w:r>
      <w:r w:rsidRPr="009A5175">
        <w:rPr>
          <w:rFonts w:cs="Times New Roman"/>
        </w:rPr>
        <w:t xml:space="preserve">USDA </w:t>
      </w:r>
      <w:r>
        <w:rPr>
          <w:rFonts w:cs="Times New Roman"/>
        </w:rPr>
        <w:t>American Forests, Climate Science, Washington, DC, 20005</w:t>
      </w:r>
    </w:p>
    <w:p w14:paraId="4F067FF7" w14:textId="77777777" w:rsidR="00A865F7" w:rsidRPr="00CB13D7" w:rsidRDefault="00A865F7" w:rsidP="00A865F7">
      <w:pPr>
        <w:tabs>
          <w:tab w:val="left" w:pos="9270"/>
        </w:tabs>
        <w:spacing w:after="0" w:line="480" w:lineRule="auto"/>
        <w:ind w:left="360"/>
        <w:jc w:val="both"/>
        <w:rPr>
          <w:rFonts w:cs="Times New Roman"/>
        </w:rPr>
      </w:pPr>
    </w:p>
    <w:p w14:paraId="47680630" w14:textId="77777777" w:rsidR="00A865F7" w:rsidRDefault="00A865F7" w:rsidP="00A865F7">
      <w:pPr>
        <w:tabs>
          <w:tab w:val="left" w:pos="9270"/>
        </w:tabs>
        <w:spacing w:after="0" w:line="480" w:lineRule="auto"/>
        <w:jc w:val="both"/>
        <w:rPr>
          <w:rFonts w:cs="Times New Roman"/>
        </w:rPr>
      </w:pPr>
    </w:p>
    <w:p w14:paraId="7CC24902" w14:textId="77777777" w:rsidR="00A865F7" w:rsidRDefault="00A865F7" w:rsidP="00A865F7">
      <w:pPr>
        <w:tabs>
          <w:tab w:val="left" w:pos="9270"/>
        </w:tabs>
        <w:spacing w:after="0" w:line="480" w:lineRule="auto"/>
        <w:jc w:val="both"/>
        <w:rPr>
          <w:rFonts w:cs="Times New Roman"/>
        </w:rPr>
      </w:pPr>
    </w:p>
    <w:p w14:paraId="4477CF4E" w14:textId="77777777" w:rsidR="00A865F7" w:rsidRPr="00E447A1" w:rsidRDefault="00A865F7" w:rsidP="00A865F7">
      <w:pPr>
        <w:tabs>
          <w:tab w:val="left" w:pos="9270"/>
        </w:tabs>
        <w:spacing w:after="0" w:line="480" w:lineRule="auto"/>
        <w:jc w:val="both"/>
        <w:rPr>
          <w:rFonts w:cs="Times New Roman"/>
        </w:rPr>
        <w:sectPr w:rsidR="00A865F7" w:rsidRPr="00E447A1" w:rsidSect="00A865F7">
          <w:pgSz w:w="12240" w:h="15840"/>
          <w:pgMar w:top="1440" w:right="1440" w:bottom="1440" w:left="1440" w:header="720" w:footer="720" w:gutter="0"/>
          <w:lnNumType w:countBy="1" w:restart="continuous"/>
          <w:cols w:space="720"/>
          <w:docGrid w:linePitch="360"/>
        </w:sectPr>
      </w:pPr>
    </w:p>
    <w:p w14:paraId="4358CDA9" w14:textId="77777777" w:rsidR="00A865F7" w:rsidRDefault="00A865F7" w:rsidP="00A865F7">
      <w:pPr>
        <w:tabs>
          <w:tab w:val="left" w:pos="9270"/>
        </w:tabs>
        <w:spacing w:after="0" w:line="480" w:lineRule="auto"/>
        <w:jc w:val="both"/>
        <w:rPr>
          <w:rFonts w:cs="Times New Roman"/>
          <w:b/>
          <w:bCs/>
          <w:u w:val="single"/>
        </w:rPr>
      </w:pPr>
      <w:r>
        <w:rPr>
          <w:rFonts w:cs="Times New Roman"/>
          <w:b/>
          <w:bCs/>
          <w:u w:val="single"/>
        </w:rPr>
        <w:lastRenderedPageBreak/>
        <w:t>Abstract</w:t>
      </w:r>
    </w:p>
    <w:p w14:paraId="40D69C91" w14:textId="6678596D" w:rsidR="00A865F7" w:rsidRDefault="00A865F7" w:rsidP="00A865F7">
      <w:pPr>
        <w:spacing w:after="0" w:line="480" w:lineRule="auto"/>
        <w:jc w:val="both"/>
        <w:rPr>
          <w:rFonts w:cs="Times New Roman"/>
        </w:rPr>
      </w:pPr>
      <w:r w:rsidRPr="00127DC3">
        <w:rPr>
          <w:rFonts w:cs="Times New Roman"/>
          <w:b/>
          <w:bCs/>
        </w:rPr>
        <w:t>Background:</w:t>
      </w:r>
      <w:r>
        <w:rPr>
          <w:rFonts w:cs="Times New Roman"/>
        </w:rPr>
        <w:t xml:space="preserve"> The i</w:t>
      </w:r>
      <w:r w:rsidRPr="00C12AA8">
        <w:rPr>
          <w:rFonts w:cs="Times New Roman"/>
        </w:rPr>
        <w:t>n</w:t>
      </w:r>
      <w:r>
        <w:rPr>
          <w:rFonts w:cs="Times New Roman"/>
        </w:rPr>
        <w:t>creasing size, severity, and frequency of wildfires is o</w:t>
      </w:r>
      <w:r w:rsidRPr="00C12AA8">
        <w:rPr>
          <w:rFonts w:cs="Times New Roman"/>
        </w:rPr>
        <w:t>ne of the most rapid ways climate warming could alter the structure and function of high</w:t>
      </w:r>
      <w:r>
        <w:rPr>
          <w:rFonts w:cs="Times New Roman"/>
        </w:rPr>
        <w:t>-</w:t>
      </w:r>
      <w:r w:rsidRPr="00C12AA8">
        <w:rPr>
          <w:rFonts w:cs="Times New Roman"/>
        </w:rPr>
        <w:t xml:space="preserve">latitude ecosystems. </w:t>
      </w:r>
      <w:r>
        <w:rPr>
          <w:rFonts w:cs="Times New Roman"/>
        </w:rPr>
        <w:t xml:space="preserve">Historically, boreal forests in western North America had fire return intervals (FRI) of 70-130 years, but shortened FRIs are becoming increasingly common under extreme weather conditions. </w:t>
      </w:r>
      <w:r w:rsidR="007A2F47">
        <w:rPr>
          <w:rFonts w:cs="Times New Roman"/>
        </w:rPr>
        <w:t>Here, w</w:t>
      </w:r>
      <w:r w:rsidR="007A2F47" w:rsidRPr="007A2F47">
        <w:rPr>
          <w:rFonts w:cs="Times New Roman"/>
        </w:rPr>
        <w:t>e quantified pre-fire and post-fire C pools and C losses and assessed post-fire seedling regeneration in long (&gt;70 years), intermediate (30 -70 years), and short (&lt;30 years) FRIs, and triple (three fires in &lt;70 years) burns</w:t>
      </w:r>
      <w:r w:rsidR="007A2F47">
        <w:rPr>
          <w:rFonts w:cs="Times New Roman"/>
        </w:rPr>
        <w:t xml:space="preserve">. </w:t>
      </w:r>
      <w:r>
        <w:rPr>
          <w:rFonts w:cs="Times New Roman"/>
        </w:rPr>
        <w:t xml:space="preserve">As boreal forests </w:t>
      </w:r>
      <w:r w:rsidRPr="00FD243E">
        <w:rPr>
          <w:rFonts w:cs="Times New Roman"/>
        </w:rPr>
        <w:t xml:space="preserve">store a significant </w:t>
      </w:r>
      <w:r>
        <w:rPr>
          <w:rFonts w:cs="Times New Roman"/>
        </w:rPr>
        <w:t>portion</w:t>
      </w:r>
      <w:r w:rsidRPr="00FD243E">
        <w:rPr>
          <w:rFonts w:cs="Times New Roman"/>
        </w:rPr>
        <w:t xml:space="preserve"> of </w:t>
      </w:r>
      <w:r>
        <w:rPr>
          <w:rFonts w:cs="Times New Roman"/>
        </w:rPr>
        <w:t xml:space="preserve">the </w:t>
      </w:r>
      <w:r w:rsidRPr="00FD243E">
        <w:rPr>
          <w:rFonts w:cs="Times New Roman"/>
        </w:rPr>
        <w:t xml:space="preserve">global terrestrial </w:t>
      </w:r>
      <w:r>
        <w:rPr>
          <w:rFonts w:cs="Times New Roman"/>
        </w:rPr>
        <w:t>carbon (</w:t>
      </w:r>
      <w:r w:rsidRPr="00FD243E">
        <w:rPr>
          <w:rFonts w:cs="Times New Roman"/>
        </w:rPr>
        <w:t>C</w:t>
      </w:r>
      <w:r>
        <w:rPr>
          <w:rFonts w:cs="Times New Roman"/>
        </w:rPr>
        <w:t>) pool</w:t>
      </w:r>
      <w:r w:rsidRPr="00FD243E">
        <w:rPr>
          <w:rFonts w:cs="Times New Roman"/>
        </w:rPr>
        <w:t>, understanding the impacts of shortened FRI</w:t>
      </w:r>
      <w:r w:rsidR="00222744">
        <w:rPr>
          <w:rFonts w:cs="Times New Roman"/>
        </w:rPr>
        <w:t>s</w:t>
      </w:r>
      <w:r w:rsidRPr="00FD243E">
        <w:rPr>
          <w:rFonts w:cs="Times New Roman"/>
        </w:rPr>
        <w:t xml:space="preserve"> on these ecosystems is critical for predicting the global C balance and feedback</w:t>
      </w:r>
      <w:r>
        <w:rPr>
          <w:rFonts w:cs="Times New Roman"/>
        </w:rPr>
        <w:t>s</w:t>
      </w:r>
      <w:r w:rsidRPr="00FD243E">
        <w:rPr>
          <w:rFonts w:cs="Times New Roman"/>
        </w:rPr>
        <w:t xml:space="preserve"> to climate</w:t>
      </w:r>
      <w:r>
        <w:rPr>
          <w:rFonts w:cs="Times New Roman"/>
        </w:rPr>
        <w:t xml:space="preserve">. </w:t>
      </w:r>
    </w:p>
    <w:p w14:paraId="04414E28" w14:textId="77777777" w:rsidR="00A865F7" w:rsidRDefault="00A865F7" w:rsidP="00A865F7">
      <w:pPr>
        <w:spacing w:after="0" w:line="480" w:lineRule="auto"/>
        <w:jc w:val="both"/>
        <w:rPr>
          <w:rFonts w:cs="Times New Roman"/>
          <w:b/>
          <w:bCs/>
        </w:rPr>
      </w:pPr>
    </w:p>
    <w:p w14:paraId="58600216" w14:textId="7A7DB660" w:rsidR="00A865F7" w:rsidRDefault="00A865F7" w:rsidP="00A865F7">
      <w:pPr>
        <w:spacing w:after="0" w:line="480" w:lineRule="auto"/>
        <w:jc w:val="both"/>
        <w:rPr>
          <w:rFonts w:cs="Times New Roman"/>
        </w:rPr>
      </w:pPr>
      <w:r w:rsidRPr="00127DC3">
        <w:rPr>
          <w:rFonts w:cs="Times New Roman"/>
          <w:b/>
          <w:bCs/>
        </w:rPr>
        <w:t>Results:</w:t>
      </w:r>
      <w:r>
        <w:rPr>
          <w:rFonts w:cs="Times New Roman"/>
        </w:rPr>
        <w:t xml:space="preserve"> </w:t>
      </w:r>
      <w:r w:rsidRPr="00525950">
        <w:rPr>
          <w:rFonts w:cs="Times New Roman"/>
        </w:rPr>
        <w:t xml:space="preserve">Using a spatially extensive dataset of 555 plots from 31 separate fire scars in Interior Alaska, </w:t>
      </w:r>
      <w:r>
        <w:rPr>
          <w:rFonts w:cs="Times New Roman"/>
        </w:rPr>
        <w:t>our study demonstrates that shortened FRIs decrease the C storage capacity of boreal forests</w:t>
      </w:r>
      <w:r w:rsidRPr="002D07A2">
        <w:rPr>
          <w:rFonts w:cs="Times New Roman"/>
        </w:rPr>
        <w:t xml:space="preserve"> </w:t>
      </w:r>
      <w:r>
        <w:rPr>
          <w:rFonts w:cs="Times New Roman"/>
        </w:rPr>
        <w:t xml:space="preserve">through loss of legacy C and regeneration failure. </w:t>
      </w:r>
      <w:r w:rsidR="006708ED">
        <w:rPr>
          <w:rFonts w:cs="Times New Roman"/>
        </w:rPr>
        <w:t>T</w:t>
      </w:r>
      <w:r>
        <w:rPr>
          <w:rFonts w:cs="Times New Roman"/>
        </w:rPr>
        <w:t xml:space="preserve">otal wildfire C emissions were similar among FRI classes, </w:t>
      </w:r>
      <w:r w:rsidR="00310D1B" w:rsidRPr="004F49D0">
        <w:rPr>
          <w:rFonts w:cs="Times New Roman"/>
        </w:rPr>
        <w:t>ranging from 2.5 to 3.5 kg C m</w:t>
      </w:r>
      <w:r w:rsidR="00310D1B" w:rsidRPr="001C5218">
        <w:rPr>
          <w:rFonts w:cs="Times New Roman"/>
          <w:vertAlign w:val="superscript"/>
        </w:rPr>
        <w:t>-2</w:t>
      </w:r>
      <w:r w:rsidR="006708ED">
        <w:rPr>
          <w:rFonts w:cs="Times New Roman"/>
        </w:rPr>
        <w:t>. However,</w:t>
      </w:r>
      <w:r w:rsidR="00310D1B">
        <w:rPr>
          <w:rFonts w:cs="Times New Roman"/>
        </w:rPr>
        <w:t xml:space="preserve"> s</w:t>
      </w:r>
      <w:r>
        <w:rPr>
          <w:rFonts w:cs="Times New Roman"/>
        </w:rPr>
        <w:t>hortened FRIs lost proportionally more of their pre-fire C pools</w:t>
      </w:r>
      <w:r w:rsidR="00EB36FE">
        <w:rPr>
          <w:rFonts w:cs="Times New Roman"/>
        </w:rPr>
        <w:t>, resulting</w:t>
      </w:r>
      <w:r>
        <w:rPr>
          <w:rFonts w:cs="Times New Roman"/>
        </w:rPr>
        <w:t xml:space="preserve"> in substantially lower post-fire C pools </w:t>
      </w:r>
      <w:r w:rsidR="000C3D21">
        <w:rPr>
          <w:rFonts w:cs="Times New Roman"/>
        </w:rPr>
        <w:t>than</w:t>
      </w:r>
      <w:r>
        <w:rPr>
          <w:rFonts w:cs="Times New Roman"/>
        </w:rPr>
        <w:t xml:space="preserve"> long FRIs. Shortened FRIs </w:t>
      </w:r>
      <w:r w:rsidR="0017668B">
        <w:rPr>
          <w:rFonts w:cs="Times New Roman"/>
        </w:rPr>
        <w:t xml:space="preserve">also </w:t>
      </w:r>
      <w:r>
        <w:rPr>
          <w:rFonts w:cs="Times New Roman"/>
        </w:rPr>
        <w:t>resulted in the combustion of legacy C, defined as C</w:t>
      </w:r>
      <w:r w:rsidRPr="000906CB">
        <w:rPr>
          <w:rFonts w:cs="Times New Roman"/>
        </w:rPr>
        <w:t xml:space="preserve"> that escaped combustion in one or more previous fires</w:t>
      </w:r>
      <w:r w:rsidRPr="00D61648">
        <w:rPr>
          <w:rFonts w:cs="Times New Roman"/>
        </w:rPr>
        <w:t xml:space="preserve">. </w:t>
      </w:r>
      <w:r w:rsidR="0017668B">
        <w:rPr>
          <w:rFonts w:cs="Times New Roman"/>
        </w:rPr>
        <w:t>We found that p</w:t>
      </w:r>
      <w:r>
        <w:rPr>
          <w:rFonts w:cs="Times New Roman"/>
        </w:rPr>
        <w:t xml:space="preserve">ost-fire successional trajectories were impacted by FRI, with ~ </w:t>
      </w:r>
      <w:r w:rsidR="0079046C">
        <w:rPr>
          <w:rFonts w:cs="Times New Roman"/>
        </w:rPr>
        <w:t>65</w:t>
      </w:r>
      <w:r>
        <w:rPr>
          <w:rFonts w:cs="Times New Roman"/>
        </w:rPr>
        <w:t>% of s</w:t>
      </w:r>
      <w:r w:rsidR="00CA23C3">
        <w:rPr>
          <w:rFonts w:cs="Times New Roman"/>
        </w:rPr>
        <w:t xml:space="preserve">hort FRIs and triple burns </w:t>
      </w:r>
      <w:r>
        <w:rPr>
          <w:rFonts w:cs="Times New Roman"/>
        </w:rPr>
        <w:t>experiencing regeneration failure.</w:t>
      </w:r>
    </w:p>
    <w:p w14:paraId="763CF09D" w14:textId="77777777" w:rsidR="00A865F7" w:rsidRDefault="00A865F7" w:rsidP="00A865F7">
      <w:pPr>
        <w:spacing w:after="0" w:line="480" w:lineRule="auto"/>
        <w:jc w:val="both"/>
        <w:rPr>
          <w:rFonts w:cs="Times New Roman"/>
          <w:b/>
          <w:bCs/>
        </w:rPr>
      </w:pPr>
    </w:p>
    <w:p w14:paraId="1AE7A316" w14:textId="77777777" w:rsidR="00A865F7" w:rsidRDefault="00A865F7" w:rsidP="00A865F7">
      <w:pPr>
        <w:spacing w:after="0" w:line="480" w:lineRule="auto"/>
        <w:jc w:val="both"/>
      </w:pPr>
      <w:r w:rsidRPr="00127DC3">
        <w:rPr>
          <w:rFonts w:cs="Times New Roman"/>
          <w:b/>
          <w:bCs/>
        </w:rPr>
        <w:t>Conclusions:</w:t>
      </w:r>
      <w:r>
        <w:rPr>
          <w:rFonts w:cs="Times New Roman"/>
        </w:rPr>
        <w:t xml:space="preserve"> </w:t>
      </w:r>
      <w:r w:rsidRPr="00C5602F">
        <w:rPr>
          <w:rFonts w:cs="Times New Roman"/>
        </w:rPr>
        <w:t xml:space="preserve">Our study highlights the </w:t>
      </w:r>
      <w:r>
        <w:rPr>
          <w:rFonts w:cs="Times New Roman"/>
        </w:rPr>
        <w:t xml:space="preserve">structural and functional </w:t>
      </w:r>
      <w:r w:rsidRPr="00C5602F">
        <w:rPr>
          <w:rFonts w:cs="Times New Roman"/>
        </w:rPr>
        <w:t>vulnerability of boreal forests to increasing fire frequenc</w:t>
      </w:r>
      <w:r>
        <w:rPr>
          <w:rFonts w:cs="Times New Roman"/>
        </w:rPr>
        <w:t>y</w:t>
      </w:r>
      <w:r w:rsidRPr="00C5602F">
        <w:rPr>
          <w:rFonts w:cs="Times New Roman"/>
        </w:rPr>
        <w:t xml:space="preserve">. </w:t>
      </w:r>
      <w:r>
        <w:rPr>
          <w:rFonts w:cs="Times New Roman"/>
        </w:rPr>
        <w:t>S</w:t>
      </w:r>
      <w:r>
        <w:rPr>
          <w:rFonts w:cs="Times New Roman"/>
          <w:color w:val="000000" w:themeColor="text1"/>
        </w:rPr>
        <w:t xml:space="preserve">hortened FRIs and the combustion of legacy C can </w:t>
      </w:r>
      <w:r>
        <w:rPr>
          <w:rFonts w:cs="Times New Roman"/>
          <w:shd w:val="clear" w:color="auto" w:fill="FFFFFF"/>
        </w:rPr>
        <w:t xml:space="preserve">shift </w:t>
      </w:r>
      <w:r>
        <w:rPr>
          <w:rFonts w:cs="Times New Roman"/>
        </w:rPr>
        <w:t>boreal</w:t>
      </w:r>
      <w:r w:rsidRPr="000906CB">
        <w:rPr>
          <w:rFonts w:cs="Times New Roman"/>
        </w:rPr>
        <w:t xml:space="preserve"> ecosystems from </w:t>
      </w:r>
      <w:r>
        <w:rPr>
          <w:rFonts w:cs="Times New Roman"/>
        </w:rPr>
        <w:t xml:space="preserve">a </w:t>
      </w:r>
      <w:r w:rsidRPr="000906CB">
        <w:rPr>
          <w:rFonts w:cs="Times New Roman"/>
        </w:rPr>
        <w:t xml:space="preserve">net C </w:t>
      </w:r>
      <w:r>
        <w:rPr>
          <w:rFonts w:cs="Times New Roman"/>
        </w:rPr>
        <w:t xml:space="preserve">sink or neutral to a net C source to the atmosphere and increase the risk </w:t>
      </w:r>
      <w:r>
        <w:rPr>
          <w:rFonts w:cs="Times New Roman"/>
        </w:rPr>
        <w:lastRenderedPageBreak/>
        <w:t xml:space="preserve">of transitions to non-forested states. These changes have profound implications for the boreal C-climate feedback and could accelerate climate warming. Our </w:t>
      </w:r>
      <w:r>
        <w:rPr>
          <w:rFonts w:cs="Times New Roman"/>
          <w:color w:val="000000" w:themeColor="text1"/>
        </w:rPr>
        <w:t xml:space="preserve">findings underscore the need for adaptive management strategies that prioritize the structural and functional resilience of boreal forest ecosystems to expected increases in fire frequency. </w:t>
      </w:r>
    </w:p>
    <w:p w14:paraId="436833C5" w14:textId="77777777" w:rsidR="00A865F7" w:rsidRDefault="00A865F7" w:rsidP="00A865F7">
      <w:pPr>
        <w:tabs>
          <w:tab w:val="left" w:pos="9270"/>
        </w:tabs>
        <w:spacing w:after="0" w:line="480" w:lineRule="auto"/>
        <w:jc w:val="both"/>
        <w:rPr>
          <w:rFonts w:cs="Times New Roman"/>
          <w:b/>
          <w:bCs/>
          <w:u w:val="single"/>
        </w:rPr>
      </w:pPr>
    </w:p>
    <w:p w14:paraId="0F96EFED" w14:textId="77777777" w:rsidR="00A865F7" w:rsidRPr="008B5B86" w:rsidRDefault="00A865F7" w:rsidP="00A865F7">
      <w:pPr>
        <w:tabs>
          <w:tab w:val="left" w:pos="9270"/>
        </w:tabs>
        <w:spacing w:after="0" w:line="480" w:lineRule="auto"/>
        <w:jc w:val="both"/>
        <w:rPr>
          <w:rFonts w:cs="Times New Roman"/>
        </w:rPr>
        <w:sectPr w:rsidR="00A865F7" w:rsidRPr="008B5B86" w:rsidSect="00A865F7">
          <w:pgSz w:w="12240" w:h="15840"/>
          <w:pgMar w:top="1440" w:right="1440" w:bottom="1440" w:left="1440" w:header="720" w:footer="720" w:gutter="0"/>
          <w:lnNumType w:countBy="1" w:restart="continuous"/>
          <w:cols w:space="720"/>
          <w:docGrid w:linePitch="360"/>
        </w:sectPr>
      </w:pPr>
      <w:r w:rsidRPr="00635A60">
        <w:rPr>
          <w:rFonts w:cs="Times New Roman"/>
          <w:b/>
          <w:bCs/>
          <w:u w:val="single"/>
        </w:rPr>
        <w:t>Keywords:</w:t>
      </w:r>
      <w:r>
        <w:rPr>
          <w:rFonts w:cs="Times New Roman"/>
        </w:rPr>
        <w:t xml:space="preserve"> Alaska, black spruce, boreal forest, wildfire, carbon, fire frequency, fire regime, fire return interval, resilience, successional trajectory</w:t>
      </w:r>
    </w:p>
    <w:p w14:paraId="2C7F0508" w14:textId="77777777" w:rsidR="00A865F7" w:rsidRPr="00A70A4E" w:rsidRDefault="00A865F7" w:rsidP="00A865F7">
      <w:pPr>
        <w:tabs>
          <w:tab w:val="left" w:pos="9270"/>
        </w:tabs>
        <w:spacing w:after="0" w:line="480" w:lineRule="auto"/>
        <w:jc w:val="both"/>
        <w:rPr>
          <w:rFonts w:cs="Times New Roman"/>
          <w:b/>
          <w:bCs/>
          <w:u w:val="single"/>
        </w:rPr>
      </w:pPr>
      <w:r>
        <w:rPr>
          <w:rFonts w:cs="Times New Roman"/>
          <w:b/>
          <w:bCs/>
          <w:u w:val="single"/>
        </w:rPr>
        <w:lastRenderedPageBreak/>
        <w:t>Background</w:t>
      </w:r>
    </w:p>
    <w:p w14:paraId="1FF0C4A6" w14:textId="77777777" w:rsidR="00A865F7" w:rsidRDefault="00A865F7" w:rsidP="00A865F7">
      <w:pPr>
        <w:tabs>
          <w:tab w:val="left" w:pos="9270"/>
        </w:tabs>
        <w:spacing w:after="0" w:line="480" w:lineRule="auto"/>
        <w:jc w:val="both"/>
        <w:rPr>
          <w:rFonts w:cs="Times New Roman"/>
        </w:rPr>
      </w:pPr>
    </w:p>
    <w:p w14:paraId="72B4C561" w14:textId="77777777" w:rsidR="00A865F7" w:rsidRDefault="00A865F7" w:rsidP="00A865F7">
      <w:pPr>
        <w:tabs>
          <w:tab w:val="left" w:pos="9270"/>
        </w:tabs>
        <w:spacing w:after="0" w:line="480" w:lineRule="auto"/>
        <w:jc w:val="both"/>
        <w:rPr>
          <w:rFonts w:cs="Times New Roman"/>
          <w:color w:val="000000" w:themeColor="text1"/>
        </w:rPr>
      </w:pPr>
      <w:r>
        <w:rPr>
          <w:rFonts w:cs="Times New Roman"/>
        </w:rPr>
        <w:t>Climate-induced i</w:t>
      </w:r>
      <w:r w:rsidRPr="00C12AA8">
        <w:rPr>
          <w:rFonts w:cs="Times New Roman"/>
        </w:rPr>
        <w:t>n</w:t>
      </w:r>
      <w:r>
        <w:rPr>
          <w:rFonts w:cs="Times New Roman"/>
        </w:rPr>
        <w:t xml:space="preserve">creases in wildfire activity </w:t>
      </w:r>
      <w:r w:rsidRPr="00C12AA8">
        <w:rPr>
          <w:rFonts w:cs="Times New Roman"/>
        </w:rPr>
        <w:t>could alter the structure and function of high</w:t>
      </w:r>
      <w:r>
        <w:rPr>
          <w:rFonts w:cs="Times New Roman"/>
        </w:rPr>
        <w:t>-</w:t>
      </w:r>
      <w:r w:rsidRPr="00C12AA8">
        <w:rPr>
          <w:rFonts w:cs="Times New Roman"/>
        </w:rPr>
        <w:t xml:space="preserve">latitude ecosystems. </w:t>
      </w:r>
      <w:r>
        <w:rPr>
          <w:rFonts w:cs="Times New Roman"/>
        </w:rPr>
        <w:t xml:space="preserve">The historic fire return interval (FRI) of boreal forests in Western North America  ranges from 70 to </w:t>
      </w:r>
      <w:r w:rsidRPr="00993FA9">
        <w:rPr>
          <w:rFonts w:cs="Times New Roman"/>
          <w:shd w:val="clear" w:color="auto" w:fill="FFFFFF"/>
        </w:rPr>
        <w:t>130 year</w:t>
      </w:r>
      <w:r>
        <w:rPr>
          <w:rFonts w:cs="Times New Roman"/>
          <w:shd w:val="clear" w:color="auto" w:fill="FFFFFF"/>
        </w:rPr>
        <w:t xml:space="preserve">s </w:t>
      </w:r>
      <w:r>
        <w:rPr>
          <w:rFonts w:cs="Times New Roman"/>
        </w:rPr>
        <w:fldChar w:fldCharType="begin"/>
      </w:r>
      <w:r>
        <w:rPr>
          <w:rFonts w:cs="Times New Roman"/>
        </w:rPr>
        <w:instrText xml:space="preserve"> ADDIN ZOTERO_ITEM CSL_CITATION {"citationID":"mD5PKlJw","properties":{"formattedCitation":"(Chapin et al. 2010; J. F. Johnstone, Chapin, et al. 2010; Kelly et al. 2013)","plainCitation":"(Chapin et al. 2010; J. F. Johnstone, Chapin, et al. 2010; Kelly et al. 2013)","dontUpdate":true,"noteIndex":0},"citationItems":[{"id":2493,"uris":["http://zotero.org/users/5290972/items/RN78MF87"],"itemData":{"id":2493,"type":"article-journal","container-title":"Canadian Journal of Forest Research","ISSN":"0045-5067","issue":"7","page":"1360-1370","title":"Resilience of Alaska’s boreal forest to climatic change","volume":"40","author":[{"family":"Chapin","given":"F. S.","suffix":"III"},{"family":"McGuire","given":"A. David"},{"family":"Ruess","given":"Roger W."},{"family":"Hollingsworth","given":"Teresa N."},{"family":"Mack","given":"M. C."},{"family":"Johnstone","given":"J. F."},{"family":"Kasischke","given":"E. S."},{"family":"Euskirchen","given":"E. S."},{"family":"Jones","given":"J. B."},{"family":"Jorgenson","given":"M. T."}],"issued":{"date-parts":[["2010"]]}}},{"id":3285,"uris":["http://zotero.org/users/5290972/items/N8U4BINX"],"itemData":{"id":3285,"type":"article-journal","container-title":"Canadian Journal of Forest Research","DOI":"10.1139/X10-061","issue":"7","page":"1302-1312","title":"Fire, climate change, and forest resilience in Interior Alaska","volume":"40","author":[{"family":"Johnstone","given":"J. F."},{"family":"Chapin","given":"F. S.","suffix":"III"},{"family":"Hollingsworth","given":"T. N."},{"family":"Mack","given":"M. C."},{"family":"Romanovsky","given":"V."},{"family":"Turetsky","given":"M. R."}],"issued":{"date-parts":[["2010"]]}}},{"id":482,"uris":["http://zotero.org/users/5290972/items/P4VUKT64"],"itemData":{"id":482,"type":"article-journal","abstract":"Wildfire activity in boreal forests is anticipated to increase dramatically, with far-reaching ecological and socioeconomic consequences. Paleorecords are indispensible for elucidating boreal fire regime dynamics under changing climate, because fire return intervals and successional cycles in these ecosystems occur over decadal to centennial timescales. We present charcoal records from 14 lakes in the Yukon Flats of interior Alaska, one of the most flammable ecoregions of the boreal forest biome, to infer causes and consequences of fire regime change over the past 10,000 y. Strong correspondence between charcoal-inferred and observational fire records shows the fidelity of sedimentary charcoal records as archives of past fire regimes. Fire frequency and area burned increased </w:instrText>
      </w:r>
      <w:r>
        <w:rPr>
          <w:rFonts w:ascii="Cambria Math" w:hAnsi="Cambria Math" w:cs="Cambria Math"/>
        </w:rPr>
        <w:instrText>∼</w:instrText>
      </w:r>
      <w:r>
        <w:rPr>
          <w:rFonts w:cs="Times New Roman"/>
        </w:rPr>
        <w:instrText xml:space="preserve">6,000-3,000 y ago, probably as a result of elevated landscape flammability associated with increased Picea mariana in the regional vegetation. During the Medieval Climate Anomaly (MCA; </w:instrText>
      </w:r>
      <w:r>
        <w:rPr>
          <w:rFonts w:ascii="Cambria Math" w:hAnsi="Cambria Math" w:cs="Cambria Math"/>
        </w:rPr>
        <w:instrText>∼</w:instrText>
      </w:r>
      <w:r>
        <w:rPr>
          <w:rFonts w:cs="Times New Roman"/>
        </w:rPr>
        <w:instrText xml:space="preserve">1,000-500 cal B.P.), the period most similar to recent decades, warm and dry climatic conditions resulted in peak biomass burning, but severe fires favored less-flammable deciduous vegetation, such that fire frequency remained relatively stationary. These results suggest that boreal forests can sustain high-severity fire regimes for centuries under warm and dry conditions, with vegetation feedbacks modulating climate-fire linkages. The apparent limit to MCA burning has been surpassed by the regional fire regime of recent decades, which is characterized by exceptionally high fire frequency and biomass burning. This extreme combination suggests a transition to a unique regime of unprecedented fire activity. However, vegetation dynamics similar to feedbacks that occurred during the MCA may stabilize the fire regime, despite additional warming.","container-title":"Proceedings of the National Academy of Sciences of the United States of America","DOI":"10.1073/pnas.1305069110","ISSN":"1091-6490","issue":"32","journalAbbreviation":"Proc. Natl. Acad. Sci. U.S.A.","language":"eng","note":"PMID: 23878258\nPMCID: PMC3740857","page":"13055-13060","source":"PubMed","title":"Recent burning of boreal forests exceeds fire regime limits of the past 10,000 years","volume":"110","author":[{"family":"Kelly","given":"Ryan"},{"family":"Chipman","given":"Melissa L."},{"family":"Higuera","given":"Philip E."},{"family":"Stefanova","given":"Ivanka"},{"family":"Brubaker","given":"Linda B."},{"family":"Hu","given":"Feng Sheng"}],"issued":{"date-parts":[["2013",8,6]]}}}],"schema":"https://github.com/citation-style-language/schema/raw/master/csl-citation.json"} </w:instrText>
      </w:r>
      <w:r>
        <w:rPr>
          <w:rFonts w:cs="Times New Roman"/>
        </w:rPr>
        <w:fldChar w:fldCharType="separate"/>
      </w:r>
      <w:r w:rsidRPr="00A015FB">
        <w:rPr>
          <w:rFonts w:cs="Times New Roman"/>
        </w:rPr>
        <w:t>(Johnstone, Chapin, et al. 2010)</w:t>
      </w:r>
      <w:r>
        <w:rPr>
          <w:rFonts w:cs="Times New Roman"/>
        </w:rPr>
        <w:fldChar w:fldCharType="end"/>
      </w:r>
      <w:r>
        <w:rPr>
          <w:rFonts w:cs="Times New Roman"/>
        </w:rPr>
        <w:t xml:space="preserve">, but short FRIs (&lt;30 years are becoming increasingly common under extreme weather conditions </w:t>
      </w:r>
      <w:r>
        <w:rPr>
          <w:rFonts w:cs="Times New Roman"/>
        </w:rPr>
        <w:fldChar w:fldCharType="begin"/>
      </w:r>
      <w:r>
        <w:rPr>
          <w:rFonts w:cs="Times New Roman"/>
        </w:rPr>
        <w:instrText xml:space="preserve"> ADDIN ZOTERO_ITEM CSL_CITATION {"citationID":"VJHrdHSu","properties":{"formattedCitation":"(Whitman et al. 2024)","plainCitation":"(Whitman et al. 2024)","noteIndex":0},"citationItems":[{"id":9854,"uris":["http://zotero.org/users/5290972/items/CW8K25WX"],"itemData":{"id":9854,"type":"article-journal","abstract":"Recently burned boreal forests have lower aboveground fuel loads, generating a negative feedback to subsequent wildfires. Despite this feedback, short-interval reburns (≤20 years between fires) are possible under extreme weather conditions. Reburns have consequences for ecosystem recovery, leading to enduring vegetation change. In this study, we characterize the strength of the fire-fuel feedback in recently burned Canadian boreal forests and the weather conditions that overwhelm resistance to fire spread in recently burned areas. We used a dataset of daily fire spread for thousands of large boreal fires, interpolated from remotely sensed thermal anomalies to which we associated local weather from ERA5-Land for each day of a fire's duration. We classified days with &gt;3 ha of fire growth as spread days and defined burned pixels overlapping a fire perimeter ≤20 years old as short-interval reburns. Results of a logistic regression showed that the odds of fire spread in recently burned areas were 50% lower than in long-interval fires; however, all Canadian boreal ecozones experienced short-interval reburning (1981–2021), with over 100,000 ha reburning annually. As fire weather conditions intensify, the resistance to fire spread declines, allowing fire to spread in recently burned areas. The weather associated with short-interval fire spread days was more extreme than the conditions during long-interval spread, but overall differences were modest (e.g. relative humidity 2.6% lower). The frequency of fire weather conducive to short-interval fire spread has significantly increased in the western boreal forest due to climate warming and drying (1981–2021). Our results suggest an ongoing degradation of fire-fuel feedbacks, which is likely to continue with climatic warming and drying.","container-title":"Global Change Biology","DOI":"10.1111/gcb.17363","ISSN":"1365-2486","issue":"6","language":"en","license":"© 2024 His Majesty the King in Right of Canada. Global Change Biology published by John Wiley &amp; Sons Ltd. Reproduced with the permission of the Minister of Natural Resources Canada.","note":"_eprint: https://onlinelibrary.wiley.com/doi/pdf/10.1111/gcb.17363","page":"e17363","source":"Wiley Online Library","title":"A modest increase in fire weather overcomes resistance to fire spread in recently burned boreal forests","volume":"30","author":[{"family":"Whitman","given":"Ellen"},{"family":"Barber","given":"Quinn E."},{"family":"Jain","given":"Piyush"},{"family":"Parks","given":"Sean A."},{"family":"Guindon","given":"Luc"},{"family":"Thompson","given":"Dan K."},{"family":"Parisien","given":"Marc-André"}],"issued":{"date-parts":[["2024"]]}}}],"schema":"https://github.com/citation-style-language/schema/raw/master/csl-citation.json"} </w:instrText>
      </w:r>
      <w:r>
        <w:rPr>
          <w:rFonts w:cs="Times New Roman"/>
        </w:rPr>
        <w:fldChar w:fldCharType="separate"/>
      </w:r>
      <w:r w:rsidRPr="00EF7AEC">
        <w:rPr>
          <w:rFonts w:cs="Times New Roman"/>
        </w:rPr>
        <w:t>(Whitman et al. 2024)</w:t>
      </w:r>
      <w:r>
        <w:rPr>
          <w:rFonts w:cs="Times New Roman"/>
        </w:rPr>
        <w:fldChar w:fldCharType="end"/>
      </w:r>
      <w:r>
        <w:rPr>
          <w:rFonts w:cs="Times New Roman"/>
        </w:rPr>
        <w:t xml:space="preserve">. A shortened FRI, often called reburning (Prichard et al. 2017), </w:t>
      </w:r>
      <w:r w:rsidRPr="00C12AA8">
        <w:rPr>
          <w:rFonts w:cs="Times New Roman"/>
        </w:rPr>
        <w:t xml:space="preserve">can shift </w:t>
      </w:r>
      <w:r>
        <w:rPr>
          <w:rFonts w:cs="Times New Roman"/>
        </w:rPr>
        <w:t>boreal</w:t>
      </w:r>
      <w:r w:rsidRPr="00C12AA8">
        <w:rPr>
          <w:rFonts w:cs="Times New Roman"/>
        </w:rPr>
        <w:t xml:space="preserve"> ecosystems across a carbon (C) cycle threshold: from a net accumulation of C from the atmosphere over centuries and fire cycles to a net loss</w:t>
      </w:r>
      <w:r>
        <w:rPr>
          <w:rFonts w:cs="Times New Roman"/>
        </w:rPr>
        <w:t xml:space="preserve">, acting as a positive feedback to climate warming </w:t>
      </w:r>
      <w:r>
        <w:rPr>
          <w:rFonts w:cs="Times New Roman"/>
        </w:rPr>
        <w:fldChar w:fldCharType="begin"/>
      </w:r>
      <w:r>
        <w:rPr>
          <w:rFonts w:cs="Times New Roman"/>
        </w:rPr>
        <w:instrText xml:space="preserve"> ADDIN ZOTERO_ITEM CSL_CITATION {"citationID":"p0PaW8Mw","properties":{"formattedCitation":"(X. J. Walker et al. 2019)","plainCitation":"(X. J. Walker et al. 2019)","dontUpdate":true,"noteIndex":0},"citationItems":[{"id":6335,"uris":["http://zotero.org/users/5290972/items/VG6F7RKZ"],"itemData":{"id":6335,"type":"article-journal","abstract":"Soil radiocarbon dating reveals that combusted ‘legacy carbon’—soil carbon that escaped burning during previous fires—could shift the carbon balance of boreal ecosystems, resulting in a positive climate feedback.","container-title":"Nature","DOI":"10.1038/s41586-019-1474-y","ISSN":"1476-4687","issue":"7770","journalAbbreviation":"Nature","language":"en","page":"520-523","title":"Increasing wildfires threaten historic carbon sink of boreal forest soils","volume":"572","author":[{"family":"Walker","given":"Xanthe J."},{"family":"Baltzer","given":"Jennifer L."},{"family":"Cumming","given":"Steven G."},{"family":"Day","given":"Nicola J."},{"family":"Ebert","given":"Christopher"},{"family":"Goetz","given":"Scott"},{"family":"Johnstone","given":"Jill F."},{"family":"Potter","given":"Stefano"},{"family":"Rogers","given":"Brendan M."},{"family":"Schuur","given":"Edward A. G."},{"family":"Turetsky","given":"Merritt R."},{"family":"Mack","given":"Michelle C."}],"issued":{"date-parts":[["2019",8]]}}}],"schema":"https://github.com/citation-style-language/schema/raw/master/csl-citation.json"} </w:instrText>
      </w:r>
      <w:r>
        <w:rPr>
          <w:rFonts w:cs="Times New Roman"/>
        </w:rPr>
        <w:fldChar w:fldCharType="separate"/>
      </w:r>
      <w:r w:rsidRPr="003C5746">
        <w:rPr>
          <w:rFonts w:cs="Times New Roman"/>
        </w:rPr>
        <w:t>(Walker et al. 2019)</w:t>
      </w:r>
      <w:r>
        <w:rPr>
          <w:rFonts w:cs="Times New Roman"/>
        </w:rPr>
        <w:fldChar w:fldCharType="end"/>
      </w:r>
      <w:r>
        <w:rPr>
          <w:rFonts w:cs="Times New Roman"/>
        </w:rPr>
        <w:t>.</w:t>
      </w:r>
      <w:r w:rsidRPr="003C6281">
        <w:rPr>
          <w:rFonts w:cs="Times New Roman"/>
        </w:rPr>
        <w:t xml:space="preserve"> Reburning </w:t>
      </w:r>
      <w:r>
        <w:rPr>
          <w:rFonts w:cs="Times New Roman"/>
        </w:rPr>
        <w:t xml:space="preserve">not only has the potential to impact the net ecosystem </w:t>
      </w:r>
      <w:r>
        <w:rPr>
          <w:rFonts w:cs="Times New Roman"/>
          <w:color w:val="000000"/>
        </w:rPr>
        <w:t>C balance (NECB) but also sets the conditions that control tree seedling recruitment and, therefore, tree dominance</w:t>
      </w:r>
      <w:r w:rsidRPr="00C12AA8">
        <w:rPr>
          <w:rFonts w:cs="Times New Roman"/>
          <w:color w:val="000000"/>
        </w:rPr>
        <w:t xml:space="preserve"> </w:t>
      </w:r>
      <w:r>
        <w:rPr>
          <w:rFonts w:cs="Times New Roman"/>
          <w:color w:val="000000"/>
        </w:rPr>
        <w:fldChar w:fldCharType="begin"/>
      </w:r>
      <w:r>
        <w:rPr>
          <w:rFonts w:cs="Times New Roman"/>
          <w:color w:val="000000"/>
        </w:rPr>
        <w:instrText xml:space="preserve"> ADDIN ZOTERO_ITEM CSL_CITATION {"citationID":"IvQlMOpE","properties":{"formattedCitation":"(Hayes and Buma 2021; Johnstone, hollingsworth, et al. 2010)","plainCitation":"(Hayes and Buma 2021; Johnstone, hollingsworth, et al. 2010)","dontUpdate":true,"noteIndex":0},"citationItems":[{"id":6271,"uris":["http://zotero.org/users/5290972/items/RK9DF4ZZ"],"itemData":{"id":6271,"type":"article-journal","abstract":"Increasing rates of short-interval disturbances have the potential to rapidly transform ecosystems via shifts in post-disturbance regeneration. While research has explored compound events in multiple biomes, we know little regarding how local site conditions interact with short-interval disturbances to influence post-disturbance regeneration. Furthermore, questions remain regarding the consequences of continued high frequency events: What happens when emerging new communities are themselves subject to short-interval disturbances? To investigate effects of ongoing short-interval fires on regeneration, we examined post-fire forest regeneration in two locations in interior Alaska. We established 50 plots across a mosaic of fire histories (one, two, or three fires in &lt;70 yr) in an upland and lowland site in interior Alaska. To investigate how shifts in community driven by short-interval fires differ according to local site conditions, we quantified abundance, proportion, and density of conifer and deciduous regeneration in a drier upland site and a wetter lowland site. Both sites were dominated by black spruce prior to burning. In the drier upland site, black spruce (Picea mariana) presence declined sharply after two fires, while paper birch (Betula neoalaskana) became increasingly abundant with each additional fire. In the wetter lowland site, less organic soil was consumed by fire and presence of black spruce persisted through an initial single reburn (two fires), indicating local topography may temporarily buffer reburning impacts. However, after three burns, conifers were effectively eliminated in both upland and lowland stands. Deciduous regeneration differed with site: Birch dominated in upland plots, while willow (Salix spp.) and aspen (Populus tremuloides) dominated in lowlands. These results offer strong empirical evidence of the divergence of boreal successional trajectories from previous historic norms. Furthermore, results from this study demonstrate shifts in post-fire succession in forested ecosystems continue to accumulate with additional short-interval disturbance events, overwhelming the interactive effects of local site conditions.","container-title":"Ecosphere","DOI":"10.1002/ecs2.3379","ISSN":"2150-8925","issue":"3","language":"en","note":"_eprint: https://onlinelibrary.wiley.com/doi/pdf/10.1002/ecs2.3379","page":"e03379","source":"Wiley Online Library","title":"Effects of short-interval disturbances continue to accumulate, overwhelming variability in local resilience","volume":"12","author":[{"family":"Hayes","given":"Katherine"},{"family":"Buma","given":"Brian"}],"issued":{"date-parts":[["2021"]]}}},{"id":199,"uris":["http://zotero.org/users/5290972/items/82KAEBKE"],"itemData":{"id":199,"type":"article-journal","container-title":"Ecology Letters","DOI":"10.1111/j.1365-2486.2009.02051.x","issue":"4","page":"1281-1295","title":"Changes in fire regime break the legacy lock on successional trajectories in Alaskan boreal forest","volume":"16","author":[{"family":"Johnstone","given":"J. F."},{"family":"hollingsworth","given":"T. K. N."},{"family":"Chapin","given":"F. S.","suffix":"III"},{"family":"Mack","given":"M. C."}],"issued":{"date-parts":[["2010"]]}}}],"schema":"https://github.com/citation-style-language/schema/raw/master/csl-citation.json"} </w:instrText>
      </w:r>
      <w:r>
        <w:rPr>
          <w:rFonts w:cs="Times New Roman"/>
          <w:color w:val="000000"/>
        </w:rPr>
        <w:fldChar w:fldCharType="separate"/>
      </w:r>
      <w:r w:rsidRPr="00EF7AEC">
        <w:rPr>
          <w:rFonts w:cs="Times New Roman"/>
        </w:rPr>
        <w:t xml:space="preserve">(Hayes and Buma 2021; Johnstone, </w:t>
      </w:r>
      <w:r>
        <w:rPr>
          <w:rFonts w:cs="Times New Roman"/>
        </w:rPr>
        <w:t>H</w:t>
      </w:r>
      <w:r w:rsidRPr="00EF7AEC">
        <w:rPr>
          <w:rFonts w:cs="Times New Roman"/>
        </w:rPr>
        <w:t>ollingsworth, et al. 2010)</w:t>
      </w:r>
      <w:r>
        <w:rPr>
          <w:rFonts w:cs="Times New Roman"/>
          <w:color w:val="000000"/>
        </w:rPr>
        <w:fldChar w:fldCharType="end"/>
      </w:r>
      <w:r>
        <w:rPr>
          <w:rFonts w:cs="Times New Roman"/>
        </w:rPr>
        <w:t xml:space="preserve">, and long-term C storage </w:t>
      </w:r>
      <w:r>
        <w:rPr>
          <w:rFonts w:cs="Times New Roman"/>
        </w:rPr>
        <w:fldChar w:fldCharType="begin"/>
      </w:r>
      <w:r>
        <w:rPr>
          <w:rFonts w:cs="Times New Roman"/>
        </w:rPr>
        <w:instrText xml:space="preserve"> ADDIN ZOTERO_ITEM CSL_CITATION {"citationID":"4TdTp14S","properties":{"formattedCitation":"(Mack et al. 2021)","plainCitation":"(Mack et al. 2021)","noteIndex":0},"citationItems":[{"id":6391,"uris":["http://zotero.org/users/5290972/items/GGFR42LH"],"itemData":{"id":6391,"type":"article-journal","abstract":"Carbon cycling after boreal forest fire\nWildfire activity has been increasing in the boreal forests of the Northern Hemisphere, releasing carbon into the atmosphere from biomass and soil, with potential feedback to climate warming. In a long-term study, Mack et al. analyzed wildfire impacts on the carbon balance of boreal forest in Alaska, with particular focus on forest-regeneration patterns. After fire, the species composition in most of the study sites changed from black spruce to a mixture of conifers and deciduous broadleaf tree species. The stands that had shifted to deciduous dominance stored fivefold more soil carbon than stands that returned to black spruce dominance. Therefore, the functional traits of deciduous trees compensated for the combustion loss of soil carbon, pointing to a potential mitigation of the feedback effect of boreal forest fire to climate warming.\nScience, this issue p. 280\nIn boreal forests, climate warming is shifting the wildfire disturbance regime to more frequent fires that burn more deeply into organic soils, releasing sequestered carbon to the atmosphere. To understand the destabilization of carbon storage, it is necessary to consider these effects in the context of long-term ecological change. In Alaskan boreal forests, we found that shifts in dominant plant species catalyzed by severe fire compensated for greater combustion of soil carbon over decadal time scales. Severe burning of organic soils shifted tree dominance from slow-growing black spruce to fast-growing deciduous broadleaf trees, resulting in a net increase in carbon storage by a factor of 5 over the disturbance cycle. Reduced fire activity in future deciduous-dominated boreal forests could increase the tenure of this carbon on the landscape, thereby mitigating the feedback to climate warming.\nShifting the dominance from slow- to fast-growing tree species compensates for increased carbon loss from wildfires in Alaskan forests.\nShifting the dominance from slow- to fast-growing tree species compensates for increased carbon loss from wildfires in Alaskan forests.","container-title":"Science","DOI":"10.1126/science.abf3903","ISSN":"0036-8075, 1095-9203","issue":"6539","journalAbbreviation":"Science","language":"en","page":"280-283","title":"Carbon loss from boreal forest wildfires offset by increased dominance of deciduous trees","volume":"372","author":[{"family":"Mack","given":"Michelle C."},{"family":"Walker","given":"Xanthe J."},{"family":"Johnstone","given":"Jill F."},{"family":"Alexander","given":"Heather D."},{"family":"Melvin","given":"April M."},{"family":"Jean","given":"Mélanie"},{"family":"Miller","given":"Samantha N."}],"issued":{"date-parts":[["2021",4,16]]}}}],"schema":"https://github.com/citation-style-language/schema/raw/master/csl-citation.json"} </w:instrText>
      </w:r>
      <w:r>
        <w:rPr>
          <w:rFonts w:cs="Times New Roman"/>
        </w:rPr>
        <w:fldChar w:fldCharType="separate"/>
      </w:r>
      <w:r w:rsidRPr="00FB3642">
        <w:rPr>
          <w:rFonts w:cs="Times New Roman"/>
        </w:rPr>
        <w:t>(Mack et al. 2021)</w:t>
      </w:r>
      <w:r>
        <w:rPr>
          <w:rFonts w:cs="Times New Roman"/>
        </w:rPr>
        <w:fldChar w:fldCharType="end"/>
      </w:r>
      <w:r>
        <w:rPr>
          <w:rFonts w:cs="Times New Roman"/>
        </w:rPr>
        <w:t xml:space="preserve">. </w:t>
      </w:r>
      <w:r w:rsidRPr="003C6281">
        <w:rPr>
          <w:rFonts w:cs="Times New Roman"/>
          <w:color w:val="000000" w:themeColor="text1"/>
        </w:rPr>
        <w:t xml:space="preserve">Understanding </w:t>
      </w:r>
      <w:r>
        <w:rPr>
          <w:rFonts w:cs="Times New Roman"/>
          <w:color w:val="000000" w:themeColor="text1"/>
        </w:rPr>
        <w:t>the ecological consequences of increased fire frequency and a shortened FRI</w:t>
      </w:r>
      <w:r w:rsidRPr="003C6281">
        <w:rPr>
          <w:rFonts w:cs="Times New Roman"/>
          <w:color w:val="000000" w:themeColor="text1"/>
        </w:rPr>
        <w:t xml:space="preserve"> is critical for predicting the future state of boreal forests</w:t>
      </w:r>
      <w:r>
        <w:rPr>
          <w:rFonts w:cs="Times New Roman"/>
          <w:color w:val="000000" w:themeColor="text1"/>
        </w:rPr>
        <w:t xml:space="preserve"> and the global C cycle. </w:t>
      </w:r>
    </w:p>
    <w:p w14:paraId="1C051978" w14:textId="77777777" w:rsidR="00A865F7" w:rsidRDefault="00A865F7" w:rsidP="00A865F7">
      <w:pPr>
        <w:tabs>
          <w:tab w:val="left" w:pos="9270"/>
        </w:tabs>
        <w:spacing w:after="0" w:line="480" w:lineRule="auto"/>
        <w:jc w:val="both"/>
        <w:rPr>
          <w:rFonts w:cs="Times New Roman"/>
          <w:color w:val="000000" w:themeColor="text1"/>
        </w:rPr>
      </w:pPr>
    </w:p>
    <w:p w14:paraId="0AAED48F" w14:textId="77777777" w:rsidR="00A865F7" w:rsidRDefault="00A865F7" w:rsidP="00A865F7">
      <w:pPr>
        <w:spacing w:after="0" w:line="480" w:lineRule="auto"/>
        <w:jc w:val="both"/>
        <w:rPr>
          <w:rFonts w:cs="Times New Roman"/>
          <w:i/>
          <w:iCs/>
          <w:shd w:val="clear" w:color="auto" w:fill="FFFFFF"/>
        </w:rPr>
      </w:pPr>
      <w:r>
        <w:t>Wildfire activity in the boreal forests is controlled by top-down forcings of c</w:t>
      </w:r>
      <w:r w:rsidRPr="00993FA9">
        <w:rPr>
          <w:rFonts w:cs="Times New Roman"/>
          <w:shd w:val="clear" w:color="auto" w:fill="FFFFFF"/>
        </w:rPr>
        <w:t>limate</w:t>
      </w:r>
      <w:r>
        <w:rPr>
          <w:rFonts w:cs="Times New Roman"/>
          <w:shd w:val="clear" w:color="auto" w:fill="FFFFFF"/>
        </w:rPr>
        <w:t xml:space="preserve"> and weather</w:t>
      </w:r>
      <w:r w:rsidRPr="00993FA9">
        <w:rPr>
          <w:rFonts w:cs="Times New Roman"/>
          <w:shd w:val="clear" w:color="auto" w:fill="FFFFFF"/>
        </w:rPr>
        <w:t xml:space="preserve"> </w:t>
      </w:r>
      <w:r>
        <w:rPr>
          <w:rFonts w:cs="Times New Roman"/>
          <w:shd w:val="clear" w:color="auto" w:fill="FFFFFF"/>
        </w:rPr>
        <w:fldChar w:fldCharType="begin"/>
      </w:r>
      <w:r>
        <w:rPr>
          <w:rFonts w:cs="Times New Roman"/>
          <w:shd w:val="clear" w:color="auto" w:fill="FFFFFF"/>
        </w:rPr>
        <w:instrText xml:space="preserve"> ADDIN ZOTERO_ITEM CSL_CITATION {"citationID":"pyNeNm6l","properties":{"formattedCitation":"(Bessie and Johnson 1995; Prichard, Stevens-Rumann, and Hessburg 2017)","plainCitation":"(Bessie and Johnson 1995; Prichard, Stevens-Rumann, and Hessburg 2017)","noteIndex":0},"citationItems":[{"id":49,"uris":["http://zotero.org/users/5290972/items/MGWH9PDP"],"itemData":{"id":49,"type":"article-journal","abstract":"Surface fire intensity (kilowatts per metre) and crown fire initiation were predicted using Rothermel's 1972 and Van Wagner's 1977 fire models with fuel data from 47 upland subalpine conifer stands varying in age from 22-258 yr and 35 yr of daily weather data (fuel moisture and wind speeds). Rothermel's intensity model was divided into a fuel component variable and weather component variable, which were then used to examine the relative roles of fuel and weather on surface fire intensity (kilowatts per metre). Similar variables were defined in the crown fire initiation model of Van Wagner. Both surface fire intensity and crown fire initiation were strongly related to the weather components and weakly related to the fuel components, due to much greater variability in weather than fuel, and stronger relationship to the fire behavior mechanisms for weather than for fuel. Fire intensity was correlated to annual area burned; large area burned years had higher fire intensity predictions than smaller area burned years. The reason for this difference was attributed directly to the weather variable frequency distribution, which was shifted towards more extreme values in years in which large areas burned. During extreme weather conditions, the relative importance of fuels diminishes since all stands achieve the threshold required to permit crown fire development. This is important since most of the area burned in subalpine forests has historically occurred during very extreme weather (i.e., drought coupled to high winds). The fire behavior relationships predicted in the models support the concept that forest fire behavior is determined primarily by weather variation among years rather than fuel variation associated with stand age.","container-title":"Ecology","DOI":"10.2307/1939341","ISSN":"0012-9658","issue":"3","journalAbbreviation":"Ecology","language":"English","page":"747-762","title":"The relative importance of fuels and weather on fire behavior in sub-alpine forest.","volume":"76","author":[{"family":"Bessie","given":"W.C."},{"family":"Johnson","given":"E.A."}],"issued":{"date-parts":[["1995",4]]}}},{"id":9860,"uris":["http://zotero.org/users/5290972/items/AWTF4Y6Q"],"itemData":{"id":9860,"type":"article-journal","container-title":"Forest Ecology and Management","ISSN":"0378-1127","journalAbbreviation":"Forest Ecology and Management","note":"publisher: Elsevier","page":"217-233","title":"Tamm Review: Shifting global fire regimes: Lessons from reburns and research needs","volume":"396","author":[{"family":"Prichard","given":"Susan J"},{"family":"Stevens-Rumann","given":"Camille S"},{"family":"Hessburg","given":"Paul F"}],"issued":{"date-parts":[["2017"]]}}}],"schema":"https://github.com/citation-style-language/schema/raw/master/csl-citation.json"} </w:instrText>
      </w:r>
      <w:r>
        <w:rPr>
          <w:rFonts w:cs="Times New Roman"/>
          <w:shd w:val="clear" w:color="auto" w:fill="FFFFFF"/>
        </w:rPr>
        <w:fldChar w:fldCharType="separate"/>
      </w:r>
      <w:r w:rsidRPr="00272D0D">
        <w:rPr>
          <w:rFonts w:cs="Times New Roman"/>
        </w:rPr>
        <w:t>(Bessie and Johnson 1995; Prichard, Stevens-Rumann, and Hessburg 2017)</w:t>
      </w:r>
      <w:r>
        <w:rPr>
          <w:rFonts w:cs="Times New Roman"/>
          <w:shd w:val="clear" w:color="auto" w:fill="FFFFFF"/>
        </w:rPr>
        <w:fldChar w:fldCharType="end"/>
      </w:r>
      <w:r>
        <w:rPr>
          <w:rFonts w:cs="Times New Roman"/>
        </w:rPr>
        <w:t xml:space="preserve"> </w:t>
      </w:r>
      <w:r>
        <w:rPr>
          <w:rFonts w:cs="Times New Roman"/>
          <w:shd w:val="clear" w:color="auto" w:fill="FFFFFF"/>
        </w:rPr>
        <w:t xml:space="preserve">and bottom-up drivers of </w:t>
      </w:r>
      <w:r w:rsidRPr="00993FA9">
        <w:rPr>
          <w:rFonts w:cs="Times New Roman"/>
          <w:shd w:val="clear" w:color="auto" w:fill="FFFFFF"/>
        </w:rPr>
        <w:t xml:space="preserve">fuel </w:t>
      </w:r>
      <w:r>
        <w:rPr>
          <w:rFonts w:cs="Times New Roman"/>
          <w:shd w:val="clear" w:color="auto" w:fill="FFFFFF"/>
        </w:rPr>
        <w:t xml:space="preserve">composition and quantity </w:t>
      </w:r>
      <w:r>
        <w:rPr>
          <w:rFonts w:cs="Times New Roman"/>
          <w:shd w:val="clear" w:color="auto" w:fill="FFFFFF"/>
        </w:rPr>
        <w:fldChar w:fldCharType="begin"/>
      </w:r>
      <w:r>
        <w:rPr>
          <w:rFonts w:cs="Times New Roman"/>
          <w:shd w:val="clear" w:color="auto" w:fill="FFFFFF"/>
        </w:rPr>
        <w:instrText xml:space="preserve"> ADDIN ZOTERO_ITEM CSL_CITATION {"citationID":"j7pFbByD","properties":{"formattedCitation":"(Bernier et al. 2016; Parks et al. 2018; Erni, Arseneault, and Parisien 2018)","plainCitation":"(Bernier et al. 2016; Parks et al. 2018; Erni, Arseneault, and Parisien 2018)","noteIndex":0},"citationItems":[{"id":1663,"uris":["http://zotero.org/users/5290972/items/PS63E8YF"],"itemData":{"id":1663,"type":"article-journal","abstract":"Fire is a dominant mechanism of forest renewal in most of Canada’s forests and its activity is predicted to increase over the coming decades. Individual fire events have been considered to be non-selective with regards to forest properties, but evidence now suggests otherwise. Our objective was therefore to quantify the effect of forest properties on fire selectivity or avoidance, evaluate the stability of these effects across varying burn rates, and use these results to map local fire risk across the forests of Canada. We used Canada-wide MODIS-based maps of annual fires and of forest properties to identify burned and unburned pixels for the 2002–2011 period and to bin them into classes of forest composition (% conifer and broadleaved deciduous), above-ground tree biomass and stand age. Logistic binomial regressions were then used to quantify fire selectivity by forest properties classes and by zones of homogeneous fire regime (HFR). Results suggest that fire exhibits a strong selectivity for conifer stands, but an even stronger avoidance of broadleaved stands. In terms of age classes, fire also shows a strong avoidance for young (0 to 29 year) stands. The large differences among regional burn rates do not significantly alter the overall preference and avoidance ratings. Finally, we combined these results on relative burn preference with regional burn rates to map local fire risks across Canada.","container-title":"Forests","DOI":"10.3390/f7080157","issue":"8","language":"en","license":"http://creativecommons.org/licenses/by/3.0/","page":"157","source":"www.mdpi.com","title":"Mapping Local Effects of Forest Properties on Fire Risk across Canada","volume":"7","author":[{"family":"Bernier","given":"Pierre"},{"family":"Gauthier","given":"Sylvie"},{"family":"Jean","given":"Pierre-Olivier"},{"family":"Manka","given":"Francis"},{"family":"Boulanger","given":"Yan"},{"family":"Beaudoin","given":"André"},{"family":"Guindon","given":"Luc"},{"family":"Bernier","given":"Pierre Y."},{"family":"Gauthier","given":"Sylvie"},{"family":"Jean","given":"Pierre-Olivier"},{"family":"Manka","given":"Francis"},{"family":"Boulanger","given":"Yan"},{"family":"Beaudoin","given":"André"},{"family":"Guindon","given":"Luc"}],"issued":{"date-parts":[["2016",7,27]]}}},{"id":54,"uris":["http://zotero.org/users/5290972/items/IG479TWS"],"itemData":{"id":54,"type":"article-journal","container-title":"Ecological Applications","ISSN":"1939-5582","issue":"2","page":"573-586","title":"Fine‐scale spatial climate variation and drought mediate the likelihood of reburning","volume":"28","author":[{"family":"Parks","given":"Sean A"},{"family":"Parisien","given":"Marc‐André"},{"family":"Miller","given":"Carol"},{"family":"Holsinger","given":"Lisa M"},{"family":"Baggett","given":"Larry Scott"}],"issued":{"date-parts":[["2018"]]}}},{"id":52,"uris":["http://zotero.org/users/5290972/items/2W4Q2T3T"],"itemData":{"id":52,"type":"article-journal","abstract":"Although it has long been assumed that wildfire occurrence is independent of stand age in the North American boreal forest, recent studies indicate that young forests may influence burn rates by limiting the ignition and spread of fires for several years. Wildfires not only structure the stand-age mosaic of boreal landscapes, but also alter the likelihood and behavior of subsequent fires. Using a fire simulation model, we evaluated the effect of stand age on the magnitude and spatial patterns of burn probability (BP) in the boreal forest of northeastern Canada. Specifically, we assessed the stand age effect on the two processes driving fire likelihood, ignition and spread, by simulating tens of thousands of fires under three fire regime scenarios that vary in terms of mean fire size and number of burned patches. Assuming minimal resistance to fire ignition and spread, where only the youngest stands (≤ 10 years) are resistant to burning, mean BP is reduced by 10%; in contrast, assuming maximum resistance, where stands up to 90 years old impede wildfires, mean BP can be reduced up to 85%. Although the resistance to ignition on BP is almost identical in magnitude to that of spread, it yields substantially different spatial arrangements of BP. Furthermore, stand age resistance reduces subsequent fire activity not only within but also outside the perimeter of burned patches through a shadow effect. Our results help to untangle the role of factors contributing to stand age resistance on wildfires and offer new insights for improving the spatial mapping of fire likelihood.","container-title":"Ecosystems","DOI":"10.1007/s10021-018-0235-3","ISSN":"1435-0629","journalAbbreviation":"Ecosystems","language":"en","page":"1471-1486","source":"Springer Link","title":"Stand Age Influence on Potential Wildfire Ignition and Spread in the Boreal Forest of Northeastern Canada","volume":"21","author":[{"family":"Erni","given":"Sandy"},{"family":"Arseneault","given":"Dominique"},{"family":"Parisien","given":"Marc-André"}],"issued":{"date-parts":[["2018",2,28]]}}}],"schema":"https://github.com/citation-style-language/schema/raw/master/csl-citation.json"} </w:instrText>
      </w:r>
      <w:r>
        <w:rPr>
          <w:rFonts w:cs="Times New Roman"/>
          <w:shd w:val="clear" w:color="auto" w:fill="FFFFFF"/>
        </w:rPr>
        <w:fldChar w:fldCharType="separate"/>
      </w:r>
      <w:r w:rsidRPr="009D6B33">
        <w:rPr>
          <w:rFonts w:cs="Times New Roman"/>
        </w:rPr>
        <w:t>(Bernier et al. 2016; Parks et al. 2018; Erni, Arseneault, and Parisien 2018)</w:t>
      </w:r>
      <w:r>
        <w:rPr>
          <w:rFonts w:cs="Times New Roman"/>
          <w:shd w:val="clear" w:color="auto" w:fill="FFFFFF"/>
        </w:rPr>
        <w:fldChar w:fldCharType="end"/>
      </w:r>
      <w:r>
        <w:rPr>
          <w:rFonts w:cs="Times New Roman"/>
          <w:shd w:val="clear" w:color="auto" w:fill="FFFFFF"/>
        </w:rPr>
        <w:t xml:space="preserve">. </w:t>
      </w:r>
      <w:r w:rsidRPr="00993FA9">
        <w:rPr>
          <w:rFonts w:cs="Times New Roman"/>
        </w:rPr>
        <w:t>The most widespread example of a bottom-</w:t>
      </w:r>
      <w:r>
        <w:rPr>
          <w:rFonts w:cs="Times New Roman"/>
        </w:rPr>
        <w:t xml:space="preserve">up </w:t>
      </w:r>
      <w:r w:rsidRPr="00993FA9">
        <w:rPr>
          <w:rFonts w:cs="Times New Roman"/>
        </w:rPr>
        <w:t>control on fire activity is age-dependent burning</w:t>
      </w:r>
      <w:r>
        <w:rPr>
          <w:rFonts w:cs="Times New Roman"/>
        </w:rPr>
        <w:t xml:space="preserve">, </w:t>
      </w:r>
      <w:r w:rsidRPr="00993FA9">
        <w:rPr>
          <w:rFonts w:cs="Times New Roman"/>
        </w:rPr>
        <w:t xml:space="preserve">where young stands are unlikely to burn until fuels accumulate to levels that can sustain fire </w:t>
      </w:r>
      <w:r>
        <w:rPr>
          <w:rFonts w:cs="Times New Roman"/>
        </w:rPr>
        <w:fldChar w:fldCharType="begin"/>
      </w:r>
      <w:r>
        <w:rPr>
          <w:rFonts w:cs="Times New Roman"/>
        </w:rPr>
        <w:instrText xml:space="preserve"> ADDIN ZOTERO_ITEM CSL_CITATION {"citationID":"iSvkgiOy","properties":{"formattedCitation":"(Parks et al. 2015)","plainCitation":"(Parks et al. 2015)","noteIndex":0},"citationItems":[{"id":141,"uris":["http://zotero.org/users/5290972/items/B89TT22F"],"itemData":{"id":141,"type":"article-journal","abstract":"Theory suggests that natural fire regimes can result in landscapes that are both self-regulating and resilient to fire. For example, because fires consume fuel, they may create barriers to the spread of future fires, thereby regulating fire size. Top-down controls such as weather, however, can weaken this effect. While empirical examples demonstrating this pattern–process feedback between vegetation and fire exist, they have been geographically limited or did not consider the influence of time between fires and weather. The availability of remotely sensed data identifying fire activity over the last four decades provides an opportunity to explicitly quantify the ability of wildland fire to limit the progression of subsequent fire. Furthermore, advances in fire progression mapping now allow an evaluation of how daily weather as a top-down control modifies this effect. In this study, we evaluated the ability of wildland fire to create barriers that limit the spread of subsequent fire along a gradient representing time between fires in four large study areas in the western United States. Using fire progression maps in conjunction with weather station data, we also evaluated the influence of daily weather. Results indicate that wildland fire does limit subsequent fire spread in all four study areas, but this effect decays over time; wildland fire no longer limits subsequent fire spread 6–18 years after fire, depending on the study area. We also found that the ability of fire to regulate subsequent fire progression was substantially reduced under extreme conditions compared to moderate weather conditions in all four study areas. This study increases understanding of the spatial feedbacks that can lead to self-regulating landscapes as well as the effects of top-down controls, such as weather, on these feedbacks. Our results will be useful to managers who seek to restore natural fire regimes or to exploit recent burns when managing fire.","container-title":"Ecological Applications","DOI":"10.1890/14-1430.1","ISSN":"1939-5582","issue":"6","language":"en","license":"© 2015 by the Ecological Society of America","page":"1478-1492","source":"Wiley Online Library","title":"Wildland fire as a self-regulating mechanism: the role of previous burns and weather in limiting fire progression","title-short":"Wildland fire as a self-regulating mechanism","volume":"25","author":[{"family":"Parks","given":"Sean A."},{"family":"Holsinger","given":"Lisa M."},{"family":"Miller","given":"Carol"},{"family":"Nelson","given":"Cara R."}],"issued":{"date-parts":[["2015"]]}}}],"schema":"https://github.com/citation-style-language/schema/raw/master/csl-citation.json"} </w:instrText>
      </w:r>
      <w:r>
        <w:rPr>
          <w:rFonts w:cs="Times New Roman"/>
        </w:rPr>
        <w:fldChar w:fldCharType="separate"/>
      </w:r>
      <w:r w:rsidRPr="009D6B33">
        <w:rPr>
          <w:rFonts w:cs="Times New Roman"/>
        </w:rPr>
        <w:t>(Parks et al. 2015)</w:t>
      </w:r>
      <w:r>
        <w:rPr>
          <w:rFonts w:cs="Times New Roman"/>
        </w:rPr>
        <w:fldChar w:fldCharType="end"/>
      </w:r>
      <w:r w:rsidRPr="00993FA9">
        <w:rPr>
          <w:rFonts w:cs="Times New Roman"/>
          <w:color w:val="000000"/>
        </w:rPr>
        <w:t>.</w:t>
      </w:r>
      <w:r>
        <w:rPr>
          <w:rFonts w:cs="Times New Roman"/>
          <w:color w:val="000000"/>
        </w:rPr>
        <w:t xml:space="preserve"> In boreal forest ecosystems, recently burned areas generally resist burning for upwards of 30 years after a fire </w:t>
      </w:r>
      <w:r>
        <w:rPr>
          <w:rFonts w:cs="Times New Roman"/>
          <w:color w:val="000000"/>
        </w:rPr>
        <w:fldChar w:fldCharType="begin"/>
      </w:r>
      <w:r>
        <w:rPr>
          <w:rFonts w:cs="Times New Roman"/>
          <w:color w:val="000000"/>
        </w:rPr>
        <w:instrText xml:space="preserve"> ADDIN ZOTERO_ITEM CSL_CITATION {"citationID":"AmUQ0naa","properties":{"formattedCitation":"(Erni, Arseneault, and Parisien 2018; Parks et al. 2018)","plainCitation":"(Erni, Arseneault, and Parisien 2018; Parks et al. 2018)","noteIndex":0},"citationItems":[{"id":52,"uris":["http://zotero.org/users/5290972/items/2W4Q2T3T"],"itemData":{"id":52,"type":"article-journal","abstract":"Although it has long been assumed that wildfire occurrence is independent of stand age in the North American boreal forest, recent studies indicate that young forests may influence burn rates by limiting the ignition and spread of fires for several years. Wildfires not only structure the stand-age mosaic of boreal landscapes, but also alter the likelihood and behavior of subsequent fires. Using a fire simulation model, we evaluated the effect of stand age on the magnitude and spatial patterns of burn probability (BP) in the boreal forest of northeastern Canada. Specifically, we assessed the stand age effect on the two processes driving fire likelihood, ignition and spread, by simulating tens of thousands of fires under three fire regime scenarios that vary in terms of mean fire size and number of burned patches. Assuming minimal resistance to fire ignition and spread, where only the youngest stands (≤ 10 years) are resistant to burning, mean BP is reduced by 10%; in contrast, assuming maximum resistance, where stands up to 90 years old impede wildfires, mean BP can be reduced up to 85%. Although the resistance to ignition on BP is almost identical in magnitude to that of spread, it yields substantially different spatial arrangements of BP. Furthermore, stand age resistance reduces subsequent fire activity not only within but also outside the perimeter of burned patches through a shadow effect. Our results help to untangle the role of factors contributing to stand age resistance on wildfires and offer new insights for improving the spatial mapping of fire likelihood.","container-title":"Ecosystems","DOI":"10.1007/s10021-018-0235-3","ISSN":"1435-0629","journalAbbreviation":"Ecosystems","language":"en","page":"1471-1486","source":"Springer Link","title":"Stand Age Influence on Potential Wildfire Ignition and Spread in the Boreal Forest of Northeastern Canada","volume":"21","author":[{"family":"Erni","given":"Sandy"},{"family":"Arseneault","given":"Dominique"},{"family":"Parisien","given":"Marc-André"}],"issued":{"date-parts":[["2018",2,28]]}}},{"id":54,"uris":["http://zotero.org/users/5290972/items/IG479TWS"],"itemData":{"id":54,"type":"article-journal","container-title":"Ecological Applications","ISSN":"1939-5582","issue":"2","page":"573-586","title":"Fine‐scale spatial climate variation and drought mediate the likelihood of reburning","volume":"28","author":[{"family":"Parks","given":"Sean A"},{"family":"Parisien","given":"Marc‐André"},{"family":"Miller","given":"Carol"},{"family":"Holsinger","given":"Lisa M"},{"family":"Baggett","given":"Larry Scott"}],"issued":{"date-parts":[["2018"]]}}}],"schema":"https://github.com/citation-style-language/schema/raw/master/csl-citation.json"} </w:instrText>
      </w:r>
      <w:r>
        <w:rPr>
          <w:rFonts w:cs="Times New Roman"/>
          <w:color w:val="000000"/>
        </w:rPr>
        <w:fldChar w:fldCharType="separate"/>
      </w:r>
      <w:r w:rsidRPr="009D6B33">
        <w:rPr>
          <w:rFonts w:cs="Times New Roman"/>
        </w:rPr>
        <w:t>(Erni, Arseneault, and Parisien 2018; Parks et al. 2018)</w:t>
      </w:r>
      <w:r>
        <w:rPr>
          <w:rFonts w:cs="Times New Roman"/>
          <w:color w:val="000000"/>
        </w:rPr>
        <w:fldChar w:fldCharType="end"/>
      </w:r>
      <w:r>
        <w:rPr>
          <w:rFonts w:cs="Times New Roman"/>
          <w:color w:val="000000"/>
        </w:rPr>
        <w:t xml:space="preserve">. </w:t>
      </w:r>
      <w:r w:rsidRPr="005413BB">
        <w:rPr>
          <w:rFonts w:cs="Times New Roman"/>
          <w:shd w:val="clear" w:color="auto" w:fill="FFFFFF"/>
        </w:rPr>
        <w:t xml:space="preserve">Managers often use </w:t>
      </w:r>
      <w:r>
        <w:rPr>
          <w:rFonts w:cs="Times New Roman"/>
          <w:shd w:val="clear" w:color="auto" w:fill="FFFFFF"/>
        </w:rPr>
        <w:t xml:space="preserve">these </w:t>
      </w:r>
      <w:r w:rsidRPr="005413BB">
        <w:rPr>
          <w:rFonts w:cs="Times New Roman"/>
          <w:shd w:val="clear" w:color="auto" w:fill="FFFFFF"/>
        </w:rPr>
        <w:t xml:space="preserve">recently burned areas as a natural fuel break, </w:t>
      </w:r>
      <w:r>
        <w:rPr>
          <w:rFonts w:cs="Times New Roman"/>
          <w:shd w:val="clear" w:color="auto" w:fill="FFFFFF"/>
        </w:rPr>
        <w:t>relying</w:t>
      </w:r>
      <w:r w:rsidRPr="005413BB">
        <w:rPr>
          <w:rFonts w:cs="Times New Roman"/>
          <w:shd w:val="clear" w:color="auto" w:fill="FFFFFF"/>
        </w:rPr>
        <w:t xml:space="preserve"> on the </w:t>
      </w:r>
      <w:r w:rsidRPr="005413BB">
        <w:rPr>
          <w:rFonts w:cs="Times New Roman"/>
          <w:shd w:val="clear" w:color="auto" w:fill="FFFFFF"/>
        </w:rPr>
        <w:lastRenderedPageBreak/>
        <w:t>reduced fuel loads to limit the spread of subsequent fires</w:t>
      </w:r>
      <w:r>
        <w:rPr>
          <w:rFonts w:cs="Times New Roman"/>
          <w:shd w:val="clear" w:color="auto" w:fill="FFFFFF"/>
        </w:rPr>
        <w:t xml:space="preserve"> </w:t>
      </w:r>
      <w:r>
        <w:rPr>
          <w:rFonts w:cs="Times New Roman"/>
          <w:shd w:val="clear" w:color="auto" w:fill="FFFFFF"/>
        </w:rPr>
        <w:fldChar w:fldCharType="begin"/>
      </w:r>
      <w:r>
        <w:rPr>
          <w:rFonts w:cs="Times New Roman"/>
          <w:shd w:val="clear" w:color="auto" w:fill="FFFFFF"/>
        </w:rPr>
        <w:instrText xml:space="preserve"> ADDIN ZOTERO_ITEM CSL_CITATION {"citationID":"M6ftcOdH","properties":{"formattedCitation":"(Agee and Skinner 2005; Stephens and Ruth 2005)","plainCitation":"(Agee and Skinner 2005; Stephens and Ruth 2005)","noteIndex":0},"citationItems":[{"id":9861,"uris":["http://zotero.org/users/5290972/items/GPXML2AN"],"itemData":{"id":9861,"type":"article-journal","container-title":"Forest ecology and management","ISSN":"0378-1127","issue":"1-2","journalAbbreviation":"Forest ecology and management","note":"publisher: Elsevier","page":"83-96","title":"Basic principles of forest fuel reduction treatments","volume":"211","author":[{"family":"Agee","given":"James K"},{"family":"Skinner","given":"Carl N"}],"issued":{"date-parts":[["2005"]]}}},{"id":9862,"uris":["http://zotero.org/users/5290972/items/UXP7WCA6"],"itemData":{"id":9862,"type":"article-journal","container-title":"Ecological applications","ISSN":"1939-5582","issue":"2","journalAbbreviation":"Ecological applications","note":"publisher: Wiley Online Library","page":"532-542","title":"Federal forest‐fire policy in the United States","volume":"15","author":[{"family":"Stephens","given":"Scott L"},{"family":"Ruth","given":"Lawrence W"}],"issued":{"date-parts":[["2005"]]}}}],"schema":"https://github.com/citation-style-language/schema/raw/master/csl-citation.json"} </w:instrText>
      </w:r>
      <w:r>
        <w:rPr>
          <w:rFonts w:cs="Times New Roman"/>
          <w:shd w:val="clear" w:color="auto" w:fill="FFFFFF"/>
        </w:rPr>
        <w:fldChar w:fldCharType="separate"/>
      </w:r>
      <w:r w:rsidRPr="00511EC6">
        <w:rPr>
          <w:rFonts w:cs="Times New Roman"/>
        </w:rPr>
        <w:t>(Agee and Skinner 2005; Stephens and Ruth 2005)</w:t>
      </w:r>
      <w:r>
        <w:rPr>
          <w:rFonts w:cs="Times New Roman"/>
          <w:shd w:val="clear" w:color="auto" w:fill="FFFFFF"/>
        </w:rPr>
        <w:fldChar w:fldCharType="end"/>
      </w:r>
      <w:r>
        <w:rPr>
          <w:rFonts w:cs="Times New Roman"/>
          <w:shd w:val="clear" w:color="auto" w:fill="FFFFFF"/>
        </w:rPr>
        <w:t xml:space="preserve">. </w:t>
      </w:r>
      <w:r w:rsidRPr="00993FA9">
        <w:rPr>
          <w:rFonts w:cs="Times New Roman"/>
          <w:shd w:val="clear" w:color="auto" w:fill="FCFCFC"/>
        </w:rPr>
        <w:t>However, climate and the associated effects of climate</w:t>
      </w:r>
      <w:r>
        <w:rPr>
          <w:rFonts w:cs="Times New Roman"/>
          <w:shd w:val="clear" w:color="auto" w:fill="FCFCFC"/>
        </w:rPr>
        <w:t xml:space="preserve"> change</w:t>
      </w:r>
      <w:r w:rsidRPr="00993FA9">
        <w:rPr>
          <w:rFonts w:cs="Times New Roman"/>
          <w:shd w:val="clear" w:color="auto" w:fill="FCFCFC"/>
        </w:rPr>
        <w:t xml:space="preserve"> on the fire regime are already beyond the historical range of variability </w:t>
      </w:r>
      <w:r>
        <w:rPr>
          <w:rFonts w:cs="Times New Roman"/>
          <w:shd w:val="clear" w:color="auto" w:fill="FCFCFC"/>
        </w:rPr>
        <w:fldChar w:fldCharType="begin"/>
      </w:r>
      <w:r>
        <w:rPr>
          <w:rFonts w:cs="Times New Roman"/>
          <w:shd w:val="clear" w:color="auto" w:fill="FCFCFC"/>
        </w:rPr>
        <w:instrText xml:space="preserve"> ADDIN ZOTERO_ITEM CSL_CITATION {"citationID":"7t794obF","properties":{"formattedCitation":"(Kelly et al. 2013)","plainCitation":"(Kelly et al. 2013)","noteIndex":0},"citationItems":[{"id":482,"uris":["http://zotero.org/users/5290972/items/P4VUKT64"],"itemData":{"id":482,"type":"article-journal","abstract":"Wildfire activity in boreal forests is anticipated to increase dramatically, with far-reaching ecological and socioeconomic consequences. Paleorecords are indispensible for elucidating boreal fire regime dynamics under changing climate, because fire return intervals and successional cycles in these ecosystems occur over decadal to centennial timescales. We present charcoal records from 14 lakes in the Yukon Flats of interior Alaska, one of the most flammable ecoregions of the boreal forest biome, to infer causes and consequences of fire regime change over the past 10,000 y. Strong correspondence between charcoal-inferred and observational fire records shows the fidelity of sedimentary charcoal records as archives of past fire regimes. Fire frequency and area burned increased </w:instrText>
      </w:r>
      <w:r>
        <w:rPr>
          <w:rFonts w:ascii="Cambria Math" w:hAnsi="Cambria Math" w:cs="Cambria Math"/>
          <w:shd w:val="clear" w:color="auto" w:fill="FCFCFC"/>
        </w:rPr>
        <w:instrText>∼</w:instrText>
      </w:r>
      <w:r>
        <w:rPr>
          <w:rFonts w:cs="Times New Roman"/>
          <w:shd w:val="clear" w:color="auto" w:fill="FCFCFC"/>
        </w:rPr>
        <w:instrText xml:space="preserve">6,000-3,000 y ago, probably as a result of elevated landscape flammability associated with increased Picea mariana in the regional vegetation. During the Medieval Climate Anomaly (MCA; </w:instrText>
      </w:r>
      <w:r>
        <w:rPr>
          <w:rFonts w:ascii="Cambria Math" w:hAnsi="Cambria Math" w:cs="Cambria Math"/>
          <w:shd w:val="clear" w:color="auto" w:fill="FCFCFC"/>
        </w:rPr>
        <w:instrText>∼</w:instrText>
      </w:r>
      <w:r>
        <w:rPr>
          <w:rFonts w:cs="Times New Roman"/>
          <w:shd w:val="clear" w:color="auto" w:fill="FCFCFC"/>
        </w:rPr>
        <w:instrText xml:space="preserve">1,000-500 cal B.P.), the period most similar to recent decades, warm and dry climatic conditions resulted in peak biomass burning, but severe fires favored less-flammable deciduous vegetation, such that fire frequency remained relatively stationary. These results suggest that boreal forests can sustain high-severity fire regimes for centuries under warm and dry conditions, with vegetation feedbacks modulating climate-fire linkages. The apparent limit to MCA burning has been surpassed by the regional fire regime of recent decades, which is characterized by exceptionally high fire frequency and biomass burning. This extreme combination suggests a transition to a unique regime of unprecedented fire activity. However, vegetation dynamics similar to feedbacks that occurred during the MCA may stabilize the fire regime, despite additional warming.","container-title":"Proceedings of the National Academy of Sciences of the United States of America","DOI":"10.1073/pnas.1305069110","ISSN":"1091-6490","issue":"32","journalAbbreviation":"Proc. Natl. Acad. Sci. U.S.A.","language":"eng","note":"PMID: 23878258\nPMCID: PMC3740857","page":"13055-13060","source":"PubMed","title":"Recent burning of boreal forests exceeds fire regime limits of the past 10,000 years","volume":"110","author":[{"family":"Kelly","given":"Ryan"},{"family":"Chipman","given":"Melissa L."},{"family":"Higuera","given":"Philip E."},{"family":"Stefanova","given":"Ivanka"},{"family":"Brubaker","given":"Linda B."},{"family":"Hu","given":"Feng Sheng"}],"issued":{"date-parts":[["2013",8,6]]}}}],"schema":"https://github.com/citation-style-language/schema/raw/master/csl-citation.json"} </w:instrText>
      </w:r>
      <w:r>
        <w:rPr>
          <w:rFonts w:cs="Times New Roman"/>
          <w:shd w:val="clear" w:color="auto" w:fill="FCFCFC"/>
        </w:rPr>
        <w:fldChar w:fldCharType="separate"/>
      </w:r>
      <w:r w:rsidRPr="00511EC6">
        <w:rPr>
          <w:rFonts w:cs="Times New Roman"/>
        </w:rPr>
        <w:t>(Kelly et al. 2013)</w:t>
      </w:r>
      <w:r>
        <w:rPr>
          <w:rFonts w:cs="Times New Roman"/>
          <w:shd w:val="clear" w:color="auto" w:fill="FCFCFC"/>
        </w:rPr>
        <w:fldChar w:fldCharType="end"/>
      </w:r>
      <w:r>
        <w:rPr>
          <w:rFonts w:cs="Times New Roman"/>
          <w:shd w:val="clear" w:color="auto" w:fill="FCFCFC"/>
        </w:rPr>
        <w:t xml:space="preserve">. </w:t>
      </w:r>
      <w:r>
        <w:rPr>
          <w:rFonts w:eastAsia="Times New Roman" w:cs="Times New Roman"/>
        </w:rPr>
        <w:t>I</w:t>
      </w:r>
      <w:r w:rsidRPr="00993FA9">
        <w:rPr>
          <w:rFonts w:eastAsia="Times New Roman" w:cs="Times New Roman"/>
        </w:rPr>
        <w:t>ncreases in extreme fire weather conditions can override age-dependent burning</w:t>
      </w:r>
      <w:r>
        <w:rPr>
          <w:rFonts w:eastAsia="Times New Roman" w:cs="Times New Roman"/>
        </w:rPr>
        <w:t xml:space="preserve"> and allow</w:t>
      </w:r>
      <w:r w:rsidRPr="00993FA9">
        <w:rPr>
          <w:rFonts w:eastAsia="Times New Roman" w:cs="Times New Roman"/>
        </w:rPr>
        <w:t xml:space="preserve"> reburning to occur </w:t>
      </w:r>
      <w:r>
        <w:rPr>
          <w:rFonts w:eastAsia="Times New Roman" w:cs="Times New Roman"/>
        </w:rPr>
        <w:fldChar w:fldCharType="begin"/>
      </w:r>
      <w:r>
        <w:rPr>
          <w:rFonts w:eastAsia="Times New Roman" w:cs="Times New Roman"/>
        </w:rPr>
        <w:instrText xml:space="preserve"> ADDIN ZOTERO_ITEM CSL_CITATION {"citationID":"aZbqy7JE","properties":{"formattedCitation":"(Parks et al. 2015; Whitman et al. 2024; Hayes et al. 2024)","plainCitation":"(Parks et al. 2015; Whitman et al. 2024; Hayes et al. 2024)","noteIndex":0},"citationItems":[{"id":141,"uris":["http://zotero.org/users/5290972/items/B89TT22F"],"itemData":{"id":141,"type":"article-journal","abstract":"Theory suggests that natural fire regimes can result in landscapes that are both self-regulating and resilient to fire. For example, because fires consume fuel, they may create barriers to the spread of future fires, thereby regulating fire size. Top-down controls such as weather, however, can weaken this effect. While empirical examples demonstrating this pattern–process feedback between vegetation and fire exist, they have been geographically limited or did not consider the influence of time between fires and weather. The availability of remotely sensed data identifying fire activity over the last four decades provides an opportunity to explicitly quantify the ability of wildland fire to limit the progression of subsequent fire. Furthermore, advances in fire progression mapping now allow an evaluation of how daily weather as a top-down control modifies this effect. In this study, we evaluated the ability of wildland fire to create barriers that limit the spread of subsequent fire along a gradient representing time between fires in four large study areas in the western United States. Using fire progression maps in conjunction with weather station data, we also evaluated the influence of daily weather. Results indicate that wildland fire does limit subsequent fire spread in all four study areas, but this effect decays over time; wildland fire no longer limits subsequent fire spread 6–18 years after fire, depending on the study area. We also found that the ability of fire to regulate subsequent fire progression was substantially reduced under extreme conditions compared to moderate weather conditions in all four study areas. This study increases understanding of the spatial feedbacks that can lead to self-regulating landscapes as well as the effects of top-down controls, such as weather, on these feedbacks. Our results will be useful to managers who seek to restore natural fire regimes or to exploit recent burns when managing fire.","container-title":"Ecological Applications","DOI":"10.1890/14-1430.1","ISSN":"1939-5582","issue":"6","language":"en","license":"© 2015 by the Ecological Society of America","page":"1478-1492","source":"Wiley Online Library","title":"Wildland fire as a self-regulating mechanism: the role of previous burns and weather in limiting fire progression","title-short":"Wildland fire as a self-regulating mechanism","volume":"25","author":[{"family":"Parks","given":"Sean A."},{"family":"Holsinger","given":"Lisa M."},{"family":"Miller","given":"Carol"},{"family":"Nelson","given":"Cara R."}],"issued":{"date-parts":[["2015"]]}}},{"id":9854,"uris":["http://zotero.org/users/5290972/items/CW8K25WX"],"itemData":{"id":9854,"type":"article-journal","abstract":"Recently burned boreal forests have lower aboveground fuel loads, generating a negative feedback to subsequent wildfires. Despite this feedback, short-interval reburns (≤20 years between fires) are possible under extreme weather conditions. Reburns have consequences for ecosystem recovery, leading to enduring vegetation change. In this study, we characterize the strength of the fire-fuel feedback in recently burned Canadian boreal forests and the weather conditions that overwhelm resistance to fire spread in recently burned areas. We used a dataset of daily fire spread for thousands of large boreal fires, interpolated from remotely sensed thermal anomalies to which we associated local weather from ERA5-Land for each day of a fire's duration. We classified days with &gt;3 ha of fire growth as spread days and defined burned pixels overlapping a fire perimeter ≤20 years old as short-interval reburns. Results of a logistic regression showed that the odds of fire spread in recently burned areas were 50% lower than in long-interval fires; however, all Canadian boreal ecozones experienced short-interval reburning (1981–2021), with over 100,000 ha reburning annually. As fire weather conditions intensify, the resistance to fire spread declines, allowing fire to spread in recently burned areas. The weather associated with short-interval fire spread days was more extreme than the conditions during long-interval spread, but overall differences were modest (e.g. relative humidity 2.6% lower). The frequency of fire weather conducive to short-interval fire spread has significantly increased in the western boreal forest due to climate warming and drying (1981–2021). Our results suggest an ongoing degradation of fire-fuel feedbacks, which is likely to continue with climatic warming and drying.","container-title":"Global Change Biology","DOI":"10.1111/gcb.17363","ISSN":"1365-2486","issue":"6","language":"en","license":"© 2024 His Majesty the King in Right of Canada. Global Change Biology published by John Wiley &amp; Sons Ltd. Reproduced with the permission of the Minister of Natural Resources Canada.","note":"_eprint: https://onlinelibrary.wiley.com/doi/pdf/10.1111/gcb.17363","page":"e17363","source":"Wiley Online Library","title":"A modest increase in fire weather overcomes resistance to fire spread in recently burned boreal forests","volume":"30","author":[{"family":"Whitman","given":"Ellen"},{"family":"Barber","given":"Quinn E."},{"family":"Jain","given":"Piyush"},{"family":"Parks","given":"Sean A."},{"family":"Guindon","given":"Luc"},{"family":"Thompson","given":"Dan K."},{"family":"Parisien","given":"Marc-André"}],"issued":{"date-parts":[["2024"]]}}},{"id":9863,"uris":["http://zotero.org/users/5290972/items/R22J53R7"],"itemData":{"id":9863,"type":"article-journal","container-title":"Agricultural and Forest Meteorology","ISSN":"0168-1923","journalAbbreviation":"Agricultural and Forest Meteorology","note":"publisher: Elsevier","page":"110216","title":"Fuel constraints, not fire weather conditions, limit fire behavior in reburned boreal forests","volume":"358","author":[{"family":"Hayes","given":"Katherine"},{"family":"Hoffman","given":"Chad M"},{"family":"Linn","given":"Rodman"},{"family":"Ziegler","given":"Justin"},{"family":"Buma","given":"Brian"}],"issued":{"date-parts":[["2024"]]}}}],"schema":"https://github.com/citation-style-language/schema/raw/master/csl-citation.json"} </w:instrText>
      </w:r>
      <w:r>
        <w:rPr>
          <w:rFonts w:eastAsia="Times New Roman" w:cs="Times New Roman"/>
        </w:rPr>
        <w:fldChar w:fldCharType="separate"/>
      </w:r>
      <w:r w:rsidRPr="004E324D">
        <w:rPr>
          <w:rFonts w:cs="Times New Roman"/>
        </w:rPr>
        <w:t>(Parks et al. 2015; Whitman et al. 2024; Hayes et al. 2024)</w:t>
      </w:r>
      <w:r>
        <w:rPr>
          <w:rFonts w:eastAsia="Times New Roman" w:cs="Times New Roman"/>
        </w:rPr>
        <w:fldChar w:fldCharType="end"/>
      </w:r>
      <w:r w:rsidRPr="00993FA9">
        <w:rPr>
          <w:rFonts w:cs="Times New Roman"/>
          <w:shd w:val="clear" w:color="auto" w:fill="FFFFFF"/>
        </w:rPr>
        <w:t>.</w:t>
      </w:r>
      <w:r>
        <w:rPr>
          <w:rFonts w:cs="Times New Roman"/>
          <w:shd w:val="clear" w:color="auto" w:fill="FFFFFF"/>
        </w:rPr>
        <w:t xml:space="preserve"> </w:t>
      </w:r>
    </w:p>
    <w:p w14:paraId="701D1BC2" w14:textId="77777777" w:rsidR="00A865F7" w:rsidRDefault="00A865F7" w:rsidP="00A865F7">
      <w:pPr>
        <w:spacing w:after="0" w:line="480" w:lineRule="auto"/>
        <w:jc w:val="both"/>
        <w:rPr>
          <w:rFonts w:cs="Times New Roman"/>
          <w:shd w:val="clear" w:color="auto" w:fill="FFFFFF"/>
        </w:rPr>
      </w:pPr>
    </w:p>
    <w:p w14:paraId="27BEC8F4" w14:textId="77777777" w:rsidR="00A865F7" w:rsidRDefault="00A865F7" w:rsidP="00A865F7">
      <w:pPr>
        <w:spacing w:after="0" w:line="480" w:lineRule="auto"/>
        <w:jc w:val="both"/>
        <w:rPr>
          <w:rFonts w:cs="Times New Roman"/>
          <w:shd w:val="clear" w:color="auto" w:fill="FFFFFF"/>
        </w:rPr>
      </w:pPr>
      <w:r>
        <w:rPr>
          <w:rFonts w:cs="Times New Roman"/>
          <w:shd w:val="clear" w:color="auto" w:fill="FFFFFF"/>
        </w:rPr>
        <w:t xml:space="preserve">Although climate and fire-conducive weather impact wildfire occurrence, bottom-up controls of fuel availability, such as fine-scale drainage conditions, tree species composition, and fuel accumulation rates, tend to be more important drivers of boreal C emissions than climate or weather </w:t>
      </w:r>
      <w:r>
        <w:rPr>
          <w:rFonts w:cs="Times New Roman"/>
          <w:shd w:val="clear" w:color="auto" w:fill="FFFFFF"/>
        </w:rPr>
        <w:fldChar w:fldCharType="begin"/>
      </w:r>
      <w:r>
        <w:rPr>
          <w:rFonts w:cs="Times New Roman"/>
          <w:shd w:val="clear" w:color="auto" w:fill="FFFFFF"/>
        </w:rPr>
        <w:instrText xml:space="preserve"> ADDIN ZOTERO_ITEM CSL_CITATION {"citationID":"zaxvPKJ2","properties":{"formattedCitation":"(X. Walker et al. 2020)","plainCitation":"(X. Walker et al. 2020)","dontUpdate":true,"noteIndex":0},"citationItems":[{"id":6491,"uris":["http://zotero.org/users/5290972/items/NEVK8HJW"],"itemData":{"id":6491,"type":"article-journal","abstract":"Carbon (C) emissions from wildfires are a key terrestrial–atmosphere interaction that influences global atmospheric composition and climate. Positive feedbacks between climate warming and boreal wildfires are predicted based on top-down controls of fire weather and climate, but C emissions from boreal fires may also depend on bottom-up controls of fuel availability related to edaphic controls and overstory tree composition. Here we synthesized data from 417 field sites spanning six ecoregions in the northwestern North American boreal forest and assessed the network of interactions among potential bottom-up and top-down drivers of C emissions. Our results indicate that C emissions are more strongly driven by fuel availability than by fire weather, highlighting the importance of fine-scale drainage conditions, overstory tree species composition and fuel accumulation rates for predicting total C emissions. By implication, climate change-induced modification of fuels needs to be considered for accurately predicting future C emissions from boreal wildfires.","container-title":"Nature Climate Change","DOI":"10.1038/s41558-020-00920-8","issue":"12","journalAbbreviation":"Nature Climate Change","page":"1-7","source":"ResearchGate","title":"Fuel availability not fire weather controls boreal wildfire severity and carbon emissions","volume":"10","author":[{"family":"Walker","given":"Xanthe"},{"family":"Rogers","given":"Brendan"},{"family":"Veraverbeke","given":"S."},{"family":"Johnstone","given":"Jill"},{"family":"Baltzer","given":"Jennifer"},{"family":"Barrett","given":"Kirsten"},{"family":"Bourgeau-Chavez","given":"Laura"},{"family":"Day","given":"Nicola"},{"family":"Groot","given":"W."},{"family":"Dieleman","given":"C."},{"family":"Goetz","given":"Scott"},{"family":"Hoy","given":"Elizabeth"},{"family":"Jenkins","given":"Liza"},{"family":"Kane","given":"E."},{"family":"Parisien","given":"Marc-André"},{"family":"Potter","given":"S."},{"family":"Schuur","given":"Edward"},{"family":"Turetsky","given":"M."},{"family":"Whitman","given":"Ellen"},{"family":"Mack","given":"M."}],"issued":{"date-parts":[["2020"]]}}}],"schema":"https://github.com/citation-style-language/schema/raw/master/csl-citation.json"} </w:instrText>
      </w:r>
      <w:r>
        <w:rPr>
          <w:rFonts w:cs="Times New Roman"/>
          <w:shd w:val="clear" w:color="auto" w:fill="FFFFFF"/>
        </w:rPr>
        <w:fldChar w:fldCharType="separate"/>
      </w:r>
      <w:r w:rsidRPr="00F41B82">
        <w:rPr>
          <w:rFonts w:cs="Times New Roman"/>
        </w:rPr>
        <w:t>(Walker et al. 2020)</w:t>
      </w:r>
      <w:r>
        <w:rPr>
          <w:rFonts w:cs="Times New Roman"/>
          <w:shd w:val="clear" w:color="auto" w:fill="FFFFFF"/>
        </w:rPr>
        <w:fldChar w:fldCharType="end"/>
      </w:r>
      <w:r>
        <w:rPr>
          <w:rFonts w:cs="Times New Roman"/>
          <w:shd w:val="clear" w:color="auto" w:fill="FFFFFF"/>
        </w:rPr>
        <w:t xml:space="preserve">. Continued increases in fire frequency and the burning of young-aged stands with relatively low fuel loads are, therefore, likely to impact the long-term C storage capacity of boreal forest ecosystems. In mature boreal forests, the majority of C stored and lost from combustion is from the soil organic layer (SOL; </w:t>
      </w:r>
      <w:r>
        <w:rPr>
          <w:rFonts w:cs="Times New Roman"/>
          <w:shd w:val="clear" w:color="auto" w:fill="FFFFFF"/>
        </w:rPr>
        <w:fldChar w:fldCharType="begin"/>
      </w:r>
      <w:r>
        <w:rPr>
          <w:rFonts w:cs="Times New Roman"/>
          <w:shd w:val="clear" w:color="auto" w:fill="FFFFFF"/>
        </w:rPr>
        <w:instrText xml:space="preserve"> ADDIN ZOTERO_ITEM CSL_CITATION {"citationID":"UqAOqGV8","properties":{"formattedCitation":"(X. Walker et al. 2020)","plainCitation":"(X. Walker et al. 2020)","dontUpdate":true,"noteIndex":0},"citationItems":[{"id":6491,"uris":["http://zotero.org/users/5290972/items/NEVK8HJW"],"itemData":{"id":6491,"type":"article-journal","abstract":"Carbon (C) emissions from wildfires are a key terrestrial–atmosphere interaction that influences global atmospheric composition and climate. Positive feedbacks between climate warming and boreal wildfires are predicted based on top-down controls of fire weather and climate, but C emissions from boreal fires may also depend on bottom-up controls of fuel availability related to edaphic controls and overstory tree composition. Here we synthesized data from 417 field sites spanning six ecoregions in the northwestern North American boreal forest and assessed the network of interactions among potential bottom-up and top-down drivers of C emissions. Our results indicate that C emissions are more strongly driven by fuel availability than by fire weather, highlighting the importance of fine-scale drainage conditions, overstory tree species composition and fuel accumulation rates for predicting total C emissions. By implication, climate change-induced modification of fuels needs to be considered for accurately predicting future C emissions from boreal wildfires.","container-title":"Nature Climate Change","DOI":"10.1038/s41558-020-00920-8","issue":"12","journalAbbreviation":"Nature Climate Change","page":"1-7","source":"ResearchGate","title":"Fuel availability not fire weather controls boreal wildfire severity and carbon emissions","volume":"10","author":[{"family":"Walker","given":"Xanthe"},{"family":"Rogers","given":"Brendan"},{"family":"Veraverbeke","given":"S."},{"family":"Johnstone","given":"Jill"},{"family":"Baltzer","given":"Jennifer"},{"family":"Barrett","given":"Kirsten"},{"family":"Bourgeau-Chavez","given":"Laura"},{"family":"Day","given":"Nicola"},{"family":"Groot","given":"W."},{"family":"Dieleman","given":"C."},{"family":"Goetz","given":"Scott"},{"family":"Hoy","given":"Elizabeth"},{"family":"Jenkins","given":"Liza"},{"family":"Kane","given":"E."},{"family":"Parisien","given":"Marc-André"},{"family":"Potter","given":"S."},{"family":"Schuur","given":"Edward"},{"family":"Turetsky","given":"M."},{"family":"Whitman","given":"Ellen"},{"family":"Mack","given":"M."}],"issued":{"date-parts":[["2020"]]}}}],"schema":"https://github.com/citation-style-language/schema/raw/master/csl-citation.json"} </w:instrText>
      </w:r>
      <w:r>
        <w:rPr>
          <w:rFonts w:cs="Times New Roman"/>
          <w:shd w:val="clear" w:color="auto" w:fill="FFFFFF"/>
        </w:rPr>
        <w:fldChar w:fldCharType="separate"/>
      </w:r>
      <w:r w:rsidRPr="001A56EB">
        <w:rPr>
          <w:rFonts w:cs="Times New Roman"/>
        </w:rPr>
        <w:t>Walker et al. 2020)</w:t>
      </w:r>
      <w:r>
        <w:rPr>
          <w:rFonts w:cs="Times New Roman"/>
          <w:shd w:val="clear" w:color="auto" w:fill="FFFFFF"/>
        </w:rPr>
        <w:fldChar w:fldCharType="end"/>
      </w:r>
      <w:r>
        <w:rPr>
          <w:rFonts w:cs="Times New Roman"/>
          <w:shd w:val="clear" w:color="auto" w:fill="FFFFFF"/>
        </w:rPr>
        <w:t xml:space="preserve">. A shortened FRI limits the time for SOL reaccumulation and can shift </w:t>
      </w:r>
      <w:r>
        <w:rPr>
          <w:rFonts w:cs="Times New Roman"/>
        </w:rPr>
        <w:t>boreal</w:t>
      </w:r>
      <w:r w:rsidRPr="000906CB">
        <w:rPr>
          <w:rFonts w:cs="Times New Roman"/>
        </w:rPr>
        <w:t xml:space="preserve"> ecosystems to </w:t>
      </w:r>
      <w:r>
        <w:rPr>
          <w:rFonts w:cs="Times New Roman"/>
        </w:rPr>
        <w:t xml:space="preserve">a </w:t>
      </w:r>
      <w:r w:rsidRPr="000906CB">
        <w:rPr>
          <w:rFonts w:cs="Times New Roman"/>
        </w:rPr>
        <w:t xml:space="preserve">net </w:t>
      </w:r>
      <w:r>
        <w:rPr>
          <w:rFonts w:cs="Times New Roman"/>
        </w:rPr>
        <w:t xml:space="preserve">C </w:t>
      </w:r>
      <w:r w:rsidRPr="000906CB">
        <w:rPr>
          <w:rFonts w:cs="Times New Roman"/>
        </w:rPr>
        <w:t xml:space="preserve">loss </w:t>
      </w:r>
      <w:r>
        <w:rPr>
          <w:rFonts w:cs="Times New Roman"/>
        </w:rPr>
        <w:t>when</w:t>
      </w:r>
      <w:r w:rsidRPr="000906CB">
        <w:rPr>
          <w:rFonts w:cs="Times New Roman"/>
        </w:rPr>
        <w:t xml:space="preserve"> burning release</w:t>
      </w:r>
      <w:r>
        <w:rPr>
          <w:rFonts w:cs="Times New Roman"/>
        </w:rPr>
        <w:t xml:space="preserve">s SOL legacy </w:t>
      </w:r>
      <w:r w:rsidRPr="000906CB">
        <w:rPr>
          <w:rFonts w:cs="Times New Roman"/>
        </w:rPr>
        <w:t>C</w:t>
      </w:r>
      <w:r>
        <w:rPr>
          <w:rFonts w:cs="Times New Roman"/>
        </w:rPr>
        <w:t>, defined as C</w:t>
      </w:r>
      <w:r w:rsidRPr="000906CB">
        <w:rPr>
          <w:rFonts w:cs="Times New Roman"/>
        </w:rPr>
        <w:t xml:space="preserve"> that escaped combustion in one or more previous fires</w:t>
      </w:r>
      <w:r>
        <w:rPr>
          <w:rFonts w:cs="Times New Roman"/>
        </w:rPr>
        <w:t xml:space="preserve"> (Walker et al. 2019). </w:t>
      </w:r>
      <w:r w:rsidRPr="000906CB">
        <w:rPr>
          <w:rFonts w:cs="Times New Roman"/>
        </w:rPr>
        <w:t xml:space="preserve">The loss of legacy C </w:t>
      </w:r>
      <w:r>
        <w:rPr>
          <w:rFonts w:cs="Times New Roman"/>
        </w:rPr>
        <w:t>represents</w:t>
      </w:r>
      <w:r w:rsidRPr="000906CB">
        <w:rPr>
          <w:rFonts w:cs="Times New Roman"/>
        </w:rPr>
        <w:t xml:space="preserve"> a state change from the historic net C sink </w:t>
      </w:r>
      <w:r>
        <w:rPr>
          <w:rFonts w:cs="Times New Roman"/>
        </w:rPr>
        <w:t>or neutral t</w:t>
      </w:r>
      <w:r w:rsidRPr="000906CB">
        <w:rPr>
          <w:rFonts w:cs="Times New Roman"/>
        </w:rPr>
        <w:t xml:space="preserve">o a net C source </w:t>
      </w:r>
      <w:r>
        <w:rPr>
          <w:rFonts w:cs="Times New Roman"/>
        </w:rPr>
        <w:fldChar w:fldCharType="begin"/>
      </w:r>
      <w:r>
        <w:rPr>
          <w:rFonts w:cs="Times New Roman"/>
        </w:rPr>
        <w:instrText xml:space="preserve"> ADDIN ZOTERO_ITEM CSL_CITATION {"citationID":"q1HwkH7M","properties":{"formattedCitation":"(Chapin et al. 2006; X. J. Walker et al. 2019)","plainCitation":"(Chapin et al. 2006; X. J. Walker et al. 2019)","dontUpdate":true,"noteIndex":0},"citationItems":[{"id":6316,"uris":["http://zotero.org/users/5290972/items/CMPKBGZ2"],"itemData":{"id":6316,"type":"article-journal","abstract":"Recent projections of climatic change have focused a great deal of scientific and public attention on patterns of carbon (C) cycling as well as its controls, particularly the factors that determine whether an ecosystem is a net source or sink of atmospheric carbon dioxide (CO2). Net ecosystem production (NEP), a central concept in C-cycling research, has been used by scientists to represent two different concepts. We propose that NEP be restricted to just one of its two original definitions—the imbalance between gross primary production (GPP) and ecosystem respiration (ER). We further propose that a new term—net ecosystem carbon balance (NECB)—be applied to the net rate of C accumulation in (or loss from [negative sign]) ecosystems. Net ecosystem carbon balance differs from NEP when C fluxes other than C fixation and respiration occur, or when inorganic C enters or leaves in dissolved form. These fluxes include the leaching loss or lateral transfer of C from the ecosystem; the emission of volatile organic C, methane, and carbon monoxide; and the release of soot and CO2 from fire. Carbon fluxes in addition to NEP are particularly important determinants of NECB over long time scales. However, even over short time scales, they are important in ecosystems such as streams, estuaries, wetlands, and cities. Recent technological advances have led to a diversity of approaches to the measurement of C fluxes at different temporal and spatial scales. These approaches frequently capture different components of NEP or NECB and can therefore be compared across scales only by carefully specifying the fluxes included in the measurements. By explicitly identifying the fluxes that comprise NECB and other components of the C cycle, such as net ecosystem exchange (NEE) and net biome production (NBP), we can provide a less ambiguous framework for understanding and communicating recent changes in the global C cycle.","container-title":"Ecosystems","DOI":"10.1007/s10021-005-0105-7","ISSN":"1432-9840, 1435-0629","issue":"7","journalAbbreviation":"Ecosystems","language":"en","page":"1041-1050","source":"link.springer.com","title":"Reconciling carbon-cycle concepts, terminology, and methods","volume":"9","author":[{"family":"Chapin","given":"F. S.","suffix":"III"},{"family":"Woodwell","given":"G. M."},{"family":"Randerson","given":"J. T."},{"family":"Rastetter","given":"E. B."},{"family":"Lovett","given":"G. M."},{"family":"Baldocchi","given":"D. D."},{"family":"Clark","given":"D. A."},{"family":"Harmon","given":"M. E."},{"family":"Schimel","given":"D. S."},{"family":"Valentini","given":"R."},{"family":"Wirth","given":"C."},{"family":"Aber","given":"J. D."},{"family":"Cole","given":"J. J."},{"family":"Goulden","given":"M. L."},{"family":"Harden","given":"J. W."},{"family":"Heimann","given":"M."},{"family":"Howarth","given":"R. W."},{"family":"Matson","given":"P. A."},{"family":"McGuire","given":"A. D."},{"family":"Melillo","given":"J. M."},{"family":"Mooney","given":"H. A."},{"family":"Neff","given":"J. C."},{"family":"Houghton","given":"R. A."},{"family":"Pace","given":"M. L."},{"family":"Ryan","given":"M. G."},{"family":"Running","given":"S. W."},{"family":"Sala","given":"O. E."},{"family":"Schlesinger","given":"W. H."},{"family":"Schulze","given":"E.-D."}],"issued":{"date-parts":[["2006",11,1]]}}},{"id":6335,"uris":["http://zotero.org/users/5290972/items/VG6F7RKZ"],"itemData":{"id":6335,"type":"article-journal","abstract":"Soil radiocarbon dating reveals that combusted ‘legacy carbon’—soil carbon that escaped burning during previous fires—could shift the carbon balance of boreal ecosystems, resulting in a positive climate feedback.","container-title":"Nature","DOI":"10.1038/s41586-019-1474-y","ISSN":"1476-4687","issue":"7770","journalAbbreviation":"Nature","language":"en","page":"520-523","title":"Increasing wildfires threaten historic carbon sink of boreal forest soils","volume":"572","author":[{"family":"Walker","given":"Xanthe J."},{"family":"Baltzer","given":"Jennifer L."},{"family":"Cumming","given":"Steven G."},{"family":"Day","given":"Nicola J."},{"family":"Ebert","given":"Christopher"},{"family":"Goetz","given":"Scott"},{"family":"Johnstone","given":"Jill F."},{"family":"Potter","given":"Stefano"},{"family":"Rogers","given":"Brendan M."},{"family":"Schuur","given":"Edward A. G."},{"family":"Turetsky","given":"Merritt R."},{"family":"Mack","given":"Michelle C."}],"issued":{"date-parts":[["2019",8]]}}}],"schema":"https://github.com/citation-style-language/schema/raw/master/csl-citation.json"} </w:instrText>
      </w:r>
      <w:r>
        <w:rPr>
          <w:rFonts w:cs="Times New Roman"/>
        </w:rPr>
        <w:fldChar w:fldCharType="separate"/>
      </w:r>
      <w:r w:rsidRPr="003C5746">
        <w:rPr>
          <w:rFonts w:cs="Times New Roman"/>
        </w:rPr>
        <w:t>(Chapin et al. 2006; Walker et al. 2019)</w:t>
      </w:r>
      <w:r>
        <w:rPr>
          <w:rFonts w:cs="Times New Roman"/>
        </w:rPr>
        <w:fldChar w:fldCharType="end"/>
      </w:r>
      <w:r>
        <w:rPr>
          <w:rFonts w:cs="Times New Roman"/>
        </w:rPr>
        <w:t xml:space="preserve">. </w:t>
      </w:r>
      <w:r>
        <w:rPr>
          <w:rFonts w:cs="Times New Roman"/>
          <w:shd w:val="clear" w:color="auto" w:fill="FFFFFF"/>
        </w:rPr>
        <w:t>Given that t</w:t>
      </w:r>
      <w:r w:rsidRPr="00D317A7">
        <w:rPr>
          <w:rFonts w:cs="Times New Roman"/>
          <w:shd w:val="clear" w:color="auto" w:fill="FFFFFF"/>
        </w:rPr>
        <w:t xml:space="preserve">hese forests and cold soils store approximately 30% of global terrestrial C in a pool twice the size of the atmospheric C pool </w:t>
      </w:r>
      <w:r>
        <w:rPr>
          <w:rFonts w:cs="Times New Roman"/>
          <w:shd w:val="clear" w:color="auto" w:fill="FFFFFF"/>
        </w:rPr>
        <w:fldChar w:fldCharType="begin"/>
      </w:r>
      <w:r>
        <w:rPr>
          <w:rFonts w:cs="Times New Roman"/>
          <w:shd w:val="clear" w:color="auto" w:fill="FFFFFF"/>
        </w:rPr>
        <w:instrText xml:space="preserve"> ADDIN ZOTERO_ITEM CSL_CITATION {"citationID":"1zHdPxB5","properties":{"formattedCitation":"(Schuur et al. 2018)","plainCitation":"(Schuur et al. 2018)","noteIndex":0},"citationItems":[{"id":6414,"uris":["http://zotero.org/users/5290972/items/VTH7Q72Z"],"itemData":{"id":6414,"type":"chapter","container-title":"Second State of the Carbon Cycle Report (SOCCR2): A Sustained Assessment Report","event-place":"Washington, DC, USA","page":"428-468","publisher":"U.S. Global Change Research Program","publisher-place":"Washington, DC, USA","title":"Chapter 11: Arctic and boreal carbon","URL":"https://doi.org/10.7930/ SOCCR2.2018.Ch11","author":[{"family":"Schuur","given":"E. A. G."},{"family":"McGuire","given":"A. D."},{"family":"Romanovsky","given":"V."},{"family":"Schädel","given":"C."},{"family":"Mack","given":"M."}],"editor":[{"family":"Cavallaro","given":"N."},{"family":"Shrestha","given":"G."},{"family":"Birdsey","given":"R."},{"family":"Mayes","given":"M. A."},{"family":"Najjar","given":"R. G."},{"family":"Reed","given":"S. C."},{"family":"Romero-Lankao","given":"P."},{"family":"Zhu","given":"Z."}],"issued":{"date-parts":[["2018"]]}}}],"schema":"https://github.com/citation-style-language/schema/raw/master/csl-citation.json"} </w:instrText>
      </w:r>
      <w:r>
        <w:rPr>
          <w:rFonts w:cs="Times New Roman"/>
          <w:shd w:val="clear" w:color="auto" w:fill="FFFFFF"/>
        </w:rPr>
        <w:fldChar w:fldCharType="separate"/>
      </w:r>
      <w:r w:rsidRPr="00877DE9">
        <w:rPr>
          <w:rFonts w:cs="Times New Roman"/>
        </w:rPr>
        <w:t>(Schuur et al. 2018)</w:t>
      </w:r>
      <w:r>
        <w:rPr>
          <w:rFonts w:cs="Times New Roman"/>
          <w:shd w:val="clear" w:color="auto" w:fill="FFFFFF"/>
        </w:rPr>
        <w:fldChar w:fldCharType="end"/>
      </w:r>
      <w:r>
        <w:rPr>
          <w:rFonts w:cs="Times New Roman"/>
          <w:shd w:val="clear" w:color="auto" w:fill="FFFFFF"/>
        </w:rPr>
        <w:t xml:space="preserve">, changes in </w:t>
      </w:r>
      <w:r w:rsidRPr="00125EA0">
        <w:rPr>
          <w:rFonts w:cs="Times New Roman"/>
          <w:shd w:val="clear" w:color="auto" w:fill="FFFFFF"/>
        </w:rPr>
        <w:t xml:space="preserve">C release </w:t>
      </w:r>
      <w:r>
        <w:rPr>
          <w:rFonts w:cs="Times New Roman"/>
          <w:shd w:val="clear" w:color="auto" w:fill="FFFFFF"/>
        </w:rPr>
        <w:t xml:space="preserve">and storage </w:t>
      </w:r>
      <w:r w:rsidRPr="00125EA0">
        <w:rPr>
          <w:rFonts w:cs="Times New Roman"/>
          <w:shd w:val="clear" w:color="auto" w:fill="FFFFFF"/>
        </w:rPr>
        <w:t xml:space="preserve">from </w:t>
      </w:r>
      <w:r>
        <w:rPr>
          <w:rFonts w:cs="Times New Roman"/>
          <w:shd w:val="clear" w:color="auto" w:fill="FFFFFF"/>
        </w:rPr>
        <w:t xml:space="preserve">increased fire frequency could fundamentally alter climate dynamics </w:t>
      </w:r>
      <w:r>
        <w:rPr>
          <w:rFonts w:cs="Times New Roman"/>
          <w:shd w:val="clear" w:color="auto" w:fill="FFFFFF"/>
        </w:rPr>
        <w:fldChar w:fldCharType="begin"/>
      </w:r>
      <w:r>
        <w:rPr>
          <w:rFonts w:cs="Times New Roman"/>
          <w:shd w:val="clear" w:color="auto" w:fill="FFFFFF"/>
        </w:rPr>
        <w:instrText xml:space="preserve"> ADDIN ZOTERO_ITEM CSL_CITATION {"citationID":"YsccdMxl","properties":{"formattedCitation":"(Field et al. 2007; Lenton et al. 2019)","plainCitation":"(Field et al. 2007; Lenton et al. 2019)","noteIndex":0},"citationItems":[{"id":181,"uris":["http://zotero.org/users/5290972/items/6PMZU2VN"],"itemData":{"id":181,"type":"article-journal","abstract":"Most modeling studies on terrestrial feedbacks to warming over the twenty-first century imply that the net feedbacks are negative-that changes in ecosystems, on the whole, resistwarming, largely through ecosystem carbon storage. Although it is clear that potentially important mechanisms can lead to carbon storage, a number of less well-understood mechanisms, several of which are rarely or incompletely modeled, tend to diminish the negative feedbacks or lead to positive feedbacks. At high latitudes, negative feedbacks from forest expansion are likely to be largely or completely compensated by positive feedbacks from decreased albedo, increased carbon emissions from thawed permafrost, and increased wildfire. At low latitudes, negative feedbacks to warming will be decreased or eliminated, largely through direct human impacts. With modest warming, net feedbacks of terrestrial ecosystems to warming are likely to be negative in the tropics and positive at high latitudes. Larger amounts of warming will generally push the feedbacks toward the positive.","archive_location":"ISI:000251280300002","container-title":"Annual Review of Environment and Resources","DOI":"10.1146/annurev.energy.32.053006.141119","ISSN":"1543-5938","language":"English","page":"1-29","title":"Feedbacks of terrestrial ecosystems to climate change","volume":"32","author":[{"family":"Field","given":"C. B."},{"family":"Lobell","given":"D. B."},{"family":"Peters","given":"H. A."},{"family":"Chiariello","given":"N. R."}],"issued":{"date-parts":[["2007"]]}}},{"id":180,"uris":["http://zotero.org/users/5290972/items/TVG9H7SW"],"itemData":{"id":180,"type":"article-journal","container-title":"Nature","page":"592-595","title":"Climate tipping points—too risky to bet against","volume":"575","author":[{"family":"Lenton","given":"Timothy M"},{"family":"Rockström","given":"Johan"},{"family":"Gaffney","given":"Owen"},{"family":"Rahmstorf","given":"Stefan"},{"family":"Richardson","given":"Katherine"},{"family":"Steffen","given":"Will"},{"family":"Schellnhuber","given":"Hans Joachim"}],"issued":{"date-parts":[["2019"]]}}}],"schema":"https://github.com/citation-style-language/schema/raw/master/csl-citation.json"} </w:instrText>
      </w:r>
      <w:r>
        <w:rPr>
          <w:rFonts w:cs="Times New Roman"/>
          <w:shd w:val="clear" w:color="auto" w:fill="FFFFFF"/>
        </w:rPr>
        <w:fldChar w:fldCharType="separate"/>
      </w:r>
      <w:r w:rsidRPr="00396527">
        <w:rPr>
          <w:rFonts w:cs="Times New Roman"/>
        </w:rPr>
        <w:t>(Field et al. 2007; Lenton et al. 2019)</w:t>
      </w:r>
      <w:r>
        <w:rPr>
          <w:rFonts w:cs="Times New Roman"/>
          <w:shd w:val="clear" w:color="auto" w:fill="FFFFFF"/>
        </w:rPr>
        <w:fldChar w:fldCharType="end"/>
      </w:r>
      <w:r>
        <w:rPr>
          <w:rFonts w:cs="Times New Roman"/>
          <w:shd w:val="clear" w:color="auto" w:fill="FFFFFF"/>
        </w:rPr>
        <w:t xml:space="preserve">. </w:t>
      </w:r>
    </w:p>
    <w:p w14:paraId="5D300CA2" w14:textId="77777777" w:rsidR="00A865F7" w:rsidRDefault="00A865F7" w:rsidP="00A865F7">
      <w:pPr>
        <w:spacing w:after="0" w:line="480" w:lineRule="auto"/>
        <w:jc w:val="both"/>
        <w:rPr>
          <w:rFonts w:cs="Times New Roman"/>
          <w:shd w:val="clear" w:color="auto" w:fill="FFFFFF"/>
        </w:rPr>
      </w:pPr>
    </w:p>
    <w:p w14:paraId="17619472" w14:textId="77777777" w:rsidR="00A865F7" w:rsidRPr="00825804" w:rsidRDefault="00A865F7" w:rsidP="00A865F7">
      <w:pPr>
        <w:tabs>
          <w:tab w:val="left" w:pos="9270"/>
        </w:tabs>
        <w:spacing w:after="0" w:line="480" w:lineRule="auto"/>
        <w:jc w:val="both"/>
        <w:rPr>
          <w:rFonts w:cs="Times New Roman"/>
          <w:shd w:val="clear" w:color="auto" w:fill="FFFFFF"/>
        </w:rPr>
      </w:pPr>
      <w:r w:rsidRPr="003F6EFE">
        <w:rPr>
          <w:rFonts w:eastAsia="Times New Roman" w:cs="Times New Roman"/>
        </w:rPr>
        <w:t xml:space="preserve">Increased boreal wildfire activity </w:t>
      </w:r>
      <w:r>
        <w:rPr>
          <w:rFonts w:eastAsia="Times New Roman" w:cs="Times New Roman"/>
        </w:rPr>
        <w:t>can also indirectly impact NECB</w:t>
      </w:r>
      <w:r w:rsidRPr="003F6EFE">
        <w:rPr>
          <w:rFonts w:eastAsia="Times New Roman" w:cs="Times New Roman"/>
        </w:rPr>
        <w:t xml:space="preserve"> through altered successional trajectories</w:t>
      </w:r>
      <w:r>
        <w:rPr>
          <w:rFonts w:eastAsia="Times New Roman" w:cs="Times New Roman"/>
        </w:rPr>
        <w:t xml:space="preserve"> (Mack et al. 2021)</w:t>
      </w:r>
      <w:r w:rsidRPr="003F6EFE">
        <w:rPr>
          <w:rFonts w:eastAsia="Times New Roman" w:cs="Times New Roman"/>
        </w:rPr>
        <w:t xml:space="preserve">. </w:t>
      </w:r>
      <w:r w:rsidRPr="00993FA9">
        <w:rPr>
          <w:rFonts w:cs="Times New Roman"/>
          <w:shd w:val="clear" w:color="auto" w:fill="FFFFFF"/>
        </w:rPr>
        <w:t xml:space="preserve">Much of the North American boreal forest is dominated by conifer </w:t>
      </w:r>
      <w:r w:rsidRPr="00993FA9">
        <w:rPr>
          <w:rFonts w:cs="Times New Roman"/>
          <w:shd w:val="clear" w:color="auto" w:fill="FFFFFF"/>
        </w:rPr>
        <w:lastRenderedPageBreak/>
        <w:t>stands of black spruce</w:t>
      </w:r>
      <w:r>
        <w:rPr>
          <w:rFonts w:cs="Times New Roman"/>
          <w:shd w:val="clear" w:color="auto" w:fill="FFFFFF"/>
        </w:rPr>
        <w:t xml:space="preserve"> (</w:t>
      </w:r>
      <w:r w:rsidRPr="00BC27F2">
        <w:rPr>
          <w:rFonts w:cs="Times New Roman"/>
          <w:i/>
          <w:iCs/>
          <w:shd w:val="clear" w:color="auto" w:fill="FFFFFF"/>
        </w:rPr>
        <w:t>Picea mariana</w:t>
      </w:r>
      <w:r>
        <w:rPr>
          <w:rFonts w:cs="Times New Roman"/>
          <w:shd w:val="clear" w:color="auto" w:fill="FFFFFF"/>
        </w:rPr>
        <w:t xml:space="preserve">). </w:t>
      </w:r>
      <w:r w:rsidRPr="00993FA9">
        <w:rPr>
          <w:rFonts w:cs="Times New Roman"/>
          <w:shd w:val="clear" w:color="auto" w:fill="FFFFFF"/>
        </w:rPr>
        <w:t>For the past ~6000 years</w:t>
      </w:r>
      <w:r>
        <w:rPr>
          <w:rFonts w:cs="Times New Roman"/>
          <w:shd w:val="clear" w:color="auto" w:fill="FFFFFF"/>
        </w:rPr>
        <w:t xml:space="preserve">, there has been </w:t>
      </w:r>
      <w:r w:rsidRPr="00993FA9">
        <w:rPr>
          <w:rFonts w:cs="Times New Roman"/>
          <w:shd w:val="clear" w:color="auto" w:fill="FFFFFF"/>
        </w:rPr>
        <w:t xml:space="preserve">a persistent cycle of black spruce self-replacement following fires </w:t>
      </w:r>
      <w:r>
        <w:rPr>
          <w:rFonts w:cs="Times New Roman"/>
        </w:rPr>
        <w:fldChar w:fldCharType="begin"/>
      </w:r>
      <w:r>
        <w:rPr>
          <w:rFonts w:cs="Times New Roman"/>
        </w:rPr>
        <w:instrText xml:space="preserve"> ADDIN ZOTERO_ITEM CSL_CITATION {"citationID":"jxvJQMa3","properties":{"formattedCitation":"(Chapin et al. 2010; J. F. Johnstone, Chapin, et al. 2010)","plainCitation":"(Chapin et al. 2010; J. F. Johnstone, Chapin, et al. 2010)","dontUpdate":true,"noteIndex":0},"citationItems":[{"id":2493,"uris":["http://zotero.org/users/5290972/items/RN78MF87"],"itemData":{"id":2493,"type":"article-journal","container-title":"Canadian Journal of Forest Research","ISSN":"0045-5067","issue":"7","page":"1360-1370","title":"Resilience of Alaska’s boreal forest to climatic change","volume":"40","author":[{"family":"Chapin","given":"F. S.","suffix":"III"},{"family":"McGuire","given":"A. David"},{"family":"Ruess","given":"Roger W."},{"family":"Hollingsworth","given":"Teresa N."},{"family":"Mack","given":"M. C."},{"family":"Johnstone","given":"J. F."},{"family":"Kasischke","given":"E. S."},{"family":"Euskirchen","given":"E. S."},{"family":"Jones","given":"J. B."},{"family":"Jorgenson","given":"M. T."}],"issued":{"date-parts":[["2010"]]}}},{"id":3285,"uris":["http://zotero.org/users/5290972/items/N8U4BINX"],"itemData":{"id":3285,"type":"article-journal","container-title":"Canadian Journal of Forest Research","DOI":"10.1139/X10-061","issue":"7","page":"1302-1312","title":"Fire, climate change, and forest resilience in Interior Alaska","volume":"40","author":[{"family":"Johnstone","given":"J. F."},{"family":"Chapin","given":"F. S.","suffix":"III"},{"family":"Hollingsworth","given":"T. N."},{"family":"Mack","given":"M. C."},{"family":"Romanovsky","given":"V."},{"family":"Turetsky","given":"M. R."}],"issued":{"date-parts":[["2010"]]}}}],"schema":"https://github.com/citation-style-language/schema/raw/master/csl-citation.json"} </w:instrText>
      </w:r>
      <w:r>
        <w:rPr>
          <w:rFonts w:cs="Times New Roman"/>
        </w:rPr>
        <w:fldChar w:fldCharType="separate"/>
      </w:r>
      <w:r w:rsidRPr="00A015FB">
        <w:rPr>
          <w:rFonts w:cs="Times New Roman"/>
        </w:rPr>
        <w:t>(Chapin et al. 2010; Johnstone, Chapin, et al. 2010)</w:t>
      </w:r>
      <w:r>
        <w:rPr>
          <w:rFonts w:cs="Times New Roman"/>
        </w:rPr>
        <w:fldChar w:fldCharType="end"/>
      </w:r>
      <w:r>
        <w:rPr>
          <w:rFonts w:cs="Times New Roman"/>
        </w:rPr>
        <w:t>. Deep burning of the SOL</w:t>
      </w:r>
      <w:r>
        <w:rPr>
          <w:rFonts w:eastAsia="Times New Roman" w:cs="Times New Roman"/>
        </w:rPr>
        <w:t xml:space="preserve"> can change</w:t>
      </w:r>
      <w:r w:rsidRPr="003F6EFE">
        <w:rPr>
          <w:rFonts w:eastAsia="Times New Roman" w:cs="Times New Roman"/>
        </w:rPr>
        <w:t xml:space="preserve"> patterns of post-fire recruitment, favoring rapidly growing broadleaf deciduous trees such as aspen (</w:t>
      </w:r>
      <w:r w:rsidRPr="003F6EFE">
        <w:rPr>
          <w:rFonts w:eastAsia="Times New Roman" w:cs="Times New Roman"/>
          <w:i/>
        </w:rPr>
        <w:t>Populus tremuloides</w:t>
      </w:r>
      <w:r w:rsidRPr="003F6EFE">
        <w:rPr>
          <w:rFonts w:eastAsia="Times New Roman" w:cs="Times New Roman"/>
        </w:rPr>
        <w:t xml:space="preserve">) and birch </w:t>
      </w:r>
      <w:r w:rsidRPr="00D34C60">
        <w:rPr>
          <w:rFonts w:cs="Times New Roman"/>
        </w:rPr>
        <w:t>(</w:t>
      </w:r>
      <w:r w:rsidRPr="00D34C60">
        <w:rPr>
          <w:rFonts w:cs="Times New Roman"/>
          <w:i/>
          <w:iCs/>
        </w:rPr>
        <w:t>Betula neoalaskana</w:t>
      </w:r>
      <w:r w:rsidRPr="00D34C60">
        <w:rPr>
          <w:rFonts w:cs="Times New Roman"/>
        </w:rPr>
        <w:t>; Johnstone and Chapin 2006</w:t>
      </w:r>
      <w:r>
        <w:rPr>
          <w:rFonts w:cs="Times New Roman"/>
        </w:rPr>
        <w:t>, Baltzer et al. 2021</w:t>
      </w:r>
      <w:r w:rsidRPr="00D34C60">
        <w:rPr>
          <w:rFonts w:cs="Times New Roman"/>
        </w:rPr>
        <w:t>)</w:t>
      </w:r>
      <w:r w:rsidRPr="003F6EFE">
        <w:rPr>
          <w:rFonts w:eastAsia="Times New Roman" w:cs="Times New Roman"/>
        </w:rPr>
        <w:fldChar w:fldCharType="begin"/>
      </w:r>
      <w:r w:rsidRPr="003F6EFE">
        <w:rPr>
          <w:rFonts w:eastAsia="Times New Roman" w:cs="Times New Roman"/>
        </w:rPr>
        <w:instrText xml:space="preserve"> ADDIN EN.CITE &lt;EndNote&gt;&lt;Cite&gt;&lt;Author&gt;Johnstone&lt;/Author&gt;&lt;Year&gt;2006&lt;/Year&gt;&lt;RecNum&gt;10335&lt;/RecNum&gt;&lt;DisplayText&gt;(Johnstone and Chapin 2006)&lt;/DisplayText&gt;&lt;record&gt;&lt;rec-number&gt;10335&lt;/rec-number&gt;&lt;foreign-keys&gt;&lt;key app="EN" db-id="v5ea9zwz60t221erdfmprzactwstvwafe90x" timestamp="1535746168" guid="4249f89b-862e-43a9-b237-6ff6475d75fa"&gt;10335&lt;/key&gt;&lt;/foreign-keys&gt;&lt;ref-type name="Journal Article"&gt;17&lt;/ref-type&gt;&lt;contributors&gt;&lt;authors&gt;&lt;author&gt;Johnstone, J.&lt;/author&gt;&lt;author&gt;Chapin, F. S., III&lt;/author&gt;&lt;/authors&gt;&lt;/contributors&gt;&lt;auth-address&gt;Univ Alaska Fairbanks, Inst Arctic Biol, Fairbanks, AK 99775 USA&lt;/auth-address&gt;&lt;titles&gt;&lt;title&gt;Effects of soil burn severity on post-fire tree recruitment in boreal forest&lt;/title&gt;&lt;secondary-title&gt;Ecosystems&lt;/secondary-title&gt;&lt;/titles&gt;&lt;periodical&gt;&lt;full-title&gt;Ecosystems&lt;/full-title&gt;&lt;/periodical&gt;&lt;pages&gt;14-31&lt;/pages&gt;&lt;volume&gt;9&lt;/volume&gt;&lt;number&gt;1&lt;/number&gt;&lt;keywords&gt;&lt;keyword&gt;ecosystem structure&lt;/keyword&gt;&lt;keyword&gt;disturbance regime&lt;/keyword&gt;&lt;keyword&gt;landscape pattern&lt;/keyword&gt;&lt;keyword&gt;Picea mariana&lt;/keyword&gt;&lt;keyword&gt;Picea glauca&lt;/keyword&gt;&lt;keyword&gt;Pinus contorta&lt;/keyword&gt;&lt;keyword&gt;Populus tremuloides&lt;/keyword&gt;&lt;keyword&gt;post-fire regeneration&lt;/keyword&gt;&lt;keyword&gt;soil organic layer&lt;/keyword&gt;&lt;keyword&gt;FIRE SEVERITY&lt;/keyword&gt;&lt;keyword&gt;PICEA-MARIANA&lt;/keyword&gt;&lt;keyword&gt;LANDSCAPE PATTERNS&lt;/keyword&gt;&lt;keyword&gt;INTERIOR ALASKA&lt;/keyword&gt;&lt;keyword&gt;REGENERATION&lt;/keyword&gt;&lt;keyword&gt;CANADA&lt;/keyword&gt;&lt;keyword&gt;ESTABLISHMENT&lt;/keyword&gt;&lt;keyword&gt;WOODLANDS&lt;/keyword&gt;&lt;keyword&gt;DYNAMICS&lt;/keyword&gt;&lt;keyword&gt;BEHAVIOR&lt;/keyword&gt;&lt;keyword&gt;Ecology&lt;/keyword&gt;&lt;keyword&gt;Environmental Sciences &amp;amp; Ecology&lt;/keyword&gt;&lt;/keywords&gt;&lt;dates&gt;&lt;year&gt;2006&lt;/year&gt;&lt;pub-dates&gt;&lt;date&gt;FEB 2006&lt;/date&gt;&lt;/pub-dates&gt;&lt;/dates&gt;&lt;isbn&gt;1432-9840&lt;/isbn&gt;&lt;accession-num&gt;WOS:000235673500002&lt;/accession-num&gt;&lt;work-type&gt;Article&lt;/work-type&gt;&lt;urls&gt;&lt;/urls&gt;&lt;electronic-resource-num&gt;10.1007/s10021-004-0042-x&lt;/electronic-resource-num&gt;&lt;language&gt;English&lt;/language&gt;&lt;/record&gt;&lt;/Cite&gt;&lt;/EndNote&gt;</w:instrText>
      </w:r>
      <w:r w:rsidRPr="003F6EFE">
        <w:rPr>
          <w:rFonts w:eastAsia="Times New Roman" w:cs="Times New Roman"/>
        </w:rPr>
        <w:fldChar w:fldCharType="end"/>
      </w:r>
      <w:r>
        <w:rPr>
          <w:rFonts w:eastAsia="Times New Roman" w:cs="Times New Roman"/>
        </w:rPr>
        <w:t xml:space="preserve">. </w:t>
      </w:r>
      <w:r w:rsidRPr="003F6EFE">
        <w:rPr>
          <w:rFonts w:eastAsia="Times New Roman" w:cs="Times New Roman"/>
        </w:rPr>
        <w:t xml:space="preserve">Rapid declines in </w:t>
      </w:r>
      <w:r w:rsidRPr="003F6EFE">
        <w:rPr>
          <w:rFonts w:cs="Times New Roman"/>
          <w:shd w:val="clear" w:color="auto" w:fill="FFFFFF"/>
        </w:rPr>
        <w:t xml:space="preserve">seedbed quality effectively </w:t>
      </w:r>
      <w:r>
        <w:rPr>
          <w:rFonts w:cs="Times New Roman"/>
          <w:shd w:val="clear" w:color="auto" w:fill="FFFFFF"/>
        </w:rPr>
        <w:t>restrict</w:t>
      </w:r>
      <w:r w:rsidRPr="003F6EFE">
        <w:rPr>
          <w:rFonts w:cs="Times New Roman"/>
          <w:shd w:val="clear" w:color="auto" w:fill="FFFFFF"/>
        </w:rPr>
        <w:t xml:space="preserve"> seedling establishment to a short post-fire window, meaning that initial patterns of tree seedling recruitment </w:t>
      </w:r>
      <w:r>
        <w:rPr>
          <w:rFonts w:eastAsia="Times New Roman" w:cs="Times New Roman"/>
        </w:rPr>
        <w:t>are representative of</w:t>
      </w:r>
      <w:r w:rsidRPr="003F6EFE">
        <w:rPr>
          <w:rFonts w:cs="Times New Roman"/>
          <w:shd w:val="clear" w:color="auto" w:fill="FFFFFF"/>
        </w:rPr>
        <w:t xml:space="preserve"> future forest composition </w:t>
      </w:r>
      <w:r>
        <w:rPr>
          <w:rFonts w:cs="Times New Roman"/>
          <w:shd w:val="clear" w:color="auto" w:fill="FFFFFF"/>
        </w:rPr>
        <w:fldChar w:fldCharType="begin"/>
      </w:r>
      <w:r>
        <w:rPr>
          <w:rFonts w:cs="Times New Roman"/>
          <w:shd w:val="clear" w:color="auto" w:fill="FFFFFF"/>
        </w:rPr>
        <w:instrText xml:space="preserve"> ADDIN ZOTERO_ITEM CSL_CITATION {"citationID":"ShmI0igO","properties":{"formattedCitation":"(Charron and Greene 2002; Jill F Johnstone et al. 2004; J. F. Johnstone et al. 2020)","plainCitation":"(Charron and Greene 2002; Jill F Johnstone et al. 2004; J. F. Johnstone et al. 2020)","dontUpdate":true,"noteIndex":0},"citationItems":[{"id":1271,"uris":["http://zotero.org/users/5290972/items/CBB6J5X9"],"itemData":{"id":1271,"type":"article-journal","archive_location":"WOS:000178510700010","container-title":"Canadian Journal of Forest Research-Revue Canadienne De Recherche Forestiere","DOI":"10.1139/x02-085","ISSN":"0045-5067","issue":"9","page":"1607-1615","title":"Post-wildfire seedbeds and tree establishment in the southern mixedwood boreal forest","title-short":"Post-wildfire seedbeds and tree establishment in the southern mixedwood boreal forest","volume":"32","author":[{"family":"Charron","given":"I."},{"family":"Greene","given":"D. F."}],"issued":{"date-parts":[["2002"]]}}},{"id":778,"uris":["http://zotero.org/users/5290972/items/C75CIQZM"],"itemData":{"id":778,"type":"article-journal","container-title":"Canadian Journal of Forest Research","ISSN":"0045-5067","issue":"2","page":"267-273","title":"Decadal observations of tree regeneration following fire in boreal forests","title-short":"Decadal observations of tree regeneration following fire in boreal forests","volume":"34","author":[{"family":"Johnstone","given":"Jill F"},{"family":"Chapin Iii","given":"FS"},{"family":"Foote","given":"J"},{"family":"Kemmett","given":"S"},{"family":"Price","given":"K"},{"family":"Viereck","given":"L"}],"issued":{"date-parts":[["2004"]]}}},{"id":100,"uris":["http://zotero.org/users/5290972/items/YQ4FBBTH"],"itemData":{"id":100,"type":"article-journal","abstract":"Disturbances can interrupt feedbacks that maintain stable plant community structure and create windows of opportunity for vegetation to shift to alternative states. Boreal forests are dominated by tree species that overlap considerably in environmental niche, but there are few tests of what conditions initiate and sustain different forest states. Here, we examine patterns of post-fire growth and density of tree seedlings in early succession and use structural equation models to estimate relative effects of environmental and pre-fire conditions, fire characteristics, and biotic interactions. We surveyed tree seedling recruits for 13 yr across a broad range of environmental and fire conditions (n = 89) in Alaskan black spruce stands that burned in 2004. Densities of established seedlings at 13 yr were strongly determined by initial recruitment that occurred within 2 yr after fire. High proportional combustion of the soil organic layer (fire severity) led to increased densities of deciduous seedlings but not of black spruce and had a positive influence on aboveground biomass of all species. Biotic interactions such as mammalian herbivory or woody competition, potential mechanisms for relay floristic succession, had no detectable effects on tree seedling densities or biomass. Repeated surveys instead suggested persistent shifts in successional trajectories of tree communities from spruce to deciduous dominance at sites where high fire severity created positive conditions for deciduous seedling recruitment and growth. Unless future species interactions alter the deciduous dominance of tree seedling composition, the vegetation transformations that we observed in response to high fire severity are likely to persist over the short fire cycle that increasingly characterizes the fire regime of Interior Alaska.","container-title":"Ecosphere","DOI":"10.1002/ecs2.3129","ISSN":"2150-8925","issue":"5","language":"en","page":"e03129","source":"Wiley Online Library","title":"Factors shaping alternate successional trajectories in burned black spruce forests of Alaska","volume":"11","author":[{"family":"Johnstone","given":"J. F."},{"family":"Celis","given":"G."},{"family":"Chapin","given":"F. S."},{"family":"Hollingsworth","given":"T. N."},{"family":"Jean","given":"M."},{"family":"Mack","given":"M. C."}],"issued":{"date-parts":[["2020"]]}}}],"schema":"https://github.com/citation-style-language/schema/raw/master/csl-citation.json"} </w:instrText>
      </w:r>
      <w:r>
        <w:rPr>
          <w:rFonts w:cs="Times New Roman"/>
          <w:shd w:val="clear" w:color="auto" w:fill="FFFFFF"/>
        </w:rPr>
        <w:fldChar w:fldCharType="separate"/>
      </w:r>
      <w:r w:rsidRPr="00A015FB">
        <w:rPr>
          <w:rFonts w:cs="Times New Roman"/>
        </w:rPr>
        <w:t>(Charron and Greene 2002; Johnstone et al. 2004; Johnstone et al. 2020)</w:t>
      </w:r>
      <w:r>
        <w:rPr>
          <w:rFonts w:cs="Times New Roman"/>
          <w:shd w:val="clear" w:color="auto" w:fill="FFFFFF"/>
        </w:rPr>
        <w:fldChar w:fldCharType="end"/>
      </w:r>
      <w:r w:rsidRPr="003F6EFE">
        <w:rPr>
          <w:rFonts w:cs="Times New Roman"/>
          <w:shd w:val="clear" w:color="auto" w:fill="FFFFFF"/>
        </w:rPr>
        <w:t xml:space="preserve">. </w:t>
      </w:r>
      <w:r>
        <w:rPr>
          <w:rFonts w:cs="Times New Roman"/>
          <w:shd w:val="clear" w:color="auto" w:fill="FFFFFF"/>
        </w:rPr>
        <w:t xml:space="preserve">Shortened FRIs that limit SOL reaccumulation </w:t>
      </w:r>
      <w:r>
        <w:rPr>
          <w:rFonts w:cs="Times New Roman"/>
        </w:rPr>
        <w:t xml:space="preserve">(Walker et al. 2019) </w:t>
      </w:r>
      <w:r>
        <w:rPr>
          <w:rFonts w:cs="Times New Roman"/>
          <w:shd w:val="clear" w:color="auto" w:fill="FFFFFF"/>
        </w:rPr>
        <w:t xml:space="preserve">and the development of an aerial seed bank </w:t>
      </w:r>
      <w:r>
        <w:rPr>
          <w:rFonts w:cs="Times New Roman"/>
          <w:shd w:val="clear" w:color="auto" w:fill="FFFFFF"/>
        </w:rPr>
        <w:fldChar w:fldCharType="begin"/>
      </w:r>
      <w:r>
        <w:rPr>
          <w:rFonts w:cs="Times New Roman"/>
          <w:shd w:val="clear" w:color="auto" w:fill="FFFFFF"/>
        </w:rPr>
        <w:instrText xml:space="preserve"> ADDIN ZOTERO_ITEM CSL_CITATION {"citationID":"m57ePxby","properties":{"formattedCitation":"(Viglas, Brown, and Johnstone 2013; Alfaro-S\\uc0\\u225{}nchez et al. 2022)","plainCitation":"(Viglas, Brown, and Johnstone 2013; Alfaro-Sánchez et al. 2022)","noteIndex":0},"citationItems":[{"id":36,"uris":["http://zotero.org/users/5290972/items/4V8NHXUM"],"itemData":{"id":36,"type":"article-journal","container-title":"Canadian Journal of Forest Research","ISSN":"0045-5067","issue":"6","page":"534-543","title":"Age and size effects on seed productivity of northern black spruce","volume":"43","author":[{"family":"Viglas","given":"Jayme N"},{"family":"Brown","given":"Carissa D"},{"family":"Johnstone","given":"Jill F"}],"issued":{"date-parts":[["2013"]]}}},{"id":6700,"uris":["http://zotero.org/users/5290972/items/IQBJYRLP"],"itemData":{"id":6700,"type":"article-journal","container-title":"Frontiers in Ecology and Evolution","note":"ISBN: 2296-701X\npublisher: Frontiers","page":"662","title":"What drives reproductive maturity and efficiency in serotinous boreal conifers?","author":[{"family":"Alfaro-Sánchez","given":"Raquel"},{"family":"Johnstone","given":"Jill F."},{"family":"Cumming","given":"Steve G."},{"family":"Day","given":"Nicola J."},{"family":"Mack","given":"Michelle C."},{"family":"Walker","given":"Xanthe J."},{"family":"Baltzer","given":"Jennifer L."}],"issued":{"date-parts":[["2022"]]}}}],"schema":"https://github.com/citation-style-language/schema/raw/master/csl-citation.json"} </w:instrText>
      </w:r>
      <w:r>
        <w:rPr>
          <w:rFonts w:cs="Times New Roman"/>
          <w:shd w:val="clear" w:color="auto" w:fill="FFFFFF"/>
        </w:rPr>
        <w:fldChar w:fldCharType="separate"/>
      </w:r>
      <w:r w:rsidRPr="00C562CA">
        <w:rPr>
          <w:rFonts w:cs="Times New Roman"/>
        </w:rPr>
        <w:t>(Viglas, Brown, and Johnstone 2013; Alfaro-Sánchez et al. 2022)</w:t>
      </w:r>
      <w:r>
        <w:rPr>
          <w:rFonts w:cs="Times New Roman"/>
          <w:shd w:val="clear" w:color="auto" w:fill="FFFFFF"/>
        </w:rPr>
        <w:fldChar w:fldCharType="end"/>
      </w:r>
      <w:r>
        <w:rPr>
          <w:rFonts w:cs="Times New Roman"/>
          <w:shd w:val="clear" w:color="auto" w:fill="FFFFFF"/>
        </w:rPr>
        <w:t xml:space="preserve"> can </w:t>
      </w:r>
      <w:r>
        <w:rPr>
          <w:rFonts w:eastAsia="Times New Roman" w:cs="Times New Roman"/>
        </w:rPr>
        <w:t xml:space="preserve">lead to deciduous dominance, </w:t>
      </w:r>
      <w:r w:rsidRPr="003F6EFE">
        <w:rPr>
          <w:rFonts w:eastAsia="Times New Roman" w:cs="Times New Roman"/>
        </w:rPr>
        <w:t>recruitment</w:t>
      </w:r>
      <w:r>
        <w:rPr>
          <w:rFonts w:eastAsia="Times New Roman" w:cs="Times New Roman"/>
        </w:rPr>
        <w:t xml:space="preserve"> failure, </w:t>
      </w:r>
      <w:r w:rsidRPr="003F6EFE">
        <w:rPr>
          <w:rFonts w:eastAsia="Times New Roman" w:cs="Times New Roman"/>
        </w:rPr>
        <w:t xml:space="preserve">and transition to grasslands or shrublands </w:t>
      </w:r>
      <w:r>
        <w:rPr>
          <w:rFonts w:eastAsia="Times New Roman" w:cs="Times New Roman"/>
        </w:rPr>
        <w:fldChar w:fldCharType="begin"/>
      </w:r>
      <w:r>
        <w:rPr>
          <w:rFonts w:eastAsia="Times New Roman" w:cs="Times New Roman"/>
        </w:rPr>
        <w:instrText xml:space="preserve"> ADDIN ZOTERO_ITEM CSL_CITATION {"citationID":"iYONj4PY","properties":{"formattedCitation":"(Pinno, Errington, and Thompson 2013; Whitman et al. 2019; Carissa D Brown and Johnstone 2012; Hayes and Buma 2021)","plainCitation":"(Pinno, Errington, and Thompson 2013; Whitman et al. 2019; Carissa D Brown and Johnstone 2012; Hayes and Buma 2021)","dontUpdate":true,"noteIndex":0},"citationItems":[{"id":188,"uris":["http://zotero.org/users/5290972/items/YMV62M84"],"itemData":{"id":188,"type":"article-journal","container-title":"Forest Ecology and Management","ISSN":"0378-1127","page":"517-522","title":"Young jack pine and high severity fire combine to create potentially expansive areas of understocked forest","volume":"310","author":[{"family":"Pinno","given":"Bradley D."},{"family":"Errington","given":"Ruth C."},{"family":"Thompson","given":"Dan K."}],"issued":{"date-parts":[["2013"]]}}},{"id":6239,"uris":["http://zotero.org/users/5290972/items/T75LT9H4"],"itemData":{"id":6239,"type":"article-journal","abstract":"The size and frequency of large wildfires in western North America have increased in recent years, a trend climate change is likely to exacerbate. Due to fuel limitations, recently burned forests resist burning for upwards of 30 years; however, extreme fire-conducive weather enables reburning at shorter fire-free intervals than expected. This research quantifies the outcomes of short-interval reburns in upland and wetland environments of northwestern Canadian boreal forests and identifies an interactive effect of post-fire drought. Despite adaptations to wildfire amongst boreal plants, post-fire forests at paired short- and long-interval sites were significantly different, with short-interval sites having lower stem densities of trees due to reduced conifer recruitment, a higher proportion of broadleaf trees, less residual organic material, and reduced herbaceous vegetation cover. Drought reinforced changes in proportions of tree species and decreases in tree recruitment, reinforcing non-resilient responses to short-interval reburning. Drier and warmer weather will increase the incidence of short-interval reburning and amplify the ecological changes such events cause, as wildfire activity and post-fire drought increase synergistically. These interacting disturbances will accelerate climate-driven changes in boreal forest structure and composition. Our findings identify processes of ongoing and future change in a climate-sensitive biome.","container-title":"Scientific Reports","DOI":"10.1038/s41598-019-55036-7","ISSN":"2045-2322","issue":"1","language":"en","license":"2019 The Author(s)","note":"container-title: Scientific Reports\nnumber: 1\npublisher: Nature Publishing Group","page":"18796","source":"www.nature.com","title":"Short-interval wildfire and drought overwhelm boreal forest resilience","volume":"9","author":[{"family":"Whitman","given":"Ellen"},{"family":"Parisien","given":"Marc-André"},{"family":"Thompson","given":"Dan K."},{"family":"Flannigan","given":"Mike D."}],"issued":{"date-parts":[["2019",12,11]]}}},{"id":1223,"uris":["http://zotero.org/users/5290972/items/TPKRZXAZ"],"itemData":{"id":1223,"type":"article-journal","container-title":"Forest Ecology and Management","ISSN":"0378-1127","page":"34-41","title":"Once burned, twice shy: Repeat fires reduce seed availability and alter substrate constraints on&lt; i&gt; Picea mariana regeneration","title-short":"Once burned, twice shy: Repeat fires reduce seed availability and alter substrate constraints on&lt; i&gt; Picea mariana regeneration","volume":"266","author":[{"family":"Brown","given":"Carissa D"},{"family":"Johnstone","given":"Jill F"}],"issued":{"date-parts":[["2012"]]}}},{"id":6271,"uris":["http://zotero.org/users/5290972/items/RK9DF4ZZ"],"itemData":{"id":6271,"type":"article-journal","abstract":"Increasing rates of short-interval disturbances have the potential to rapidly transform ecosystems via shifts in post-disturbance regeneration. While research has explored compound events in multiple biomes, we know little regarding how local site conditions interact with short-interval disturbances to influence post-disturbance regeneration. Furthermore, questions remain regarding the consequences of continued high frequency events: What happens when emerging new communities are themselves subject to short-interval disturbances? To investigate effects of ongoing short-interval fires on regeneration, we examined post-fire forest regeneration in two locations in interior Alaska. We established 50 plots across a mosaic of fire histories (one, two, or three fires in &lt;70 yr) in an upland and lowland site in interior Alaska. To investigate how shifts in community driven by short-interval fires differ according to local site conditions, we quantified abundance, proportion, and density of conifer and deciduous regeneration in a drier upland site and a wetter lowland site. Both sites were dominated by black spruce prior to burning. In the drier upland site, black spruce (Picea mariana) presence declined sharply after two fires, while paper birch (Betula neoalaskana) became increasingly abundant with each additional fire. In the wetter lowland site, less organic soil was consumed by fire and presence of black spruce persisted through an initial single reburn (two fires), indicating local topography may temporarily buffer reburning impacts. However, after three burns, conifers were effectively eliminated in both upland and lowland stands. Deciduous regeneration differed with site: Birch dominated in upland plots, while willow (Salix spp.) and aspen (Populus tremuloides) dominated in lowlands. These results offer strong empirical evidence of the divergence of boreal successional trajectories from previous historic norms. Furthermore, results from this study demonstrate shifts in post-fire succession in forested ecosystems continue to accumulate with additional short-interval disturbance events, overwhelming the interactive effects of local site conditions.","container-title":"Ecosphere","DOI":"10.1002/ecs2.3379","ISSN":"2150-8925","issue":"3","language":"en","note":"_eprint: https://onlinelibrary.wiley.com/doi/pdf/10.1002/ecs2.3379","page":"e03379","source":"Wiley Online Library","title":"Effects of short-interval disturbances continue to accumulate, overwhelming variability in local resilience","volume":"12","author":[{"family":"Hayes","given":"Katherine"},{"family":"Buma","given":"Brian"}],"issued":{"date-parts":[["2021"]]}}}],"schema":"https://github.com/citation-style-language/schema/raw/master/csl-citation.json"} </w:instrText>
      </w:r>
      <w:r>
        <w:rPr>
          <w:rFonts w:eastAsia="Times New Roman" w:cs="Times New Roman"/>
        </w:rPr>
        <w:fldChar w:fldCharType="separate"/>
      </w:r>
      <w:r w:rsidRPr="002800E8">
        <w:rPr>
          <w:rFonts w:cs="Times New Roman"/>
        </w:rPr>
        <w:t>(Pinno, Errington, and Thompson 2013; Whitman et al. 2019; Brown and Johnstone 2012; Hayes and Buma 2021)</w:t>
      </w:r>
      <w:r>
        <w:rPr>
          <w:rFonts w:eastAsia="Times New Roman" w:cs="Times New Roman"/>
        </w:rPr>
        <w:fldChar w:fldCharType="end"/>
      </w:r>
      <w:r>
        <w:rPr>
          <w:rFonts w:cs="Times New Roman"/>
        </w:rPr>
        <w:t xml:space="preserve">. </w:t>
      </w:r>
      <w:r>
        <w:rPr>
          <w:rFonts w:eastAsia="Times New Roman" w:cs="Times New Roman"/>
        </w:rPr>
        <w:t xml:space="preserve">Once deciduous forests are established via seed following wildfire, their asexual regeneration strategies </w:t>
      </w:r>
      <w:r w:rsidRPr="00F31943">
        <w:rPr>
          <w:rFonts w:eastAsia="Times New Roman" w:cs="Times New Roman"/>
        </w:rPr>
        <w:t>facilitate rapid and prolific post-fire colonization</w:t>
      </w:r>
      <w:r>
        <w:rPr>
          <w:rFonts w:eastAsia="Times New Roman" w:cs="Times New Roman"/>
        </w:rPr>
        <w:t xml:space="preserve"> </w:t>
      </w:r>
      <w:r>
        <w:rPr>
          <w:rFonts w:eastAsia="Times New Roman" w:cs="Times New Roman"/>
        </w:rPr>
        <w:fldChar w:fldCharType="begin"/>
      </w:r>
      <w:r>
        <w:rPr>
          <w:rFonts w:eastAsia="Times New Roman" w:cs="Times New Roman"/>
        </w:rPr>
        <w:instrText xml:space="preserve"> ADDIN ZOTERO_ITEM CSL_CITATION {"citationID":"5XNjT6QR","properties":{"formattedCitation":"(X. J. Walker et al. 2023)","plainCitation":"(X. J. Walker et al. 2023)","dontUpdate":true,"noteIndex":0},"citationItems":[{"id":6608,"uris":["http://zotero.org/users/5290972/items/HGC7RQ3V"],"itemData":{"id":6608,"type":"article-journal","container-title":"Ecosystems","note":"ISBN: 1432-9840\npublisher: Springer US New York","page":"1-10","title":"Shifts in Ecological Legacies Support Hysteresis of Stand Type Conversions in Boreal Forests","author":[{"family":"Walker","given":"X. J."},{"family":"Okano","given":"K."},{"family":"Berner","given":"L. T."},{"family":"Massey","given":"R."},{"family":"Goetz","given":"S. J."},{"family":"Johnstone","given":"J. F."},{"family":"Mack","given":"M. C."}],"issued":{"date-parts":[["2023"]]}}}],"schema":"https://github.com/citation-style-language/schema/raw/master/csl-citation.json"} </w:instrText>
      </w:r>
      <w:r>
        <w:rPr>
          <w:rFonts w:eastAsia="Times New Roman" w:cs="Times New Roman"/>
        </w:rPr>
        <w:fldChar w:fldCharType="separate"/>
      </w:r>
      <w:r w:rsidRPr="00D76B41">
        <w:rPr>
          <w:rFonts w:cs="Times New Roman"/>
        </w:rPr>
        <w:t>(Walker et al. 2023)</w:t>
      </w:r>
      <w:r>
        <w:rPr>
          <w:rFonts w:eastAsia="Times New Roman" w:cs="Times New Roman"/>
        </w:rPr>
        <w:fldChar w:fldCharType="end"/>
      </w:r>
      <w:r>
        <w:rPr>
          <w:rFonts w:eastAsia="Times New Roman" w:cs="Times New Roman"/>
        </w:rPr>
        <w:t xml:space="preserve">. However, a shortened FRI could impede the effectiveness of these regeneration strategies due to immature trees having insufficient carbohydrate reserves for resprouting </w:t>
      </w:r>
      <w:r>
        <w:rPr>
          <w:rFonts w:eastAsia="Times New Roman" w:cs="Times New Roman"/>
        </w:rPr>
        <w:fldChar w:fldCharType="begin"/>
      </w:r>
      <w:r>
        <w:rPr>
          <w:rFonts w:eastAsia="Times New Roman" w:cs="Times New Roman"/>
        </w:rPr>
        <w:instrText xml:space="preserve"> ADDIN ZOTERO_ITEM CSL_CITATION {"citationID":"S4zZWiYp","properties":{"formattedCitation":"(Clarke et al. 2013)","plainCitation":"(Clarke et al. 2013)","noteIndex":0},"citationItems":[{"id":9865,"uris":["http://zotero.org/users/5290972/items/XVFQF8DC"],"itemData":{"id":9865,"type":"article-journal","container-title":"New phytologist","ISSN":"0028-646X","issue":"1","journalAbbreviation":"New phytologist","note":"publisher: Wiley Online Library","page":"19-35","title":"Resprouting as a key functional trait: how buds, protection and resources drive persistence after fire","volume":"197","author":[{"family":"Clarke","given":"Peter J"},{"family":"Lawes","given":"MJ"},{"family":"Midgley","given":"Jeremy J"},{"family":"Lamont","given":"BB"},{"family":"Ojeda","given":"F"},{"family":"Burrows","given":"GE"},{"family":"Enright","given":"NJ"},{"family":"Knox","given":"KJE"}],"issued":{"date-parts":[["2013"]]}}}],"schema":"https://github.com/citation-style-language/schema/raw/master/csl-citation.json"} </w:instrText>
      </w:r>
      <w:r>
        <w:rPr>
          <w:rFonts w:eastAsia="Times New Roman" w:cs="Times New Roman"/>
        </w:rPr>
        <w:fldChar w:fldCharType="separate"/>
      </w:r>
      <w:r w:rsidRPr="00E54603">
        <w:rPr>
          <w:rFonts w:cs="Times New Roman"/>
        </w:rPr>
        <w:t>(Clarke et al. 2013)</w:t>
      </w:r>
      <w:r>
        <w:rPr>
          <w:rFonts w:eastAsia="Times New Roman" w:cs="Times New Roman"/>
        </w:rPr>
        <w:fldChar w:fldCharType="end"/>
      </w:r>
      <w:r>
        <w:rPr>
          <w:rFonts w:eastAsia="Times New Roman" w:cs="Times New Roman"/>
        </w:rPr>
        <w:t xml:space="preserve">. </w:t>
      </w:r>
    </w:p>
    <w:p w14:paraId="15889AFB" w14:textId="77777777" w:rsidR="00A865F7" w:rsidRDefault="00A865F7" w:rsidP="00A865F7">
      <w:pPr>
        <w:tabs>
          <w:tab w:val="left" w:pos="9270"/>
        </w:tabs>
        <w:spacing w:after="0" w:line="480" w:lineRule="auto"/>
        <w:jc w:val="both"/>
        <w:rPr>
          <w:rFonts w:eastAsia="Times New Roman" w:cs="Times New Roman"/>
        </w:rPr>
      </w:pPr>
    </w:p>
    <w:p w14:paraId="34AE4030" w14:textId="127CCBD9" w:rsidR="00A865F7" w:rsidRPr="00CC74B2" w:rsidRDefault="00A865F7" w:rsidP="00A865F7">
      <w:pPr>
        <w:spacing w:after="0" w:line="480" w:lineRule="auto"/>
        <w:jc w:val="both"/>
        <w:rPr>
          <w:rFonts w:cs="Times New Roman"/>
        </w:rPr>
      </w:pPr>
      <w:r w:rsidRPr="00CC74B2">
        <w:rPr>
          <w:rFonts w:eastAsia="Times New Roman" w:cs="Times New Roman"/>
        </w:rPr>
        <w:t>Using a spatially extensive dataset of</w:t>
      </w:r>
      <w:r w:rsidRPr="00CC74B2">
        <w:rPr>
          <w:rFonts w:cs="Times New Roman"/>
        </w:rPr>
        <w:t xml:space="preserve"> 555 plots from 31 separate fire scars in Interior Alaska</w:t>
      </w:r>
      <w:r w:rsidRPr="00CC74B2">
        <w:rPr>
          <w:rFonts w:eastAsia="Times New Roman" w:cs="Times New Roman"/>
        </w:rPr>
        <w:t xml:space="preserve">, we describe the forests and landscape characteristics of reburns and ask what the consequences of changing FRIs are for C </w:t>
      </w:r>
      <w:r>
        <w:rPr>
          <w:rFonts w:eastAsia="Times New Roman" w:cs="Times New Roman"/>
        </w:rPr>
        <w:t>pools</w:t>
      </w:r>
      <w:r w:rsidRPr="00CC74B2">
        <w:rPr>
          <w:rFonts w:eastAsia="Times New Roman" w:cs="Times New Roman"/>
        </w:rPr>
        <w:t xml:space="preserve"> and successional trajectories. Specifically</w:t>
      </w:r>
      <w:r w:rsidRPr="00CC74B2">
        <w:rPr>
          <w:rFonts w:cs="Times New Roman"/>
        </w:rPr>
        <w:t xml:space="preserve">, </w:t>
      </w:r>
      <w:r w:rsidR="00897B33">
        <w:rPr>
          <w:rFonts w:cs="Times New Roman"/>
        </w:rPr>
        <w:t>w</w:t>
      </w:r>
      <w:r w:rsidR="00897B33" w:rsidRPr="00897B33">
        <w:rPr>
          <w:rFonts w:cs="Times New Roman"/>
        </w:rPr>
        <w:t>e quantified pre-fire and post-fire C pools and C losses and assessed post-fire seedling regeneration in long (&gt;70 years), intermediate (30 -70 years), and short (&lt;30 years) FRIs, and triple (three fires in &lt;70 years) burns.</w:t>
      </w:r>
      <w:r w:rsidR="00897B33">
        <w:rPr>
          <w:rFonts w:cs="Times New Roman"/>
        </w:rPr>
        <w:t xml:space="preserve"> </w:t>
      </w:r>
      <w:r w:rsidRPr="00CC74B2">
        <w:rPr>
          <w:rFonts w:cs="Times New Roman"/>
        </w:rPr>
        <w:t xml:space="preserve">We then test the hypotheses that </w:t>
      </w:r>
      <w:r>
        <w:rPr>
          <w:rFonts w:cs="Times New Roman"/>
        </w:rPr>
        <w:t>reburning</w:t>
      </w:r>
      <w:r w:rsidRPr="00CC74B2">
        <w:rPr>
          <w:rFonts w:cs="Times New Roman"/>
        </w:rPr>
        <w:t xml:space="preserve"> will:</w:t>
      </w:r>
    </w:p>
    <w:p w14:paraId="1BE14356" w14:textId="77777777" w:rsidR="00A865F7" w:rsidRPr="00CC74B2" w:rsidRDefault="00A865F7" w:rsidP="00A865F7">
      <w:pPr>
        <w:pStyle w:val="ListParagraph"/>
        <w:numPr>
          <w:ilvl w:val="0"/>
          <w:numId w:val="5"/>
        </w:numPr>
        <w:spacing w:after="0" w:line="480" w:lineRule="auto"/>
        <w:jc w:val="both"/>
        <w:rPr>
          <w:rFonts w:ascii="Times New Roman" w:eastAsia="Times New Roman" w:hAnsi="Times New Roman" w:cs="Times New Roman"/>
          <w:sz w:val="24"/>
          <w:szCs w:val="24"/>
        </w:rPr>
      </w:pPr>
      <w:r w:rsidRPr="00CC74B2">
        <w:rPr>
          <w:rFonts w:ascii="Times New Roman" w:eastAsia="Times New Roman" w:hAnsi="Times New Roman" w:cs="Times New Roman"/>
          <w:sz w:val="24"/>
          <w:szCs w:val="24"/>
        </w:rPr>
        <w:lastRenderedPageBreak/>
        <w:t xml:space="preserve">decrease pre- and post-fire C </w:t>
      </w:r>
      <w:r>
        <w:rPr>
          <w:rFonts w:ascii="Times New Roman" w:eastAsia="Times New Roman" w:hAnsi="Times New Roman" w:cs="Times New Roman"/>
          <w:sz w:val="24"/>
          <w:szCs w:val="24"/>
        </w:rPr>
        <w:t>pools</w:t>
      </w:r>
      <w:r w:rsidRPr="00CC74B2">
        <w:rPr>
          <w:rFonts w:ascii="Times New Roman" w:eastAsia="Times New Roman" w:hAnsi="Times New Roman" w:cs="Times New Roman"/>
          <w:sz w:val="24"/>
          <w:szCs w:val="24"/>
        </w:rPr>
        <w:t xml:space="preserve"> and increase legacy C </w:t>
      </w:r>
      <w:r>
        <w:rPr>
          <w:rFonts w:ascii="Times New Roman" w:eastAsia="Times New Roman" w:hAnsi="Times New Roman" w:cs="Times New Roman"/>
          <w:sz w:val="24"/>
          <w:szCs w:val="24"/>
        </w:rPr>
        <w:t>combustion</w:t>
      </w:r>
      <w:r w:rsidRPr="00CC74B2">
        <w:rPr>
          <w:rFonts w:ascii="Times New Roman" w:eastAsia="Times New Roman" w:hAnsi="Times New Roman" w:cs="Times New Roman"/>
          <w:sz w:val="24"/>
          <w:szCs w:val="24"/>
        </w:rPr>
        <w:t xml:space="preserve"> due to the shortened </w:t>
      </w:r>
      <w:r>
        <w:rPr>
          <w:rFonts w:ascii="Times New Roman" w:eastAsia="Times New Roman" w:hAnsi="Times New Roman" w:cs="Times New Roman"/>
          <w:sz w:val="24"/>
          <w:szCs w:val="24"/>
        </w:rPr>
        <w:t>time interval</w:t>
      </w:r>
      <w:r w:rsidRPr="00CC74B2">
        <w:rPr>
          <w:rFonts w:ascii="Times New Roman" w:eastAsia="Times New Roman" w:hAnsi="Times New Roman" w:cs="Times New Roman"/>
          <w:sz w:val="24"/>
          <w:szCs w:val="24"/>
        </w:rPr>
        <w:t xml:space="preserve"> between fires limiting SOL reaccumulation, where </w:t>
      </w:r>
      <w:r>
        <w:rPr>
          <w:rFonts w:ascii="Times New Roman" w:eastAsia="Times New Roman" w:hAnsi="Times New Roman" w:cs="Times New Roman"/>
          <w:sz w:val="24"/>
          <w:szCs w:val="24"/>
        </w:rPr>
        <w:t>most</w:t>
      </w:r>
      <w:r w:rsidRPr="00CC74B2">
        <w:rPr>
          <w:rFonts w:ascii="Times New Roman" w:eastAsia="Times New Roman" w:hAnsi="Times New Roman" w:cs="Times New Roman"/>
          <w:sz w:val="24"/>
          <w:szCs w:val="24"/>
        </w:rPr>
        <w:t xml:space="preserve"> C is stored in these ecosystems. </w:t>
      </w:r>
    </w:p>
    <w:p w14:paraId="2BE1022D" w14:textId="77777777" w:rsidR="00A865F7" w:rsidRDefault="00A865F7" w:rsidP="00A865F7">
      <w:pPr>
        <w:pStyle w:val="ListParagraph"/>
        <w:numPr>
          <w:ilvl w:val="0"/>
          <w:numId w:val="5"/>
        </w:numPr>
        <w:spacing w:after="0" w:line="480" w:lineRule="auto"/>
        <w:jc w:val="both"/>
        <w:rPr>
          <w:rFonts w:ascii="Times New Roman" w:eastAsia="Times New Roman" w:hAnsi="Times New Roman" w:cs="Times New Roman"/>
          <w:sz w:val="24"/>
          <w:szCs w:val="24"/>
        </w:rPr>
      </w:pPr>
      <w:r w:rsidRPr="00CC74B2">
        <w:rPr>
          <w:rFonts w:ascii="Times New Roman" w:eastAsia="Times New Roman" w:hAnsi="Times New Roman" w:cs="Times New Roman"/>
          <w:sz w:val="24"/>
          <w:szCs w:val="24"/>
        </w:rPr>
        <w:t>increase the frequency of alternate post-fire successional trajectories</w:t>
      </w:r>
      <w:r>
        <w:rPr>
          <w:rFonts w:ascii="Times New Roman" w:eastAsia="Times New Roman" w:hAnsi="Times New Roman" w:cs="Times New Roman"/>
          <w:sz w:val="24"/>
          <w:szCs w:val="24"/>
        </w:rPr>
        <w:t xml:space="preserve"> in black spruce stands</w:t>
      </w:r>
      <w:r w:rsidRPr="00CC74B2">
        <w:rPr>
          <w:rFonts w:ascii="Times New Roman" w:eastAsia="Times New Roman" w:hAnsi="Times New Roman" w:cs="Times New Roman"/>
          <w:sz w:val="24"/>
          <w:szCs w:val="24"/>
        </w:rPr>
        <w:t xml:space="preserve"> due to the loss of the aerial seed bank and increased mineral soil</w:t>
      </w:r>
      <w:r>
        <w:rPr>
          <w:rFonts w:ascii="Times New Roman" w:eastAsia="Times New Roman" w:hAnsi="Times New Roman" w:cs="Times New Roman"/>
          <w:sz w:val="24"/>
          <w:szCs w:val="24"/>
        </w:rPr>
        <w:t xml:space="preserve"> exposure </w:t>
      </w:r>
      <w:r w:rsidRPr="00CC74B2">
        <w:rPr>
          <w:rFonts w:ascii="Times New Roman" w:eastAsia="Times New Roman" w:hAnsi="Times New Roman" w:cs="Times New Roman"/>
          <w:sz w:val="24"/>
          <w:szCs w:val="24"/>
        </w:rPr>
        <w:t xml:space="preserve">but will not impact regeneration in deciduous stands due to their ability to rapidly resprout following wildfire. </w:t>
      </w:r>
    </w:p>
    <w:p w14:paraId="721D3A35" w14:textId="77777777" w:rsidR="00A865F7" w:rsidRPr="00CC74B2" w:rsidRDefault="00A865F7" w:rsidP="00A865F7">
      <w:pPr>
        <w:pStyle w:val="ListParagraph"/>
        <w:spacing w:after="0" w:line="480" w:lineRule="auto"/>
        <w:ind w:left="1080"/>
        <w:jc w:val="both"/>
        <w:rPr>
          <w:rFonts w:ascii="Times New Roman" w:eastAsia="Times New Roman" w:hAnsi="Times New Roman" w:cs="Times New Roman"/>
          <w:sz w:val="24"/>
          <w:szCs w:val="24"/>
        </w:rPr>
      </w:pPr>
    </w:p>
    <w:p w14:paraId="664EF67E" w14:textId="77777777" w:rsidR="00A865F7" w:rsidRPr="00937053" w:rsidRDefault="00A865F7" w:rsidP="00A865F7">
      <w:pPr>
        <w:spacing w:after="0" w:line="480" w:lineRule="auto"/>
        <w:jc w:val="both"/>
        <w:rPr>
          <w:rFonts w:eastAsia="Times New Roman" w:cs="Times New Roman"/>
        </w:rPr>
      </w:pPr>
      <w:r>
        <w:rPr>
          <w:rFonts w:eastAsia="Times New Roman" w:cs="Times New Roman"/>
        </w:rPr>
        <w:t xml:space="preserve">Results from this research provide insight </w:t>
      </w:r>
      <w:r>
        <w:rPr>
          <w:rFonts w:cs="Times New Roman"/>
          <w:color w:val="000000" w:themeColor="text1"/>
        </w:rPr>
        <w:t xml:space="preserve">into the structural and functional resilience of boreal forests to increasing fire frequency, which is needed </w:t>
      </w:r>
      <w:r w:rsidRPr="00250488">
        <w:rPr>
          <w:rFonts w:cs="Times New Roman"/>
          <w:color w:val="000000" w:themeColor="text1"/>
        </w:rPr>
        <w:t xml:space="preserve">to develop management strategies that promote ecosystem resilience. </w:t>
      </w:r>
      <w:r>
        <w:rPr>
          <w:rFonts w:cs="Times New Roman"/>
          <w:color w:val="000000" w:themeColor="text1"/>
        </w:rPr>
        <w:t>Furthermore, most research on fire impacts in boreal Alaska, and specifically impacts on C loss and storage, come from relatively mature black spruce forests. By examining reburned ecosystems, we provide a basis for anticipating the consequences of altered fire regimes on future forest composition and feedbacks</w:t>
      </w:r>
      <w:r w:rsidRPr="00110857">
        <w:rPr>
          <w:rFonts w:cs="Times New Roman"/>
          <w:color w:val="000000"/>
        </w:rPr>
        <w:t xml:space="preserve"> to the global C cycle and climate.</w:t>
      </w:r>
    </w:p>
    <w:p w14:paraId="7E5327B2" w14:textId="77777777" w:rsidR="00A865F7" w:rsidRDefault="00A865F7" w:rsidP="00A865F7">
      <w:pPr>
        <w:spacing w:after="0" w:line="480" w:lineRule="auto"/>
        <w:jc w:val="both"/>
        <w:rPr>
          <w:rFonts w:cs="Times New Roman"/>
          <w:color w:val="000000" w:themeColor="text1"/>
        </w:rPr>
      </w:pPr>
    </w:p>
    <w:p w14:paraId="5726D565" w14:textId="77777777" w:rsidR="00A865F7" w:rsidRPr="003B3A8A" w:rsidRDefault="00A865F7" w:rsidP="00A865F7">
      <w:pPr>
        <w:spacing w:after="0" w:line="480" w:lineRule="auto"/>
        <w:rPr>
          <w:rFonts w:cs="Times New Roman"/>
          <w:b/>
          <w:bCs/>
          <w:u w:val="single"/>
        </w:rPr>
      </w:pPr>
      <w:r w:rsidRPr="003B3A8A">
        <w:rPr>
          <w:rFonts w:cs="Times New Roman"/>
          <w:b/>
          <w:bCs/>
          <w:u w:val="single"/>
        </w:rPr>
        <w:t>Methods</w:t>
      </w:r>
    </w:p>
    <w:p w14:paraId="07D555BE" w14:textId="77777777" w:rsidR="00A865F7" w:rsidRDefault="00A865F7" w:rsidP="00A865F7">
      <w:pPr>
        <w:spacing w:after="0" w:line="480" w:lineRule="auto"/>
        <w:rPr>
          <w:rFonts w:cs="Times New Roman"/>
          <w:i/>
          <w:iCs/>
        </w:rPr>
      </w:pPr>
    </w:p>
    <w:p w14:paraId="1E470988" w14:textId="77777777" w:rsidR="00A865F7" w:rsidRPr="003F41B0" w:rsidRDefault="00A865F7" w:rsidP="00A865F7">
      <w:pPr>
        <w:spacing w:after="0" w:line="480" w:lineRule="auto"/>
        <w:rPr>
          <w:rFonts w:cs="Times New Roman"/>
          <w:b/>
          <w:bCs/>
          <w:i/>
          <w:iCs/>
        </w:rPr>
      </w:pPr>
      <w:r w:rsidRPr="003F41B0">
        <w:rPr>
          <w:rFonts w:cs="Times New Roman"/>
          <w:b/>
          <w:bCs/>
          <w:i/>
          <w:iCs/>
        </w:rPr>
        <w:t xml:space="preserve">Study </w:t>
      </w:r>
      <w:r>
        <w:rPr>
          <w:rFonts w:cs="Times New Roman"/>
          <w:b/>
          <w:bCs/>
          <w:i/>
          <w:iCs/>
        </w:rPr>
        <w:t>a</w:t>
      </w:r>
      <w:r w:rsidRPr="003F41B0">
        <w:rPr>
          <w:rFonts w:cs="Times New Roman"/>
          <w:b/>
          <w:bCs/>
          <w:i/>
          <w:iCs/>
        </w:rPr>
        <w:t>rea and site selection</w:t>
      </w:r>
    </w:p>
    <w:p w14:paraId="26456007" w14:textId="77777777" w:rsidR="00A865F7" w:rsidRDefault="00A865F7" w:rsidP="00A865F7">
      <w:pPr>
        <w:pBdr>
          <w:top w:val="nil"/>
          <w:left w:val="nil"/>
          <w:bottom w:val="nil"/>
          <w:right w:val="nil"/>
          <w:between w:val="nil"/>
        </w:pBdr>
        <w:spacing w:after="0" w:line="480" w:lineRule="auto"/>
        <w:jc w:val="both"/>
        <w:rPr>
          <w:rFonts w:eastAsia="Times New Roman" w:cs="Times New Roman"/>
          <w:color w:val="000000"/>
        </w:rPr>
      </w:pPr>
      <w:r>
        <w:rPr>
          <w:rFonts w:eastAsia="Times New Roman" w:cs="Times New Roman"/>
          <w:color w:val="000000"/>
        </w:rPr>
        <w:t>Our</w:t>
      </w:r>
      <w:r w:rsidRPr="000C58DD">
        <w:rPr>
          <w:rFonts w:eastAsia="Times New Roman" w:cs="Times New Roman"/>
          <w:color w:val="000000"/>
        </w:rPr>
        <w:t xml:space="preserve"> study took place </w:t>
      </w:r>
      <w:r>
        <w:rPr>
          <w:rFonts w:eastAsia="Times New Roman" w:cs="Times New Roman"/>
          <w:color w:val="000000"/>
        </w:rPr>
        <w:t xml:space="preserve">within </w:t>
      </w:r>
      <w:r w:rsidRPr="000C58DD">
        <w:rPr>
          <w:rFonts w:eastAsia="Times New Roman" w:cs="Times New Roman"/>
          <w:color w:val="000000"/>
        </w:rPr>
        <w:t xml:space="preserve">Interior Alaska, </w:t>
      </w:r>
      <w:r w:rsidRPr="00456442">
        <w:rPr>
          <w:rFonts w:eastAsia="Times New Roman" w:cs="Times New Roman"/>
          <w:color w:val="000000"/>
        </w:rPr>
        <w:t>USA</w:t>
      </w:r>
      <w:r>
        <w:rPr>
          <w:rFonts w:eastAsia="Times New Roman" w:cs="Times New Roman"/>
          <w:color w:val="000000"/>
        </w:rPr>
        <w:t>,</w:t>
      </w:r>
      <w:r w:rsidRPr="00456442">
        <w:rPr>
          <w:rFonts w:eastAsia="Times New Roman" w:cs="Times New Roman"/>
          <w:color w:val="000000"/>
        </w:rPr>
        <w:t xml:space="preserve"> ranging from south of the Brooks Range to north of the Alaska Range (Figure </w:t>
      </w:r>
      <w:r>
        <w:rPr>
          <w:rFonts w:eastAsia="Times New Roman" w:cs="Times New Roman"/>
          <w:color w:val="000000"/>
        </w:rPr>
        <w:t>1</w:t>
      </w:r>
      <w:r w:rsidRPr="00456442">
        <w:rPr>
          <w:rFonts w:eastAsia="Times New Roman" w:cs="Times New Roman"/>
          <w:color w:val="000000"/>
        </w:rPr>
        <w:t xml:space="preserve">). </w:t>
      </w:r>
      <w:r>
        <w:rPr>
          <w:rFonts w:eastAsia="Times New Roman" w:cs="Times New Roman"/>
          <w:color w:val="000000"/>
        </w:rPr>
        <w:t>The majority (57%) of the 370,000 km</w:t>
      </w:r>
      <w:r w:rsidRPr="00656932">
        <w:rPr>
          <w:color w:val="000000"/>
          <w:vertAlign w:val="superscript"/>
        </w:rPr>
        <w:t>2</w:t>
      </w:r>
      <w:r>
        <w:rPr>
          <w:rFonts w:eastAsia="Times New Roman" w:cs="Times New Roman"/>
          <w:color w:val="000000"/>
        </w:rPr>
        <w:t xml:space="preserve"> Alaskan boreal forest is conifer-dominated, 27% is a mix of conifer and deciduous trees, including </w:t>
      </w:r>
      <w:r w:rsidRPr="00456442">
        <w:rPr>
          <w:rFonts w:eastAsia="Times New Roman" w:cs="Times New Roman"/>
          <w:color w:val="000000"/>
        </w:rPr>
        <w:t>trembling aspen (</w:t>
      </w:r>
      <w:r w:rsidRPr="00FB1382">
        <w:rPr>
          <w:rFonts w:eastAsia="Times New Roman" w:cs="Times New Roman"/>
          <w:i/>
          <w:iCs/>
          <w:color w:val="000000"/>
        </w:rPr>
        <w:t>Populus tremuloides</w:t>
      </w:r>
      <w:r w:rsidRPr="00456442">
        <w:rPr>
          <w:rFonts w:eastAsia="Times New Roman" w:cs="Times New Roman"/>
          <w:color w:val="000000"/>
        </w:rPr>
        <w:t>) and paper birch (</w:t>
      </w:r>
      <w:r w:rsidRPr="00FB1382">
        <w:rPr>
          <w:rFonts w:eastAsia="Times New Roman" w:cs="Times New Roman"/>
          <w:i/>
          <w:iCs/>
          <w:color w:val="000000"/>
        </w:rPr>
        <w:t>Betula neoalaskana</w:t>
      </w:r>
      <w:r>
        <w:rPr>
          <w:rFonts w:eastAsia="Times New Roman" w:cs="Times New Roman"/>
          <w:color w:val="000000"/>
        </w:rPr>
        <w:t>), and 16% is treeless wetlands and tundra</w:t>
      </w:r>
      <w:r w:rsidRPr="00456442">
        <w:rPr>
          <w:rFonts w:eastAsia="Times New Roman" w:cs="Times New Roman"/>
          <w:color w:val="000000"/>
        </w:rPr>
        <w:t xml:space="preserve"> </w:t>
      </w:r>
      <w:r>
        <w:rPr>
          <w:rFonts w:eastAsia="Times New Roman" w:cs="Times New Roman"/>
          <w:color w:val="000000"/>
        </w:rPr>
        <w:fldChar w:fldCharType="begin"/>
      </w:r>
      <w:r>
        <w:rPr>
          <w:rFonts w:eastAsia="Times New Roman" w:cs="Times New Roman"/>
          <w:color w:val="000000"/>
        </w:rPr>
        <w:instrText xml:space="preserve"> ADDIN ZOTERO_ITEM CSL_CITATION {"citationID":"JnRQjIGo","properties":{"formattedCitation":"(Neigh et al. 2013; Yarie and Billings 2002)","plainCitation":"(Neigh et al. 2013; Yarie and Billings 2002)","noteIndex":0},"citationItems":[{"id":6665,"uris":["http://zotero.org/users/5290972/items/TIIIYJYI"],"itemData":{"id":6665,"type":"article-journal","abstract":"The boreal forest accounts for one-third of global forests, but remains largely inaccessible to ground-based measurements and monitoring. It contains large quantities of carbon in its vegetation and soils, and research suggests that it will be subject to increasingly severe climate-driven disturbance. We employ a suite of ground-, airborne- and space-based measurement techniques to derive the first satellite LiDAR-based estimates of aboveground carbon for the entire circumboreal forest biome. Incorporating these inventory techniques with uncertainty analysis, we estimate total aboveground carbon of 38±3.1Pg. This boreal forest carbon is mostly concentrated from 50 to 55° N in eastern Canada and from 55 to 60° N in eastern Eurasia. Both of these regions are expected to warm &gt;3°C by 2100, and monitoring the effects of warming on these stocks is important to understanding its future carbon balance. Our maps establish a baseline for future quantification of circumboreal carbon and the described technique should provide a robust method for future monitoring of the spatial and temporal changes of the aboveground carbon content.","container-title":"Remote Sensing of Environment","DOI":"10.1016/j.rse.2013.06.019","ISSN":"0034-4257","journalAbbreviation":"Remote Sensing of Environment","language":"en","page":"274-287","source":"ScienceDirect","title":"Taking stock of circumboreal forest carbon with ground measurements, airborne and spaceborne LiDAR","volume":"137","author":[{"family":"Neigh","given":"Christopher S. R."},{"family":"Nelson","given":"Ross F."},{"family":"Ranson","given":"K. Jon"},{"family":"Margolis","given":"Hank A."},{"family":"Montesano","given":"Paul M."},{"family":"Sun","given":"Guoqing"},{"family":"Kharuk","given":"Viacheslav"},{"family":"Næsset","given":"Erik"},{"family":"Wulder","given":"Michael A."},{"family":"Andersen","given":"Hans-Erik"}],"issued":{"date-parts":[["2013",10,1]]}}},{"id":5517,"uris":["http://zotero.org/users/5290972/items/VV9YVL9C"],"itemData":{"id":5517,"type":"article-journal","container-title":"Canadian Journal of Forest Research","DOI":"10.1139/x01-075","issue":"5","page":"757-767","title":"Carbon balance of the taiga forest within Alaska: present and future","volume":"32","author":[{"family":"Yarie","given":"J."},{"family":"Billings","given":"S."}],"issued":{"date-parts":[["2002"]]}}}],"schema":"https://github.com/citation-style-language/schema/raw/master/csl-citation.json"} </w:instrText>
      </w:r>
      <w:r>
        <w:rPr>
          <w:rFonts w:eastAsia="Times New Roman" w:cs="Times New Roman"/>
          <w:color w:val="000000"/>
        </w:rPr>
        <w:fldChar w:fldCharType="separate"/>
      </w:r>
      <w:r w:rsidRPr="00276DC6">
        <w:rPr>
          <w:rFonts w:eastAsia="Times New Roman" w:cs="Times New Roman"/>
          <w:color w:val="000000"/>
        </w:rPr>
        <w:t>(Neigh et al. 2013; Yarie and Billings 2002)</w:t>
      </w:r>
      <w:r>
        <w:rPr>
          <w:rFonts w:eastAsia="Times New Roman" w:cs="Times New Roman"/>
          <w:color w:val="000000"/>
        </w:rPr>
        <w:fldChar w:fldCharType="end"/>
      </w:r>
      <w:r w:rsidRPr="00456442">
        <w:rPr>
          <w:rFonts w:eastAsia="Times New Roman" w:cs="Times New Roman"/>
          <w:color w:val="000000"/>
        </w:rPr>
        <w:t xml:space="preserve">. The majority (75–80%) of the boreal forest in </w:t>
      </w:r>
      <w:r w:rsidRPr="00456442">
        <w:rPr>
          <w:rFonts w:eastAsia="Times New Roman" w:cs="Times New Roman"/>
          <w:color w:val="000000"/>
        </w:rPr>
        <w:lastRenderedPageBreak/>
        <w:t>Interior Alaska is underlain by permafrost (Osterkamp &amp; Romanovsky 1999)</w:t>
      </w:r>
      <w:r>
        <w:rPr>
          <w:rFonts w:eastAsia="Times New Roman" w:cs="Times New Roman"/>
          <w:color w:val="000000"/>
        </w:rPr>
        <w:t xml:space="preserve">, which </w:t>
      </w:r>
      <w:r w:rsidRPr="00456442">
        <w:rPr>
          <w:rFonts w:eastAsia="Times New Roman" w:cs="Times New Roman"/>
          <w:color w:val="000000"/>
        </w:rPr>
        <w:t>tends to be absent from south-facing slopes and floodplains (Van Cleve et al. 1983)</w:t>
      </w:r>
      <w:r>
        <w:rPr>
          <w:rFonts w:eastAsia="Times New Roman" w:cs="Times New Roman"/>
          <w:color w:val="000000"/>
        </w:rPr>
        <w:t>. L</w:t>
      </w:r>
      <w:r w:rsidRPr="000C58DD">
        <w:rPr>
          <w:rFonts w:eastAsia="Times New Roman" w:cs="Times New Roman"/>
          <w:color w:val="000000"/>
        </w:rPr>
        <w:t xml:space="preserve">arge </w:t>
      </w:r>
      <w:r>
        <w:rPr>
          <w:rFonts w:eastAsia="Times New Roman" w:cs="Times New Roman"/>
          <w:color w:val="000000"/>
        </w:rPr>
        <w:t>area</w:t>
      </w:r>
      <w:r w:rsidRPr="000C58DD">
        <w:rPr>
          <w:rFonts w:eastAsia="Times New Roman" w:cs="Times New Roman"/>
          <w:color w:val="000000"/>
        </w:rPr>
        <w:t>s of Interior Alaska</w:t>
      </w:r>
      <w:r>
        <w:rPr>
          <w:rFonts w:eastAsia="Times New Roman" w:cs="Times New Roman"/>
          <w:color w:val="000000"/>
        </w:rPr>
        <w:t xml:space="preserve"> have burned</w:t>
      </w:r>
      <w:r w:rsidRPr="000C58DD">
        <w:rPr>
          <w:rFonts w:eastAsia="Times New Roman" w:cs="Times New Roman"/>
          <w:color w:val="000000"/>
        </w:rPr>
        <w:t>, resulting in fires overlapping with one or more previous fire scars</w:t>
      </w:r>
      <w:r>
        <w:rPr>
          <w:rFonts w:eastAsia="Times New Roman" w:cs="Times New Roman"/>
          <w:color w:val="000000"/>
        </w:rPr>
        <w:t xml:space="preserve"> and providing </w:t>
      </w:r>
      <w:r w:rsidRPr="000C58DD">
        <w:rPr>
          <w:rFonts w:eastAsia="Times New Roman" w:cs="Times New Roman"/>
          <w:color w:val="000000"/>
        </w:rPr>
        <w:t xml:space="preserve">an opportunity to sample a </w:t>
      </w:r>
      <w:r>
        <w:rPr>
          <w:rFonts w:eastAsia="Times New Roman" w:cs="Times New Roman"/>
          <w:color w:val="000000"/>
        </w:rPr>
        <w:t>range</w:t>
      </w:r>
      <w:r w:rsidRPr="000C58DD">
        <w:rPr>
          <w:rFonts w:eastAsia="Times New Roman" w:cs="Times New Roman"/>
          <w:color w:val="000000"/>
        </w:rPr>
        <w:t xml:space="preserve"> of </w:t>
      </w:r>
      <w:r>
        <w:rPr>
          <w:rFonts w:eastAsia="Times New Roman" w:cs="Times New Roman"/>
          <w:color w:val="000000"/>
        </w:rPr>
        <w:t>FRIs</w:t>
      </w:r>
      <w:r w:rsidRPr="000C58DD">
        <w:rPr>
          <w:rFonts w:eastAsia="Times New Roman" w:cs="Times New Roman"/>
          <w:color w:val="000000"/>
        </w:rPr>
        <w:t xml:space="preserve">. </w:t>
      </w:r>
    </w:p>
    <w:p w14:paraId="4E81BA2B" w14:textId="77777777" w:rsidR="00A865F7" w:rsidRDefault="00A865F7" w:rsidP="00A865F7">
      <w:pPr>
        <w:pBdr>
          <w:top w:val="nil"/>
          <w:left w:val="nil"/>
          <w:bottom w:val="nil"/>
          <w:right w:val="nil"/>
          <w:between w:val="nil"/>
        </w:pBdr>
        <w:spacing w:after="0" w:line="480" w:lineRule="auto"/>
        <w:rPr>
          <w:rFonts w:eastAsia="Times New Roman" w:cs="Times New Roman"/>
          <w:color w:val="000000"/>
        </w:rPr>
      </w:pPr>
    </w:p>
    <w:p w14:paraId="61CFE45A" w14:textId="77777777" w:rsidR="00A865F7" w:rsidRPr="005430C1" w:rsidRDefault="00A865F7" w:rsidP="00A865F7">
      <w:pPr>
        <w:spacing w:after="0" w:line="480" w:lineRule="auto"/>
        <w:jc w:val="both"/>
        <w:rPr>
          <w:rFonts w:cs="Times New Roman"/>
          <w:color w:val="000000" w:themeColor="text1"/>
        </w:rPr>
      </w:pPr>
      <w:r>
        <w:rPr>
          <w:rFonts w:cs="Times New Roman"/>
          <w:color w:val="000000" w:themeColor="text1"/>
        </w:rPr>
        <w:t xml:space="preserve">Reburned fire locations were identified along the road network and </w:t>
      </w:r>
      <w:r w:rsidRPr="005430C1">
        <w:rPr>
          <w:rFonts w:cs="Times New Roman"/>
          <w:color w:val="000000" w:themeColor="text1"/>
        </w:rPr>
        <w:t xml:space="preserve">within a 150 km radius of </w:t>
      </w:r>
      <w:r>
        <w:rPr>
          <w:rFonts w:cs="Times New Roman"/>
          <w:color w:val="000000" w:themeColor="text1"/>
        </w:rPr>
        <w:t xml:space="preserve">both Fort Yukon and </w:t>
      </w:r>
      <w:r w:rsidRPr="005430C1">
        <w:rPr>
          <w:rFonts w:cs="Times New Roman"/>
          <w:color w:val="000000" w:themeColor="text1"/>
        </w:rPr>
        <w:t xml:space="preserve">Manley, AK. </w:t>
      </w:r>
      <w:r>
        <w:rPr>
          <w:rFonts w:cs="Times New Roman"/>
          <w:color w:val="000000" w:themeColor="text1"/>
        </w:rPr>
        <w:t xml:space="preserve">We limited our fire selection to areas we could sample within seven years following fires to ensure minimal C reaccumulation and accurate measures of residual C pools and C loss. </w:t>
      </w:r>
      <w:r w:rsidRPr="005430C1">
        <w:rPr>
          <w:rFonts w:cs="Times New Roman"/>
          <w:color w:val="000000" w:themeColor="text1"/>
        </w:rPr>
        <w:t xml:space="preserve">The Alaskan Large Fire Database (ALFD; Kasischke, Williams &amp; Barry, 2002) </w:t>
      </w:r>
      <w:r>
        <w:rPr>
          <w:rFonts w:cs="Times New Roman"/>
          <w:color w:val="000000" w:themeColor="text1"/>
        </w:rPr>
        <w:t xml:space="preserve">along with </w:t>
      </w:r>
      <w:r w:rsidRPr="005430C1">
        <w:rPr>
          <w:rFonts w:cs="Times New Roman"/>
          <w:color w:val="000000" w:themeColor="text1"/>
        </w:rPr>
        <w:t>30 m Landsat-based differenced Normalized Burn Ratio (dNBR; Key &amp; Benson, 2006)</w:t>
      </w:r>
      <w:r>
        <w:rPr>
          <w:rFonts w:cs="Times New Roman"/>
          <w:color w:val="000000" w:themeColor="text1"/>
        </w:rPr>
        <w:t xml:space="preserve"> </w:t>
      </w:r>
      <w:r w:rsidRPr="005430C1">
        <w:rPr>
          <w:rFonts w:cs="Times New Roman"/>
          <w:color w:val="000000" w:themeColor="text1"/>
        </w:rPr>
        <w:t xml:space="preserve">was used to </w:t>
      </w:r>
      <w:r>
        <w:rPr>
          <w:rFonts w:cs="Times New Roman"/>
          <w:color w:val="000000" w:themeColor="text1"/>
        </w:rPr>
        <w:t>verify</w:t>
      </w:r>
      <w:r w:rsidRPr="005430C1">
        <w:rPr>
          <w:rFonts w:cs="Times New Roman"/>
          <w:color w:val="000000" w:themeColor="text1"/>
        </w:rPr>
        <w:t xml:space="preserve"> locations that reburned between 201</w:t>
      </w:r>
      <w:r>
        <w:rPr>
          <w:rFonts w:cs="Times New Roman"/>
          <w:color w:val="000000" w:themeColor="text1"/>
        </w:rPr>
        <w:t>5</w:t>
      </w:r>
      <w:r w:rsidRPr="005430C1">
        <w:rPr>
          <w:rFonts w:cs="Times New Roman"/>
          <w:color w:val="000000" w:themeColor="text1"/>
        </w:rPr>
        <w:t>-202</w:t>
      </w:r>
      <w:r>
        <w:rPr>
          <w:rFonts w:cs="Times New Roman"/>
          <w:color w:val="000000" w:themeColor="text1"/>
        </w:rPr>
        <w:t>2</w:t>
      </w:r>
      <w:r w:rsidRPr="005430C1">
        <w:rPr>
          <w:rFonts w:cs="Times New Roman"/>
          <w:color w:val="000000" w:themeColor="text1"/>
        </w:rPr>
        <w:t>.</w:t>
      </w:r>
      <w:r>
        <w:rPr>
          <w:rFonts w:cs="Times New Roman"/>
          <w:color w:val="000000" w:themeColor="text1"/>
        </w:rPr>
        <w:t xml:space="preserve"> </w:t>
      </w:r>
      <w:r w:rsidRPr="00E47996">
        <w:rPr>
          <w:rFonts w:cs="Times New Roman"/>
          <w:color w:val="000000" w:themeColor="text1"/>
        </w:rPr>
        <w:t>We selected potential field sampling locations by creating a 100 m grid of points across each reburned fire scar, with a 100m buffer from the edge of the fire polygon. The dNBR at each point was extracted</w:t>
      </w:r>
      <w:r>
        <w:rPr>
          <w:rFonts w:cs="Times New Roman"/>
          <w:color w:val="000000" w:themeColor="text1"/>
        </w:rPr>
        <w:t>,</w:t>
      </w:r>
      <w:r w:rsidRPr="00E47996">
        <w:rPr>
          <w:rFonts w:cs="Times New Roman"/>
          <w:color w:val="000000" w:themeColor="text1"/>
        </w:rPr>
        <w:t xml:space="preserve"> and all points with a dNBR value of 0.05 or less were removed </w:t>
      </w:r>
      <w:r>
        <w:rPr>
          <w:rFonts w:cs="Times New Roman"/>
          <w:color w:val="000000" w:themeColor="text1"/>
        </w:rPr>
        <w:t xml:space="preserve">to exclude unburned points. </w:t>
      </w:r>
      <w:r w:rsidRPr="005430C1">
        <w:rPr>
          <w:rFonts w:cs="Times New Roman"/>
          <w:color w:val="000000" w:themeColor="text1"/>
        </w:rPr>
        <w:t>Potential sampling locations were stratified by fire severity</w:t>
      </w:r>
      <w:r>
        <w:rPr>
          <w:rFonts w:cs="Times New Roman"/>
          <w:color w:val="000000" w:themeColor="text1"/>
        </w:rPr>
        <w:t xml:space="preserve"> of the most recent fire. S</w:t>
      </w:r>
      <w:r w:rsidRPr="005430C1">
        <w:rPr>
          <w:rFonts w:cs="Times New Roman"/>
          <w:color w:val="000000" w:themeColor="text1"/>
        </w:rPr>
        <w:t xml:space="preserve">everity was assigned by converting reburned dNBR into three quantiles representing low, medium, and high severity. We used dNBR distribution across </w:t>
      </w:r>
      <w:r>
        <w:rPr>
          <w:rFonts w:cs="Times New Roman"/>
          <w:color w:val="000000" w:themeColor="text1"/>
        </w:rPr>
        <w:t>all reburned fire scars</w:t>
      </w:r>
      <w:r w:rsidRPr="005430C1">
        <w:rPr>
          <w:rFonts w:cs="Times New Roman"/>
          <w:color w:val="000000" w:themeColor="text1"/>
        </w:rPr>
        <w:t xml:space="preserve"> to classify fire severity. Finally, we selected control sites (i.e., sites that burned in the same fire year</w:t>
      </w:r>
      <w:r>
        <w:rPr>
          <w:rFonts w:cs="Times New Roman"/>
          <w:color w:val="000000" w:themeColor="text1"/>
        </w:rPr>
        <w:t xml:space="preserve"> as reburn</w:t>
      </w:r>
      <w:r w:rsidRPr="005430C1">
        <w:rPr>
          <w:rFonts w:cs="Times New Roman"/>
          <w:color w:val="000000" w:themeColor="text1"/>
        </w:rPr>
        <w:t>s between 201</w:t>
      </w:r>
      <w:r>
        <w:rPr>
          <w:rFonts w:cs="Times New Roman"/>
          <w:color w:val="000000" w:themeColor="text1"/>
        </w:rPr>
        <w:t>5</w:t>
      </w:r>
      <w:r w:rsidRPr="005430C1">
        <w:rPr>
          <w:rFonts w:cs="Times New Roman"/>
          <w:color w:val="000000" w:themeColor="text1"/>
        </w:rPr>
        <w:t>-202</w:t>
      </w:r>
      <w:r>
        <w:rPr>
          <w:rFonts w:cs="Times New Roman"/>
          <w:color w:val="000000" w:themeColor="text1"/>
        </w:rPr>
        <w:t>2</w:t>
      </w:r>
      <w:r w:rsidRPr="005430C1">
        <w:rPr>
          <w:rFonts w:cs="Times New Roman"/>
          <w:color w:val="000000" w:themeColor="text1"/>
        </w:rPr>
        <w:t xml:space="preserve"> but had no recorded history of fire prior to that) in a similar manner, stratified by severity across </w:t>
      </w:r>
      <w:r>
        <w:rPr>
          <w:rFonts w:cs="Times New Roman"/>
          <w:color w:val="000000" w:themeColor="text1"/>
        </w:rPr>
        <w:t xml:space="preserve">all </w:t>
      </w:r>
      <w:r w:rsidRPr="005430C1">
        <w:rPr>
          <w:rFonts w:cs="Times New Roman"/>
          <w:color w:val="000000" w:themeColor="text1"/>
        </w:rPr>
        <w:t xml:space="preserve">control fires. </w:t>
      </w:r>
    </w:p>
    <w:p w14:paraId="7F783DA3" w14:textId="77777777" w:rsidR="00A865F7" w:rsidRDefault="00A865F7" w:rsidP="00A865F7">
      <w:pPr>
        <w:spacing w:after="0" w:line="480" w:lineRule="auto"/>
        <w:rPr>
          <w:rFonts w:cs="Times New Roman"/>
          <w:color w:val="000000" w:themeColor="text1"/>
        </w:rPr>
      </w:pPr>
    </w:p>
    <w:p w14:paraId="42E19A77" w14:textId="77777777" w:rsidR="00A865F7" w:rsidRDefault="00A865F7" w:rsidP="00A865F7">
      <w:pPr>
        <w:spacing w:after="0" w:line="480" w:lineRule="auto"/>
        <w:jc w:val="both"/>
        <w:rPr>
          <w:rFonts w:cs="Times New Roman"/>
          <w:color w:val="000000" w:themeColor="text1"/>
        </w:rPr>
      </w:pPr>
      <w:r w:rsidRPr="005430C1">
        <w:rPr>
          <w:rFonts w:cs="Times New Roman"/>
          <w:color w:val="000000" w:themeColor="text1"/>
        </w:rPr>
        <w:t xml:space="preserve">In </w:t>
      </w:r>
      <w:r>
        <w:rPr>
          <w:rFonts w:cs="Times New Roman"/>
          <w:color w:val="000000" w:themeColor="text1"/>
        </w:rPr>
        <w:t xml:space="preserve">July and August </w:t>
      </w:r>
      <w:r w:rsidRPr="005430C1">
        <w:rPr>
          <w:rFonts w:cs="Times New Roman"/>
          <w:color w:val="000000" w:themeColor="text1"/>
        </w:rPr>
        <w:t xml:space="preserve">of 2021, 2022, and 2023, we </w:t>
      </w:r>
      <w:r>
        <w:rPr>
          <w:rFonts w:cs="Times New Roman"/>
          <w:color w:val="000000" w:themeColor="text1"/>
        </w:rPr>
        <w:t>sampled 31</w:t>
      </w:r>
      <w:r w:rsidRPr="005430C1">
        <w:rPr>
          <w:rFonts w:cs="Times New Roman"/>
          <w:color w:val="000000" w:themeColor="text1"/>
        </w:rPr>
        <w:t xml:space="preserve"> fire scars throughout </w:t>
      </w:r>
      <w:r>
        <w:rPr>
          <w:rFonts w:cs="Times New Roman"/>
          <w:color w:val="000000" w:themeColor="text1"/>
        </w:rPr>
        <w:t>I</w:t>
      </w:r>
      <w:r w:rsidRPr="005430C1">
        <w:rPr>
          <w:rFonts w:cs="Times New Roman"/>
          <w:color w:val="000000" w:themeColor="text1"/>
        </w:rPr>
        <w:t xml:space="preserve">nterior Alaska. In </w:t>
      </w:r>
      <w:r>
        <w:rPr>
          <w:rFonts w:cs="Times New Roman"/>
          <w:color w:val="000000" w:themeColor="text1"/>
        </w:rPr>
        <w:t xml:space="preserve">each fire scar, </w:t>
      </w:r>
      <w:r w:rsidRPr="005430C1">
        <w:rPr>
          <w:rFonts w:cs="Times New Roman"/>
          <w:color w:val="000000" w:themeColor="text1"/>
        </w:rPr>
        <w:t xml:space="preserve">we sampled </w:t>
      </w:r>
      <w:r>
        <w:rPr>
          <w:rFonts w:cs="Times New Roman"/>
          <w:color w:val="000000" w:themeColor="text1"/>
        </w:rPr>
        <w:t>five</w:t>
      </w:r>
      <w:r w:rsidRPr="005430C1">
        <w:rPr>
          <w:rFonts w:cs="Times New Roman"/>
          <w:color w:val="000000" w:themeColor="text1"/>
        </w:rPr>
        <w:t xml:space="preserve"> to nine </w:t>
      </w:r>
      <w:r>
        <w:rPr>
          <w:rFonts w:cs="Times New Roman"/>
          <w:color w:val="000000" w:themeColor="text1"/>
        </w:rPr>
        <w:t xml:space="preserve">randomly located </w:t>
      </w:r>
      <w:r w:rsidRPr="005430C1">
        <w:rPr>
          <w:rFonts w:cs="Times New Roman"/>
          <w:color w:val="000000" w:themeColor="text1"/>
        </w:rPr>
        <w:t xml:space="preserve">sites, with at least two sites in each </w:t>
      </w:r>
      <w:r>
        <w:rPr>
          <w:rFonts w:cs="Times New Roman"/>
          <w:color w:val="000000" w:themeColor="text1"/>
        </w:rPr>
        <w:lastRenderedPageBreak/>
        <w:t xml:space="preserve">dNBR </w:t>
      </w:r>
      <w:r w:rsidRPr="005430C1">
        <w:rPr>
          <w:rFonts w:cs="Times New Roman"/>
          <w:color w:val="000000" w:themeColor="text1"/>
        </w:rPr>
        <w:t>fire severity class</w:t>
      </w:r>
      <w:r>
        <w:rPr>
          <w:rFonts w:cs="Times New Roman"/>
          <w:color w:val="000000" w:themeColor="text1"/>
        </w:rPr>
        <w:t xml:space="preserve"> when available (e.g., some fire scars only had two of the three severity classes present)</w:t>
      </w:r>
      <w:r w:rsidRPr="005430C1">
        <w:rPr>
          <w:rFonts w:cs="Times New Roman"/>
          <w:color w:val="000000" w:themeColor="text1"/>
        </w:rPr>
        <w:t>. Within each site</w:t>
      </w:r>
      <w:r>
        <w:rPr>
          <w:rFonts w:cs="Times New Roman"/>
          <w:color w:val="000000" w:themeColor="text1"/>
        </w:rPr>
        <w:t>,</w:t>
      </w:r>
      <w:r w:rsidRPr="005430C1">
        <w:rPr>
          <w:rFonts w:cs="Times New Roman"/>
          <w:color w:val="000000" w:themeColor="text1"/>
        </w:rPr>
        <w:t xml:space="preserve"> we established three sampling plots</w:t>
      </w:r>
      <w:r>
        <w:rPr>
          <w:rFonts w:cs="Times New Roman"/>
          <w:color w:val="000000" w:themeColor="text1"/>
        </w:rPr>
        <w:t xml:space="preserve"> </w:t>
      </w:r>
      <w:r w:rsidRPr="005430C1">
        <w:rPr>
          <w:rFonts w:cs="Times New Roman"/>
          <w:color w:val="000000" w:themeColor="text1"/>
        </w:rPr>
        <w:t xml:space="preserve">each measuring 10 m x 2 m, for a total of </w:t>
      </w:r>
      <w:r>
        <w:rPr>
          <w:rFonts w:cs="Times New Roman"/>
          <w:color w:val="000000" w:themeColor="text1"/>
        </w:rPr>
        <w:t>555</w:t>
      </w:r>
      <w:r w:rsidRPr="005430C1">
        <w:rPr>
          <w:rFonts w:cs="Times New Roman"/>
          <w:color w:val="000000" w:themeColor="text1"/>
        </w:rPr>
        <w:t xml:space="preserve"> plots nested within the </w:t>
      </w:r>
      <w:r>
        <w:rPr>
          <w:rFonts w:cs="Times New Roman"/>
          <w:color w:val="000000" w:themeColor="text1"/>
        </w:rPr>
        <w:t>185</w:t>
      </w:r>
      <w:r w:rsidRPr="005430C1">
        <w:rPr>
          <w:rFonts w:cs="Times New Roman"/>
          <w:color w:val="000000" w:themeColor="text1"/>
        </w:rPr>
        <w:t xml:space="preserve"> sites. </w:t>
      </w:r>
      <w:r>
        <w:rPr>
          <w:rFonts w:cs="Times New Roman"/>
          <w:color w:val="000000" w:themeColor="text1"/>
        </w:rPr>
        <w:t xml:space="preserve">We acquired downscaled climate data from ClimateNA </w:t>
      </w:r>
      <w:r>
        <w:rPr>
          <w:rFonts w:cs="Times New Roman"/>
          <w:color w:val="000000" w:themeColor="text1"/>
        </w:rPr>
        <w:fldChar w:fldCharType="begin"/>
      </w:r>
      <w:r>
        <w:rPr>
          <w:rFonts w:cs="Times New Roman"/>
          <w:color w:val="000000" w:themeColor="text1"/>
        </w:rPr>
        <w:instrText xml:space="preserve"> ADDIN ZOTERO_ITEM CSL_CITATION {"citationID":"uBiE89CH","properties":{"formattedCitation":"(Hersbach et al. 2020)","plainCitation":"(Hersbach et al. 2020)","noteIndex":0},"citationItems":[{"id":9879,"uris":["http://zotero.org/users/5290972/items/EJAG8PRY"],"itemData":{"id":9879,"type":"article-journal","abstract":"Abstract Within the Copernicus Climate Change Service (C3S), ECMWF is producing the ERA5 reanalysis which, once completed, will embody a detailed record of the global atmosphere, land surface and ocean waves from 1950 onwards. This new reanalysis replaces the ERA-Interim reanalysis (spanning 1979 onwards) which was started in 2006. ERA5 is based on the Integrated Forecasting System (IFS) Cy41r2 which was operational in 2016. ERA5 thus benefits from a decade of developments in model physics, core dynamics and data assimilation. In addition to a significantly enhanced horizontal resolution of 31?km, compared to 80?km for ERA-Interim, ERA5 has hourly output throughout, and an uncertainty estimate from an ensemble (3-hourly at half the horizontal resolution). This paper describes the general set-up of ERA5, as well as a basic evaluation of characteristics and performance, with a focus on the dataset from 1979 onwards which is currently publicly available. Re-forecasts from ERA5 analyses show a gain of up to one day in skill with respect to ERA-Interim. Comparison with radiosonde and PILOT data prior to assimilation shows an improved fit for temperature, wind and humidity in the troposphere, but not the stratosphere. A comparison with independent buoy data shows a much improved fit for ocean wave height. The uncertainty estimate reflects the evolution of the observing systems used in ERA5. The enhanced temporal and spatial resolution allows for a detailed evolution of weather systems. For precipitation, global-mean correlation with monthly-mean GPCP data is increased from 67% to 77%. In general, low-frequency variability is found to be well represented and from 10?hPa downwards general patterns of anomalies in temperature match those from the ERA-Interim, MERRA-2 and JRA-55 reanalyses.","container-title":"Quarterly Journal of the Royal Meteorological Society","DOI":"10.1002/qj.3803","ISSN":"0035-9009","issue":"730","note":"publisher: John Wiley &amp; Sons, Ltd","page":"1999-2049","source":"rmets.onlinelibrary.wiley.com (Atypon)","title":"The ERA5 global reanalysis","volume":"146","author":[{"family":"Hersbach","given":"Hans"},{"family":"Bell","given":"Bill"},{"family":"Berrisford","given":"Paul"},{"family":"Hirahara","given":"Shoji"},{"family":"Horányi","given":"András"},{"family":"Muñoz-Sabater","given":"Joaquín"},{"family":"Nicolas","given":"Julien"},{"family":"Peubey","given":"Carole"},{"family":"Radu","given":"Raluca"},{"family":"Schepers","given":"Dinand"},{"family":"Simmons","given":"Adrian"},{"family":"Soci","given":"Cornel"},{"family":"Abdalla","given":"Saleh"},{"family":"Abellan","given":"Xavier"},{"family":"Balsamo","given":"Gianpaolo"},{"family":"Bechtold","given":"Peter"},{"family":"Biavati","given":"Gionata"},{"family":"Bidlot","given":"Jean"},{"family":"Bonavita","given":"Massimo"},{"family":"De Chiara","given":"Giovanna"},{"family":"Dahlgren","given":"Per"},{"family":"Dee","given":"Dick"},{"family":"Diamantakis","given":"Michail"},{"family":"Dragani","given":"Rossana"},{"family":"Flemming","given":"Johannes"},{"family":"Forbes","given":"Richard"},{"family":"Fuentes","given":"Manuel"},{"family":"Geer","given":"Alan"},{"family":"Haimberger","given":"Leo"},{"family":"Healy","given":"Sean"},{"family":"Hogan","given":"Robin J."},{"family":"Hólm","given":"Elías"},{"family":"Janisková","given":"Marta"},{"family":"Keeley","given":"Sarah"},{"family":"Laloyaux","given":"Patrick"},{"family":"Lopez","given":"Philippe"},{"family":"Lupu","given":"Cristina"},{"family":"Radnoti","given":"Gabor"},{"family":"Rosnay","given":"Patricia","non-dropping-particle":"de"},{"family":"Rozum","given":"Iryna"},{"family":"Vamborg","given":"Freja"},{"family":"Villaume","given":"Sebastien"},{"family":"Thépaut","given":"Jean-Noël"}],"issued":{"date-parts":[["2020",7]]}}}],"schema":"https://github.com/citation-style-language/schema/raw/master/csl-citation.json"} </w:instrText>
      </w:r>
      <w:r>
        <w:rPr>
          <w:rFonts w:cs="Times New Roman"/>
          <w:color w:val="000000" w:themeColor="text1"/>
        </w:rPr>
        <w:fldChar w:fldCharType="separate"/>
      </w:r>
      <w:r w:rsidRPr="0039153F">
        <w:rPr>
          <w:rFonts w:cs="Times New Roman"/>
        </w:rPr>
        <w:t>(Hersbach et al. 2020)</w:t>
      </w:r>
      <w:r>
        <w:rPr>
          <w:rFonts w:cs="Times New Roman"/>
          <w:color w:val="000000" w:themeColor="text1"/>
        </w:rPr>
        <w:fldChar w:fldCharType="end"/>
      </w:r>
      <w:r>
        <w:rPr>
          <w:rFonts w:cs="Times New Roman"/>
          <w:color w:val="000000" w:themeColor="text1"/>
        </w:rPr>
        <w:t xml:space="preserve"> to calculate the mean annual temperature, mean annual precipitation, and mean annual climate moisture index (CMI) from 1985 to 2015 for each of our sampled sites. </w:t>
      </w:r>
    </w:p>
    <w:p w14:paraId="63EF91A2" w14:textId="77777777" w:rsidR="00A865F7" w:rsidRDefault="00A865F7" w:rsidP="00A865F7">
      <w:pPr>
        <w:spacing w:after="0" w:line="480" w:lineRule="auto"/>
        <w:jc w:val="both"/>
        <w:rPr>
          <w:rFonts w:cs="Times New Roman"/>
          <w:color w:val="000000" w:themeColor="text1"/>
        </w:rPr>
      </w:pPr>
    </w:p>
    <w:p w14:paraId="78B2DBD9" w14:textId="77777777" w:rsidR="00A865F7" w:rsidRPr="003F41B0" w:rsidRDefault="00A865F7" w:rsidP="00A865F7">
      <w:pPr>
        <w:spacing w:after="0" w:line="480" w:lineRule="auto"/>
        <w:jc w:val="both"/>
        <w:rPr>
          <w:rFonts w:cs="Times New Roman"/>
          <w:b/>
          <w:bCs/>
          <w:i/>
          <w:iCs/>
          <w:color w:val="000000" w:themeColor="text1"/>
        </w:rPr>
      </w:pPr>
      <w:r w:rsidRPr="003F41B0">
        <w:rPr>
          <w:rFonts w:cs="Times New Roman"/>
          <w:b/>
          <w:bCs/>
          <w:i/>
          <w:iCs/>
          <w:color w:val="000000" w:themeColor="text1"/>
        </w:rPr>
        <w:t>Field Methods</w:t>
      </w:r>
    </w:p>
    <w:p w14:paraId="00A91889" w14:textId="77777777" w:rsidR="00A865F7" w:rsidRDefault="00A865F7" w:rsidP="00A865F7">
      <w:pPr>
        <w:spacing w:after="0" w:line="480" w:lineRule="auto"/>
        <w:jc w:val="both"/>
        <w:rPr>
          <w:rFonts w:cs="Times New Roman"/>
          <w:color w:val="000000" w:themeColor="text1"/>
        </w:rPr>
      </w:pPr>
      <w:r w:rsidRPr="005430C1">
        <w:rPr>
          <w:rFonts w:cs="Times New Roman"/>
          <w:color w:val="000000" w:themeColor="text1"/>
        </w:rPr>
        <w:t>At each site</w:t>
      </w:r>
      <w:r>
        <w:rPr>
          <w:rFonts w:cs="Times New Roman"/>
          <w:color w:val="000000" w:themeColor="text1"/>
        </w:rPr>
        <w:t>,</w:t>
      </w:r>
      <w:r w:rsidRPr="005430C1">
        <w:rPr>
          <w:rFonts w:cs="Times New Roman"/>
          <w:color w:val="000000" w:themeColor="text1"/>
        </w:rPr>
        <w:t xml:space="preserve"> </w:t>
      </w:r>
      <w:r>
        <w:rPr>
          <w:rFonts w:cs="Times New Roman"/>
          <w:color w:val="000000" w:themeColor="text1"/>
        </w:rPr>
        <w:t>we</w:t>
      </w:r>
      <w:r w:rsidRPr="00D660DB">
        <w:rPr>
          <w:rFonts w:cs="Times New Roman"/>
          <w:color w:val="000000" w:themeColor="text1"/>
        </w:rPr>
        <w:t xml:space="preserve"> record</w:t>
      </w:r>
      <w:r>
        <w:rPr>
          <w:rFonts w:cs="Times New Roman"/>
          <w:color w:val="000000" w:themeColor="text1"/>
        </w:rPr>
        <w:t xml:space="preserve">ed </w:t>
      </w:r>
      <w:r w:rsidRPr="00D660DB">
        <w:rPr>
          <w:rFonts w:cs="Times New Roman"/>
          <w:color w:val="000000" w:themeColor="text1"/>
        </w:rPr>
        <w:t xml:space="preserve">latitude, longitude, and elevation with a GPS receiver, and slope and aspect with a clinometer and compass. </w:t>
      </w:r>
      <w:r>
        <w:rPr>
          <w:rFonts w:cs="Times New Roman"/>
          <w:color w:val="000000" w:themeColor="text1"/>
        </w:rPr>
        <w:t>Each plot</w:t>
      </w:r>
      <w:r w:rsidRPr="00D660DB">
        <w:rPr>
          <w:rFonts w:cs="Times New Roman"/>
          <w:color w:val="000000" w:themeColor="text1"/>
        </w:rPr>
        <w:t xml:space="preserve"> </w:t>
      </w:r>
      <w:r>
        <w:rPr>
          <w:rFonts w:cs="Times New Roman"/>
          <w:color w:val="000000" w:themeColor="text1"/>
        </w:rPr>
        <w:t>was</w:t>
      </w:r>
      <w:r w:rsidRPr="00D660DB">
        <w:rPr>
          <w:rFonts w:cs="Times New Roman"/>
          <w:color w:val="000000" w:themeColor="text1"/>
        </w:rPr>
        <w:t xml:space="preserve"> assigned a soil drainage class on a </w:t>
      </w:r>
      <w:r>
        <w:rPr>
          <w:rFonts w:cs="Times New Roman"/>
          <w:color w:val="000000" w:themeColor="text1"/>
        </w:rPr>
        <w:t>six-point</w:t>
      </w:r>
      <w:r w:rsidRPr="00D660DB">
        <w:rPr>
          <w:rFonts w:cs="Times New Roman"/>
          <w:color w:val="000000" w:themeColor="text1"/>
        </w:rPr>
        <w:t xml:space="preserve"> scale, ranging from xeric to </w:t>
      </w:r>
      <w:r>
        <w:rPr>
          <w:rFonts w:cs="Times New Roman"/>
          <w:color w:val="000000" w:themeColor="text1"/>
        </w:rPr>
        <w:t xml:space="preserve">subhygric, based on topography‐controlled drainage and adjusted for soil texture and the </w:t>
      </w:r>
      <w:r w:rsidRPr="00D660DB">
        <w:rPr>
          <w:rFonts w:cs="Times New Roman"/>
          <w:color w:val="000000" w:themeColor="text1"/>
        </w:rPr>
        <w:t xml:space="preserve">presence of permafrost </w:t>
      </w:r>
      <w:r>
        <w:rPr>
          <w:rFonts w:cs="Times New Roman"/>
          <w:color w:val="000000" w:themeColor="text1"/>
        </w:rPr>
        <w:fldChar w:fldCharType="begin"/>
      </w:r>
      <w:r>
        <w:rPr>
          <w:rFonts w:cs="Times New Roman"/>
          <w:color w:val="000000" w:themeColor="text1"/>
        </w:rPr>
        <w:instrText xml:space="preserve"> ADDIN ZOTERO_ITEM CSL_CITATION {"citationID":"1pmYbasp","properties":{"formattedCitation":"(J. F. Johnstone, Hollingsworth, and Chapin 2008)","plainCitation":"(J. F. Johnstone, Hollingsworth, and Chapin 2008)","dontUpdate":true,"noteIndex":0},"citationItems":[{"id":779,"uris":["http://zotero.org/users/5290972/items/BB6MCNI2"],"itemData":{"id":779,"type":"article-journal","archive_location":"CABI:20093012742","container-title":"General Technical Report - Pacific Northwest Research Station, USDA Forest Service","issue":"PNW-GTR-767","page":"i + 37 pp.","title":"A key for predicting postfire successional trajectories in black spruce stands of interior Alaska","title-short":"A key for predicting postfire successional trajectories in black spruce stands of interior Alaska","author":[{"family":"Johnstone","given":"J. F."},{"family":"Hollingsworth","given":"T. N."},{"family":"Chapin","given":"F. S.","suffix":"III"}],"issued":{"date-parts":[["2008"]]}}}],"schema":"https://github.com/citation-style-language/schema/raw/master/csl-citation.json"} </w:instrText>
      </w:r>
      <w:r>
        <w:rPr>
          <w:rFonts w:cs="Times New Roman"/>
          <w:color w:val="000000" w:themeColor="text1"/>
        </w:rPr>
        <w:fldChar w:fldCharType="separate"/>
      </w:r>
      <w:r w:rsidRPr="00C05602">
        <w:rPr>
          <w:rFonts w:cs="Times New Roman"/>
        </w:rPr>
        <w:t>(Johnstone, Hollingsworth, and Chapin 2008)</w:t>
      </w:r>
      <w:r>
        <w:rPr>
          <w:rFonts w:cs="Times New Roman"/>
          <w:color w:val="000000" w:themeColor="text1"/>
        </w:rPr>
        <w:fldChar w:fldCharType="end"/>
      </w:r>
      <w:r w:rsidRPr="00D660DB">
        <w:rPr>
          <w:rFonts w:cs="Times New Roman"/>
          <w:color w:val="000000" w:themeColor="text1"/>
        </w:rPr>
        <w:t>.</w:t>
      </w:r>
      <w:r>
        <w:rPr>
          <w:rFonts w:cs="Times New Roman"/>
          <w:color w:val="000000" w:themeColor="text1"/>
        </w:rPr>
        <w:t xml:space="preserve"> </w:t>
      </w:r>
    </w:p>
    <w:p w14:paraId="721EE741" w14:textId="77777777" w:rsidR="00A865F7" w:rsidRDefault="00A865F7" w:rsidP="00A865F7">
      <w:pPr>
        <w:spacing w:after="0" w:line="480" w:lineRule="auto"/>
        <w:jc w:val="both"/>
        <w:rPr>
          <w:rFonts w:cs="Times New Roman"/>
          <w:color w:val="000000" w:themeColor="text1"/>
        </w:rPr>
      </w:pPr>
    </w:p>
    <w:p w14:paraId="269A9E41" w14:textId="77777777" w:rsidR="00A865F7" w:rsidRDefault="00A865F7" w:rsidP="00A865F7">
      <w:pPr>
        <w:spacing w:after="0" w:line="480" w:lineRule="auto"/>
        <w:jc w:val="both"/>
        <w:rPr>
          <w:rFonts w:cs="Times New Roman"/>
          <w:lang w:val="en"/>
        </w:rPr>
      </w:pPr>
      <w:r w:rsidRPr="00804CEB">
        <w:rPr>
          <w:rFonts w:cs="Times New Roman"/>
          <w:color w:val="000000" w:themeColor="text1"/>
        </w:rPr>
        <w:t xml:space="preserve">To estimate stand age at the time of fire, we collected one basal tree cross-section </w:t>
      </w:r>
      <w:r>
        <w:rPr>
          <w:rFonts w:cs="Times New Roman"/>
          <w:color w:val="000000" w:themeColor="text1"/>
        </w:rPr>
        <w:t>in</w:t>
      </w:r>
      <w:r w:rsidRPr="00804CEB">
        <w:rPr>
          <w:rFonts w:cs="Times New Roman"/>
          <w:color w:val="000000" w:themeColor="text1"/>
        </w:rPr>
        <w:t xml:space="preserve"> each plot from the dominant </w:t>
      </w:r>
      <w:r>
        <w:rPr>
          <w:rFonts w:cs="Times New Roman"/>
          <w:color w:val="000000" w:themeColor="text1"/>
        </w:rPr>
        <w:t xml:space="preserve">pre-fire </w:t>
      </w:r>
      <w:r w:rsidRPr="00804CEB">
        <w:rPr>
          <w:rFonts w:cs="Times New Roman"/>
          <w:color w:val="000000" w:themeColor="text1"/>
        </w:rPr>
        <w:t>tree species</w:t>
      </w:r>
      <w:r>
        <w:rPr>
          <w:rFonts w:cs="Times New Roman"/>
          <w:color w:val="000000" w:themeColor="text1"/>
        </w:rPr>
        <w:t xml:space="preserve"> (three trees per site)</w:t>
      </w:r>
      <w:r w:rsidRPr="00804CEB">
        <w:rPr>
          <w:rFonts w:cs="Times New Roman"/>
          <w:color w:val="000000" w:themeColor="text1"/>
        </w:rPr>
        <w:t>. If co-dominant tree species were present</w:t>
      </w:r>
      <w:r>
        <w:rPr>
          <w:rFonts w:cs="Times New Roman"/>
          <w:color w:val="000000" w:themeColor="text1"/>
        </w:rPr>
        <w:t xml:space="preserve"> pre-fire</w:t>
      </w:r>
      <w:r w:rsidRPr="00804CEB">
        <w:rPr>
          <w:rFonts w:cs="Times New Roman"/>
          <w:color w:val="000000" w:themeColor="text1"/>
        </w:rPr>
        <w:t>, then one cross-section per tree species was collected for each plot.</w:t>
      </w:r>
      <w:r>
        <w:rPr>
          <w:rFonts w:cs="Times New Roman"/>
          <w:color w:val="000000" w:themeColor="text1"/>
        </w:rPr>
        <w:t xml:space="preserve"> </w:t>
      </w:r>
      <w:r w:rsidRPr="00866ED0">
        <w:rPr>
          <w:rFonts w:cs="Times New Roman"/>
        </w:rPr>
        <w:t>In each plot (</w:t>
      </w:r>
      <w:r>
        <w:rPr>
          <w:rFonts w:cs="Times New Roman"/>
        </w:rPr>
        <w:t>20 m</w:t>
      </w:r>
      <w:r w:rsidRPr="0054388D">
        <w:rPr>
          <w:rFonts w:cs="Times New Roman"/>
          <w:vertAlign w:val="superscript"/>
        </w:rPr>
        <w:t>2</w:t>
      </w:r>
      <w:r w:rsidRPr="00866ED0">
        <w:rPr>
          <w:rFonts w:cs="Times New Roman"/>
        </w:rPr>
        <w:t xml:space="preserve">), we measured the diameter at breast height (DBH; 1.3 m from the base) for all trees ≥ 1.3 m in height and the basal diameter of all trees &lt; 1.3 m tall that were </w:t>
      </w:r>
      <w:r>
        <w:rPr>
          <w:rFonts w:cs="Times New Roman"/>
        </w:rPr>
        <w:t>present pre-fire</w:t>
      </w:r>
      <w:r w:rsidRPr="00866ED0">
        <w:rPr>
          <w:rFonts w:cs="Times New Roman"/>
        </w:rPr>
        <w:t>. For each tree, we assessed the</w:t>
      </w:r>
      <w:r w:rsidRPr="00D07247">
        <w:rPr>
          <w:rFonts w:eastAsia="Times New Roman" w:cs="Times New Roman"/>
          <w:color w:val="000000"/>
        </w:rPr>
        <w:t xml:space="preserve"> percent combustion (0%, 25%, 50%, 75%, 100%) for the stem, branches, coarse branches, fine branches, </w:t>
      </w:r>
      <w:r w:rsidRPr="00866ED0">
        <w:rPr>
          <w:rFonts w:eastAsia="Times New Roman" w:cs="Times New Roman"/>
          <w:color w:val="000000"/>
        </w:rPr>
        <w:t>foliage/needles</w:t>
      </w:r>
      <w:r w:rsidRPr="00D07247">
        <w:rPr>
          <w:rFonts w:eastAsia="Times New Roman" w:cs="Times New Roman"/>
          <w:color w:val="000000"/>
        </w:rPr>
        <w:t xml:space="preserve">, and cones (if applicable) from the most recent fire. </w:t>
      </w:r>
      <w:r w:rsidRPr="00866ED0">
        <w:rPr>
          <w:rFonts w:eastAsia="Times New Roman" w:cs="Times New Roman"/>
          <w:color w:val="000000"/>
        </w:rPr>
        <w:t xml:space="preserve">We </w:t>
      </w:r>
      <w:r>
        <w:rPr>
          <w:rFonts w:eastAsia="Times New Roman" w:cs="Times New Roman"/>
          <w:color w:val="000000"/>
        </w:rPr>
        <w:t xml:space="preserve">similarly measured pre-fire density, composition, and combustion of tall shrubs (i.e., </w:t>
      </w:r>
      <w:r w:rsidRPr="0054388D">
        <w:rPr>
          <w:rFonts w:eastAsia="Times New Roman" w:cs="Times New Roman"/>
          <w:i/>
          <w:iCs/>
          <w:color w:val="000000"/>
        </w:rPr>
        <w:t>Salix</w:t>
      </w:r>
      <w:r>
        <w:rPr>
          <w:rFonts w:eastAsia="Times New Roman" w:cs="Times New Roman"/>
          <w:color w:val="000000"/>
        </w:rPr>
        <w:t xml:space="preserve">, </w:t>
      </w:r>
      <w:r w:rsidRPr="0054388D">
        <w:rPr>
          <w:rFonts w:eastAsia="Times New Roman" w:cs="Times New Roman"/>
          <w:i/>
          <w:iCs/>
          <w:color w:val="000000"/>
        </w:rPr>
        <w:t>Alnus</w:t>
      </w:r>
      <w:r>
        <w:rPr>
          <w:rFonts w:eastAsia="Times New Roman" w:cs="Times New Roman"/>
          <w:color w:val="000000"/>
        </w:rPr>
        <w:t xml:space="preserve">, and </w:t>
      </w:r>
      <w:r w:rsidRPr="0054388D">
        <w:rPr>
          <w:rFonts w:eastAsia="Times New Roman" w:cs="Times New Roman"/>
          <w:i/>
          <w:iCs/>
          <w:color w:val="000000"/>
        </w:rPr>
        <w:t>Betula</w:t>
      </w:r>
      <w:r>
        <w:rPr>
          <w:rFonts w:eastAsia="Times New Roman" w:cs="Times New Roman"/>
          <w:color w:val="000000"/>
        </w:rPr>
        <w:t xml:space="preserve"> spp.) </w:t>
      </w:r>
      <w:r w:rsidRPr="00866ED0">
        <w:rPr>
          <w:rFonts w:eastAsia="Times New Roman" w:cs="Times New Roman"/>
          <w:color w:val="000000"/>
        </w:rPr>
        <w:t>for each plot</w:t>
      </w:r>
      <w:r>
        <w:rPr>
          <w:rFonts w:eastAsia="Times New Roman" w:cs="Times New Roman"/>
          <w:color w:val="000000"/>
        </w:rPr>
        <w:t xml:space="preserve">. We measured basal diameter and </w:t>
      </w:r>
      <w:r w:rsidRPr="00866ED0">
        <w:rPr>
          <w:rFonts w:eastAsia="Times New Roman" w:cs="Times New Roman"/>
          <w:color w:val="000000"/>
        </w:rPr>
        <w:t>estimated percent combustion of stem, branches, and foliage</w:t>
      </w:r>
      <w:r>
        <w:rPr>
          <w:rFonts w:eastAsia="Times New Roman" w:cs="Times New Roman"/>
          <w:color w:val="000000"/>
        </w:rPr>
        <w:t xml:space="preserve"> for all shrubs rooted within</w:t>
      </w:r>
      <w:r w:rsidRPr="00866ED0">
        <w:rPr>
          <w:rFonts w:eastAsia="Times New Roman" w:cs="Times New Roman"/>
          <w:color w:val="000000"/>
        </w:rPr>
        <w:t xml:space="preserve"> </w:t>
      </w:r>
      <w:r>
        <w:rPr>
          <w:rFonts w:eastAsia="Times New Roman" w:cs="Times New Roman"/>
          <w:color w:val="000000"/>
        </w:rPr>
        <w:t>10 m</w:t>
      </w:r>
      <w:r w:rsidRPr="0054388D">
        <w:rPr>
          <w:rFonts w:eastAsia="Times New Roman" w:cs="Times New Roman"/>
          <w:color w:val="000000"/>
          <w:vertAlign w:val="superscript"/>
        </w:rPr>
        <w:t xml:space="preserve">2 </w:t>
      </w:r>
      <w:r>
        <w:rPr>
          <w:rFonts w:eastAsia="Times New Roman" w:cs="Times New Roman"/>
          <w:color w:val="000000"/>
        </w:rPr>
        <w:t>(one-half of the belt transect). W</w:t>
      </w:r>
      <w:r w:rsidRPr="00866ED0">
        <w:rPr>
          <w:rFonts w:cs="Times New Roman"/>
          <w:lang w:val="en"/>
        </w:rPr>
        <w:t xml:space="preserve">e </w:t>
      </w:r>
      <w:r w:rsidRPr="00866ED0">
        <w:rPr>
          <w:rFonts w:cs="Times New Roman"/>
          <w:lang w:val="en"/>
        </w:rPr>
        <w:lastRenderedPageBreak/>
        <w:t>also measured all</w:t>
      </w:r>
      <w:r>
        <w:rPr>
          <w:rFonts w:cs="Times New Roman"/>
          <w:lang w:val="en"/>
        </w:rPr>
        <w:t xml:space="preserve"> coarse woody debris (</w:t>
      </w:r>
      <w:r w:rsidRPr="00866ED0">
        <w:rPr>
          <w:rFonts w:cs="Times New Roman"/>
          <w:lang w:val="en"/>
        </w:rPr>
        <w:t>CWD</w:t>
      </w:r>
      <w:r>
        <w:rPr>
          <w:rFonts w:cs="Times New Roman"/>
          <w:lang w:val="en"/>
        </w:rPr>
        <w:t>)</w:t>
      </w:r>
      <w:r w:rsidRPr="00866ED0">
        <w:rPr>
          <w:rFonts w:cs="Times New Roman"/>
          <w:lang w:val="en"/>
        </w:rPr>
        <w:t xml:space="preserve"> &gt; 2 cm </w:t>
      </w:r>
      <w:r>
        <w:rPr>
          <w:rFonts w:cs="Times New Roman"/>
          <w:lang w:val="en"/>
        </w:rPr>
        <w:t xml:space="preserve">in diameter </w:t>
      </w:r>
      <w:r w:rsidRPr="00D07247">
        <w:rPr>
          <w:rFonts w:eastAsia="Times New Roman" w:cs="Times New Roman"/>
          <w:color w:val="000000"/>
        </w:rPr>
        <w:t xml:space="preserve">that intersected the transect line </w:t>
      </w:r>
      <w:r w:rsidRPr="00866ED0">
        <w:rPr>
          <w:rFonts w:cs="Times New Roman"/>
          <w:lang w:val="en"/>
        </w:rPr>
        <w:fldChar w:fldCharType="begin"/>
      </w:r>
      <w:r>
        <w:rPr>
          <w:rFonts w:cs="Times New Roman"/>
          <w:lang w:val="en"/>
        </w:rPr>
        <w:instrText xml:space="preserve"> ADDIN ZOTERO_ITEM CSL_CITATION {"citationID":"wrIgNOpc","properties":{"formattedCitation":"(J. K. Brown 1974)","plainCitation":"(J. K. Brown 1974)","dontUpdate":true,"noteIndex":0},"citationItems":[{"id":1565,"uris":["http://zotero.org/users/5290972/items/P5J68KLL"],"itemData":{"id":1565,"type":"article-journal","container-title":"Gen. Tech. Rep. INT-16. Ogden, UT: U.S. Department of Agriculture, Forest Service, Intermountain Forest and Range Experiment Station. 24 p.","language":"en","source":"www.fs.usda.gov","title":"Handbook for inventorying downed woody material","URL":"https://www.fs.usda.gov/treesearch/pubs/28647","volume":"016","author":[{"family":"Brown","given":"James K."}],"accessed":{"date-parts":[["2020",1,14]]},"issued":{"date-parts":[["1974"]]}}}],"schema":"https://github.com/citation-style-language/schema/raw/master/csl-citation.json"} </w:instrText>
      </w:r>
      <w:r w:rsidRPr="00866ED0">
        <w:rPr>
          <w:rFonts w:cs="Times New Roman"/>
          <w:lang w:val="en"/>
        </w:rPr>
        <w:fldChar w:fldCharType="separate"/>
      </w:r>
      <w:r w:rsidRPr="00C562CA">
        <w:rPr>
          <w:rFonts w:cs="Times New Roman"/>
        </w:rPr>
        <w:t>(Brown 1974)</w:t>
      </w:r>
      <w:r w:rsidRPr="00866ED0">
        <w:rPr>
          <w:rFonts w:cs="Times New Roman"/>
          <w:lang w:val="en"/>
        </w:rPr>
        <w:fldChar w:fldCharType="end"/>
      </w:r>
      <w:r w:rsidRPr="00866ED0">
        <w:rPr>
          <w:rFonts w:cs="Times New Roman"/>
          <w:lang w:val="en"/>
        </w:rPr>
        <w:t xml:space="preserve">. </w:t>
      </w:r>
      <w:r>
        <w:rPr>
          <w:rFonts w:cs="Times New Roman"/>
          <w:lang w:val="en"/>
        </w:rPr>
        <w:t xml:space="preserve">All CWD that was lying on the ground or situated at a </w:t>
      </w:r>
      <w:r w:rsidRPr="00D07247">
        <w:rPr>
          <w:rFonts w:eastAsia="Times New Roman" w:cs="Times New Roman"/>
          <w:color w:val="000000"/>
        </w:rPr>
        <w:t>&lt; 45° angle</w:t>
      </w:r>
      <w:r>
        <w:rPr>
          <w:rFonts w:eastAsia="Times New Roman" w:cs="Times New Roman"/>
          <w:color w:val="000000"/>
        </w:rPr>
        <w:t xml:space="preserve"> </w:t>
      </w:r>
      <w:r w:rsidRPr="00D07247">
        <w:rPr>
          <w:rFonts w:eastAsia="Times New Roman" w:cs="Times New Roman"/>
          <w:color w:val="000000"/>
        </w:rPr>
        <w:t xml:space="preserve">from the ground </w:t>
      </w:r>
      <w:r>
        <w:rPr>
          <w:rFonts w:eastAsia="Times New Roman" w:cs="Times New Roman"/>
          <w:color w:val="000000"/>
        </w:rPr>
        <w:t xml:space="preserve">was included. </w:t>
      </w:r>
      <w:r w:rsidRPr="00866ED0">
        <w:rPr>
          <w:rFonts w:cs="Times New Roman"/>
          <w:lang w:val="en"/>
        </w:rPr>
        <w:t xml:space="preserve">For all CWD, we recorded species </w:t>
      </w:r>
      <w:r>
        <w:rPr>
          <w:rFonts w:cs="Times New Roman"/>
          <w:lang w:val="en"/>
        </w:rPr>
        <w:t>(</w:t>
      </w:r>
      <w:r w:rsidRPr="00866ED0">
        <w:rPr>
          <w:rFonts w:cs="Times New Roman"/>
          <w:lang w:val="en"/>
        </w:rPr>
        <w:t>if identifiable</w:t>
      </w:r>
      <w:r>
        <w:rPr>
          <w:rFonts w:cs="Times New Roman"/>
          <w:lang w:val="en"/>
        </w:rPr>
        <w:t>)</w:t>
      </w:r>
      <w:r w:rsidRPr="00866ED0">
        <w:rPr>
          <w:rFonts w:cs="Times New Roman"/>
          <w:lang w:val="en"/>
        </w:rPr>
        <w:t xml:space="preserve">, diameter (cm), decay class (hard, crumbly, soft; </w:t>
      </w:r>
      <w:r w:rsidRPr="00866ED0">
        <w:rPr>
          <w:rFonts w:cs="Times New Roman"/>
          <w:lang w:val="en"/>
        </w:rPr>
        <w:fldChar w:fldCharType="begin"/>
      </w:r>
      <w:r>
        <w:rPr>
          <w:rFonts w:cs="Times New Roman"/>
          <w:lang w:val="en"/>
        </w:rPr>
        <w:instrText xml:space="preserve"> ADDIN ZOTERO_ITEM CSL_CITATION {"citationID":"C5dj2IGe","properties":{"formattedCitation":"(Manies {\\i{}et al.} 2005)","plainCitation":"(Manies et al. 2005)","dontUpdate":true,"noteIndex":0},"citationItems":[{"id":1564,"uris":["http://zotero.org/users/5290972/items/B65JAXKB"],"itemData":{"id":1564,"type":"article-journal","abstract":"This study investigated the role of fire-killed woody debris as a source of soil carbon in black spruce (Picea mariana (Mill.) BSP) stands in Manitoba, Canada. We measured the amount of standing de..., Cette étude porte sur le rôle des débris ligneux laissés par le feu en tant que source de carbone dans le sol sous des peuplements d'épinette noire (Picea mariana (Mill.) BSP) du Manitoba, au Canad...","container-title":"Canadian Journal of Forest Research","DOI":"10.1139/x04-179","ISSN":"0045-5067","issue":"2","journalAbbreviation":"Can. J. For. Res.","page":"472-482","source":"NRC Research Press","title":"Woody debris along an upland chronosequence in boreal Manitoba and its impact on long-term carbon storage","volume":"35","author":[{"family":"Manies","given":"K L"},{"family":"Harden","given":"J W"},{"family":"Bond-Lamberty","given":"B P"},{"family":"O'Neill","given":"K P"}],"issued":{"date-parts":[["2005",2,1]]}}}],"schema":"https://github.com/citation-style-language/schema/raw/master/csl-citation.json"} </w:instrText>
      </w:r>
      <w:r w:rsidRPr="00866ED0">
        <w:rPr>
          <w:rFonts w:cs="Times New Roman"/>
          <w:lang w:val="en"/>
        </w:rPr>
        <w:fldChar w:fldCharType="separate"/>
      </w:r>
      <w:r w:rsidRPr="00866ED0">
        <w:rPr>
          <w:rFonts w:cs="Times New Roman"/>
        </w:rPr>
        <w:t xml:space="preserve">Manies </w:t>
      </w:r>
      <w:r w:rsidRPr="00C101C0">
        <w:rPr>
          <w:rFonts w:cs="Times New Roman"/>
        </w:rPr>
        <w:t>et al</w:t>
      </w:r>
      <w:r>
        <w:rPr>
          <w:rFonts w:cs="Times New Roman"/>
          <w:i/>
          <w:iCs/>
        </w:rPr>
        <w:t>.</w:t>
      </w:r>
      <w:r w:rsidRPr="00866ED0">
        <w:rPr>
          <w:rFonts w:cs="Times New Roman"/>
        </w:rPr>
        <w:t xml:space="preserve"> (2005</w:t>
      </w:r>
      <w:r w:rsidRPr="00866ED0">
        <w:rPr>
          <w:rFonts w:cs="Times New Roman"/>
          <w:lang w:val="en"/>
        </w:rPr>
        <w:fldChar w:fldCharType="end"/>
      </w:r>
      <w:r w:rsidRPr="00866ED0">
        <w:rPr>
          <w:rFonts w:cs="Times New Roman"/>
          <w:lang w:val="en"/>
        </w:rPr>
        <w:t>)</w:t>
      </w:r>
      <w:r>
        <w:rPr>
          <w:rFonts w:cs="Times New Roman"/>
          <w:lang w:val="en"/>
        </w:rPr>
        <w:t>)</w:t>
      </w:r>
      <w:r w:rsidRPr="00866ED0">
        <w:rPr>
          <w:rFonts w:cs="Times New Roman"/>
          <w:lang w:val="en"/>
        </w:rPr>
        <w:t>, and visually estimated percent combustion.</w:t>
      </w:r>
    </w:p>
    <w:p w14:paraId="14B5E960" w14:textId="77777777" w:rsidR="00A865F7" w:rsidRDefault="00A865F7" w:rsidP="00A865F7">
      <w:pPr>
        <w:tabs>
          <w:tab w:val="left" w:pos="0"/>
        </w:tabs>
        <w:spacing w:after="0" w:line="480" w:lineRule="auto"/>
        <w:jc w:val="both"/>
        <w:rPr>
          <w:rFonts w:cs="Times New Roman"/>
          <w:lang w:val="en"/>
        </w:rPr>
      </w:pPr>
    </w:p>
    <w:p w14:paraId="21C6BF79" w14:textId="77777777" w:rsidR="00A865F7" w:rsidRDefault="00A865F7" w:rsidP="00A865F7">
      <w:pPr>
        <w:tabs>
          <w:tab w:val="left" w:pos="0"/>
        </w:tabs>
        <w:spacing w:after="0" w:line="480" w:lineRule="auto"/>
        <w:jc w:val="both"/>
        <w:rPr>
          <w:rFonts w:cs="Times New Roman"/>
        </w:rPr>
      </w:pPr>
      <w:r>
        <w:rPr>
          <w:rFonts w:cs="Times New Roman"/>
          <w:lang w:val="en"/>
        </w:rPr>
        <w:t>Thaw depth and residual SOL measurements were made at</w:t>
      </w:r>
      <w:r>
        <w:rPr>
          <w:rFonts w:cs="Times New Roman"/>
        </w:rPr>
        <w:t xml:space="preserve"> two to three evenly spaced locations per plot (three points per plot in 2021 and two points per plot in 2022 and 2023) for a total of 1262 thaw and residual SOL depth measurements. Thaw depth was measured by physically probing the ground and recording the presence and depth of the underlying frozen ground or rocks. Given that thaw depth was measured mid-July through mid-August in each year, this is a metric of permafrost presence rather than peak thaw depth. Residual SOL was measured from the SOL surface to the organic mineral interface. Paired with each transect measurement, w</w:t>
      </w:r>
      <w:r w:rsidRPr="00AC2F38">
        <w:rPr>
          <w:rFonts w:cs="Times New Roman"/>
        </w:rPr>
        <w:t xml:space="preserve">e </w:t>
      </w:r>
      <w:r>
        <w:rPr>
          <w:rFonts w:cs="Times New Roman"/>
        </w:rPr>
        <w:t xml:space="preserve">also measured the residual </w:t>
      </w:r>
      <w:r w:rsidRPr="00AC2F38">
        <w:rPr>
          <w:rFonts w:cs="Times New Roman"/>
        </w:rPr>
        <w:t xml:space="preserve">SOL depth </w:t>
      </w:r>
      <w:r>
        <w:rPr>
          <w:rFonts w:cs="Times New Roman"/>
        </w:rPr>
        <w:t>as close as possible to t</w:t>
      </w:r>
      <w:r w:rsidRPr="00AC2F38">
        <w:rPr>
          <w:rFonts w:cs="Times New Roman"/>
        </w:rPr>
        <w:t xml:space="preserve">he base of </w:t>
      </w:r>
      <w:r>
        <w:rPr>
          <w:rFonts w:cs="Times New Roman"/>
        </w:rPr>
        <w:t xml:space="preserve">the nearest black spruce tree (when present). For these trees, we measured </w:t>
      </w:r>
      <w:r w:rsidRPr="00AC2F38">
        <w:rPr>
          <w:rFonts w:cs="Times New Roman"/>
        </w:rPr>
        <w:t xml:space="preserve">the height </w:t>
      </w:r>
      <w:r>
        <w:rPr>
          <w:rFonts w:cs="Times New Roman"/>
        </w:rPr>
        <w:t xml:space="preserve">of </w:t>
      </w:r>
      <w:r w:rsidRPr="00AC2F38">
        <w:rPr>
          <w:rFonts w:cs="Times New Roman"/>
        </w:rPr>
        <w:t>the adventitious root</w:t>
      </w:r>
      <w:r>
        <w:rPr>
          <w:rFonts w:cs="Times New Roman"/>
        </w:rPr>
        <w:t xml:space="preserve">s </w:t>
      </w:r>
      <w:r w:rsidRPr="00AC2F38">
        <w:rPr>
          <w:rFonts w:cs="Times New Roman"/>
        </w:rPr>
        <w:t>to the top of the residual SOL on 1-3 adventitious roots</w:t>
      </w:r>
      <w:r>
        <w:rPr>
          <w:rFonts w:cs="Times New Roman"/>
        </w:rPr>
        <w:t xml:space="preserve"> per tree to estimate burn depth (see below). </w:t>
      </w:r>
    </w:p>
    <w:p w14:paraId="60AC5641" w14:textId="77777777" w:rsidR="00A865F7" w:rsidRDefault="00A865F7" w:rsidP="00A865F7">
      <w:pPr>
        <w:tabs>
          <w:tab w:val="left" w:pos="0"/>
        </w:tabs>
        <w:spacing w:after="0" w:line="480" w:lineRule="auto"/>
        <w:jc w:val="both"/>
        <w:rPr>
          <w:rFonts w:cs="Times New Roman"/>
        </w:rPr>
      </w:pPr>
    </w:p>
    <w:p w14:paraId="4E75D886" w14:textId="77777777" w:rsidR="00A865F7" w:rsidRDefault="00A865F7" w:rsidP="00A865F7">
      <w:pPr>
        <w:tabs>
          <w:tab w:val="left" w:pos="0"/>
        </w:tabs>
        <w:spacing w:after="0" w:line="480" w:lineRule="auto"/>
        <w:jc w:val="both"/>
        <w:rPr>
          <w:rFonts w:cs="Times New Roman"/>
        </w:rPr>
      </w:pPr>
      <w:r>
        <w:rPr>
          <w:rFonts w:cs="Times New Roman"/>
        </w:rPr>
        <w:t>W</w:t>
      </w:r>
      <w:r w:rsidRPr="00AC2F38">
        <w:rPr>
          <w:rFonts w:cs="Times New Roman"/>
        </w:rPr>
        <w:t xml:space="preserve">e collected the entire residual SOL profile at </w:t>
      </w:r>
      <w:r>
        <w:rPr>
          <w:rFonts w:cs="Times New Roman"/>
        </w:rPr>
        <w:t>one</w:t>
      </w:r>
      <w:r w:rsidRPr="00AC2F38">
        <w:rPr>
          <w:rFonts w:cs="Times New Roman"/>
        </w:rPr>
        <w:t xml:space="preserve"> point per plot along</w:t>
      </w:r>
      <w:r>
        <w:rPr>
          <w:rFonts w:cs="Times New Roman"/>
        </w:rPr>
        <w:t xml:space="preserve"> the transect</w:t>
      </w:r>
      <w:r w:rsidRPr="00AC2F38">
        <w:rPr>
          <w:rFonts w:cs="Times New Roman"/>
        </w:rPr>
        <w:t xml:space="preserve">. An intact </w:t>
      </w:r>
      <w:r>
        <w:rPr>
          <w:rFonts w:cs="Times New Roman"/>
        </w:rPr>
        <w:t xml:space="preserve">SOL </w:t>
      </w:r>
      <w:r w:rsidRPr="00AC2F38">
        <w:rPr>
          <w:rFonts w:cs="Times New Roman"/>
        </w:rPr>
        <w:t xml:space="preserve">sample of approximately </w:t>
      </w:r>
      <w:r>
        <w:rPr>
          <w:rFonts w:cs="Times New Roman"/>
        </w:rPr>
        <w:t>10</w:t>
      </w:r>
      <w:r w:rsidRPr="00AC2F38">
        <w:rPr>
          <w:rFonts w:cs="Times New Roman"/>
        </w:rPr>
        <w:t xml:space="preserve"> cm</w:t>
      </w:r>
      <w:r>
        <w:rPr>
          <w:rFonts w:cs="Times New Roman"/>
        </w:rPr>
        <w:t xml:space="preserve"> </w:t>
      </w:r>
      <w:r w:rsidRPr="00AC2F38">
        <w:rPr>
          <w:rFonts w:cs="Times New Roman"/>
        </w:rPr>
        <w:t>x 10 cm</w:t>
      </w:r>
      <w:r>
        <w:rPr>
          <w:rFonts w:cs="Times New Roman"/>
        </w:rPr>
        <w:t xml:space="preserve"> x variable depth </w:t>
      </w:r>
      <w:r w:rsidRPr="00AC2F38">
        <w:rPr>
          <w:rFonts w:cs="Times New Roman"/>
        </w:rPr>
        <w:t xml:space="preserve">was collected using a serrated knife and pruners. Dimensions of each SOL sample were recorded in the field. </w:t>
      </w:r>
      <w:r>
        <w:rPr>
          <w:rFonts w:cs="Times New Roman"/>
        </w:rPr>
        <w:t>S</w:t>
      </w:r>
      <w:r w:rsidRPr="00AC2F38">
        <w:rPr>
          <w:rFonts w:cs="Times New Roman"/>
        </w:rPr>
        <w:t xml:space="preserve">amples were frozen </w:t>
      </w:r>
      <w:r>
        <w:rPr>
          <w:rFonts w:cs="Times New Roman"/>
        </w:rPr>
        <w:t xml:space="preserve">and returned to the </w:t>
      </w:r>
      <w:r w:rsidRPr="00AC2F38">
        <w:rPr>
          <w:rFonts w:cs="Times New Roman"/>
        </w:rPr>
        <w:t>lab</w:t>
      </w:r>
      <w:r>
        <w:rPr>
          <w:rFonts w:cs="Times New Roman"/>
        </w:rPr>
        <w:t>oratory for processing</w:t>
      </w:r>
      <w:r w:rsidRPr="00AC2F38">
        <w:rPr>
          <w:rFonts w:cs="Times New Roman"/>
        </w:rPr>
        <w:t>.</w:t>
      </w:r>
      <w:r>
        <w:rPr>
          <w:rFonts w:cs="Times New Roman"/>
        </w:rPr>
        <w:t xml:space="preserve"> </w:t>
      </w:r>
    </w:p>
    <w:p w14:paraId="1A006F83" w14:textId="77777777" w:rsidR="00A865F7" w:rsidRDefault="00A865F7" w:rsidP="00A865F7">
      <w:pPr>
        <w:tabs>
          <w:tab w:val="left" w:pos="0"/>
        </w:tabs>
        <w:spacing w:after="0" w:line="480" w:lineRule="auto"/>
        <w:jc w:val="both"/>
        <w:rPr>
          <w:rFonts w:cs="Times New Roman"/>
        </w:rPr>
      </w:pPr>
    </w:p>
    <w:p w14:paraId="1DC2BE79" w14:textId="77777777" w:rsidR="00A865F7" w:rsidRDefault="00A865F7" w:rsidP="00A865F7">
      <w:pPr>
        <w:tabs>
          <w:tab w:val="left" w:pos="0"/>
        </w:tabs>
        <w:spacing w:after="0" w:line="480" w:lineRule="auto"/>
        <w:jc w:val="both"/>
        <w:rPr>
          <w:rFonts w:cs="Times New Roman"/>
        </w:rPr>
      </w:pPr>
      <w:r w:rsidRPr="00BF33BE">
        <w:rPr>
          <w:rFonts w:eastAsia="Times New Roman" w:cs="Times New Roman"/>
        </w:rPr>
        <w:t>To measure post-fire seedling recruitment, our indicator of shifting species dominance and successional trajectories, we established two to three 1 m x 1 m quadrats within each plot</w:t>
      </w:r>
      <w:r>
        <w:rPr>
          <w:rFonts w:eastAsia="Times New Roman" w:cs="Times New Roman"/>
        </w:rPr>
        <w:t xml:space="preserve">. These </w:t>
      </w:r>
      <w:r>
        <w:rPr>
          <w:rFonts w:eastAsia="Times New Roman" w:cs="Times New Roman"/>
        </w:rPr>
        <w:lastRenderedPageBreak/>
        <w:t xml:space="preserve">were paired with the SOL and thaw depth measurements for a </w:t>
      </w:r>
      <w:r w:rsidRPr="00BF33BE">
        <w:rPr>
          <w:rFonts w:eastAsia="Times New Roman" w:cs="Times New Roman"/>
        </w:rPr>
        <w:t>total</w:t>
      </w:r>
      <w:r>
        <w:rPr>
          <w:rFonts w:eastAsia="Times New Roman" w:cs="Times New Roman"/>
        </w:rPr>
        <w:t xml:space="preserve"> of</w:t>
      </w:r>
      <w:r w:rsidRPr="00BF33BE">
        <w:rPr>
          <w:rFonts w:eastAsia="Times New Roman" w:cs="Times New Roman"/>
        </w:rPr>
        <w:t xml:space="preserve"> </w:t>
      </w:r>
      <w:r>
        <w:rPr>
          <w:rFonts w:eastAsia="Times New Roman" w:cs="Times New Roman"/>
        </w:rPr>
        <w:t>1262</w:t>
      </w:r>
      <w:r w:rsidRPr="00BF33BE">
        <w:rPr>
          <w:rFonts w:eastAsia="Times New Roman" w:cs="Times New Roman"/>
        </w:rPr>
        <w:t xml:space="preserve"> quadrats across the network of </w:t>
      </w:r>
      <w:r>
        <w:rPr>
          <w:rFonts w:eastAsia="Times New Roman" w:cs="Times New Roman"/>
        </w:rPr>
        <w:t>plots</w:t>
      </w:r>
      <w:r w:rsidRPr="00BF33BE">
        <w:rPr>
          <w:rFonts w:eastAsia="Times New Roman" w:cs="Times New Roman"/>
        </w:rPr>
        <w:t>. We counted all tree seedlings and resprouts and noted species composition</w:t>
      </w:r>
      <w:r>
        <w:rPr>
          <w:rFonts w:eastAsia="Times New Roman" w:cs="Times New Roman"/>
        </w:rPr>
        <w:t xml:space="preserve">. We measured the basal area of up to three representative seedlings per species per quadrat. </w:t>
      </w:r>
    </w:p>
    <w:p w14:paraId="5311DF2E" w14:textId="77777777" w:rsidR="00A865F7" w:rsidRDefault="00A865F7" w:rsidP="00A865F7">
      <w:pPr>
        <w:tabs>
          <w:tab w:val="left" w:pos="0"/>
        </w:tabs>
        <w:spacing w:after="0" w:line="480" w:lineRule="auto"/>
        <w:jc w:val="both"/>
        <w:rPr>
          <w:rFonts w:cs="Times New Roman"/>
        </w:rPr>
      </w:pPr>
    </w:p>
    <w:p w14:paraId="6FABBC87" w14:textId="77777777" w:rsidR="00A865F7" w:rsidRPr="003F41B0" w:rsidRDefault="00A865F7" w:rsidP="00A865F7">
      <w:pPr>
        <w:tabs>
          <w:tab w:val="left" w:pos="0"/>
        </w:tabs>
        <w:spacing w:after="0" w:line="480" w:lineRule="auto"/>
        <w:jc w:val="both"/>
        <w:rPr>
          <w:rFonts w:cs="Times New Roman"/>
          <w:b/>
          <w:bCs/>
          <w:i/>
          <w:iCs/>
        </w:rPr>
      </w:pPr>
      <w:r w:rsidRPr="003F41B0">
        <w:rPr>
          <w:rFonts w:cs="Times New Roman"/>
          <w:b/>
          <w:bCs/>
          <w:i/>
          <w:iCs/>
        </w:rPr>
        <w:t>Laboratory methods</w:t>
      </w:r>
    </w:p>
    <w:p w14:paraId="2A6C7890" w14:textId="77777777" w:rsidR="00A865F7" w:rsidRDefault="00A865F7" w:rsidP="00A865F7">
      <w:pPr>
        <w:tabs>
          <w:tab w:val="left" w:pos="0"/>
        </w:tabs>
        <w:spacing w:after="0" w:line="480" w:lineRule="auto"/>
        <w:jc w:val="both"/>
        <w:rPr>
          <w:rFonts w:cs="Times New Roman"/>
          <w:color w:val="000000" w:themeColor="text1"/>
        </w:rPr>
      </w:pPr>
      <w:r w:rsidRPr="00EE12DF">
        <w:rPr>
          <w:rFonts w:cs="Times New Roman"/>
          <w:color w:val="000000" w:themeColor="text1"/>
        </w:rPr>
        <w:t xml:space="preserve">Tree </w:t>
      </w:r>
      <w:r>
        <w:rPr>
          <w:rFonts w:cs="Times New Roman"/>
          <w:color w:val="000000" w:themeColor="text1"/>
        </w:rPr>
        <w:t xml:space="preserve">cross-sections </w:t>
      </w:r>
      <w:r w:rsidRPr="00EE12DF">
        <w:rPr>
          <w:rFonts w:cs="Times New Roman"/>
          <w:color w:val="000000" w:themeColor="text1"/>
        </w:rPr>
        <w:t xml:space="preserve">were processed using standard dendrochronology techniques </w:t>
      </w:r>
      <w:r>
        <w:rPr>
          <w:rFonts w:cs="Times New Roman"/>
          <w:color w:val="000000" w:themeColor="text1"/>
        </w:rPr>
        <w:fldChar w:fldCharType="begin"/>
      </w:r>
      <w:r>
        <w:rPr>
          <w:rFonts w:cs="Times New Roman"/>
          <w:color w:val="000000" w:themeColor="text1"/>
        </w:rPr>
        <w:instrText xml:space="preserve"> ADDIN ZOTERO_ITEM CSL_CITATION {"citationID":"ix8bnIw0","properties":{"formattedCitation":"(Cook and Kairiukstis 1990)","plainCitation":"(Cook and Kairiukstis 1990)","noteIndex":0},"citationItems":[{"id":1291,"uris":["http://zotero.org/users/5290972/items/Q6PET6TF"],"itemData":{"id":1291,"type":"book","event-place":"Dordrecht","publisher":"Kluwer Academic Publishers","publisher-place":"Dordrecht","title":"Methods of Dendrochronology: Applications in the Environmental Sciences","title-short":"Methods of Dendrochronology: Applications in the Environmental Sciences","author":[{"family":"Cook","given":"E. R."},{"family":"Kairiukstis","given":"L."}],"issued":{"date-parts":[["1990"]]}}}],"schema":"https://github.com/citation-style-language/schema/raw/master/csl-citation.json"} </w:instrText>
      </w:r>
      <w:r>
        <w:rPr>
          <w:rFonts w:cs="Times New Roman"/>
          <w:color w:val="000000" w:themeColor="text1"/>
        </w:rPr>
        <w:fldChar w:fldCharType="separate"/>
      </w:r>
      <w:r w:rsidRPr="00C101C0">
        <w:rPr>
          <w:rFonts w:cs="Times New Roman"/>
        </w:rPr>
        <w:t>(Cook and Kairiukstis 1990)</w:t>
      </w:r>
      <w:r>
        <w:rPr>
          <w:rFonts w:cs="Times New Roman"/>
          <w:color w:val="000000" w:themeColor="text1"/>
        </w:rPr>
        <w:fldChar w:fldCharType="end"/>
      </w:r>
      <w:r>
        <w:rPr>
          <w:rFonts w:cs="Times New Roman"/>
          <w:color w:val="000000" w:themeColor="text1"/>
        </w:rPr>
        <w:t>,</w:t>
      </w:r>
      <w:r w:rsidRPr="00EE12DF">
        <w:rPr>
          <w:rFonts w:cs="Times New Roman"/>
          <w:color w:val="000000" w:themeColor="text1"/>
        </w:rPr>
        <w:t xml:space="preserve"> and tree rings were counted </w:t>
      </w:r>
      <w:r>
        <w:rPr>
          <w:rFonts w:cs="Times New Roman"/>
          <w:color w:val="000000" w:themeColor="text1"/>
        </w:rPr>
        <w:t>to estimate</w:t>
      </w:r>
      <w:r w:rsidRPr="00EE12DF">
        <w:rPr>
          <w:rFonts w:cs="Times New Roman"/>
          <w:color w:val="000000" w:themeColor="text1"/>
        </w:rPr>
        <w:t xml:space="preserve"> </w:t>
      </w:r>
      <w:r>
        <w:rPr>
          <w:rFonts w:cs="Times New Roman"/>
          <w:color w:val="000000" w:themeColor="text1"/>
        </w:rPr>
        <w:t xml:space="preserve">stand age at the time of fire. </w:t>
      </w:r>
      <w:r w:rsidRPr="002A2FB2">
        <w:rPr>
          <w:rFonts w:cs="Times New Roman"/>
          <w:color w:val="000000" w:themeColor="text1"/>
        </w:rPr>
        <w:t xml:space="preserve">For sites with no recorded history of fire, we used </w:t>
      </w:r>
      <w:r>
        <w:rPr>
          <w:rFonts w:cs="Times New Roman"/>
          <w:color w:val="000000" w:themeColor="text1"/>
        </w:rPr>
        <w:t xml:space="preserve">tree ring counts </w:t>
      </w:r>
      <w:r w:rsidRPr="002A2FB2">
        <w:rPr>
          <w:rFonts w:cs="Times New Roman"/>
          <w:color w:val="000000" w:themeColor="text1"/>
        </w:rPr>
        <w:t xml:space="preserve">to estimate </w:t>
      </w:r>
      <w:r>
        <w:rPr>
          <w:rFonts w:cs="Times New Roman"/>
          <w:color w:val="000000" w:themeColor="text1"/>
        </w:rPr>
        <w:t xml:space="preserve">mean </w:t>
      </w:r>
      <w:r w:rsidRPr="002A2FB2">
        <w:rPr>
          <w:rFonts w:cs="Times New Roman"/>
          <w:color w:val="000000" w:themeColor="text1"/>
        </w:rPr>
        <w:t>stand age. For reburned sites, if the tree ring data corroborated the fire history data (e.g.</w:t>
      </w:r>
      <w:r>
        <w:rPr>
          <w:rFonts w:cs="Times New Roman"/>
          <w:color w:val="000000" w:themeColor="text1"/>
        </w:rPr>
        <w:t>,</w:t>
      </w:r>
      <w:r w:rsidRPr="002A2FB2">
        <w:rPr>
          <w:rFonts w:cs="Times New Roman"/>
          <w:color w:val="000000" w:themeColor="text1"/>
        </w:rPr>
        <w:t xml:space="preserve"> all trees were approximately </w:t>
      </w:r>
      <w:r>
        <w:rPr>
          <w:rFonts w:cs="Times New Roman"/>
          <w:color w:val="000000" w:themeColor="text1"/>
        </w:rPr>
        <w:t xml:space="preserve">the </w:t>
      </w:r>
      <w:r w:rsidRPr="002A2FB2">
        <w:rPr>
          <w:rFonts w:cs="Times New Roman"/>
          <w:color w:val="000000" w:themeColor="text1"/>
        </w:rPr>
        <w:t xml:space="preserve">same age as </w:t>
      </w:r>
      <w:r>
        <w:rPr>
          <w:rFonts w:cs="Times New Roman"/>
          <w:color w:val="000000" w:themeColor="text1"/>
        </w:rPr>
        <w:t>the</w:t>
      </w:r>
      <w:r w:rsidRPr="002A2FB2">
        <w:rPr>
          <w:rFonts w:cs="Times New Roman"/>
          <w:color w:val="000000" w:themeColor="text1"/>
        </w:rPr>
        <w:t xml:space="preserve"> previous fire) we used the fire history data</w:t>
      </w:r>
      <w:r>
        <w:rPr>
          <w:rFonts w:cs="Times New Roman"/>
          <w:color w:val="000000" w:themeColor="text1"/>
        </w:rPr>
        <w:t xml:space="preserve">. If fire history did not align with tree ring data, we used the tree ring data because of the likelihood of unburned patches </w:t>
      </w:r>
      <w:r>
        <w:rPr>
          <w:rFonts w:cs="Times New Roman"/>
          <w:color w:val="000000" w:themeColor="text1"/>
        </w:rPr>
        <w:fldChar w:fldCharType="begin"/>
      </w:r>
      <w:r>
        <w:rPr>
          <w:rFonts w:cs="Times New Roman"/>
          <w:color w:val="000000" w:themeColor="text1"/>
        </w:rPr>
        <w:instrText xml:space="preserve"> ADDIN ZOTERO_ITEM CSL_CITATION {"citationID":"Vmo1Lxrr","properties":{"formattedCitation":"(Dieleman et al. 2020)","plainCitation":"(Dieleman et al. 2020)","noteIndex":0},"citationItems":[{"id":9883,"uris":["http://zotero.org/users/5290972/items/R37XBUGL"],"itemData":{"id":9883,"type":"article-journal","abstract":"Boreal wildfires are increasing in intensity, extent, and frequency, potentially intensifying carbon emissions and transitioning the region from a globally significant carbon sink to a source. The productive southern boreal forests of central Canada already experience relatively high frequencies of fire, and as such may serve as an analog of future carbon dynamics for more northern forests. Fire–carbon dynamics in southern boreal systems are relatively understudied, with limited investigation into the drivers of pre-fire carbon stocks or subsequent combustion. As part of NASA's Arctic-Boreal Vulnerability Experiment, we sampled 79 stands (47 burned, 32 unburned) throughout central Saskatchewan to characterize above- and belowground carbon stocks and combustion rates in relation to historical land use, vegetation characteristics, and geophysical attributes. We found southern boreal forests emitted an average of 3.3 ± 1.1 kg C/m2 from field sites. The emissions from southern boreal stands varied as a function of stand age, fire weather conditions, ecozone, and soil moisture class. Sites affected by historical timber harvesting had greater combustion rates due to faster carbon stock recovery rates than sites recovering from wildfire events, indicating that different boreal forest land use practices can generate divergent carbon legacy effects. We estimate the 2015 fire season in Saskatchewan emitted a total of 36.3 ± 15.0 Tg C, emphasizing the importance of southern boreal fires for regional carbon budgets. Using the southern boreal as an analog, the northern boreal may undergo fundamental shifts in forest structure and carbon dynamics, becoming dominated by stands &lt;70 years old that hold 2–7 kg C/m2 less than current mature northern boreal stands. Our latitudinal approach reinforces previous studies showing that northern boreal stands are at a high risk of holding less carbon under changing disturbance conditions.","container-title":"Global Change Biology","DOI":"10.1111/gcb.15158","ISSN":"1365-2486","issue":"11","language":"en","license":"© 2020 John Wiley &amp; Sons Ltd","note":"_eprint: https://onlinelibrary.wiley.com/doi/pdf/10.1111/gcb.15158","page":"6062-6079","source":"Wiley Online Library","title":"Wildfire combustion and carbon stocks in the southern Canadian boreal forest: Implications for a warming world","title-short":"Wildfire combustion and carbon stocks in the southern Canadian boreal forest","volume":"26","author":[{"family":"Dieleman","given":"Catherine M."},{"family":"Rogers","given":"Brendan M."},{"family":"Potter","given":"Stefano"},{"family":"Veraverbeke","given":"Sander"},{"family":"Johnstone","given":"Jill F."},{"family":"Laflamme","given":"Jocelyne"},{"family":"Solvik","given":"Kylen"},{"family":"Walker","given":"Xanthe J."},{"family":"Mack","given":"Michelle C."},{"family":"Turetsky","given":"Merritt R."}],"issued":{"date-parts":[["2020"]]}}}],"schema":"https://github.com/citation-style-language/schema/raw/master/csl-citation.json"} </w:instrText>
      </w:r>
      <w:r>
        <w:rPr>
          <w:rFonts w:cs="Times New Roman"/>
          <w:color w:val="000000" w:themeColor="text1"/>
        </w:rPr>
        <w:fldChar w:fldCharType="separate"/>
      </w:r>
      <w:r w:rsidRPr="00B311F1">
        <w:rPr>
          <w:rFonts w:cs="Times New Roman"/>
        </w:rPr>
        <w:t>(Dieleman et al. 2020)</w:t>
      </w:r>
      <w:r>
        <w:rPr>
          <w:rFonts w:cs="Times New Roman"/>
          <w:color w:val="000000" w:themeColor="text1"/>
        </w:rPr>
        <w:fldChar w:fldCharType="end"/>
      </w:r>
      <w:r>
        <w:rPr>
          <w:rFonts w:cs="Times New Roman"/>
          <w:color w:val="000000" w:themeColor="text1"/>
        </w:rPr>
        <w:t xml:space="preserve">. Based on fire history data, we sampled 53 long (&gt;70 years), 44 intermediate (30-70 years), 60 short (&lt;30 years), and 28 triple (three fires in 70 years) burned sites. Tree ring data did not align with fire history in 14% of our sites, so we reclassified five intermediate FRI sites to long, 11 short to long, five short to intermediate, two triple to long, and three long to intermediate, resulting in 68 long, 47 intermediate, 44 short FRI sites, and 26 triple burned sites. Of the triple burned sites, five experienced two subsequent intermediate FRIs, eight were a short interval followed by an intermediate, 12 were an intermediate followed by short, and one site experienced two subsequent short FRIs. We classified the triple burns into 13 triple-mid (the most recent interval 30-70 years) and 13 triple-short (the most recent interval &lt;30 years) burned sites. </w:t>
      </w:r>
    </w:p>
    <w:p w14:paraId="1E59E6FC" w14:textId="77777777" w:rsidR="00A865F7" w:rsidRDefault="00A865F7" w:rsidP="00A865F7">
      <w:pPr>
        <w:tabs>
          <w:tab w:val="left" w:pos="0"/>
        </w:tabs>
        <w:spacing w:after="0" w:line="480" w:lineRule="auto"/>
        <w:jc w:val="both"/>
        <w:rPr>
          <w:rFonts w:cs="Times New Roman"/>
          <w:color w:val="000000" w:themeColor="text1"/>
        </w:rPr>
      </w:pPr>
    </w:p>
    <w:p w14:paraId="79FF0DA3" w14:textId="77777777" w:rsidR="00A865F7" w:rsidRDefault="00A865F7" w:rsidP="00A865F7">
      <w:pPr>
        <w:tabs>
          <w:tab w:val="left" w:pos="0"/>
        </w:tabs>
        <w:spacing w:after="0" w:line="480" w:lineRule="auto"/>
        <w:jc w:val="both"/>
        <w:rPr>
          <w:rFonts w:cs="Times New Roman"/>
        </w:rPr>
      </w:pPr>
      <w:r w:rsidRPr="000906CB">
        <w:rPr>
          <w:rFonts w:cs="Times New Roman"/>
        </w:rPr>
        <w:t xml:space="preserve">In the laboratory, we </w:t>
      </w:r>
      <w:r>
        <w:rPr>
          <w:rFonts w:cs="Times New Roman"/>
        </w:rPr>
        <w:t>thawed</w:t>
      </w:r>
      <w:r w:rsidRPr="000906CB">
        <w:rPr>
          <w:rFonts w:cs="Times New Roman"/>
        </w:rPr>
        <w:t xml:space="preserve"> </w:t>
      </w:r>
      <w:r>
        <w:rPr>
          <w:rFonts w:cs="Times New Roman"/>
        </w:rPr>
        <w:t>SOL</w:t>
      </w:r>
      <w:r w:rsidRPr="000906CB">
        <w:rPr>
          <w:rFonts w:cs="Times New Roman"/>
        </w:rPr>
        <w:t xml:space="preserve"> monoliths at room temperature (~25ºC) for approximately 24 hours. We bisect</w:t>
      </w:r>
      <w:r>
        <w:rPr>
          <w:rFonts w:cs="Times New Roman"/>
        </w:rPr>
        <w:t>ed</w:t>
      </w:r>
      <w:r w:rsidRPr="000906CB">
        <w:rPr>
          <w:rFonts w:cs="Times New Roman"/>
        </w:rPr>
        <w:t xml:space="preserve"> </w:t>
      </w:r>
      <w:r>
        <w:rPr>
          <w:rFonts w:cs="Times New Roman"/>
        </w:rPr>
        <w:t xml:space="preserve">a subset (n=319) of our collected SOL </w:t>
      </w:r>
      <w:r w:rsidRPr="000906CB">
        <w:rPr>
          <w:rFonts w:cs="Times New Roman"/>
        </w:rPr>
        <w:t xml:space="preserve">monoliths depth-wise using an electric </w:t>
      </w:r>
      <w:r w:rsidRPr="000906CB">
        <w:rPr>
          <w:rFonts w:cs="Times New Roman"/>
        </w:rPr>
        <w:lastRenderedPageBreak/>
        <w:t xml:space="preserve">carving knife and </w:t>
      </w:r>
      <w:r>
        <w:rPr>
          <w:rFonts w:cs="Times New Roman"/>
        </w:rPr>
        <w:t xml:space="preserve">saved </w:t>
      </w:r>
      <w:r w:rsidRPr="000906CB">
        <w:rPr>
          <w:rFonts w:cs="Times New Roman"/>
        </w:rPr>
        <w:t>one-half of the monolith for archival purposes.</w:t>
      </w:r>
      <w:r>
        <w:rPr>
          <w:rFonts w:cs="Times New Roman"/>
        </w:rPr>
        <w:t xml:space="preserve"> On</w:t>
      </w:r>
      <w:r w:rsidRPr="000906CB">
        <w:rPr>
          <w:rFonts w:cs="Times New Roman"/>
        </w:rPr>
        <w:t xml:space="preserve"> the remaining half, </w:t>
      </w:r>
      <w:r>
        <w:rPr>
          <w:rFonts w:cs="Times New Roman"/>
        </w:rPr>
        <w:t>green</w:t>
      </w:r>
      <w:r w:rsidRPr="000906CB">
        <w:rPr>
          <w:rFonts w:cs="Times New Roman"/>
        </w:rPr>
        <w:t xml:space="preserve"> moss </w:t>
      </w:r>
      <w:r>
        <w:rPr>
          <w:rFonts w:cs="Times New Roman"/>
        </w:rPr>
        <w:t>and</w:t>
      </w:r>
      <w:r w:rsidRPr="000906CB">
        <w:rPr>
          <w:rFonts w:cs="Times New Roman"/>
        </w:rPr>
        <w:t xml:space="preserve"> vascular plants </w:t>
      </w:r>
      <w:r>
        <w:rPr>
          <w:rFonts w:cs="Times New Roman"/>
        </w:rPr>
        <w:t>were</w:t>
      </w:r>
      <w:r w:rsidRPr="000906CB">
        <w:rPr>
          <w:rFonts w:cs="Times New Roman"/>
        </w:rPr>
        <w:t xml:space="preserve"> discarded. </w:t>
      </w:r>
      <w:r>
        <w:rPr>
          <w:rFonts w:cs="Times New Roman"/>
        </w:rPr>
        <w:t xml:space="preserve">We then divided them </w:t>
      </w:r>
      <w:r w:rsidRPr="000906CB">
        <w:rPr>
          <w:rFonts w:cs="Times New Roman"/>
        </w:rPr>
        <w:t>into 5 cm depth increments, with the deepest sample being of variable depth</w:t>
      </w:r>
      <w:r>
        <w:rPr>
          <w:rFonts w:cs="Times New Roman"/>
        </w:rPr>
        <w:t>,</w:t>
      </w:r>
      <w:r w:rsidRPr="000906CB">
        <w:rPr>
          <w:rFonts w:cs="Times New Roman"/>
        </w:rPr>
        <w:t xml:space="preserve"> depending on the location of the organic/mineral soil interface. Two measurements </w:t>
      </w:r>
      <w:r>
        <w:rPr>
          <w:rFonts w:cs="Times New Roman"/>
        </w:rPr>
        <w:t>of depth, height, and width were obtained from each increment,</w:t>
      </w:r>
      <w:r w:rsidRPr="000906CB">
        <w:rPr>
          <w:rFonts w:cs="Times New Roman"/>
        </w:rPr>
        <w:t xml:space="preserve"> and wet weight </w:t>
      </w:r>
      <w:r>
        <w:rPr>
          <w:rFonts w:cs="Times New Roman"/>
        </w:rPr>
        <w:t>was</w:t>
      </w:r>
      <w:r w:rsidRPr="000906CB">
        <w:rPr>
          <w:rFonts w:cs="Times New Roman"/>
        </w:rPr>
        <w:t xml:space="preserve"> recorded. The 5</w:t>
      </w:r>
      <w:r>
        <w:rPr>
          <w:rFonts w:cs="Times New Roman"/>
        </w:rPr>
        <w:t xml:space="preserve"> </w:t>
      </w:r>
      <w:r w:rsidRPr="000906CB">
        <w:rPr>
          <w:rFonts w:cs="Times New Roman"/>
        </w:rPr>
        <w:t xml:space="preserve">cm increment samples from all monoliths </w:t>
      </w:r>
      <w:r>
        <w:rPr>
          <w:rFonts w:cs="Times New Roman"/>
        </w:rPr>
        <w:t xml:space="preserve">were </w:t>
      </w:r>
      <w:r w:rsidRPr="000906CB">
        <w:rPr>
          <w:rFonts w:cs="Times New Roman"/>
        </w:rPr>
        <w:t xml:space="preserve">homogenized by hand and rocks, sticks, or coarse roots &gt;2 mm in diameter </w:t>
      </w:r>
      <w:r>
        <w:rPr>
          <w:rFonts w:cs="Times New Roman"/>
        </w:rPr>
        <w:t>were</w:t>
      </w:r>
      <w:r w:rsidRPr="000906CB">
        <w:rPr>
          <w:rFonts w:cs="Times New Roman"/>
        </w:rPr>
        <w:t xml:space="preserve"> removed. Fine (&lt; 2 mm) and coarse (&gt;2 mm) organic fractions </w:t>
      </w:r>
      <w:r>
        <w:rPr>
          <w:rFonts w:cs="Times New Roman"/>
        </w:rPr>
        <w:t>were</w:t>
      </w:r>
      <w:r w:rsidRPr="000906CB">
        <w:rPr>
          <w:rFonts w:cs="Times New Roman"/>
        </w:rPr>
        <w:t xml:space="preserve"> weighed wet</w:t>
      </w:r>
      <w:r>
        <w:rPr>
          <w:rFonts w:cs="Times New Roman"/>
        </w:rPr>
        <w:t>,</w:t>
      </w:r>
      <w:r w:rsidRPr="000906CB">
        <w:rPr>
          <w:rFonts w:cs="Times New Roman"/>
        </w:rPr>
        <w:t xml:space="preserve"> dried at 60ºC for 48 hours</w:t>
      </w:r>
      <w:r>
        <w:rPr>
          <w:rFonts w:cs="Times New Roman"/>
        </w:rPr>
        <w:t>, and reweighed</w:t>
      </w:r>
      <w:r w:rsidRPr="000906CB">
        <w:rPr>
          <w:rFonts w:cs="Times New Roman"/>
        </w:rPr>
        <w:t xml:space="preserve"> to determine dry matter content. Rock volume </w:t>
      </w:r>
      <w:r>
        <w:rPr>
          <w:rFonts w:cs="Times New Roman"/>
        </w:rPr>
        <w:t>was</w:t>
      </w:r>
      <w:r w:rsidRPr="000906CB">
        <w:rPr>
          <w:rFonts w:cs="Times New Roman"/>
        </w:rPr>
        <w:t xml:space="preserve"> estimated by water displacement in a graduated cylinder. </w:t>
      </w:r>
      <w:r>
        <w:rPr>
          <w:rFonts w:cs="Times New Roman"/>
        </w:rPr>
        <w:t>Fine</w:t>
      </w:r>
      <w:r w:rsidRPr="000906CB">
        <w:rPr>
          <w:rFonts w:cs="Times New Roman"/>
        </w:rPr>
        <w:t xml:space="preserve"> organic fractions</w:t>
      </w:r>
      <w:r>
        <w:rPr>
          <w:rFonts w:cs="Times New Roman"/>
        </w:rPr>
        <w:t xml:space="preserve"> were ground. We</w:t>
      </w:r>
      <w:r w:rsidRPr="000906CB">
        <w:rPr>
          <w:rFonts w:cs="Times New Roman"/>
        </w:rPr>
        <w:t xml:space="preserve"> determine</w:t>
      </w:r>
      <w:r>
        <w:rPr>
          <w:rFonts w:cs="Times New Roman"/>
        </w:rPr>
        <w:t>d</w:t>
      </w:r>
      <w:r w:rsidRPr="000906CB">
        <w:rPr>
          <w:rFonts w:cs="Times New Roman"/>
        </w:rPr>
        <w:t xml:space="preserve"> percent C using a Costech Elemental Analyzer calibrated with the NIST </w:t>
      </w:r>
      <w:r>
        <w:rPr>
          <w:rFonts w:cs="Times New Roman"/>
        </w:rPr>
        <w:t xml:space="preserve">1547 </w:t>
      </w:r>
      <w:r w:rsidRPr="000906CB">
        <w:rPr>
          <w:rFonts w:cs="Times New Roman"/>
        </w:rPr>
        <w:t>peach lea</w:t>
      </w:r>
      <w:r>
        <w:rPr>
          <w:rFonts w:cs="Times New Roman"/>
        </w:rPr>
        <w:t>f</w:t>
      </w:r>
      <w:r w:rsidRPr="000906CB">
        <w:rPr>
          <w:rFonts w:cs="Times New Roman"/>
        </w:rPr>
        <w:t xml:space="preserve"> standard</w:t>
      </w:r>
      <w:r>
        <w:rPr>
          <w:rFonts w:cs="Times New Roman"/>
        </w:rPr>
        <w:t>s</w:t>
      </w:r>
      <w:r w:rsidRPr="000906CB">
        <w:rPr>
          <w:rFonts w:cs="Times New Roman"/>
        </w:rPr>
        <w:t>. We determine</w:t>
      </w:r>
      <w:r>
        <w:rPr>
          <w:rFonts w:cs="Times New Roman"/>
        </w:rPr>
        <w:t>d</w:t>
      </w:r>
      <w:r w:rsidRPr="000906CB">
        <w:rPr>
          <w:rFonts w:cs="Times New Roman"/>
        </w:rPr>
        <w:t xml:space="preserve"> the bulk density of fine organic fractions for each sample by dividing </w:t>
      </w:r>
      <w:r>
        <w:rPr>
          <w:rFonts w:cs="Times New Roman"/>
        </w:rPr>
        <w:t>total</w:t>
      </w:r>
      <w:r w:rsidRPr="000906CB">
        <w:rPr>
          <w:rFonts w:cs="Times New Roman"/>
        </w:rPr>
        <w:t xml:space="preserve"> dry weight by sam</w:t>
      </w:r>
      <w:r>
        <w:rPr>
          <w:rFonts w:cs="Times New Roman"/>
        </w:rPr>
        <w:t>p</w:t>
      </w:r>
      <w:r w:rsidRPr="000906CB">
        <w:rPr>
          <w:rFonts w:cs="Times New Roman"/>
        </w:rPr>
        <w:t>le volume</w:t>
      </w:r>
      <w:r>
        <w:rPr>
          <w:rFonts w:cs="Times New Roman"/>
        </w:rPr>
        <w:t xml:space="preserve"> and subtracting rock volume</w:t>
      </w:r>
      <w:r w:rsidRPr="000906CB">
        <w:rPr>
          <w:rFonts w:cs="Times New Roman"/>
        </w:rPr>
        <w:t>. We calculate</w:t>
      </w:r>
      <w:r>
        <w:rPr>
          <w:rFonts w:cs="Times New Roman"/>
        </w:rPr>
        <w:t>d</w:t>
      </w:r>
      <w:r w:rsidRPr="000906CB">
        <w:rPr>
          <w:rFonts w:cs="Times New Roman"/>
        </w:rPr>
        <w:t xml:space="preserve"> </w:t>
      </w:r>
      <w:r>
        <w:rPr>
          <w:rFonts w:cs="Times New Roman"/>
        </w:rPr>
        <w:t>the C</w:t>
      </w:r>
      <w:r w:rsidRPr="000906CB">
        <w:rPr>
          <w:rFonts w:cs="Times New Roman"/>
        </w:rPr>
        <w:t xml:space="preserve"> </w:t>
      </w:r>
      <w:r>
        <w:rPr>
          <w:rFonts w:cs="Times New Roman"/>
        </w:rPr>
        <w:t>pool</w:t>
      </w:r>
      <w:r w:rsidRPr="000906CB">
        <w:rPr>
          <w:rFonts w:cs="Times New Roman"/>
        </w:rPr>
        <w:t xml:space="preserve"> by multiplying the sample depth by the bulk density and percent </w:t>
      </w:r>
      <w:r>
        <w:rPr>
          <w:rFonts w:cs="Times New Roman"/>
        </w:rPr>
        <w:t>C</w:t>
      </w:r>
      <w:r w:rsidRPr="000906CB">
        <w:rPr>
          <w:rFonts w:cs="Times New Roman"/>
        </w:rPr>
        <w:t xml:space="preserve"> of the sample. </w:t>
      </w:r>
      <w:r>
        <w:rPr>
          <w:rFonts w:cs="Times New Roman"/>
        </w:rPr>
        <w:t xml:space="preserve">In total, we sampled 634 depth wise increments from 303 soil monoliths in 151 sites. </w:t>
      </w:r>
      <w:r w:rsidRPr="000906CB">
        <w:rPr>
          <w:rFonts w:cs="Times New Roman"/>
        </w:rPr>
        <w:t>We calculate</w:t>
      </w:r>
      <w:r>
        <w:rPr>
          <w:rFonts w:cs="Times New Roman"/>
        </w:rPr>
        <w:t>d</w:t>
      </w:r>
      <w:r w:rsidRPr="000906CB">
        <w:rPr>
          <w:rFonts w:cs="Times New Roman"/>
        </w:rPr>
        <w:t xml:space="preserve"> the residual soil C pool by summing the C content </w:t>
      </w:r>
      <w:r>
        <w:rPr>
          <w:rFonts w:cs="Times New Roman"/>
        </w:rPr>
        <w:t xml:space="preserve">of </w:t>
      </w:r>
      <w:r w:rsidRPr="000906CB">
        <w:rPr>
          <w:rFonts w:cs="Times New Roman"/>
        </w:rPr>
        <w:t xml:space="preserve">all the depth-wise soil increments within a soil profile. </w:t>
      </w:r>
    </w:p>
    <w:p w14:paraId="48BB19FB" w14:textId="77777777" w:rsidR="00A865F7" w:rsidRDefault="00A865F7" w:rsidP="00A865F7">
      <w:pPr>
        <w:tabs>
          <w:tab w:val="left" w:pos="0"/>
        </w:tabs>
        <w:spacing w:after="0" w:line="480" w:lineRule="auto"/>
        <w:jc w:val="both"/>
        <w:rPr>
          <w:rFonts w:cs="Times New Roman"/>
          <w:color w:val="000000" w:themeColor="text1"/>
        </w:rPr>
      </w:pPr>
    </w:p>
    <w:p w14:paraId="4CE07E16" w14:textId="77777777" w:rsidR="00A865F7" w:rsidRDefault="00A865F7" w:rsidP="00A865F7">
      <w:pPr>
        <w:tabs>
          <w:tab w:val="left" w:pos="0"/>
        </w:tabs>
        <w:spacing w:after="0" w:line="480" w:lineRule="auto"/>
        <w:jc w:val="both"/>
        <w:rPr>
          <w:rFonts w:eastAsia="Times New Roman" w:cs="Times New Roman"/>
          <w:b/>
          <w:bCs/>
          <w:i/>
          <w:iCs/>
          <w:color w:val="000000"/>
        </w:rPr>
      </w:pPr>
      <w:r w:rsidRPr="003F41B0">
        <w:rPr>
          <w:rFonts w:eastAsia="Times New Roman" w:cs="Times New Roman"/>
          <w:b/>
          <w:bCs/>
          <w:i/>
          <w:iCs/>
          <w:color w:val="000000"/>
        </w:rPr>
        <w:t xml:space="preserve">Data </w:t>
      </w:r>
      <w:r>
        <w:rPr>
          <w:rFonts w:eastAsia="Times New Roman" w:cs="Times New Roman"/>
          <w:b/>
          <w:bCs/>
          <w:i/>
          <w:iCs/>
          <w:color w:val="000000"/>
        </w:rPr>
        <w:t>processing and statistical analyses</w:t>
      </w:r>
    </w:p>
    <w:p w14:paraId="5B51EBE8" w14:textId="77777777" w:rsidR="00A865F7" w:rsidRDefault="00A865F7" w:rsidP="00A865F7">
      <w:pPr>
        <w:spacing w:line="480" w:lineRule="auto"/>
        <w:jc w:val="both"/>
        <w:rPr>
          <w:rFonts w:cs="Times New Roman"/>
        </w:rPr>
      </w:pPr>
      <w:r w:rsidRPr="006C72C2">
        <w:rPr>
          <w:rFonts w:cs="Times New Roman"/>
        </w:rPr>
        <w:t xml:space="preserve">All </w:t>
      </w:r>
      <w:r>
        <w:rPr>
          <w:rFonts w:cs="Times New Roman"/>
        </w:rPr>
        <w:t xml:space="preserve">data manipulations and statistical analyses </w:t>
      </w:r>
      <w:r w:rsidRPr="006C72C2">
        <w:rPr>
          <w:rFonts w:cs="Times New Roman"/>
        </w:rPr>
        <w:t xml:space="preserve">were conducted in the statistical software program R version </w:t>
      </w:r>
      <w:r>
        <w:rPr>
          <w:rFonts w:cs="Times New Roman"/>
        </w:rPr>
        <w:t>4.4.1 (</w:t>
      </w:r>
      <w:r w:rsidRPr="0023316E">
        <w:rPr>
          <w:rFonts w:cs="Times New Roman"/>
        </w:rPr>
        <w:t>R Core Team 2024</w:t>
      </w:r>
      <w:r>
        <w:rPr>
          <w:rFonts w:cs="Times New Roman"/>
        </w:rPr>
        <w:t>)</w:t>
      </w:r>
      <w:r w:rsidRPr="006C72C2">
        <w:rPr>
          <w:rFonts w:cs="Times New Roman"/>
        </w:rPr>
        <w:t>. Data arrangements and basic calculations were done using</w:t>
      </w:r>
      <w:r>
        <w:rPr>
          <w:rFonts w:cs="Times New Roman"/>
        </w:rPr>
        <w:t xml:space="preserve"> the ‘dplyr’ package </w:t>
      </w:r>
      <w:r>
        <w:rPr>
          <w:rFonts w:cs="Times New Roman"/>
        </w:rPr>
        <w:fldChar w:fldCharType="begin"/>
      </w:r>
      <w:r>
        <w:rPr>
          <w:rFonts w:cs="Times New Roman"/>
        </w:rPr>
        <w:instrText xml:space="preserve"> ADDIN ZOTERO_ITEM CSL_CITATION {"citationID":"1If6a48r","properties":{"formattedCitation":"(Wickham et al. 2018)","plainCitation":"(Wickham et al. 2018)","noteIndex":0},"citationItems":[{"id":5588,"uris":["http://zotero.org/users/5290972/items/73ASBDBK"],"itemData":{"id":5588,"type":"article-journal","title":"dplyr: A Grammar of Data Manipulation","URL":"https://CRAN.R-project.org/package=dplyr","author":[{"family":"Wickham","given":"Hadley"},{"family":"François","given":"Romain"},{"family":"Henry","given":"Lionel"},{"family":"Müller","given":"Kirill"}],"issued":{"date-parts":[["2018"]]}}}],"schema":"https://github.com/citation-style-language/schema/raw/master/csl-citation.json"} </w:instrText>
      </w:r>
      <w:r>
        <w:rPr>
          <w:rFonts w:cs="Times New Roman"/>
        </w:rPr>
        <w:fldChar w:fldCharType="separate"/>
      </w:r>
      <w:r w:rsidRPr="008E7B8C">
        <w:rPr>
          <w:rFonts w:cs="Times New Roman"/>
        </w:rPr>
        <w:t>(Wickham et al. 2018)</w:t>
      </w:r>
      <w:r>
        <w:rPr>
          <w:rFonts w:cs="Times New Roman"/>
        </w:rPr>
        <w:fldChar w:fldCharType="end"/>
      </w:r>
      <w:r>
        <w:rPr>
          <w:rFonts w:cs="Times New Roman"/>
        </w:rPr>
        <w:t xml:space="preserve">. Generalized linear mixed-effects models (GLMM) were completed using the ‘glmmTMB’ package </w:t>
      </w:r>
      <w:r>
        <w:rPr>
          <w:rFonts w:cs="Times New Roman"/>
        </w:rPr>
        <w:fldChar w:fldCharType="begin"/>
      </w:r>
      <w:r>
        <w:rPr>
          <w:rFonts w:cs="Times New Roman"/>
        </w:rPr>
        <w:instrText xml:space="preserve"> ADDIN ZOTERO_ITEM CSL_CITATION {"citationID":"3jlQpeDx","properties":{"formattedCitation":"(Brooks et al. 2017)","plainCitation":"(Brooks et al. 2017)","noteIndex":0},"citationItems":[{"id":157,"uris":["http://zotero.org/users/5290972/items/ZEYKCI45"],"itemData":{"id":157,"type":"article-journal","container-title":"The R Journal","ISSN":"2073-4859","issue":"2","language":"en","page":"378-400","source":"journal.r-project.org","title":"glmmTMB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J."},{"family":"Mächler","given":"Martin"},{"family":"Bolker","given":"Benjamin M."}],"issued":{"date-parts":[["2017"]]}}}],"schema":"https://github.com/citation-style-language/schema/raw/master/csl-citation.json"} </w:instrText>
      </w:r>
      <w:r>
        <w:rPr>
          <w:rFonts w:cs="Times New Roman"/>
        </w:rPr>
        <w:fldChar w:fldCharType="separate"/>
      </w:r>
      <w:r w:rsidRPr="008E7B8C">
        <w:rPr>
          <w:rFonts w:cs="Times New Roman"/>
        </w:rPr>
        <w:t>(Brooks et al. 2017)</w:t>
      </w:r>
      <w:r>
        <w:rPr>
          <w:rFonts w:cs="Times New Roman"/>
        </w:rPr>
        <w:fldChar w:fldCharType="end"/>
      </w:r>
      <w:r>
        <w:rPr>
          <w:rFonts w:cs="Times New Roman"/>
        </w:rPr>
        <w:t xml:space="preserve">. </w:t>
      </w:r>
      <w:r>
        <w:rPr>
          <w:rFonts w:eastAsia="Times New Roman" w:cs="Times New Roman"/>
          <w:color w:val="222222"/>
        </w:rPr>
        <w:t xml:space="preserve">For all GLMM that follow, the </w:t>
      </w:r>
      <w:r>
        <w:rPr>
          <w:rFonts w:cs="Times New Roman"/>
        </w:rPr>
        <w:t xml:space="preserve">significance of fixed effects was assessed </w:t>
      </w:r>
      <w:r w:rsidRPr="006C72C2">
        <w:rPr>
          <w:rFonts w:cs="Times New Roman"/>
        </w:rPr>
        <w:t>using likelihood ratio tests of the full model against reduced models</w:t>
      </w:r>
      <w:r>
        <w:rPr>
          <w:rFonts w:cs="Times New Roman"/>
        </w:rPr>
        <w:t xml:space="preserve"> and verified using AIC, where ΔAIC&gt;2 denotes a difference in model performance </w:t>
      </w:r>
      <w:r>
        <w:rPr>
          <w:rFonts w:cs="Times New Roman"/>
        </w:rPr>
        <w:lastRenderedPageBreak/>
        <w:fldChar w:fldCharType="begin"/>
      </w:r>
      <w:r>
        <w:rPr>
          <w:rFonts w:cs="Times New Roman"/>
        </w:rPr>
        <w:instrText xml:space="preserve"> ADDIN ZOTERO_ITEM CSL_CITATION {"citationID":"dsoRG241","properties":{"formattedCitation":"(Zuur et al. 2009)","plainCitation":"(Zuur et al. 2009)","noteIndex":0},"citationItems":[{"id":5827,"uris":["http://zotero.org/users/5290972/items/ID9S6BCI"],"itemData":{"id":5827,"type":"book","ISBN":"0-387-87458-5","publisher":"Springer Science &amp; Business Media","title":"Mixed effects models and extensions in ecology with R","author":[{"family":"Zuur","given":"Alain"},{"family":"Ieno","given":"Elena N"},{"family":"Walker","given":"Neil"},{"family":"Saveliev","given":"Anatoly A"},{"family":"Smith","given":"Graham M"}],"issued":{"date-parts":[["2009"]]}}}],"schema":"https://github.com/citation-style-language/schema/raw/master/csl-citation.json"} </w:instrText>
      </w:r>
      <w:r>
        <w:rPr>
          <w:rFonts w:cs="Times New Roman"/>
        </w:rPr>
        <w:fldChar w:fldCharType="separate"/>
      </w:r>
      <w:r w:rsidRPr="008E7B8C">
        <w:rPr>
          <w:rFonts w:cs="Times New Roman"/>
        </w:rPr>
        <w:t>(Zuur et al. 2009)</w:t>
      </w:r>
      <w:r>
        <w:rPr>
          <w:rFonts w:cs="Times New Roman"/>
        </w:rPr>
        <w:fldChar w:fldCharType="end"/>
      </w:r>
      <w:r w:rsidRPr="006C72C2">
        <w:rPr>
          <w:rFonts w:cs="Times New Roman"/>
        </w:rPr>
        <w:t xml:space="preserve">. </w:t>
      </w:r>
      <w:r w:rsidRPr="001D16C2">
        <w:rPr>
          <w:rFonts w:cs="Times New Roman"/>
        </w:rPr>
        <w:t xml:space="preserve">We verified that statistical assumptions </w:t>
      </w:r>
      <w:r>
        <w:rPr>
          <w:rFonts w:cs="Times New Roman"/>
        </w:rPr>
        <w:t xml:space="preserve">of homogeneity of variance and normality of residuals </w:t>
      </w:r>
      <w:r w:rsidRPr="001D16C2">
        <w:rPr>
          <w:rFonts w:cs="Times New Roman"/>
        </w:rPr>
        <w:t xml:space="preserve">were not violated using </w:t>
      </w:r>
      <w:r>
        <w:rPr>
          <w:rFonts w:cs="Times New Roman"/>
        </w:rPr>
        <w:t xml:space="preserve">simulated residuals from </w:t>
      </w:r>
      <w:r w:rsidRPr="001D16C2">
        <w:rPr>
          <w:rFonts w:cs="Times New Roman"/>
        </w:rPr>
        <w:t xml:space="preserve">the ‘DHarma’ package </w:t>
      </w:r>
      <w:r>
        <w:rPr>
          <w:rFonts w:cs="Times New Roman"/>
        </w:rPr>
        <w:fldChar w:fldCharType="begin"/>
      </w:r>
      <w:r>
        <w:rPr>
          <w:rFonts w:cs="Times New Roman"/>
        </w:rPr>
        <w:instrText xml:space="preserve"> ADDIN ZOTERO_ITEM CSL_CITATION {"citationID":"91ol1dJk","properties":{"formattedCitation":"(Hartig 2020)","plainCitation":"(Hartig 2020)","noteIndex":0},"citationItems":[{"id":6091,"uris":["http://zotero.org/users/5290972/items/GT7TU985"],"itemData":{"id":6091,"type":"software","abstract":"The 'DHARMa' package uses a simulation-based approach to create readily interpretable scaled (quantile) residuals for fitted (generalized) linear mixed models. Currently supported are linear and generalized linear (mixed) models from 'lme4' (classes 'lmerMod', 'glmerMod'), 'glmmTMB' and 'spaMM', generalized additive models ('gam' from 'mgcv'), 'glm' (including 'negbin' from 'MASS', but excluding quasi-distributions) and 'lm' model classes. Moreover, externally created simulations, e.g. posterior predictive simulations from Bayesian software such as 'JAGS', 'STAN', or 'BUGS' can be processed as well. The resulting residuals are standardized to values between 0 and 1 and can be interpreted as intuitively as residuals from a linear regression. The package also provides a number of plot and test functions for typical model misspecification problems, such as over/underdispersion, zero-inflation, and residual spatial and temporal autocorrelation.","license":"GPL (≥ 3)","source":"R-Packages","title":"DHARMa: Residual Diagnostics for Hierarchical (Multi-Level / Mixed) Regression Models","title-short":"DHARMa","URL":"https://CRAN.R-project.org/package=DHARMa","version":"0.2.7","author":[{"family":"Hartig","given":"Florian"}],"accessed":{"date-parts":[["2020",4,5]]},"issued":{"date-parts":[["2020",2,6]]}}}],"schema":"https://github.com/citation-style-language/schema/raw/master/csl-citation.json"} </w:instrText>
      </w:r>
      <w:r>
        <w:rPr>
          <w:rFonts w:cs="Times New Roman"/>
        </w:rPr>
        <w:fldChar w:fldCharType="separate"/>
      </w:r>
      <w:r w:rsidRPr="008E7B8C">
        <w:rPr>
          <w:rFonts w:cs="Times New Roman"/>
        </w:rPr>
        <w:t>(Hartig 2020)</w:t>
      </w:r>
      <w:r>
        <w:rPr>
          <w:rFonts w:cs="Times New Roman"/>
        </w:rPr>
        <w:fldChar w:fldCharType="end"/>
      </w:r>
      <w:r w:rsidRPr="001D16C2">
        <w:rPr>
          <w:rFonts w:cs="Times New Roman"/>
        </w:rPr>
        <w:t>.</w:t>
      </w:r>
      <w:r>
        <w:rPr>
          <w:rFonts w:cs="Times New Roman"/>
        </w:rPr>
        <w:t xml:space="preserve"> </w:t>
      </w:r>
    </w:p>
    <w:p w14:paraId="70D3FBEB" w14:textId="77777777" w:rsidR="00A865F7" w:rsidRDefault="00A865F7" w:rsidP="00A865F7">
      <w:pPr>
        <w:spacing w:line="480" w:lineRule="auto"/>
        <w:jc w:val="both"/>
        <w:rPr>
          <w:rFonts w:eastAsia="Times New Roman" w:cs="Times New Roman"/>
          <w:color w:val="000000"/>
        </w:rPr>
      </w:pPr>
    </w:p>
    <w:p w14:paraId="0F746202" w14:textId="77777777" w:rsidR="00A865F7" w:rsidRDefault="00A865F7" w:rsidP="00A865F7">
      <w:pPr>
        <w:tabs>
          <w:tab w:val="left" w:pos="0"/>
        </w:tabs>
        <w:spacing w:after="0" w:line="480" w:lineRule="auto"/>
        <w:jc w:val="both"/>
        <w:rPr>
          <w:rFonts w:eastAsia="Times New Roman" w:cs="Times New Roman"/>
          <w:color w:val="000000"/>
        </w:rPr>
      </w:pPr>
      <w:r>
        <w:rPr>
          <w:rFonts w:eastAsia="Times New Roman" w:cs="Times New Roman"/>
          <w:color w:val="000000"/>
        </w:rPr>
        <w:t>S</w:t>
      </w:r>
      <w:r w:rsidRPr="002E7BCC">
        <w:rPr>
          <w:rFonts w:eastAsia="Times New Roman" w:cs="Times New Roman"/>
          <w:color w:val="000000"/>
        </w:rPr>
        <w:t>tem counts, diameter</w:t>
      </w:r>
      <w:r>
        <w:rPr>
          <w:rFonts w:eastAsia="Times New Roman" w:cs="Times New Roman"/>
          <w:color w:val="000000"/>
        </w:rPr>
        <w:t xml:space="preserve"> </w:t>
      </w:r>
      <w:r w:rsidRPr="002E7BCC">
        <w:rPr>
          <w:rFonts w:eastAsia="Times New Roman" w:cs="Times New Roman"/>
          <w:color w:val="000000"/>
        </w:rPr>
        <w:t>measurements</w:t>
      </w:r>
      <w:r>
        <w:rPr>
          <w:rFonts w:eastAsia="Times New Roman" w:cs="Times New Roman"/>
          <w:color w:val="000000"/>
        </w:rPr>
        <w:t>,</w:t>
      </w:r>
      <w:r w:rsidRPr="002E7BCC">
        <w:rPr>
          <w:rFonts w:eastAsia="Times New Roman" w:cs="Times New Roman"/>
          <w:color w:val="000000"/>
        </w:rPr>
        <w:t xml:space="preserve"> and published allometric equations </w:t>
      </w:r>
      <w:r>
        <w:rPr>
          <w:rFonts w:eastAsia="Times New Roman" w:cs="Times New Roman"/>
          <w:color w:val="000000"/>
        </w:rPr>
        <w:fldChar w:fldCharType="begin"/>
      </w:r>
      <w:r>
        <w:rPr>
          <w:rFonts w:eastAsia="Times New Roman" w:cs="Times New Roman"/>
          <w:color w:val="000000"/>
        </w:rPr>
        <w:instrText xml:space="preserve"> ADDIN ZOTERO_ITEM CSL_CITATION {"citationID":"nscrVqEo","properties":{"formattedCitation":"(Alexander et al. 2012)","plainCitation":"(Alexander et al. 2012)","noteIndex":0},"citationItems":[{"id":1560,"uris":["http://zotero.org/users/5290972/items/7DBNH3NF"],"itemData":{"id":1560,"type":"article-journal","container-title":"Ecosphere","DOI":"10.1890/es11-00364.1","ISSN":"2150-8925","issue":"5","page":"1-21","title":"Implications of increased deciduous cover on stand structure and aboveground carbon pools of Alaskan boreal forests","title-short":"Implications of increased deciduous cover on stand structure and aboveground carbon pools of Alaskan boreal forests","volume":"3","author":[{"family":"Alexander","given":"Heather D."},{"family":"Mack","given":"Michelle C."},{"family":"Goetz","given":"Scott"},{"family":"Beck","given":"Pieter S. A."},{"family":"Belshe","given":"E. Fay"}],"issued":{"date-parts":[["2012",5,1]]}}}],"schema":"https://github.com/citation-style-language/schema/raw/master/csl-citation.json"} </w:instrText>
      </w:r>
      <w:r>
        <w:rPr>
          <w:rFonts w:eastAsia="Times New Roman" w:cs="Times New Roman"/>
          <w:color w:val="000000"/>
        </w:rPr>
        <w:fldChar w:fldCharType="separate"/>
      </w:r>
      <w:r w:rsidRPr="008E7B8C">
        <w:rPr>
          <w:rFonts w:cs="Times New Roman"/>
        </w:rPr>
        <w:t>(Alexander et al. 2012)</w:t>
      </w:r>
      <w:r>
        <w:rPr>
          <w:rFonts w:eastAsia="Times New Roman" w:cs="Times New Roman"/>
          <w:color w:val="000000"/>
        </w:rPr>
        <w:fldChar w:fldCharType="end"/>
      </w:r>
      <w:r w:rsidRPr="002E7BCC">
        <w:rPr>
          <w:rFonts w:eastAsia="Times New Roman" w:cs="Times New Roman"/>
          <w:color w:val="000000"/>
        </w:rPr>
        <w:t xml:space="preserve"> were used to calculate tree density (number stems m</w:t>
      </w:r>
      <w:r w:rsidRPr="00B86F41">
        <w:rPr>
          <w:rFonts w:eastAsia="Times New Roman" w:cs="Times New Roman"/>
          <w:color w:val="000000"/>
          <w:vertAlign w:val="superscript"/>
        </w:rPr>
        <w:t>-2</w:t>
      </w:r>
      <w:r w:rsidRPr="002E7BCC">
        <w:rPr>
          <w:rFonts w:eastAsia="Times New Roman" w:cs="Times New Roman"/>
          <w:color w:val="000000"/>
        </w:rPr>
        <w:t>), basal area (m</w:t>
      </w:r>
      <w:r w:rsidRPr="00B86F41">
        <w:rPr>
          <w:rFonts w:eastAsia="Times New Roman" w:cs="Times New Roman"/>
          <w:color w:val="000000"/>
          <w:vertAlign w:val="superscript"/>
        </w:rPr>
        <w:t>2</w:t>
      </w:r>
      <w:r w:rsidRPr="002E7BCC">
        <w:rPr>
          <w:rFonts w:eastAsia="Times New Roman" w:cs="Times New Roman"/>
          <w:color w:val="000000"/>
        </w:rPr>
        <w:t xml:space="preserve"> ha</w:t>
      </w:r>
      <w:r w:rsidRPr="00B86F41">
        <w:rPr>
          <w:rFonts w:eastAsia="Times New Roman" w:cs="Times New Roman"/>
          <w:color w:val="000000"/>
          <w:vertAlign w:val="superscript"/>
        </w:rPr>
        <w:t>-1</w:t>
      </w:r>
      <w:r w:rsidRPr="002E7BCC">
        <w:rPr>
          <w:rFonts w:eastAsia="Times New Roman" w:cs="Times New Roman"/>
          <w:color w:val="000000"/>
        </w:rPr>
        <w:t>), and aboveground biomass (kg dry matter m</w:t>
      </w:r>
      <w:r w:rsidRPr="00B86F41">
        <w:rPr>
          <w:rFonts w:eastAsia="Times New Roman" w:cs="Times New Roman"/>
          <w:color w:val="000000"/>
          <w:vertAlign w:val="superscript"/>
        </w:rPr>
        <w:t>-2</w:t>
      </w:r>
      <w:r w:rsidRPr="002E7BCC">
        <w:rPr>
          <w:rFonts w:eastAsia="Times New Roman" w:cs="Times New Roman"/>
          <w:color w:val="000000"/>
        </w:rPr>
        <w:t xml:space="preserve">) of the total tree, bark, main branches, fine branches, and needles/leaves, for each tree species in each plot. Total tree biomass combusted was calculated per tree from the assigned combustion class and affected biomass components (foliage, branches, and bark). We summed individual tree estimates and divided </w:t>
      </w:r>
      <w:r>
        <w:rPr>
          <w:rFonts w:eastAsia="Times New Roman" w:cs="Times New Roman"/>
          <w:color w:val="000000"/>
        </w:rPr>
        <w:t xml:space="preserve">them </w:t>
      </w:r>
      <w:r w:rsidRPr="002E7BCC">
        <w:rPr>
          <w:rFonts w:eastAsia="Times New Roman" w:cs="Times New Roman"/>
          <w:color w:val="000000"/>
        </w:rPr>
        <w:t>by the sample area to estimate pre-fire biomass and biomass combustion (kg dry matter m</w:t>
      </w:r>
      <w:r w:rsidRPr="00B86F41">
        <w:rPr>
          <w:rFonts w:eastAsia="Times New Roman" w:cs="Times New Roman"/>
          <w:color w:val="000000"/>
          <w:vertAlign w:val="superscript"/>
        </w:rPr>
        <w:t>-2</w:t>
      </w:r>
      <w:r w:rsidRPr="002E7BCC">
        <w:rPr>
          <w:rFonts w:eastAsia="Times New Roman" w:cs="Times New Roman"/>
          <w:color w:val="000000"/>
        </w:rPr>
        <w:t xml:space="preserve">) per plot. </w:t>
      </w:r>
      <w:r>
        <w:rPr>
          <w:rFonts w:eastAsia="Times New Roman" w:cs="Times New Roman"/>
          <w:color w:val="000000"/>
        </w:rPr>
        <w:t xml:space="preserve">We similarly used published allometric equations </w:t>
      </w:r>
      <w:r>
        <w:rPr>
          <w:rFonts w:eastAsia="Times New Roman" w:cs="Times New Roman"/>
          <w:color w:val="000000"/>
        </w:rPr>
        <w:fldChar w:fldCharType="begin"/>
      </w:r>
      <w:r>
        <w:rPr>
          <w:rFonts w:eastAsia="Times New Roman" w:cs="Times New Roman"/>
          <w:color w:val="000000"/>
        </w:rPr>
        <w:instrText xml:space="preserve"> ADDIN ZOTERO_ITEM CSL_CITATION {"citationID":"l2ffV9kT","properties":{"formattedCitation":"(Berner et al. 2015)","plainCitation":"(Berner et al. 2015)","noteIndex":0},"citationItems":[{"id":1943,"uris":["http://zotero.org/users/5290972/items/XHBZ378M"],"itemData":{"id":1943,"type":"article-journal","abstract":"Shrubs play an important ecological role in the Arctic system, and there is evidence from many Arctic regions of deciduous shrubs increasing in size and expanding into previously forb or graminoid-dominated ecosystems. There is thus a pressing need to accurately quantify regional and temporal variation in shrub biomass in Arctic regions, yet allometric equations needed for deriving biomass estimates from field surveys are rare. We developed 66 allometric equations relating basal diameter (BD) to various aboveground plant characteristics for three tall, deciduous shrub genera growing in boreal and tundra ecoregions in far northeastern Siberia (Yakutia) and north-central Alaska. We related BD to plant height and stem, branch, new growth (leaves + new twigs), and total aboveground biomass for alder (Alms viridis subsp. crispa and Alms fruticosa), dwarf birch (Betula nana subsp. exilis and divaricata), and willow (Salix spp.). The equations were based on measurements of 358 shrubs harvested at 33 sites. Plant height (r(2) = 0.48-0.95), total aboveground biomass (r(2) = 0.46-0.99), and component biomass (r(2) = 0.13-0.99) were significantly (P &lt; 0.01) related to shrub BD. Alder and willow populations exhibited differences in allometric relationships across ecoregions, but this was not the case for dwarf birch. The allometric relationships we developed provide a tool for researchers and land managers seeking to better quantify and monitor the form and function of shrubs across the Arctic landscape. (C) 2014 Elsevier B.V. All rights reserved.","archive_location":"WOS:000348084200012","container-title":"Forest Ecology and Management","DOI":"10.1016/j.foreco.2014.10.027","ISSN":"0378-1127","journalAbbreviation":"Forest Ecol Manag","language":"English","page":"110-118","title":"Biomass allometry for alder, dwarf birch, and willow in boreal forest and tundra ecosystems of far northeastern Siberia and north-central Alaska","volume":"337","author":[{"family":"Berner","given":"Logan T."},{"family":"Alexander","given":"Heather D."},{"family":"Loranty","given":"Michael M."},{"family":"Ganzlin","given":"Peter"},{"family":"Mack","given":"Michelle C."},{"family":"Davydov","given":"Sergei P."},{"family":"Goetz","given":"Scott J."}],"issued":{"date-parts":[["2015",2,1]]}}}],"schema":"https://github.com/citation-style-language/schema/raw/master/csl-citation.json"} </w:instrText>
      </w:r>
      <w:r>
        <w:rPr>
          <w:rFonts w:eastAsia="Times New Roman" w:cs="Times New Roman"/>
          <w:color w:val="000000"/>
        </w:rPr>
        <w:fldChar w:fldCharType="separate"/>
      </w:r>
      <w:r w:rsidRPr="008E7B8C">
        <w:rPr>
          <w:rFonts w:cs="Times New Roman"/>
        </w:rPr>
        <w:t>(Berner et al. 2015)</w:t>
      </w:r>
      <w:r>
        <w:rPr>
          <w:rFonts w:eastAsia="Times New Roman" w:cs="Times New Roman"/>
          <w:color w:val="000000"/>
        </w:rPr>
        <w:fldChar w:fldCharType="end"/>
      </w:r>
      <w:r>
        <w:rPr>
          <w:rFonts w:eastAsia="Times New Roman" w:cs="Times New Roman"/>
          <w:color w:val="000000"/>
        </w:rPr>
        <w:t xml:space="preserve"> to calculate biomass and combusted biomass for each shrub species. For CWD, we used </w:t>
      </w:r>
      <w:r w:rsidRPr="000B6DB9">
        <w:rPr>
          <w:rFonts w:cs="Times New Roman"/>
          <w:lang w:val="en"/>
        </w:rPr>
        <w:t>the size classes from Nalder et al. (1999), decay classes</w:t>
      </w:r>
      <w:r>
        <w:rPr>
          <w:rFonts w:cs="Times New Roman"/>
          <w:lang w:val="en"/>
        </w:rPr>
        <w:t xml:space="preserve"> </w:t>
      </w:r>
      <w:r w:rsidRPr="000B6DB9">
        <w:rPr>
          <w:rFonts w:cs="Times New Roman"/>
          <w:lang w:val="en"/>
        </w:rPr>
        <w:t xml:space="preserve">from Manies et al. (2005), and biomass calculations from Ter Mikaelin et al. (2008) to estimate </w:t>
      </w:r>
      <w:r w:rsidRPr="005430C1">
        <w:rPr>
          <w:rFonts w:cs="Times New Roman"/>
          <w:color w:val="000000" w:themeColor="text1"/>
        </w:rPr>
        <w:t xml:space="preserve">the </w:t>
      </w:r>
      <w:r>
        <w:rPr>
          <w:rFonts w:cs="Times New Roman"/>
          <w:color w:val="000000" w:themeColor="text1"/>
        </w:rPr>
        <w:t>pre-fire, post-fire, and combusted</w:t>
      </w:r>
      <w:r w:rsidRPr="005430C1">
        <w:rPr>
          <w:rFonts w:cs="Times New Roman"/>
          <w:color w:val="000000" w:themeColor="text1"/>
        </w:rPr>
        <w:t xml:space="preserve"> </w:t>
      </w:r>
      <w:r>
        <w:rPr>
          <w:rFonts w:cs="Times New Roman"/>
          <w:color w:val="000000" w:themeColor="text1"/>
        </w:rPr>
        <w:t>biomass pools from</w:t>
      </w:r>
      <w:r w:rsidRPr="005430C1">
        <w:rPr>
          <w:rFonts w:cs="Times New Roman"/>
          <w:color w:val="000000" w:themeColor="text1"/>
        </w:rPr>
        <w:t xml:space="preserve"> CWD.</w:t>
      </w:r>
      <w:r>
        <w:rPr>
          <w:rFonts w:cs="Times New Roman"/>
          <w:color w:val="000000" w:themeColor="text1"/>
        </w:rPr>
        <w:t xml:space="preserve"> </w:t>
      </w:r>
      <w:r>
        <w:rPr>
          <w:rFonts w:eastAsia="Times New Roman" w:cs="Times New Roman"/>
          <w:color w:val="000000"/>
        </w:rPr>
        <w:t>To calculate the pre-fire, post-fire, and combusted C pools of trees, shrubs, and CWD, we assumed a biomass C content of 50%</w:t>
      </w:r>
      <w:r w:rsidRPr="002E7BCC">
        <w:rPr>
          <w:rFonts w:eastAsia="Times New Roman" w:cs="Times New Roman"/>
          <w:color w:val="000000"/>
        </w:rPr>
        <w:t>.</w:t>
      </w:r>
      <w:r>
        <w:rPr>
          <w:rFonts w:eastAsia="Times New Roman" w:cs="Times New Roman"/>
          <w:color w:val="000000"/>
        </w:rPr>
        <w:t xml:space="preserve"> </w:t>
      </w:r>
    </w:p>
    <w:p w14:paraId="7EE08F1C" w14:textId="77777777" w:rsidR="00A865F7" w:rsidRDefault="00A865F7" w:rsidP="00A865F7">
      <w:pPr>
        <w:tabs>
          <w:tab w:val="left" w:pos="0"/>
        </w:tabs>
        <w:spacing w:after="0" w:line="480" w:lineRule="auto"/>
        <w:jc w:val="both"/>
        <w:rPr>
          <w:rFonts w:eastAsia="Times New Roman" w:cs="Times New Roman"/>
          <w:color w:val="000000"/>
        </w:rPr>
      </w:pPr>
    </w:p>
    <w:p w14:paraId="07DF21B5" w14:textId="77777777" w:rsidR="00A865F7" w:rsidRDefault="00A865F7" w:rsidP="00A865F7">
      <w:pPr>
        <w:tabs>
          <w:tab w:val="left" w:pos="0"/>
        </w:tabs>
        <w:spacing w:after="0" w:line="480" w:lineRule="auto"/>
        <w:jc w:val="both"/>
        <w:rPr>
          <w:rFonts w:eastAsia="Times New Roman" w:cs="Times New Roman"/>
          <w:color w:val="000000"/>
        </w:rPr>
      </w:pPr>
      <w:r>
        <w:rPr>
          <w:rFonts w:eastAsia="Times New Roman" w:cs="Times New Roman"/>
          <w:color w:val="000000"/>
        </w:rPr>
        <w:t>Following Mack et al. 2021 and Walker et al. 2023, w</w:t>
      </w:r>
      <w:r w:rsidRPr="001E1979">
        <w:rPr>
          <w:rFonts w:eastAsia="Times New Roman" w:cs="Times New Roman"/>
          <w:color w:val="000000"/>
        </w:rPr>
        <w:t xml:space="preserve">e classified </w:t>
      </w:r>
      <w:r>
        <w:rPr>
          <w:rFonts w:eastAsia="Times New Roman" w:cs="Times New Roman"/>
          <w:color w:val="000000"/>
        </w:rPr>
        <w:t>plots</w:t>
      </w:r>
      <w:r w:rsidRPr="001E1979">
        <w:rPr>
          <w:rFonts w:eastAsia="Times New Roman" w:cs="Times New Roman"/>
          <w:color w:val="000000"/>
        </w:rPr>
        <w:t xml:space="preserve"> into pre-fire tree species dominance classes based on a deciduous fraction index (DI) calculated from the survey data (DI=relative density plus relative biomass of deciduous tree</w:t>
      </w:r>
      <w:r>
        <w:rPr>
          <w:rFonts w:eastAsia="Times New Roman" w:cs="Times New Roman"/>
          <w:color w:val="000000"/>
        </w:rPr>
        <w:t xml:space="preserve">s </w:t>
      </w:r>
      <w:r w:rsidRPr="001E1979">
        <w:rPr>
          <w:rFonts w:eastAsia="Times New Roman" w:cs="Times New Roman"/>
          <w:color w:val="000000"/>
        </w:rPr>
        <w:t xml:space="preserve">divided by two and multiplied by 100). When DI was ≤33.33%, </w:t>
      </w:r>
      <w:r>
        <w:rPr>
          <w:rFonts w:eastAsia="Times New Roman" w:cs="Times New Roman"/>
          <w:color w:val="000000"/>
        </w:rPr>
        <w:t>plots</w:t>
      </w:r>
      <w:r w:rsidRPr="001E1979">
        <w:rPr>
          <w:rFonts w:eastAsia="Times New Roman" w:cs="Times New Roman"/>
          <w:color w:val="000000"/>
        </w:rPr>
        <w:t xml:space="preserve"> were classified as spruce. </w:t>
      </w:r>
      <w:r>
        <w:rPr>
          <w:rFonts w:eastAsia="Times New Roman" w:cs="Times New Roman"/>
          <w:color w:val="000000"/>
        </w:rPr>
        <w:t>Plots</w:t>
      </w:r>
      <w:r w:rsidRPr="001E1979">
        <w:rPr>
          <w:rFonts w:eastAsia="Times New Roman" w:cs="Times New Roman"/>
          <w:color w:val="000000"/>
        </w:rPr>
        <w:t xml:space="preserve"> were classified as mixed spruce-deciduous (hereafter </w:t>
      </w:r>
      <w:r>
        <w:rPr>
          <w:rFonts w:eastAsia="Times New Roman" w:cs="Times New Roman"/>
          <w:color w:val="000000"/>
        </w:rPr>
        <w:t>m</w:t>
      </w:r>
      <w:r w:rsidRPr="001E1979">
        <w:rPr>
          <w:rFonts w:eastAsia="Times New Roman" w:cs="Times New Roman"/>
          <w:color w:val="000000"/>
        </w:rPr>
        <w:t xml:space="preserve">ixed) if DI was &gt;33.33% and &lt;66.66%, and as deciduous if DI was ≥66.66%. </w:t>
      </w:r>
      <w:r>
        <w:rPr>
          <w:rFonts w:eastAsia="Times New Roman" w:cs="Times New Roman"/>
          <w:color w:val="000000"/>
        </w:rPr>
        <w:t xml:space="preserve">Plots were classified as open if no trees were measured within the site. </w:t>
      </w:r>
      <w:r>
        <w:rPr>
          <w:rFonts w:cs="Times New Roman"/>
          <w:color w:val="000000" w:themeColor="text1"/>
        </w:rPr>
        <w:t xml:space="preserve">To determine the </w:t>
      </w:r>
      <w:r>
        <w:rPr>
          <w:rFonts w:cs="Times New Roman"/>
          <w:color w:val="000000" w:themeColor="text1"/>
        </w:rPr>
        <w:lastRenderedPageBreak/>
        <w:t xml:space="preserve">relationship between FRI and pre-fire composition class, we completed a chi-square test of independence with simulated p-values based on 10000 replicates. We used a posthoc test in the ‘chisq.posthoc.test’ package </w:t>
      </w:r>
      <w:r>
        <w:rPr>
          <w:rFonts w:cs="Times New Roman"/>
          <w:color w:val="000000" w:themeColor="text1"/>
        </w:rPr>
        <w:fldChar w:fldCharType="begin"/>
      </w:r>
      <w:r>
        <w:rPr>
          <w:rFonts w:cs="Times New Roman"/>
          <w:color w:val="000000" w:themeColor="text1"/>
        </w:rPr>
        <w:instrText xml:space="preserve"> ADDIN ZOTERO_ITEM CSL_CITATION {"citationID":"rw6nYme6","properties":{"formattedCitation":"(Ebbert and Ebbert 2019)","plainCitation":"(Ebbert and Ebbert 2019)","noteIndex":0},"citationItems":[{"id":9866,"uris":["http://zotero.org/users/5290972/items/2TKRFTEX"],"itemData":{"id":9866,"type":"article-journal","container-title":"Version 0.1","journalAbbreviation":"Version 0.1","title":"Package ‘chisq. posthoc. test’","volume":"2","author":[{"family":"Ebbert","given":"Daniel"},{"family":"Ebbert","given":"Maintainer Daniel"}],"issued":{"date-parts":[["2019"]]}}}],"schema":"https://github.com/citation-style-language/schema/raw/master/csl-citation.json"} </w:instrText>
      </w:r>
      <w:r>
        <w:rPr>
          <w:rFonts w:cs="Times New Roman"/>
          <w:color w:val="000000" w:themeColor="text1"/>
        </w:rPr>
        <w:fldChar w:fldCharType="separate"/>
      </w:r>
      <w:r w:rsidRPr="00196DAB">
        <w:rPr>
          <w:rFonts w:cs="Times New Roman"/>
        </w:rPr>
        <w:t>(Ebbert and Ebbert 2019)</w:t>
      </w:r>
      <w:r>
        <w:rPr>
          <w:rFonts w:cs="Times New Roman"/>
          <w:color w:val="000000" w:themeColor="text1"/>
        </w:rPr>
        <w:fldChar w:fldCharType="end"/>
      </w:r>
      <w:r>
        <w:rPr>
          <w:rFonts w:cs="Times New Roman"/>
          <w:color w:val="000000" w:themeColor="text1"/>
        </w:rPr>
        <w:t xml:space="preserve"> with a false discovery rate adjustment to test which pre-fire composition occurred more or less frequently than expected in each FRI. </w:t>
      </w:r>
    </w:p>
    <w:p w14:paraId="161CCC09" w14:textId="77777777" w:rsidR="00A865F7" w:rsidRDefault="00A865F7" w:rsidP="00A865F7">
      <w:pPr>
        <w:tabs>
          <w:tab w:val="left" w:pos="0"/>
        </w:tabs>
        <w:spacing w:after="0" w:line="480" w:lineRule="auto"/>
        <w:jc w:val="both"/>
        <w:rPr>
          <w:rFonts w:cs="Times New Roman"/>
          <w:lang w:val="en"/>
        </w:rPr>
      </w:pPr>
    </w:p>
    <w:p w14:paraId="69CC4058" w14:textId="77777777" w:rsidR="00A865F7" w:rsidRDefault="00A865F7" w:rsidP="00A865F7">
      <w:pPr>
        <w:spacing w:after="0" w:line="480" w:lineRule="auto"/>
        <w:jc w:val="both"/>
        <w:rPr>
          <w:rFonts w:cs="Times New Roman"/>
        </w:rPr>
      </w:pPr>
      <w:r w:rsidRPr="002A7920">
        <w:rPr>
          <w:rFonts w:cs="Times New Roman"/>
        </w:rPr>
        <w:t xml:space="preserve">To calculate </w:t>
      </w:r>
      <w:r>
        <w:rPr>
          <w:rFonts w:cs="Times New Roman"/>
        </w:rPr>
        <w:t xml:space="preserve">the SOL burn </w:t>
      </w:r>
      <w:r w:rsidRPr="002A7920">
        <w:rPr>
          <w:rFonts w:cs="Times New Roman"/>
        </w:rPr>
        <w:t xml:space="preserve">depth in </w:t>
      </w:r>
      <w:r>
        <w:rPr>
          <w:rFonts w:cs="Times New Roman"/>
        </w:rPr>
        <w:t>plots where black spruce trees and adventitious roots were present pre-fire,</w:t>
      </w:r>
      <w:r w:rsidRPr="002A7920">
        <w:rPr>
          <w:rFonts w:cs="Times New Roman"/>
        </w:rPr>
        <w:t xml:space="preserve"> we used the adventitious root method and calibrations described in </w:t>
      </w:r>
      <w:r>
        <w:rPr>
          <w:rFonts w:cs="Times New Roman"/>
        </w:rPr>
        <w:t>Boby et al. (2010)</w:t>
      </w:r>
      <w:r w:rsidRPr="002A7920">
        <w:rPr>
          <w:rFonts w:cs="Times New Roman"/>
        </w:rPr>
        <w:t xml:space="preserve">, in which burn depth is equivalent to the height of adventitious roots (ARH) above the residual </w:t>
      </w:r>
      <w:r>
        <w:rPr>
          <w:rFonts w:cs="Times New Roman"/>
        </w:rPr>
        <w:t>SOL</w:t>
      </w:r>
      <w:r w:rsidRPr="002A7920">
        <w:rPr>
          <w:rFonts w:cs="Times New Roman"/>
        </w:rPr>
        <w:t xml:space="preserve"> plus an offset </w:t>
      </w:r>
      <w:r>
        <w:rPr>
          <w:rFonts w:cs="Times New Roman"/>
        </w:rPr>
        <w:t xml:space="preserve">of 3.2 cm </w:t>
      </w:r>
      <w:r w:rsidRPr="002A7920">
        <w:rPr>
          <w:rFonts w:cs="Times New Roman"/>
        </w:rPr>
        <w:t xml:space="preserve">associated with </w:t>
      </w:r>
      <w:r>
        <w:rPr>
          <w:rFonts w:cs="Times New Roman"/>
        </w:rPr>
        <w:t xml:space="preserve">the depth of AR in the </w:t>
      </w:r>
      <w:r w:rsidRPr="002A7920">
        <w:rPr>
          <w:rFonts w:cs="Times New Roman"/>
        </w:rPr>
        <w:t xml:space="preserve">SOL. </w:t>
      </w:r>
      <w:r>
        <w:rPr>
          <w:rFonts w:cs="Times New Roman"/>
        </w:rPr>
        <w:t>The total</w:t>
      </w:r>
      <w:r w:rsidRPr="002A7920">
        <w:rPr>
          <w:rFonts w:cs="Times New Roman"/>
        </w:rPr>
        <w:t xml:space="preserve"> depth of pre-fire SOL was then reconstructed by adding the </w:t>
      </w:r>
      <w:r>
        <w:rPr>
          <w:rFonts w:cs="Times New Roman"/>
        </w:rPr>
        <w:t>burn depth</w:t>
      </w:r>
      <w:r w:rsidRPr="002A7920">
        <w:rPr>
          <w:rFonts w:cs="Times New Roman"/>
        </w:rPr>
        <w:t xml:space="preserve"> to the residual SOL depth</w:t>
      </w:r>
      <w:r>
        <w:rPr>
          <w:rFonts w:cs="Times New Roman"/>
        </w:rPr>
        <w:t xml:space="preserve">. We completed this for 832 ARH measurements from 357 plots nested within 125 sites and 26 fire scars. </w:t>
      </w:r>
    </w:p>
    <w:p w14:paraId="5BCD7052" w14:textId="77777777" w:rsidR="00A865F7" w:rsidRDefault="00A865F7" w:rsidP="00A865F7">
      <w:pPr>
        <w:spacing w:after="0" w:line="480" w:lineRule="auto"/>
        <w:jc w:val="both"/>
        <w:rPr>
          <w:rFonts w:cs="Times New Roman"/>
        </w:rPr>
      </w:pPr>
    </w:p>
    <w:p w14:paraId="735AD965" w14:textId="77777777" w:rsidR="00A865F7" w:rsidRDefault="00A865F7" w:rsidP="00A865F7">
      <w:pPr>
        <w:spacing w:after="0" w:line="480" w:lineRule="auto"/>
        <w:jc w:val="both"/>
        <w:rPr>
          <w:rFonts w:cs="Times New Roman"/>
        </w:rPr>
      </w:pPr>
      <w:r>
        <w:rPr>
          <w:rFonts w:cs="Times New Roman"/>
        </w:rPr>
        <w:t xml:space="preserve">For plots where no adventitious roots were present (i.e., Young spruce, n=57 plots), Deciduous (n=100 plots), Mixed (n= 26 plots), or Open (n= 14 plots), we estimated pre-fire SOL depth using random forest models trained with data acquired from forest inventory databases (Appendix 1). </w:t>
      </w:r>
      <w:r w:rsidRPr="001F3D5C">
        <w:rPr>
          <w:rFonts w:cs="Times New Roman"/>
        </w:rPr>
        <w:t>We estimated burn depth as the difference between pre-fire SOL depth based on modeled estimates and measured residual SOL depth. We completed these calculations for 428 residual SOL measurements from 197 plots nested within 71 sites and 19 fire scars. If the residual SOL measurement</w:t>
      </w:r>
      <w:r>
        <w:rPr>
          <w:rFonts w:cs="Times New Roman"/>
        </w:rPr>
        <w:t xml:space="preserve"> was greater than the modeled estimated pre-fire SOL depth, burn depth was assigned a value of zero, and pre-fire SOL depth was assumed to be the same as residual SOL depth. </w:t>
      </w:r>
    </w:p>
    <w:p w14:paraId="7F52EF33" w14:textId="77777777" w:rsidR="00A865F7" w:rsidRDefault="00A865F7" w:rsidP="00A865F7">
      <w:pPr>
        <w:spacing w:after="0" w:line="480" w:lineRule="auto"/>
        <w:jc w:val="both"/>
        <w:rPr>
          <w:rFonts w:cs="Times New Roman"/>
        </w:rPr>
      </w:pPr>
    </w:p>
    <w:p w14:paraId="2BAF6CF1" w14:textId="77777777" w:rsidR="00A865F7" w:rsidRDefault="00A865F7" w:rsidP="00A865F7">
      <w:pPr>
        <w:tabs>
          <w:tab w:val="left" w:pos="0"/>
        </w:tabs>
        <w:spacing w:after="0" w:line="480" w:lineRule="auto"/>
        <w:jc w:val="both"/>
        <w:rPr>
          <w:rFonts w:cs="Times New Roman"/>
        </w:rPr>
      </w:pPr>
      <w:r>
        <w:rPr>
          <w:rFonts w:cs="Times New Roman"/>
        </w:rPr>
        <w:lastRenderedPageBreak/>
        <w:t xml:space="preserve">We predicted residual soil C pools for every SOL depth measurement (n=1262) using both our collected SOL samples and post-fire SOL C pools from additional datasets that were sampled by our research group following fires in Interior Alaska </w:t>
      </w:r>
      <w:r>
        <w:rPr>
          <w:rFonts w:cs="Times New Roman"/>
        </w:rPr>
        <w:fldChar w:fldCharType="begin"/>
      </w:r>
      <w:r>
        <w:rPr>
          <w:rFonts w:cs="Times New Roman"/>
        </w:rPr>
        <w:instrText xml:space="preserve"> ADDIN ZOTERO_ITEM CSL_CITATION {"citationID":"arbprkVH","properties":{"formattedCitation":"(Boby et al. 2010; Xanthe J. Walker et al. 2021)","plainCitation":"(Boby et al. 2010; Xanthe J. Walker et al. 2021)","dontUpdate":true,"noteIndex":0},"citationItems":[{"id":2066,"uris":["http://zotero.org/users/5290972/items/ACKJSHJ2"],"itemData":{"id":2066,"type":"article-journal","abstract":"The boreal region stores a large proportion of the world's terrestrial carbon (C) and is subject to high-intensity, stand-replacing wildfires that release C and nitrogen (N) stored in biomass and soils through combustion. While severity and extent of fires drives overall emissions, methods for accurately estimating fire severity are poorly tested in this unique region where organic soil combustion is responsible for a large proportion of total emissions. We tested a method using adventitious roots on black spruce trees (Picea mariana) in combination with canopy allometry to reconstruct prefire organic soil layers and canopy biomass in boreal black spruce forests of Alaska (USA), thus providing a basis for more accurately quantifying fire severity levels. We calibrated this adventitious-root-height method in unburned spruce stands and then tested it by comparing our biomass and soils estimates reconstructed in burned stands with actual prefire stand measurements. We applied this approach to 38 black spruce stands burned in 2004 in Alaska, where we measured organic soil and stand characteristics and estimated the amount of soil and canopy biomass, as well as C and N pools, consumed by fire. These high-intensity quantitative estimates of severity were significantly correlated to a semiquantitative visual rapid assessment tool, the composite burn index (CBI). This index has proved useful for assessing fire severity in forests in the western United States but has not yet been widely tested in the boreal forest. From our study, we conclude that using postfire measurements of adventitious roots on black spruce trees in combination with soils and tree data can be used to reconstruct prefire organic soil depths and biomass pools, providing accurate estimates of fire severity and emissions. Furthermore, using our quantitative reconstruction we show that CBI is a reasonably good predictor of biomass and soil C loss at these sites, and it shows promise for rapidly estimating fire severity across a wide range of boreal black spruce forest types, especially where the use of high-intensity measurements may be limited by cost and time.","archive_location":"ISI:000281278500012","container-title":"Ecological Applications","DOI":"10.1890/08-2295.1","ISSN":"1051-0761","issue":"6","journalAbbreviation":"Ecol Appl","language":"English","page":"1633-1647","title":"Quantifying fire severity, carbon, and nitrogen emissions in Alaska's boreal forest","volume":"20","author":[{"family":"Boby","given":"L. A."},{"family":"Schuur","given":"E. A. G."},{"family":"Mack","given":"M. C."},{"family":"Verbyla","given":"D."},{"family":"Johnstone","given":"J. F."}],"issued":{"date-parts":[["2010",9]]}}},{"id":6382,"uris":["http://zotero.org/users/5290972/items/4LQ55UIZ"],"itemData":{"id":6382,"type":"article-journal","abstract":"Wildfire frequency and extent is increasing throughout the boreal forest-tundra ecotone as climate warms. Understanding the impacts of wildfire throughout this ecotone is required to make predictions of the rate and magnitude of changes in boreal-tundra landcover, its future flammability, and associated feedbacks to the global carbon (C) cycle and climate. We studied 48 sites spanning a gradient from tundra to low-density spruce stands that were burned in an extensive 2013 wildfire on the north slope of the Alaska Range in Denali National Park and Preserve, central Alaska. We assessed wildfire severity and C emissions, and determined the impacts of severity on understory vegetation composition, conifer tree recruitment, and active layer thickness (ALT). We also assessed conifer seed rain and used a seeding experiment to determine factors controlling post-fire tree regeneration. We found that an average of 2.18 ± 1.13 Kg C m-2 was emitted from this fire, almost 95% of which came from burning of the organic soil. On average, burn depth of the organic soil was 10.6 ± 4.5 cm and both burn depth and total C combusted increased with pre-fire conifer density. Sites with higher pre-fire conifer density were also located at warmer and drier landscape positions and associated with increased ALT post-fire, greater changes in pre- and post-fire understory vegetation communities, and higher post-fire boreal tree recruitment. Our seed rain observations and seeding experiment indicate that the recruitment potential of conifer trees is limited by seed availability in this forest-tundra ecotone. We conclude that the expected climate-induced forest infilling (i.e. increased density) at the forest-tundra ecotone could increase fire severity, but this infilling is unlikely to occur without increases in the availability of viable seed.","container-title":"PLoS ONE","DOI":"10.1371/journal.pone.0258558","ISSN":"1932-6203","issue":"10","journalAbbreviation":"PLoS ONE","language":"en","page":"e0258558","title":"Impacts of pre-fire conifer density and wildfire severity on ecosystem structure and function at the forest-tundra ecotone","volume":"16","author":[{"family":"Walker","given":"Xanthe J."},{"family":"Howard","given":"Brain K."},{"family":"Jean","given":"Mélanie"},{"family":"Johnstone","given":"Jill F."},{"family":"Roland","given":"Carl"},{"family":"Rogers","given":"Brendan M."},{"family":"Schuur","given":"Edward A. G."},{"family":"Solvik","given":"Kylen K."},{"family":"Mack","given":"Michelle C."}],"issued":{"date-parts":[["2021"]]}}}],"schema":"https://github.com/citation-style-language/schema/raw/master/csl-citation.json"} </w:instrText>
      </w:r>
      <w:r>
        <w:rPr>
          <w:rFonts w:cs="Times New Roman"/>
        </w:rPr>
        <w:fldChar w:fldCharType="separate"/>
      </w:r>
      <w:r w:rsidRPr="00773D32">
        <w:rPr>
          <w:rFonts w:cs="Times New Roman"/>
        </w:rPr>
        <w:t>(Boby et al. 2010; Walker et al. 2021</w:t>
      </w:r>
      <w:r>
        <w:rPr>
          <w:rFonts w:cs="Times New Roman"/>
        </w:rPr>
        <w:t>, Black et al. in review</w:t>
      </w:r>
      <w:r w:rsidRPr="00773D32">
        <w:rPr>
          <w:rFonts w:cs="Times New Roman"/>
        </w:rPr>
        <w:t>)</w:t>
      </w:r>
      <w:r>
        <w:rPr>
          <w:rFonts w:cs="Times New Roman"/>
        </w:rPr>
        <w:fldChar w:fldCharType="end"/>
      </w:r>
      <w:r>
        <w:rPr>
          <w:rFonts w:cs="Times New Roman"/>
        </w:rPr>
        <w:t xml:space="preserve">. In total, we used soil C data from 1547 depth-wise soil increments from 641 soil monoliths located in 293 distinct sites in Interior Alaska, including the 688 depth-wise increments from 319 soil monoliths collected as part of this study. Following the methods outlined in </w:t>
      </w:r>
      <w:r>
        <w:rPr>
          <w:rFonts w:cs="Times New Roman"/>
        </w:rPr>
        <w:fldChar w:fldCharType="begin"/>
      </w:r>
      <w:r>
        <w:rPr>
          <w:rFonts w:cs="Times New Roman"/>
        </w:rPr>
        <w:instrText xml:space="preserve"> ADDIN ZOTERO_ITEM CSL_CITATION {"citationID":"GqybNzG8","properties":{"formattedCitation":"(Xanthe J. Walker et al. 2020)","plainCitation":"(Xanthe J. Walker et al. 2020)","dontUpdate":true,"noteIndex":0},"citationItems":[{"id":6063,"uris":["http://zotero.org/users/5290972/items/5UL2FREE"],"itemData":{"id":6063,"type":"article-journal","container-title":"Frontiers in Forests and Global Change","note":"ISBN: 2624-893X\npublisher: Frontiers","page":"87","title":"Patterns of Ecosystem Structure and Wildfire Carbon Combustion Across Six Ecoregions of the North American Boreal Forest","volume":"3","author":[{"family":"Walker","given":"Xanthe J."},{"family":"Baltzer","given":"Jennifer L."},{"family":"Bourgeau-Chavez","given":"Laura"},{"family":"Day","given":"Nicola J."},{"family":"Dieleman","given":"Catherine M."},{"family":"Johnstone","given":"Jill F."},{"family":"Kane","given":"Evan S."},{"family":"Rogers","given":"Brendan M."},{"family":"Turetsky","given":"Merritt R."},{"family":"Veraverbeke","given":"Sander"}],"issued":{"date-parts":[["2020"]]}}}],"schema":"https://github.com/citation-style-language/schema/raw/master/csl-citation.json"} </w:instrText>
      </w:r>
      <w:r>
        <w:rPr>
          <w:rFonts w:cs="Times New Roman"/>
        </w:rPr>
        <w:fldChar w:fldCharType="separate"/>
      </w:r>
      <w:r w:rsidRPr="007D736C">
        <w:rPr>
          <w:rFonts w:cs="Times New Roman"/>
        </w:rPr>
        <w:t xml:space="preserve">Walker et al. </w:t>
      </w:r>
      <w:r>
        <w:rPr>
          <w:rFonts w:cs="Times New Roman"/>
        </w:rPr>
        <w:t>(</w:t>
      </w:r>
      <w:r w:rsidRPr="007D736C">
        <w:rPr>
          <w:rFonts w:cs="Times New Roman"/>
        </w:rPr>
        <w:t>2020</w:t>
      </w:r>
      <w:r>
        <w:rPr>
          <w:rFonts w:cs="Times New Roman"/>
        </w:rPr>
        <w:fldChar w:fldCharType="end"/>
      </w:r>
      <w:r>
        <w:rPr>
          <w:rFonts w:cs="Times New Roman"/>
        </w:rPr>
        <w:t xml:space="preserve">), we modeled residual SOL C pools </w:t>
      </w:r>
      <w:r w:rsidRPr="00FC4C8F">
        <w:rPr>
          <w:rFonts w:cs="Times New Roman"/>
        </w:rPr>
        <w:t>(g C m</w:t>
      </w:r>
      <w:r w:rsidRPr="00B1209B">
        <w:rPr>
          <w:rFonts w:cs="Times New Roman"/>
          <w:vertAlign w:val="superscript"/>
        </w:rPr>
        <w:t>-2</w:t>
      </w:r>
      <w:r w:rsidRPr="00FC4C8F">
        <w:rPr>
          <w:rFonts w:cs="Times New Roman"/>
        </w:rPr>
        <w:t xml:space="preserve">) </w:t>
      </w:r>
      <w:r>
        <w:rPr>
          <w:rFonts w:cs="Times New Roman"/>
        </w:rPr>
        <w:t xml:space="preserve"> as a function of depth and depth class (0-10 cm, 10- 20 cm, and &gt;20 cm)</w:t>
      </w:r>
      <w:r w:rsidRPr="00A37433">
        <w:rPr>
          <w:rFonts w:cs="Times New Roman"/>
        </w:rPr>
        <w:t xml:space="preserve"> and </w:t>
      </w:r>
      <w:r>
        <w:rPr>
          <w:rFonts w:cs="Times New Roman"/>
        </w:rPr>
        <w:t>their interaction using a GLMM. We assigned each site a forest composition class and fit a separate GLMM for each class of Spruce (n=925), Deciduous (n=93), Mixed (n=112), and Open (n=315).</w:t>
      </w:r>
      <w:r w:rsidRPr="00A37433">
        <w:rPr>
          <w:rFonts w:cs="Times New Roman"/>
        </w:rPr>
        <w:t xml:space="preserve"> </w:t>
      </w:r>
      <w:r>
        <w:rPr>
          <w:rFonts w:cs="Times New Roman"/>
        </w:rPr>
        <w:t>All m</w:t>
      </w:r>
      <w:r w:rsidRPr="00A37433">
        <w:rPr>
          <w:rFonts w:cs="Times New Roman"/>
        </w:rPr>
        <w:t xml:space="preserve">odels </w:t>
      </w:r>
      <w:r>
        <w:rPr>
          <w:rFonts w:cs="Times New Roman"/>
        </w:rPr>
        <w:t>included a random effect site</w:t>
      </w:r>
      <w:r w:rsidRPr="00A37433">
        <w:rPr>
          <w:rFonts w:cs="Times New Roman"/>
        </w:rPr>
        <w:t>.</w:t>
      </w:r>
      <w:r>
        <w:rPr>
          <w:rFonts w:cs="Times New Roman"/>
        </w:rPr>
        <w:t xml:space="preserve"> </w:t>
      </w:r>
      <w:r w:rsidRPr="00A37433">
        <w:rPr>
          <w:rFonts w:cs="Times New Roman"/>
        </w:rPr>
        <w:t xml:space="preserve">We </w:t>
      </w:r>
      <w:r>
        <w:rPr>
          <w:rFonts w:cs="Times New Roman"/>
        </w:rPr>
        <w:t xml:space="preserve">used a gamma distribution with a ‘log’ link to ensure our models met the distributional assumptions. </w:t>
      </w:r>
      <w:r w:rsidRPr="00FC4C8F">
        <w:rPr>
          <w:rFonts w:cs="Times New Roman"/>
        </w:rPr>
        <w:t>We used these models to predict</w:t>
      </w:r>
      <w:r>
        <w:rPr>
          <w:rFonts w:cs="Times New Roman"/>
        </w:rPr>
        <w:t xml:space="preserve"> residual SOL C pools</w:t>
      </w:r>
      <w:r w:rsidRPr="00FC4C8F">
        <w:rPr>
          <w:rFonts w:cs="Times New Roman"/>
        </w:rPr>
        <w:t xml:space="preserve"> (g C m</w:t>
      </w:r>
      <w:r w:rsidRPr="00B1209B">
        <w:rPr>
          <w:rFonts w:cs="Times New Roman"/>
          <w:vertAlign w:val="superscript"/>
        </w:rPr>
        <w:t>-2</w:t>
      </w:r>
      <w:r w:rsidRPr="00FC4C8F">
        <w:rPr>
          <w:rFonts w:cs="Times New Roman"/>
        </w:rPr>
        <w:t xml:space="preserve">) </w:t>
      </w:r>
      <w:bookmarkStart w:id="1" w:name="_Hlk173158105"/>
      <w:r w:rsidRPr="00FC4C8F">
        <w:rPr>
          <w:rFonts w:cs="Times New Roman"/>
        </w:rPr>
        <w:t xml:space="preserve">based on </w:t>
      </w:r>
      <w:r>
        <w:rPr>
          <w:rFonts w:cs="Times New Roman"/>
        </w:rPr>
        <w:t xml:space="preserve">the residual SOL depth </w:t>
      </w:r>
      <w:r w:rsidRPr="00FC4C8F">
        <w:rPr>
          <w:rFonts w:cs="Times New Roman"/>
        </w:rPr>
        <w:t>measurement</w:t>
      </w:r>
      <w:r>
        <w:rPr>
          <w:rFonts w:cs="Times New Roman"/>
        </w:rPr>
        <w:t>s</w:t>
      </w:r>
      <w:r w:rsidRPr="00FC4C8F">
        <w:rPr>
          <w:rFonts w:cs="Times New Roman"/>
        </w:rPr>
        <w:t xml:space="preserve"> </w:t>
      </w:r>
      <w:r>
        <w:rPr>
          <w:rFonts w:cs="Times New Roman"/>
        </w:rPr>
        <w:t xml:space="preserve">(total=1262) for each pre-fire class of Spruce </w:t>
      </w:r>
      <w:r w:rsidRPr="00FC4C8F">
        <w:rPr>
          <w:rFonts w:cs="Times New Roman"/>
        </w:rPr>
        <w:t>(n=</w:t>
      </w:r>
      <w:r>
        <w:rPr>
          <w:rFonts w:cs="Times New Roman"/>
        </w:rPr>
        <w:t>850</w:t>
      </w:r>
      <w:r w:rsidRPr="00FC4C8F">
        <w:rPr>
          <w:rFonts w:cs="Times New Roman"/>
        </w:rPr>
        <w:t>)</w:t>
      </w:r>
      <w:r>
        <w:rPr>
          <w:rFonts w:cs="Times New Roman"/>
        </w:rPr>
        <w:t xml:space="preserve">, Deciduous (n=253), Mixed (n=129), and Open (n=30). For our final estimate of residual SOL C pools, we combined the measured data (n=319) with the modeled estimates (n=943) and calculated plot-level averages. </w:t>
      </w:r>
    </w:p>
    <w:bookmarkEnd w:id="1"/>
    <w:p w14:paraId="03F3254F" w14:textId="77777777" w:rsidR="00A865F7" w:rsidRDefault="00A865F7" w:rsidP="00A865F7">
      <w:pPr>
        <w:tabs>
          <w:tab w:val="left" w:pos="0"/>
        </w:tabs>
        <w:spacing w:after="0" w:line="480" w:lineRule="auto"/>
        <w:jc w:val="both"/>
        <w:rPr>
          <w:rFonts w:cs="Times New Roman"/>
        </w:rPr>
      </w:pPr>
    </w:p>
    <w:p w14:paraId="21EAED51" w14:textId="77777777" w:rsidR="00A865F7" w:rsidRDefault="00A865F7" w:rsidP="00A865F7">
      <w:pPr>
        <w:tabs>
          <w:tab w:val="left" w:pos="0"/>
        </w:tabs>
        <w:spacing w:after="0" w:line="480" w:lineRule="auto"/>
        <w:jc w:val="both"/>
        <w:rPr>
          <w:rFonts w:cs="Times New Roman"/>
        </w:rPr>
      </w:pPr>
      <w:r>
        <w:rPr>
          <w:rFonts w:cs="Times New Roman"/>
        </w:rPr>
        <w:t xml:space="preserve">We similarly predicted soil C combusted </w:t>
      </w:r>
      <w:r w:rsidRPr="00A37433">
        <w:rPr>
          <w:rFonts w:cs="Times New Roman"/>
        </w:rPr>
        <w:t>(g C m</w:t>
      </w:r>
      <w:r w:rsidRPr="004D0079">
        <w:rPr>
          <w:rFonts w:cs="Times New Roman"/>
          <w:vertAlign w:val="superscript"/>
        </w:rPr>
        <w:t>-2</w:t>
      </w:r>
      <w:r w:rsidRPr="00A37433">
        <w:rPr>
          <w:rFonts w:cs="Times New Roman"/>
        </w:rPr>
        <w:t xml:space="preserve">) </w:t>
      </w:r>
      <w:r>
        <w:rPr>
          <w:rFonts w:cs="Times New Roman"/>
        </w:rPr>
        <w:t xml:space="preserve">for every estimate of burn depth (n=1262) </w:t>
      </w:r>
      <w:r w:rsidRPr="00CD1FCE">
        <w:rPr>
          <w:rFonts w:cs="Times New Roman"/>
        </w:rPr>
        <w:t xml:space="preserve">using </w:t>
      </w:r>
      <w:r>
        <w:rPr>
          <w:rFonts w:cs="Times New Roman"/>
        </w:rPr>
        <w:t xml:space="preserve">datasets from 111 distinct sites in Interior Alaska that had no recorded history of fire </w:t>
      </w:r>
      <w:r>
        <w:rPr>
          <w:rFonts w:cs="Times New Roman"/>
        </w:rPr>
        <w:fldChar w:fldCharType="begin"/>
      </w:r>
      <w:r>
        <w:rPr>
          <w:rFonts w:cs="Times New Roman"/>
        </w:rPr>
        <w:instrText xml:space="preserve"> ADDIN ZOTERO_ITEM CSL_CITATION {"citationID":"0QtTfvDg","properties":{"formattedCitation":"(Boby et al. 2010; Melvin et al. 2015; Xanthe J. Walker et al. 2021; Alexander et al. 2012)","plainCitation":"(Boby et al. 2010; Melvin et al. 2015; Xanthe J. Walker et al. 2021; Alexander et al. 2012)","dontUpdate":true,"noteIndex":0},"citationItems":[{"id":2066,"uris":["http://zotero.org/users/5290972/items/ACKJSHJ2"],"itemData":{"id":2066,"type":"article-journal","abstract":"The boreal region stores a large proportion of the world's terrestrial carbon (C) and is subject to high-intensity, stand-replacing wildfires that release C and nitrogen (N) stored in biomass and soils through combustion. While severity and extent of fires drives overall emissions, methods for accurately estimating fire severity are poorly tested in this unique region where organic soil combustion is responsible for a large proportion of total emissions. We tested a method using adventitious roots on black spruce trees (Picea mariana) in combination with canopy allometry to reconstruct prefire organic soil layers and canopy biomass in boreal black spruce forests of Alaska (USA), thus providing a basis for more accurately quantifying fire severity levels. We calibrated this adventitious-root-height method in unburned spruce stands and then tested it by comparing our biomass and soils estimates reconstructed in burned stands with actual prefire stand measurements. We applied this approach to 38 black spruce stands burned in 2004 in Alaska, where we measured organic soil and stand characteristics and estimated the amount of soil and canopy biomass, as well as C and N pools, consumed by fire. These high-intensity quantitative estimates of severity were significantly correlated to a semiquantitative visual rapid assessment tool, the composite burn index (CBI). This index has proved useful for assessing fire severity in forests in the western United States but has not yet been widely tested in the boreal forest. From our study, we conclude that using postfire measurements of adventitious roots on black spruce trees in combination with soils and tree data can be used to reconstruct prefire organic soil depths and biomass pools, providing accurate estimates of fire severity and emissions. Furthermore, using our quantitative reconstruction we show that CBI is a reasonably good predictor of biomass and soil C loss at these sites, and it shows promise for rapidly estimating fire severity across a wide range of boreal black spruce forest types, especially where the use of high-intensity measurements may be limited by cost and time.","archive_location":"ISI:000281278500012","container-title":"Ecological Applications","DOI":"10.1890/08-2295.1","ISSN":"1051-0761","issue":"6","journalAbbreviation":"Ecol Appl","language":"English","page":"1633-1647","title":"Quantifying fire severity, carbon, and nitrogen emissions in Alaska's boreal forest","volume":"20","author":[{"family":"Boby","given":"L. A."},{"family":"Schuur","given":"E. A. G."},{"family":"Mack","given":"M. C."},{"family":"Verbyla","given":"D."},{"family":"Johnstone","given":"J. F."}],"issued":{"date-parts":[["2010",9]]}}},{"id":1550,"uris":["http://zotero.org/users/5290972/items/VEBUQNFQ"],"itemData":{"id":1550,"type":"article-journal","abstract":"In the boreal forest of Alaska, increased fire severity associated with climate change is expanding deciduous forest cover in areas previously dominated by black spruce (Picea mariana). Needle-leaf conifer and broad-leaf deciduous species are commonly associated with differences in tree growth, carbon (C) and nutrient cycling, and C accumulation in soils. Although this suggests that changes in tree species composition in Alaska could impact C and nutrient pools and fluxes, few studies have measured these linkages. We quantified C, nitrogen, phosphorus, and base cation pools and fluxes in three stands of black spruce and Alaska paper birch (Betula neoalaskana) that established following a single fire event in 1958. Paper birch consistently displayed characteristics of more rapid C and nutrient cycling, including greater aboveground net primary productivity, higher live foliage and litter nutrient concentrations, and larger ammonium and nitrate pools in the soil organic layer (SOL). Ecosystem C stocks (aboveground + SOL + 0–10 cm mineral soil) were similar for the two species; however, in black spruce, 78% of measured C was found in soil pools, primarily in the SOL, whereas aboveground biomass dominated ecosystem C pools in birch forest. Radiocarbon analysis indicated that approximately one-quarter of the black spruce SOL C accumulated prior to the 1958 fire, whereas no pre-fire C was observed in birch soils. Our findings suggest that tree species exert a strong influence over C and nutrient cycling in boreal forest and forest compositional shifts may have long-term implications for ecosystem C and nutrient dynamics.","container-title":"Ecosystems","DOI":"10.1007/s10021-015-9912-7","ISSN":"1432-9840, 1435-0629","issue":"8","journalAbbreviation":"Ecosystems","language":"en","page":"1472-1488","source":"link.springer.com","title":"Differences in ecosystem carbon cistribution and nutrient cycling linked to forest tree species composition in a mid-successional boreal forest","volume":"18","author":[{"family":"Melvin","given":"April M."},{"family":"Mack","given":"Michelle C."},{"family":"Johnstone","given":"Jill F."},{"family":"McGuire","given":"A. David"},{"family":"Genet","given":"Helene"},{"family":"Schuur","given":"Edward A. G."}],"issued":{"date-parts":[["2015",12,1]]}}},{"id":6382,"uris":["http://zotero.org/users/5290972/items/4LQ55UIZ"],"itemData":{"id":6382,"type":"article-journal","abstract":"Wildfire frequency and extent is increasing throughout the boreal forest-tundra ecotone as climate warms. Understanding the impacts of wildfire throughout this ecotone is required to make predictions of the rate and magnitude of changes in boreal-tundra landcover, its future flammability, and associated feedbacks to the global carbon (C) cycle and climate. We studied 48 sites spanning a gradient from tundra to low-density spruce stands that were burned in an extensive 2013 wildfire on the north slope of the Alaska Range in Denali National Park and Preserve, central Alaska. We assessed wildfire severity and C emissions, and determined the impacts of severity on understory vegetation composition, conifer tree recruitment, and active layer thickness (ALT). We also assessed conifer seed rain and used a seeding experiment to determine factors controlling post-fire tree regeneration. We found that an average of 2.18 ± 1.13 Kg C m-2 was emitted from this fire, almost 95% of which came from burning of the organic soil. On average, burn depth of the organic soil was 10.6 ± 4.5 cm and both burn depth and total C combusted increased with pre-fire conifer density. Sites with higher pre-fire conifer density were also located at warmer and drier landscape positions and associated with increased ALT post-fire, greater changes in pre- and post-fire understory vegetation communities, and higher post-fire boreal tree recruitment. Our seed rain observations and seeding experiment indicate that the recruitment potential of conifer trees is limited by seed availability in this forest-tundra ecotone. We conclude that the expected climate-induced forest infilling (i.e. increased density) at the forest-tundra ecotone could increase fire severity, but this infilling is unlikely to occur without increases in the availability of viable seed.","container-title":"PLoS ONE","DOI":"10.1371/journal.pone.0258558","ISSN":"1932-6203","issue":"10","journalAbbreviation":"PLoS ONE","language":"en","page":"e0258558","title":"Impacts of pre-fire conifer density and wildfire severity on ecosystem structure and function at the forest-tundra ecotone","volume":"16","author":[{"family":"Walker","given":"Xanthe J."},{"family":"Howard","given":"Brain K."},{"family":"Jean","given":"Mélanie"},{"family":"Johnstone","given":"Jill F."},{"family":"Roland","given":"Carl"},{"family":"Rogers","given":"Brendan M."},{"family":"Schuur","given":"Edward A. G."},{"family":"Solvik","given":"Kylen K."},{"family":"Mack","given":"Michelle C."}],"issued":{"date-parts":[["2021"]]}}},{"id":1560,"uris":["http://zotero.org/users/5290972/items/7DBNH3NF"],"itemData":{"id":1560,"type":"article-journal","container-title":"Ecosphere","DOI":"10.1890/es11-00364.1","ISSN":"2150-8925","issue":"5","page":"1-21","title":"Implications of increased deciduous cover on stand structure and aboveground carbon pools of Alaskan boreal forests","title-short":"Implications of increased deciduous cover on stand structure and aboveground carbon pools of Alaskan boreal forests","volume":"3","author":[{"family":"Alexander","given":"Heather D."},{"family":"Mack","given":"Michelle C."},{"family":"Goetz","given":"Scott"},{"family":"Beck","given":"Pieter S. A."},{"family":"Belshe","given":"E. Fay"}],"issued":{"date-parts":[["2012",5,1]]}}}],"schema":"https://github.com/citation-style-language/schema/raw/master/csl-citation.json"} </w:instrText>
      </w:r>
      <w:r>
        <w:rPr>
          <w:rFonts w:cs="Times New Roman"/>
        </w:rPr>
        <w:fldChar w:fldCharType="separate"/>
      </w:r>
      <w:r w:rsidRPr="007A5D86">
        <w:rPr>
          <w:rFonts w:cs="Times New Roman"/>
        </w:rPr>
        <w:t>(Alexander et al. 2012</w:t>
      </w:r>
      <w:r>
        <w:rPr>
          <w:rFonts w:cs="Times New Roman"/>
        </w:rPr>
        <w:t xml:space="preserve">; </w:t>
      </w:r>
      <w:r w:rsidRPr="007A5D86">
        <w:rPr>
          <w:rFonts w:cs="Times New Roman"/>
        </w:rPr>
        <w:t>Boby et al. 2010; Melvin et al. 2015; Walker et al. 2021)</w:t>
      </w:r>
      <w:r>
        <w:rPr>
          <w:rFonts w:cs="Times New Roman"/>
        </w:rPr>
        <w:fldChar w:fldCharType="end"/>
      </w:r>
      <w:r>
        <w:rPr>
          <w:rFonts w:cs="Times New Roman"/>
        </w:rPr>
        <w:t xml:space="preserve">. These datasets included 1346 depth-wise </w:t>
      </w:r>
      <w:r w:rsidRPr="00CD1FCE">
        <w:rPr>
          <w:rFonts w:cs="Times New Roman"/>
        </w:rPr>
        <w:t xml:space="preserve">soil </w:t>
      </w:r>
      <w:r>
        <w:rPr>
          <w:rFonts w:cs="Times New Roman"/>
        </w:rPr>
        <w:t>increments from 541 soil profiles</w:t>
      </w:r>
      <w:r w:rsidRPr="00CD1FCE">
        <w:rPr>
          <w:rFonts w:cs="Times New Roman"/>
        </w:rPr>
        <w:t xml:space="preserve">. </w:t>
      </w:r>
      <w:r>
        <w:rPr>
          <w:rFonts w:cs="Times New Roman"/>
        </w:rPr>
        <w:t xml:space="preserve">We created separate models for soil C using the same GLMM structure described above for each of the four forest composition classes of Spruce (n=1027), Deciduous (n=164), Mixed (n=81), and Open (n=74). We applied these depth-wise C pool models to burn depth estimates </w:t>
      </w:r>
      <w:r w:rsidRPr="007A2168">
        <w:rPr>
          <w:rFonts w:cs="Times New Roman"/>
        </w:rPr>
        <w:t>for each pre-fire class of Spruce (n=850), Deciduous (n=25</w:t>
      </w:r>
      <w:r>
        <w:rPr>
          <w:rFonts w:cs="Times New Roman"/>
        </w:rPr>
        <w:t>3</w:t>
      </w:r>
      <w:r w:rsidRPr="007A2168">
        <w:rPr>
          <w:rFonts w:cs="Times New Roman"/>
        </w:rPr>
        <w:t xml:space="preserve">), </w:t>
      </w:r>
      <w:r w:rsidRPr="007A2168">
        <w:rPr>
          <w:rFonts w:cs="Times New Roman"/>
        </w:rPr>
        <w:lastRenderedPageBreak/>
        <w:t>Mixed (n=129), and Open (n=3</w:t>
      </w:r>
      <w:r>
        <w:rPr>
          <w:rFonts w:cs="Times New Roman"/>
        </w:rPr>
        <w:t>0</w:t>
      </w:r>
      <w:r w:rsidRPr="007A2168">
        <w:rPr>
          <w:rFonts w:cs="Times New Roman"/>
        </w:rPr>
        <w:t>)</w:t>
      </w:r>
      <w:r>
        <w:rPr>
          <w:rFonts w:cs="Times New Roman"/>
        </w:rPr>
        <w:t xml:space="preserve"> to predict soil C combusted </w:t>
      </w:r>
      <w:r w:rsidRPr="00A37433">
        <w:rPr>
          <w:rFonts w:cs="Times New Roman"/>
        </w:rPr>
        <w:t>(g C m</w:t>
      </w:r>
      <w:r w:rsidRPr="004D0079">
        <w:rPr>
          <w:rFonts w:cs="Times New Roman"/>
          <w:vertAlign w:val="superscript"/>
        </w:rPr>
        <w:t>-2</w:t>
      </w:r>
      <w:r w:rsidRPr="00A37433">
        <w:rPr>
          <w:rFonts w:cs="Times New Roman"/>
        </w:rPr>
        <w:t xml:space="preserve">) </w:t>
      </w:r>
      <w:r>
        <w:rPr>
          <w:rFonts w:cs="Times New Roman"/>
        </w:rPr>
        <w:t xml:space="preserve">and then calculated plot-level averages. </w:t>
      </w:r>
    </w:p>
    <w:p w14:paraId="4C9EF6F2" w14:textId="77777777" w:rsidR="00A865F7" w:rsidRDefault="00A865F7" w:rsidP="00A865F7">
      <w:pPr>
        <w:tabs>
          <w:tab w:val="left" w:pos="0"/>
        </w:tabs>
        <w:spacing w:after="0" w:line="480" w:lineRule="auto"/>
        <w:jc w:val="both"/>
        <w:rPr>
          <w:rFonts w:cs="Times New Roman"/>
        </w:rPr>
      </w:pPr>
    </w:p>
    <w:p w14:paraId="09747670" w14:textId="77777777" w:rsidR="00A865F7" w:rsidRDefault="00A865F7" w:rsidP="00A865F7">
      <w:pPr>
        <w:tabs>
          <w:tab w:val="left" w:pos="0"/>
        </w:tabs>
        <w:spacing w:after="0" w:line="480" w:lineRule="auto"/>
        <w:jc w:val="both"/>
        <w:rPr>
          <w:rFonts w:cs="Times New Roman"/>
          <w:color w:val="000000" w:themeColor="text1"/>
        </w:rPr>
      </w:pPr>
      <w:r>
        <w:rPr>
          <w:rFonts w:cs="Times New Roman"/>
        </w:rPr>
        <w:t xml:space="preserve">To estimate </w:t>
      </w:r>
      <w:r w:rsidRPr="00A37433">
        <w:rPr>
          <w:rFonts w:cs="Times New Roman"/>
        </w:rPr>
        <w:t>pre-fire SOL C pools</w:t>
      </w:r>
      <w:r>
        <w:rPr>
          <w:rFonts w:cs="Times New Roman"/>
        </w:rPr>
        <w:t xml:space="preserve"> </w:t>
      </w:r>
      <w:r w:rsidRPr="00A37433">
        <w:rPr>
          <w:rFonts w:cs="Times New Roman"/>
        </w:rPr>
        <w:t>(g C m</w:t>
      </w:r>
      <w:r w:rsidRPr="001F1178">
        <w:rPr>
          <w:rFonts w:cs="Times New Roman"/>
          <w:vertAlign w:val="superscript"/>
        </w:rPr>
        <w:t>-2</w:t>
      </w:r>
      <w:r w:rsidRPr="00A37433">
        <w:rPr>
          <w:rFonts w:cs="Times New Roman"/>
        </w:rPr>
        <w:t>)</w:t>
      </w:r>
      <w:r>
        <w:rPr>
          <w:rFonts w:cs="Times New Roman"/>
        </w:rPr>
        <w:t xml:space="preserve">, we </w:t>
      </w:r>
      <w:r w:rsidRPr="00A37433">
        <w:rPr>
          <w:rFonts w:cs="Times New Roman"/>
        </w:rPr>
        <w:t>summ</w:t>
      </w:r>
      <w:r>
        <w:rPr>
          <w:rFonts w:cs="Times New Roman"/>
        </w:rPr>
        <w:t>ed</w:t>
      </w:r>
      <w:r w:rsidRPr="00A37433">
        <w:rPr>
          <w:rFonts w:cs="Times New Roman"/>
        </w:rPr>
        <w:t xml:space="preserve"> </w:t>
      </w:r>
      <w:r>
        <w:rPr>
          <w:rFonts w:cs="Times New Roman"/>
        </w:rPr>
        <w:t xml:space="preserve">either </w:t>
      </w:r>
      <w:r w:rsidRPr="00A37433">
        <w:rPr>
          <w:rFonts w:cs="Times New Roman"/>
        </w:rPr>
        <w:t xml:space="preserve">the measured </w:t>
      </w:r>
      <w:r>
        <w:rPr>
          <w:rFonts w:cs="Times New Roman"/>
        </w:rPr>
        <w:t xml:space="preserve">or modeled </w:t>
      </w:r>
      <w:r w:rsidRPr="00A37433">
        <w:rPr>
          <w:rFonts w:cs="Times New Roman"/>
        </w:rPr>
        <w:t xml:space="preserve">residual C pools </w:t>
      </w:r>
      <w:r>
        <w:rPr>
          <w:rFonts w:cs="Times New Roman"/>
        </w:rPr>
        <w:t>with the</w:t>
      </w:r>
      <w:r w:rsidRPr="00A37433">
        <w:rPr>
          <w:rFonts w:cs="Times New Roman"/>
        </w:rPr>
        <w:t xml:space="preserve"> modeled combusted C pools, which were then averaged per plot.</w:t>
      </w:r>
      <w:r>
        <w:rPr>
          <w:rFonts w:cs="Times New Roman"/>
        </w:rPr>
        <w:t xml:space="preserve"> </w:t>
      </w:r>
      <w:r w:rsidRPr="00A37433">
        <w:rPr>
          <w:rFonts w:cs="Times New Roman"/>
        </w:rPr>
        <w:t xml:space="preserve">Using the </w:t>
      </w:r>
      <w:r>
        <w:rPr>
          <w:rFonts w:cs="Times New Roman"/>
        </w:rPr>
        <w:t>plot-level estimates of aboveground and belowground C pools,</w:t>
      </w:r>
      <w:r w:rsidRPr="00A37433">
        <w:rPr>
          <w:rFonts w:cs="Times New Roman"/>
        </w:rPr>
        <w:t xml:space="preserve"> we calculated total </w:t>
      </w:r>
      <w:r>
        <w:rPr>
          <w:rFonts w:cs="Times New Roman"/>
        </w:rPr>
        <w:t xml:space="preserve">pre-fire, post-fire, and </w:t>
      </w:r>
      <w:r w:rsidRPr="00A37433">
        <w:rPr>
          <w:rFonts w:cs="Times New Roman"/>
        </w:rPr>
        <w:t xml:space="preserve">combusted </w:t>
      </w:r>
      <w:r>
        <w:rPr>
          <w:rFonts w:cs="Times New Roman"/>
        </w:rPr>
        <w:t xml:space="preserve">C pools. </w:t>
      </w:r>
      <w:r>
        <w:rPr>
          <w:rFonts w:cs="Times New Roman"/>
          <w:color w:val="000000" w:themeColor="text1"/>
        </w:rPr>
        <w:t xml:space="preserve">To determine how C pools differ among FRIs, we fit GLMMs for aboveground, belowground, and total pre-fire, post-fire, and combusted C pools. We also fit GLMMs for pre-fire, post-fire, and combusted C pools for each aboveground component (CWD, snags, shrubs, and trees). We used a Tweedie distribution for each model </w:t>
      </w:r>
      <w:r w:rsidRPr="00096BD3">
        <w:rPr>
          <w:rFonts w:cs="Times New Roman"/>
          <w:color w:val="000000" w:themeColor="text1"/>
        </w:rPr>
        <w:t>with site as a random</w:t>
      </w:r>
      <w:r>
        <w:rPr>
          <w:rFonts w:cs="Times New Roman"/>
          <w:color w:val="000000" w:themeColor="text1"/>
        </w:rPr>
        <w:t xml:space="preserve"> intercept and FRI (5 levels) as a fixed effect. </w:t>
      </w:r>
      <w:r w:rsidRPr="003B307C">
        <w:rPr>
          <w:rFonts w:cs="Times New Roman"/>
          <w:color w:val="000000" w:themeColor="text1"/>
        </w:rPr>
        <w:t xml:space="preserve">We used </w:t>
      </w:r>
      <w:r>
        <w:rPr>
          <w:rFonts w:cs="Times New Roman"/>
          <w:color w:val="000000" w:themeColor="text1"/>
        </w:rPr>
        <w:t xml:space="preserve">a </w:t>
      </w:r>
      <w:r w:rsidRPr="003B307C">
        <w:rPr>
          <w:rFonts w:cs="Times New Roman"/>
          <w:color w:val="000000" w:themeColor="text1"/>
        </w:rPr>
        <w:t xml:space="preserve">post hoc analysis for multiple comparisons in the R package ‘emmeans’ </w:t>
      </w:r>
      <w:r>
        <w:rPr>
          <w:rFonts w:cs="Times New Roman"/>
          <w:color w:val="000000" w:themeColor="text1"/>
        </w:rPr>
        <w:fldChar w:fldCharType="begin"/>
      </w:r>
      <w:r>
        <w:rPr>
          <w:rFonts w:cs="Times New Roman"/>
          <w:color w:val="000000" w:themeColor="text1"/>
        </w:rPr>
        <w:instrText xml:space="preserve"> ADDIN ZOTERO_ITEM CSL_CITATION {"citationID":"QX7Yud6o","properties":{"formattedCitation":"(Lenth et al. 2019)","plainCitation":"(Lenth et al. 2019)","noteIndex":0},"citationItems":[{"id":34,"uris":["http://zotero.org/users/5290972/items/DYSLW4IZ"],"itemData":{"id":34,"type":"book","abstract":"Obtain estimated marginal means (EMMs) for many linear, generalized linear, and mixed models. Compute contrasts or linear functions of EMMs, trends, and comparisons of slopes. Plots and compact letter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&lt;doi:10.1080/00031305.1980.10483031&gt;.","edition":"1.3.3","source":"R-Packages","title":"emmeans: Estimated Marginal Means, aka Least-Squares Means","URL":"https://CRAN.R-project.org/package=emmeans","author":[{"family":"Lenth","given":"Russell"},{"family":"Singmann","given":"Henrik"},{"family":"Love","given":"Jonathon"},{"family":"Buerkner","given":"Paul"},{"family":"Herve","given":"Maxime"}],"accessed":{"date-parts":[["2019",4,18]]},"issued":{"date-parts":[["2019",3,2]]}}}],"schema":"https://github.com/citation-style-language/schema/raw/master/csl-citation.json"} </w:instrText>
      </w:r>
      <w:r>
        <w:rPr>
          <w:rFonts w:cs="Times New Roman"/>
          <w:color w:val="000000" w:themeColor="text1"/>
        </w:rPr>
        <w:fldChar w:fldCharType="separate"/>
      </w:r>
      <w:r w:rsidRPr="005F35CE">
        <w:rPr>
          <w:rFonts w:cs="Times New Roman"/>
        </w:rPr>
        <w:t>(Lenth et al. 2019)</w:t>
      </w:r>
      <w:r>
        <w:rPr>
          <w:rFonts w:cs="Times New Roman"/>
          <w:color w:val="000000" w:themeColor="text1"/>
        </w:rPr>
        <w:fldChar w:fldCharType="end"/>
      </w:r>
      <w:r>
        <w:rPr>
          <w:rFonts w:cs="Times New Roman"/>
          <w:color w:val="000000" w:themeColor="text1"/>
        </w:rPr>
        <w:t xml:space="preserve"> </w:t>
      </w:r>
      <w:r w:rsidRPr="003B307C">
        <w:rPr>
          <w:rFonts w:cs="Times New Roman"/>
          <w:color w:val="000000" w:themeColor="text1"/>
        </w:rPr>
        <w:t xml:space="preserve">with a </w:t>
      </w:r>
      <w:r>
        <w:rPr>
          <w:rFonts w:cs="Times New Roman"/>
          <w:color w:val="000000" w:themeColor="text1"/>
        </w:rPr>
        <w:t xml:space="preserve">false discovery rate </w:t>
      </w:r>
      <w:r w:rsidRPr="003B307C">
        <w:rPr>
          <w:rFonts w:cs="Times New Roman"/>
          <w:color w:val="000000" w:themeColor="text1"/>
        </w:rPr>
        <w:t>adjustment to test for differences in marginal means</w:t>
      </w:r>
      <w:r>
        <w:rPr>
          <w:rFonts w:cs="Times New Roman"/>
          <w:color w:val="000000" w:themeColor="text1"/>
        </w:rPr>
        <w:t xml:space="preserve"> among FRI classes. </w:t>
      </w:r>
    </w:p>
    <w:p w14:paraId="53F055F7" w14:textId="77777777" w:rsidR="00A865F7" w:rsidRDefault="00A865F7" w:rsidP="00A865F7">
      <w:pPr>
        <w:tabs>
          <w:tab w:val="left" w:pos="0"/>
        </w:tabs>
        <w:spacing w:after="0" w:line="480" w:lineRule="auto"/>
        <w:jc w:val="both"/>
        <w:rPr>
          <w:rFonts w:cs="Times New Roman"/>
          <w:color w:val="000000" w:themeColor="text1"/>
        </w:rPr>
      </w:pPr>
    </w:p>
    <w:p w14:paraId="461ED62C" w14:textId="77777777" w:rsidR="00A865F7" w:rsidRDefault="00A865F7" w:rsidP="00A865F7">
      <w:pPr>
        <w:spacing w:after="0" w:line="480" w:lineRule="auto"/>
        <w:jc w:val="both"/>
        <w:rPr>
          <w:rFonts w:cs="Times New Roman"/>
        </w:rPr>
      </w:pPr>
      <w:r>
        <w:rPr>
          <w:rFonts w:eastAsia="Times New Roman" w:cs="Times New Roman"/>
        </w:rPr>
        <w:t xml:space="preserve">We estimated the amount of both belowground and aboveground legacy C combusted—C that escaped combustion in one or more previous fires—for each of the reburned FRI classes. Belowground legacy C is the SOL C that escaped combustion, whereas aboveground legacy C is the CWD and deadwood that remains following fire. For both belowground and aboveground pools, legacy C combustion was calculated as the difference between the C pool accumulated during the fire-free interval and C lost in the most recent fire. Carbon accumulation for the mid and short FRIs was estimated as the difference between the pre-fire C pool of the class and the mean post-fire C pools of long FRIs. This was because all mid and short classes experienced a long FRI prior to the recent burn. Carbon accumulation in the triple classes was estimated as the </w:t>
      </w:r>
      <w:r>
        <w:rPr>
          <w:rFonts w:eastAsia="Times New Roman" w:cs="Times New Roman"/>
        </w:rPr>
        <w:lastRenderedPageBreak/>
        <w:t xml:space="preserve">difference between the pre-fire C pool of the class and the mean post-fire C pool of the mid-FRIs. This is because most of the triple burns (17 out of 26) experienced a mid-FRI prior to the recent burn. Using this method, we could not calculate legacy C loss for long FRIs as the net accumulation is equivalent to the C combustion. The percent of C combustion attributed to legacy C was calculated as legacy C loss divided by total C loss. </w:t>
      </w:r>
    </w:p>
    <w:p w14:paraId="280B2FFA" w14:textId="77777777" w:rsidR="00A865F7" w:rsidRDefault="00A865F7" w:rsidP="00A865F7">
      <w:pPr>
        <w:tabs>
          <w:tab w:val="left" w:pos="0"/>
        </w:tabs>
        <w:spacing w:after="0" w:line="480" w:lineRule="auto"/>
        <w:jc w:val="both"/>
        <w:rPr>
          <w:rFonts w:cs="Times New Roman"/>
        </w:rPr>
      </w:pPr>
    </w:p>
    <w:p w14:paraId="503C4311" w14:textId="77777777" w:rsidR="00A865F7" w:rsidRPr="00BF33BE" w:rsidRDefault="00A865F7" w:rsidP="00A865F7">
      <w:pPr>
        <w:spacing w:after="0" w:line="480" w:lineRule="auto"/>
        <w:jc w:val="both"/>
        <w:rPr>
          <w:rFonts w:eastAsia="Times New Roman" w:cs="Times New Roman"/>
        </w:rPr>
      </w:pPr>
      <w:r>
        <w:rPr>
          <w:rFonts w:eastAsia="Times New Roman" w:cs="Times New Roman"/>
        </w:rPr>
        <w:t xml:space="preserve">We calculated the average density and biomass of each tree seedling in each site using species-specific seedling counts, basal diameter measurements, and allometric equations </w:t>
      </w:r>
      <w:r>
        <w:rPr>
          <w:rFonts w:eastAsia="Times New Roman" w:cs="Times New Roman"/>
        </w:rPr>
        <w:fldChar w:fldCharType="begin"/>
      </w:r>
      <w:r>
        <w:rPr>
          <w:rFonts w:eastAsia="Times New Roman" w:cs="Times New Roman"/>
        </w:rPr>
        <w:instrText xml:space="preserve"> ADDIN ZOTERO_ITEM CSL_CITATION {"citationID":"SCKZlQwe","properties":{"formattedCitation":"(J. F. Johnstone et al. 2020)","plainCitation":"(J. F. Johnstone et al. 2020)","dontUpdate":true,"noteIndex":0},"citationItems":[{"id":100,"uris":["http://zotero.org/users/5290972/items/YQ4FBBTH"],"itemData":{"id":100,"type":"article-journal","abstract":"Disturbances can interrupt feedbacks that maintain stable plant community structure and create windows of opportunity for vegetation to shift to alternative states. Boreal forests are dominated by tree species that overlap considerably in environmental niche, but there are few tests of what conditions initiate and sustain different forest states. Here, we examine patterns of post-fire growth and density of tree seedlings in early succession and use structural equation models to estimate relative effects of environmental and pre-fire conditions, fire characteristics, and biotic interactions. We surveyed tree seedling recruits for 13 yr across a broad range of environmental and fire conditions (n = 89) in Alaskan black spruce stands that burned in 2004. Densities of established seedlings at 13 yr were strongly determined by initial recruitment that occurred within 2 yr after fire. High proportional combustion of the soil organic layer (fire severity) led to increased densities of deciduous seedlings but not of black spruce and had a positive influence on aboveground biomass of all species. Biotic interactions such as mammalian herbivory or woody competition, potential mechanisms for relay floristic succession, had no detectable effects on tree seedling densities or biomass. Repeated surveys instead suggested persistent shifts in successional trajectories of tree communities from spruce to deciduous dominance at sites where high fire severity created positive conditions for deciduous seedling recruitment and growth. Unless future species interactions alter the deciduous dominance of tree seedling composition, the vegetation transformations that we observed in response to high fire severity are likely to persist over the short fire cycle that increasingly characterizes the fire regime of Interior Alaska.","container-title":"Ecosphere","DOI":"10.1002/ecs2.3129","ISSN":"2150-8925","issue":"5","language":"en","page":"e03129","source":"Wiley Online Library","title":"Factors shaping alternate successional trajectories in burned black spruce forests of Alaska","volume":"11","author":[{"family":"Johnstone","given":"J. F."},{"family":"Celis","given":"G."},{"family":"Chapin","given":"F. S."},{"family":"Hollingsworth","given":"T. N."},{"family":"Jean","given":"M."},{"family":"Mack","given":"M. C."}],"issued":{"date-parts":[["2020"]]}}}],"schema":"https://github.com/citation-style-language/schema/raw/master/csl-citation.json"} </w:instrText>
      </w:r>
      <w:r>
        <w:rPr>
          <w:rFonts w:eastAsia="Times New Roman" w:cs="Times New Roman"/>
        </w:rPr>
        <w:fldChar w:fldCharType="separate"/>
      </w:r>
      <w:r w:rsidRPr="005F35CE">
        <w:rPr>
          <w:rFonts w:cs="Times New Roman"/>
        </w:rPr>
        <w:t>(Johnstone et al. 2020)</w:t>
      </w:r>
      <w:r>
        <w:rPr>
          <w:rFonts w:eastAsia="Times New Roman" w:cs="Times New Roman"/>
        </w:rPr>
        <w:fldChar w:fldCharType="end"/>
      </w:r>
      <w:r>
        <w:rPr>
          <w:rFonts w:eastAsia="Times New Roman" w:cs="Times New Roman"/>
        </w:rPr>
        <w:t>. We summed all sample quadrats in each site to ensure sufficient sample area (6 to 9 m</w:t>
      </w:r>
      <w:r w:rsidRPr="00124128">
        <w:rPr>
          <w:rFonts w:eastAsia="Times New Roman" w:cs="Times New Roman"/>
          <w:vertAlign w:val="superscript"/>
        </w:rPr>
        <w:t>2</w:t>
      </w:r>
      <w:r>
        <w:rPr>
          <w:rFonts w:eastAsia="Times New Roman" w:cs="Times New Roman"/>
        </w:rPr>
        <w:t xml:space="preserve">) to capture the spatial heterogeneity in seedling recruitment. </w:t>
      </w:r>
      <w:r>
        <w:rPr>
          <w:rFonts w:cs="Times New Roman"/>
          <w:color w:val="000000" w:themeColor="text1"/>
        </w:rPr>
        <w:t xml:space="preserve">As post-fire seedlings might not be present in the year immediately following a fire, we only included sites that were measured two or more years after fire (134 out of 185 sites). This resulted in 54 long FRIs, 33 mid, 32 short, 8 triple-mid, and 7 triple-short. </w:t>
      </w:r>
      <w:r>
        <w:rPr>
          <w:rFonts w:eastAsia="Times New Roman" w:cs="Times New Roman"/>
        </w:rPr>
        <w:t>We then calculated the DI previously described for post-fire seedlings and classified sites into post-fire tree species dominance classes</w:t>
      </w:r>
      <w:r w:rsidRPr="00BF33BE">
        <w:rPr>
          <w:rFonts w:eastAsia="Times New Roman" w:cs="Times New Roman"/>
        </w:rPr>
        <w:t xml:space="preserve">. </w:t>
      </w:r>
      <w:r>
        <w:rPr>
          <w:rFonts w:eastAsia="Times New Roman" w:cs="Times New Roman"/>
        </w:rPr>
        <w:t>All sites with less than one seedling per 2 m</w:t>
      </w:r>
      <w:r w:rsidRPr="005C3764">
        <w:rPr>
          <w:rFonts w:eastAsia="Times New Roman" w:cs="Times New Roman"/>
          <w:vertAlign w:val="superscript"/>
        </w:rPr>
        <w:t>2</w:t>
      </w:r>
      <w:r>
        <w:rPr>
          <w:rFonts w:eastAsia="Times New Roman" w:cs="Times New Roman"/>
        </w:rPr>
        <w:t xml:space="preserve"> were classified as open.</w:t>
      </w:r>
    </w:p>
    <w:p w14:paraId="32E5B453" w14:textId="77777777" w:rsidR="00A865F7" w:rsidRPr="00BF33BE" w:rsidRDefault="00A865F7" w:rsidP="00A865F7">
      <w:pPr>
        <w:spacing w:after="0" w:line="480" w:lineRule="auto"/>
        <w:jc w:val="both"/>
        <w:rPr>
          <w:rFonts w:eastAsia="Times New Roman" w:cs="Times New Roman"/>
          <w:color w:val="000000"/>
        </w:rPr>
      </w:pPr>
    </w:p>
    <w:p w14:paraId="3143A321" w14:textId="77777777" w:rsidR="00A865F7" w:rsidRDefault="00A865F7" w:rsidP="00A865F7">
      <w:pPr>
        <w:tabs>
          <w:tab w:val="left" w:pos="0"/>
        </w:tabs>
        <w:spacing w:after="0" w:line="480" w:lineRule="auto"/>
        <w:jc w:val="both"/>
        <w:rPr>
          <w:rFonts w:cs="Times New Roman"/>
          <w:color w:val="000000" w:themeColor="text1"/>
        </w:rPr>
      </w:pPr>
      <w:r>
        <w:rPr>
          <w:rFonts w:cs="Times New Roman"/>
          <w:color w:val="000000" w:themeColor="text1"/>
        </w:rPr>
        <w:t xml:space="preserve">To determine the relationship between FRI and post-fire successional trajectories for all sites, we completed chi-square tests of independence with simulated p-values based on 10000 replicates. We followed this with a posthoc test in the package ‘chisq.posthoc.test’ </w:t>
      </w:r>
      <w:r>
        <w:rPr>
          <w:rFonts w:cs="Times New Roman"/>
          <w:color w:val="000000" w:themeColor="text1"/>
        </w:rPr>
        <w:fldChar w:fldCharType="begin"/>
      </w:r>
      <w:r>
        <w:rPr>
          <w:rFonts w:cs="Times New Roman"/>
          <w:color w:val="000000" w:themeColor="text1"/>
        </w:rPr>
        <w:instrText xml:space="preserve"> ADDIN ZOTERO_ITEM CSL_CITATION {"citationID":"ymXaQK0j","properties":{"formattedCitation":"(Ebbert and Ebbert 2019)","plainCitation":"(Ebbert and Ebbert 2019)","noteIndex":0},"citationItems":[{"id":9866,"uris":["http://zotero.org/users/5290972/items/2TKRFTEX"],"itemData":{"id":9866,"type":"article-journal","container-title":"Version 0.1","journalAbbreviation":"Version 0.1","title":"Package ‘chisq. posthoc. test’","volume":"2","author":[{"family":"Ebbert","given":"Daniel"},{"family":"Ebbert","given":"Maintainer Daniel"}],"issued":{"date-parts":[["2019"]]}}}],"schema":"https://github.com/citation-style-language/schema/raw/master/csl-citation.json"} </w:instrText>
      </w:r>
      <w:r>
        <w:rPr>
          <w:rFonts w:cs="Times New Roman"/>
          <w:color w:val="000000" w:themeColor="text1"/>
        </w:rPr>
        <w:fldChar w:fldCharType="separate"/>
      </w:r>
      <w:r w:rsidRPr="00196DAB">
        <w:rPr>
          <w:rFonts w:cs="Times New Roman"/>
        </w:rPr>
        <w:t>(Ebbert and Ebbert 2019)</w:t>
      </w:r>
      <w:r>
        <w:rPr>
          <w:rFonts w:cs="Times New Roman"/>
          <w:color w:val="000000" w:themeColor="text1"/>
        </w:rPr>
        <w:fldChar w:fldCharType="end"/>
      </w:r>
      <w:r>
        <w:rPr>
          <w:rFonts w:cs="Times New Roman"/>
          <w:color w:val="000000" w:themeColor="text1"/>
        </w:rPr>
        <w:t xml:space="preserve"> with a false discovery rate adjustment to test which successional trajectories occurred more or less frequently than expected. We used the same tests to explore the resilience of pre-fire spruce-dominated sites (n=83) across FRIs (46 long FRIs, 28 mid, 6 short, 1 triple-mid, and 3 triple short). There were too few pre-fire deciduous sites (n=31), mixed (n=15), and open (n=4) sites across </w:t>
      </w:r>
      <w:r>
        <w:rPr>
          <w:rFonts w:cs="Times New Roman"/>
          <w:color w:val="000000" w:themeColor="text1"/>
        </w:rPr>
        <w:lastRenderedPageBreak/>
        <w:t xml:space="preserve">FRIs to accurately test the independence of successional trajectories among FRIs within these pre-fire composition classes. </w:t>
      </w:r>
    </w:p>
    <w:p w14:paraId="0AD5EDB3" w14:textId="77777777" w:rsidR="00A865F7" w:rsidRDefault="00A865F7" w:rsidP="00A865F7">
      <w:pPr>
        <w:tabs>
          <w:tab w:val="left" w:pos="0"/>
        </w:tabs>
        <w:spacing w:after="0" w:line="480" w:lineRule="auto"/>
        <w:jc w:val="both"/>
        <w:rPr>
          <w:rFonts w:cs="Times New Roman"/>
          <w:color w:val="000000" w:themeColor="text1"/>
        </w:rPr>
      </w:pPr>
    </w:p>
    <w:p w14:paraId="4C0CB528" w14:textId="77777777" w:rsidR="00A865F7" w:rsidRDefault="00A865F7" w:rsidP="00A865F7">
      <w:pPr>
        <w:tabs>
          <w:tab w:val="left" w:pos="0"/>
        </w:tabs>
        <w:spacing w:after="0" w:line="480" w:lineRule="auto"/>
        <w:jc w:val="both"/>
        <w:rPr>
          <w:rFonts w:cs="Times New Roman"/>
          <w:color w:val="000000" w:themeColor="text1"/>
        </w:rPr>
      </w:pPr>
      <w:r>
        <w:rPr>
          <w:rFonts w:cs="Times New Roman"/>
          <w:color w:val="000000" w:themeColor="text1"/>
        </w:rPr>
        <w:t xml:space="preserve">For all sites (n=134) and for the pre-fire black spruce-dominated sites (n=83), we modeled how post-fire spruce and deciduous density varied </w:t>
      </w:r>
      <w:r w:rsidRPr="007B4530">
        <w:rPr>
          <w:rFonts w:cs="Times New Roman"/>
          <w:color w:val="000000" w:themeColor="text1"/>
        </w:rPr>
        <w:t>among FRIs. For each model, we fit a GLM with a Tweedie distribution and FRI as a fixed effect. For models using all sites, we excluded the triple-mid FRI as deciduous and spruce density w</w:t>
      </w:r>
      <w:r>
        <w:rPr>
          <w:rFonts w:cs="Times New Roman"/>
          <w:color w:val="000000" w:themeColor="text1"/>
        </w:rPr>
        <w:t>as</w:t>
      </w:r>
      <w:r w:rsidRPr="007B4530">
        <w:rPr>
          <w:rFonts w:cs="Times New Roman"/>
          <w:color w:val="000000" w:themeColor="text1"/>
        </w:rPr>
        <w:t xml:space="preserve"> always zero. For the pre-fire spruce models, we had to exclude the triple-mid FRI</w:t>
      </w:r>
      <w:r>
        <w:rPr>
          <w:rFonts w:cs="Times New Roman"/>
          <w:color w:val="000000" w:themeColor="text1"/>
        </w:rPr>
        <w:t>s</w:t>
      </w:r>
      <w:r w:rsidRPr="007B4530">
        <w:rPr>
          <w:rFonts w:cs="Times New Roman"/>
          <w:color w:val="000000" w:themeColor="text1"/>
        </w:rPr>
        <w:t xml:space="preserve"> for the post-fire conifer density model and both the triple-mid and triple-short for the post-fire deciduous model. We used a post hoc analysis for multiple comparisons in the R package ‘emmeans’ (Lenth et al. 2019</w:t>
      </w:r>
      <w:r w:rsidRPr="003B307C">
        <w:rPr>
          <w:rFonts w:cs="Times New Roman"/>
          <w:color w:val="000000" w:themeColor="text1"/>
        </w:rPr>
        <w:t xml:space="preserve">) with a </w:t>
      </w:r>
      <w:r>
        <w:rPr>
          <w:rFonts w:cs="Times New Roman"/>
          <w:color w:val="000000" w:themeColor="text1"/>
        </w:rPr>
        <w:t xml:space="preserve">false discovery rate </w:t>
      </w:r>
      <w:r w:rsidRPr="003B307C">
        <w:rPr>
          <w:rFonts w:cs="Times New Roman"/>
          <w:color w:val="000000" w:themeColor="text1"/>
        </w:rPr>
        <w:t>adjustment to test for differences in marginal means</w:t>
      </w:r>
      <w:r>
        <w:rPr>
          <w:rFonts w:cs="Times New Roman"/>
          <w:color w:val="000000" w:themeColor="text1"/>
        </w:rPr>
        <w:t xml:space="preserve"> among FRI classes.</w:t>
      </w:r>
    </w:p>
    <w:p w14:paraId="1E8EA42A" w14:textId="77777777" w:rsidR="00A865F7" w:rsidRDefault="00A865F7" w:rsidP="00A865F7">
      <w:pPr>
        <w:tabs>
          <w:tab w:val="left" w:pos="0"/>
        </w:tabs>
        <w:spacing w:after="0" w:line="480" w:lineRule="auto"/>
        <w:jc w:val="both"/>
        <w:rPr>
          <w:rFonts w:cs="Times New Roman"/>
          <w:color w:val="000000" w:themeColor="text1"/>
        </w:rPr>
      </w:pPr>
    </w:p>
    <w:p w14:paraId="613C908F" w14:textId="77777777" w:rsidR="00A865F7" w:rsidRDefault="00A865F7" w:rsidP="00A865F7">
      <w:pPr>
        <w:tabs>
          <w:tab w:val="left" w:pos="0"/>
        </w:tabs>
        <w:spacing w:after="0" w:line="480" w:lineRule="auto"/>
        <w:jc w:val="both"/>
        <w:rPr>
          <w:rFonts w:cs="Times New Roman"/>
          <w:b/>
          <w:bCs/>
          <w:color w:val="000000" w:themeColor="text1"/>
          <w:u w:val="single"/>
        </w:rPr>
      </w:pPr>
      <w:r w:rsidRPr="00A27CFA">
        <w:rPr>
          <w:rFonts w:cs="Times New Roman"/>
          <w:b/>
          <w:bCs/>
          <w:color w:val="000000" w:themeColor="text1"/>
          <w:u w:val="single"/>
        </w:rPr>
        <w:t>Results</w:t>
      </w:r>
    </w:p>
    <w:p w14:paraId="6B82ABB8" w14:textId="77777777" w:rsidR="00A865F7" w:rsidRDefault="00A865F7" w:rsidP="00A865F7">
      <w:pPr>
        <w:tabs>
          <w:tab w:val="left" w:pos="0"/>
        </w:tabs>
        <w:spacing w:after="0" w:line="480" w:lineRule="auto"/>
        <w:jc w:val="both"/>
        <w:rPr>
          <w:rFonts w:cs="Times New Roman"/>
          <w:b/>
          <w:bCs/>
          <w:color w:val="000000" w:themeColor="text1"/>
          <w:u w:val="single"/>
        </w:rPr>
      </w:pPr>
    </w:p>
    <w:p w14:paraId="0F028FA8" w14:textId="77777777" w:rsidR="00A865F7" w:rsidRPr="00A723D8" w:rsidRDefault="00A865F7" w:rsidP="00A865F7">
      <w:pPr>
        <w:tabs>
          <w:tab w:val="left" w:pos="0"/>
        </w:tabs>
        <w:spacing w:after="0" w:line="480" w:lineRule="auto"/>
        <w:jc w:val="both"/>
        <w:rPr>
          <w:rFonts w:cs="Times New Roman"/>
          <w:b/>
          <w:bCs/>
          <w:i/>
          <w:iCs/>
          <w:color w:val="000000" w:themeColor="text1"/>
        </w:rPr>
      </w:pPr>
      <w:r w:rsidRPr="00A723D8">
        <w:rPr>
          <w:rFonts w:cs="Times New Roman"/>
          <w:b/>
          <w:bCs/>
          <w:i/>
          <w:iCs/>
          <w:color w:val="000000" w:themeColor="text1"/>
        </w:rPr>
        <w:t>Characterizing reburns</w:t>
      </w:r>
    </w:p>
    <w:p w14:paraId="704DE364" w14:textId="77777777" w:rsidR="00A865F7" w:rsidRDefault="00A865F7" w:rsidP="00A865F7">
      <w:pPr>
        <w:tabs>
          <w:tab w:val="left" w:pos="0"/>
        </w:tabs>
        <w:spacing w:after="0" w:line="480" w:lineRule="auto"/>
        <w:jc w:val="both"/>
        <w:rPr>
          <w:rFonts w:cs="Times New Roman"/>
          <w:color w:val="000000" w:themeColor="text1"/>
        </w:rPr>
      </w:pPr>
      <w:r w:rsidRPr="00C60D67">
        <w:rPr>
          <w:rFonts w:cs="Times New Roman"/>
          <w:color w:val="000000" w:themeColor="text1"/>
        </w:rPr>
        <w:t xml:space="preserve">We examined </w:t>
      </w:r>
      <w:r>
        <w:rPr>
          <w:rFonts w:cs="Times New Roman"/>
          <w:color w:val="000000" w:themeColor="text1"/>
        </w:rPr>
        <w:t>555</w:t>
      </w:r>
      <w:r w:rsidRPr="00C60D67">
        <w:rPr>
          <w:rFonts w:cs="Times New Roman"/>
          <w:color w:val="000000" w:themeColor="text1"/>
        </w:rPr>
        <w:t xml:space="preserve"> burned-forest plots</w:t>
      </w:r>
      <w:r>
        <w:rPr>
          <w:rFonts w:cs="Times New Roman"/>
          <w:color w:val="000000" w:themeColor="text1"/>
        </w:rPr>
        <w:t xml:space="preserve"> nested within 185 sites that </w:t>
      </w:r>
      <w:r w:rsidRPr="00C60D67">
        <w:rPr>
          <w:rFonts w:cs="Times New Roman"/>
          <w:color w:val="000000" w:themeColor="text1"/>
        </w:rPr>
        <w:t>captur</w:t>
      </w:r>
      <w:r>
        <w:rPr>
          <w:rFonts w:cs="Times New Roman"/>
          <w:color w:val="000000" w:themeColor="text1"/>
        </w:rPr>
        <w:t>ed a b</w:t>
      </w:r>
      <w:r w:rsidRPr="00C60D67">
        <w:rPr>
          <w:rFonts w:cs="Times New Roman"/>
          <w:color w:val="000000" w:themeColor="text1"/>
        </w:rPr>
        <w:t>road gradient in environmental characteristics</w:t>
      </w:r>
      <w:r>
        <w:rPr>
          <w:rFonts w:cs="Times New Roman"/>
          <w:color w:val="000000" w:themeColor="text1"/>
        </w:rPr>
        <w:t xml:space="preserve">, </w:t>
      </w:r>
      <w:r w:rsidRPr="00C60D67">
        <w:rPr>
          <w:rFonts w:cs="Times New Roman"/>
          <w:color w:val="000000" w:themeColor="text1"/>
        </w:rPr>
        <w:t>pre</w:t>
      </w:r>
      <w:r>
        <w:rPr>
          <w:rFonts w:cs="Times New Roman"/>
          <w:color w:val="000000" w:themeColor="text1"/>
        </w:rPr>
        <w:t>-</w:t>
      </w:r>
      <w:r w:rsidRPr="00C60D67">
        <w:rPr>
          <w:rFonts w:cs="Times New Roman"/>
          <w:color w:val="000000" w:themeColor="text1"/>
        </w:rPr>
        <w:t>fire</w:t>
      </w:r>
      <w:r>
        <w:rPr>
          <w:rFonts w:cs="Times New Roman"/>
          <w:color w:val="000000" w:themeColor="text1"/>
        </w:rPr>
        <w:t xml:space="preserve"> </w:t>
      </w:r>
      <w:r w:rsidRPr="00C60D67">
        <w:rPr>
          <w:rFonts w:cs="Times New Roman"/>
          <w:color w:val="000000" w:themeColor="text1"/>
        </w:rPr>
        <w:t>stand composition</w:t>
      </w:r>
      <w:r>
        <w:rPr>
          <w:rFonts w:cs="Times New Roman"/>
          <w:color w:val="000000" w:themeColor="text1"/>
        </w:rPr>
        <w:t>, and FRI</w:t>
      </w:r>
      <w:r w:rsidRPr="00C60D67">
        <w:rPr>
          <w:rFonts w:cs="Times New Roman"/>
          <w:color w:val="000000" w:themeColor="text1"/>
        </w:rPr>
        <w:t xml:space="preserve"> (Table 1</w:t>
      </w:r>
      <w:r>
        <w:rPr>
          <w:rFonts w:cs="Times New Roman"/>
          <w:color w:val="000000" w:themeColor="text1"/>
        </w:rPr>
        <w:t>, Figure 2</w:t>
      </w:r>
      <w:r w:rsidRPr="00C60D67">
        <w:rPr>
          <w:rFonts w:cs="Times New Roman"/>
          <w:color w:val="000000" w:themeColor="text1"/>
        </w:rPr>
        <w:t>).</w:t>
      </w:r>
      <w:r>
        <w:rPr>
          <w:rFonts w:cs="Times New Roman"/>
          <w:color w:val="000000" w:themeColor="text1"/>
        </w:rPr>
        <w:t xml:space="preserve"> Within each FRI category, we captured the full range of moisture conditions from xeric to sub-hygric. However, short FRIs were generally located in drier and long FRIs in wetter landscapes (Table 1). The frequency of sites where we detected permafrost was substantially higher in long FRIs (47% of sites) than in intermediate (26%) or short (14%) FRIs. Interestingly, we detected permafrost at 39% of the triple-mid sites, but only 15% of the triple-short. The frequency of rock hits was similar among long, intermediate, and short FRIs, but rocks were never encountered in the triple-burned </w:t>
      </w:r>
      <w:r>
        <w:rPr>
          <w:rFonts w:cs="Times New Roman"/>
          <w:color w:val="000000" w:themeColor="text1"/>
        </w:rPr>
        <w:lastRenderedPageBreak/>
        <w:t xml:space="preserve">sites. Our extensive sampling indicates that reburns occur across a range of landscapes but are generally in drier permafrost-free areas compared to long FRI sites. </w:t>
      </w:r>
    </w:p>
    <w:p w14:paraId="7719587A" w14:textId="77777777" w:rsidR="00A865F7" w:rsidRDefault="00A865F7" w:rsidP="00A865F7">
      <w:pPr>
        <w:tabs>
          <w:tab w:val="left" w:pos="0"/>
        </w:tabs>
        <w:spacing w:after="0" w:line="480" w:lineRule="auto"/>
        <w:jc w:val="both"/>
        <w:rPr>
          <w:rFonts w:cs="Times New Roman"/>
          <w:color w:val="000000" w:themeColor="text1"/>
        </w:rPr>
      </w:pPr>
    </w:p>
    <w:p w14:paraId="226448EB" w14:textId="77777777" w:rsidR="00A865F7" w:rsidRDefault="00A865F7" w:rsidP="00A865F7">
      <w:pPr>
        <w:tabs>
          <w:tab w:val="left" w:pos="0"/>
        </w:tabs>
        <w:spacing w:after="0" w:line="480" w:lineRule="auto"/>
        <w:jc w:val="both"/>
        <w:rPr>
          <w:rFonts w:cs="Times New Roman"/>
          <w:color w:val="000000" w:themeColor="text1"/>
        </w:rPr>
      </w:pPr>
      <w:r>
        <w:rPr>
          <w:rFonts w:cs="Times New Roman"/>
          <w:color w:val="000000" w:themeColor="text1"/>
        </w:rPr>
        <w:t>W</w:t>
      </w:r>
      <w:r w:rsidRPr="00AB34F0">
        <w:rPr>
          <w:rFonts w:cs="Times New Roman"/>
          <w:color w:val="000000" w:themeColor="text1"/>
        </w:rPr>
        <w:t xml:space="preserve">e found that FRI and </w:t>
      </w:r>
      <w:r>
        <w:rPr>
          <w:rFonts w:cs="Times New Roman"/>
          <w:color w:val="000000" w:themeColor="text1"/>
        </w:rPr>
        <w:t>pre</w:t>
      </w:r>
      <w:r w:rsidRPr="00AB34F0">
        <w:rPr>
          <w:rFonts w:cs="Times New Roman"/>
          <w:color w:val="000000" w:themeColor="text1"/>
        </w:rPr>
        <w:t xml:space="preserve">-fire </w:t>
      </w:r>
      <w:r>
        <w:rPr>
          <w:rFonts w:cs="Times New Roman"/>
          <w:color w:val="000000" w:themeColor="text1"/>
        </w:rPr>
        <w:t>tree species dominance</w:t>
      </w:r>
      <w:r w:rsidRPr="00AB34F0">
        <w:rPr>
          <w:rFonts w:cs="Times New Roman"/>
          <w:color w:val="000000" w:themeColor="text1"/>
        </w:rPr>
        <w:t xml:space="preserve"> were </w:t>
      </w:r>
      <w:r>
        <w:rPr>
          <w:rFonts w:cs="Times New Roman"/>
          <w:color w:val="000000" w:themeColor="text1"/>
        </w:rPr>
        <w:t>related</w:t>
      </w:r>
      <w:r w:rsidRPr="00AB34F0">
        <w:rPr>
          <w:rFonts w:cs="Times New Roman"/>
          <w:color w:val="000000" w:themeColor="text1"/>
        </w:rPr>
        <w:t xml:space="preserve"> (</w:t>
      </w:r>
      <w:r w:rsidRPr="00F636C1">
        <w:rPr>
          <w:rFonts w:cs="Times New Roman"/>
          <w:color w:val="000000" w:themeColor="text1"/>
        </w:rPr>
        <w:t>Χ</w:t>
      </w:r>
      <w:r w:rsidRPr="00F24763">
        <w:rPr>
          <w:rFonts w:cs="Times New Roman"/>
          <w:i/>
          <w:iCs/>
          <w:color w:val="000000" w:themeColor="text1"/>
          <w:vertAlign w:val="superscript"/>
        </w:rPr>
        <w:t>2</w:t>
      </w:r>
      <w:r w:rsidRPr="00AB34F0">
        <w:rPr>
          <w:rFonts w:cs="Times New Roman"/>
          <w:color w:val="000000" w:themeColor="text1"/>
        </w:rPr>
        <w:t>=</w:t>
      </w:r>
      <w:r>
        <w:rPr>
          <w:rFonts w:cs="Times New Roman"/>
          <w:color w:val="000000" w:themeColor="text1"/>
        </w:rPr>
        <w:t>83.01</w:t>
      </w:r>
      <w:r w:rsidRPr="00AB34F0">
        <w:rPr>
          <w:rFonts w:cs="Times New Roman"/>
          <w:color w:val="000000" w:themeColor="text1"/>
        </w:rPr>
        <w:t xml:space="preserve">, p-value&lt;0.001). </w:t>
      </w:r>
      <w:r>
        <w:rPr>
          <w:rFonts w:cs="Times New Roman"/>
          <w:color w:val="000000" w:themeColor="text1"/>
        </w:rPr>
        <w:t xml:space="preserve">In long FRIs, there were significantly more spruce-dominated sites (59 of 68) and fewer deciduous-dominated sites (Table S1, Figure 2). Mid-FRIs were also primarily composed of spruce forests (39 of 41). In contrast, short FRIs had significantly more deciduous (23 of 44) and less spruce (10 of 44). Many of the triple mid and triple short stands were spruce dominated (6 of 13 sites each), but triple-mid and triple short had marginally more pre-fire open (2 of 13) and mixed (5 of 13) sites, respectively (Figure 2, Table S1). We found that </w:t>
      </w:r>
      <w:r w:rsidRPr="00A948C8">
        <w:rPr>
          <w:rFonts w:cs="Times New Roman"/>
        </w:rPr>
        <w:t xml:space="preserve">reburning occurs </w:t>
      </w:r>
      <w:r>
        <w:rPr>
          <w:rFonts w:cs="Times New Roman"/>
        </w:rPr>
        <w:t xml:space="preserve">across a range of pre-fire compositions, from spruce to deciduous-dominated stands or even open shrub or grass-dominated areas. </w:t>
      </w:r>
    </w:p>
    <w:p w14:paraId="7C4E17F0" w14:textId="77777777" w:rsidR="00A865F7" w:rsidRDefault="00A865F7" w:rsidP="00A865F7">
      <w:pPr>
        <w:tabs>
          <w:tab w:val="left" w:pos="0"/>
        </w:tabs>
        <w:spacing w:after="0" w:line="480" w:lineRule="auto"/>
        <w:jc w:val="both"/>
        <w:rPr>
          <w:rFonts w:cs="Times New Roman"/>
          <w:color w:val="000000" w:themeColor="text1"/>
        </w:rPr>
      </w:pPr>
    </w:p>
    <w:p w14:paraId="5AF957B5" w14:textId="77777777" w:rsidR="00A865F7" w:rsidRPr="00A723D8" w:rsidRDefault="00A865F7" w:rsidP="00A865F7">
      <w:pPr>
        <w:tabs>
          <w:tab w:val="left" w:pos="0"/>
        </w:tabs>
        <w:spacing w:after="0" w:line="480" w:lineRule="auto"/>
        <w:jc w:val="both"/>
        <w:rPr>
          <w:rFonts w:cs="Times New Roman"/>
          <w:b/>
          <w:bCs/>
          <w:i/>
          <w:iCs/>
          <w:color w:val="000000" w:themeColor="text1"/>
        </w:rPr>
      </w:pPr>
      <w:r w:rsidRPr="00A723D8">
        <w:rPr>
          <w:rFonts w:cs="Times New Roman"/>
          <w:b/>
          <w:bCs/>
          <w:i/>
          <w:iCs/>
          <w:color w:val="000000" w:themeColor="text1"/>
        </w:rPr>
        <w:t>Carbon pools</w:t>
      </w:r>
    </w:p>
    <w:p w14:paraId="2AA6AEF8" w14:textId="791880CF" w:rsidR="00A865F7" w:rsidRDefault="00A865F7" w:rsidP="00A865F7">
      <w:pPr>
        <w:tabs>
          <w:tab w:val="left" w:pos="0"/>
        </w:tabs>
        <w:spacing w:after="0" w:line="480" w:lineRule="auto"/>
        <w:jc w:val="both"/>
        <w:rPr>
          <w:rFonts w:cs="Times New Roman"/>
        </w:rPr>
      </w:pPr>
      <w:r>
        <w:rPr>
          <w:rFonts w:cs="Times New Roman"/>
        </w:rPr>
        <w:t>Pre-fire</w:t>
      </w:r>
      <w:r w:rsidR="009D09D7">
        <w:rPr>
          <w:rFonts w:cs="Times New Roman"/>
        </w:rPr>
        <w:t xml:space="preserve"> and </w:t>
      </w:r>
      <w:r>
        <w:rPr>
          <w:rFonts w:cs="Times New Roman"/>
        </w:rPr>
        <w:t>post-fire</w:t>
      </w:r>
      <w:r w:rsidR="009D09D7">
        <w:rPr>
          <w:rFonts w:cs="Times New Roman"/>
        </w:rPr>
        <w:t xml:space="preserve"> total C pools </w:t>
      </w:r>
      <w:r>
        <w:rPr>
          <w:rFonts w:cs="Times New Roman"/>
        </w:rPr>
        <w:t xml:space="preserve">varied among FRIs (Figure 3, Table S2). Pre- and post-fire, short and triple-short FRIs stored ~35% less C, and mid and triple-mid stored ~25% less C than long FRIs (Figure 3, Table S2). </w:t>
      </w:r>
      <w:r w:rsidRPr="004F49D0">
        <w:rPr>
          <w:rFonts w:cs="Times New Roman"/>
        </w:rPr>
        <w:t>Total C loss was similar among FRIs, ranging from 2.5 to 3.5 kg C m</w:t>
      </w:r>
      <w:r w:rsidRPr="001C5218">
        <w:rPr>
          <w:rFonts w:cs="Times New Roman"/>
          <w:vertAlign w:val="superscript"/>
        </w:rPr>
        <w:t>-2</w:t>
      </w:r>
      <w:r w:rsidRPr="004F49D0">
        <w:rPr>
          <w:rFonts w:cs="Times New Roman"/>
        </w:rPr>
        <w:t xml:space="preserve">. </w:t>
      </w:r>
      <w:r>
        <w:rPr>
          <w:rFonts w:cs="Times New Roman"/>
        </w:rPr>
        <w:t xml:space="preserve">Differences in pre-fire C pools but similar C losses resulted in the proportion of pre-fire C loss being highest with short FRIs (~55%) compared to only 38% with long FRIs (Figure S1). </w:t>
      </w:r>
    </w:p>
    <w:p w14:paraId="57932F5E" w14:textId="77777777" w:rsidR="00A865F7" w:rsidRDefault="00A865F7" w:rsidP="00A865F7">
      <w:pPr>
        <w:tabs>
          <w:tab w:val="left" w:pos="0"/>
        </w:tabs>
        <w:spacing w:after="0" w:line="480" w:lineRule="auto"/>
        <w:jc w:val="both"/>
        <w:rPr>
          <w:rFonts w:cs="Times New Roman"/>
        </w:rPr>
      </w:pPr>
    </w:p>
    <w:p w14:paraId="448D09BB" w14:textId="77777777" w:rsidR="00A865F7" w:rsidRDefault="00A865F7" w:rsidP="00A865F7">
      <w:pPr>
        <w:spacing w:after="0" w:line="480" w:lineRule="auto"/>
        <w:jc w:val="both"/>
        <w:rPr>
          <w:rFonts w:cs="Times New Roman"/>
        </w:rPr>
      </w:pPr>
      <w:r>
        <w:rPr>
          <w:rFonts w:cs="Times New Roman"/>
        </w:rPr>
        <w:t xml:space="preserve">In all FRIs, most pre-fire, post-fire, and combusted C was from belowground C pools (Figure S2). Thus, the results of belowground C pools largely follow those of total C pools, with the greatest pre- and post-fire pools in long FRIs and the lowest in short FRIs (Figure 3). Compared to long </w:t>
      </w:r>
      <w:r>
        <w:rPr>
          <w:rFonts w:cs="Times New Roman"/>
        </w:rPr>
        <w:lastRenderedPageBreak/>
        <w:t xml:space="preserve">FRIs, belowground C loss was ~15 to 32% lower in the other FRIs. Although belowground C dominated total C pools across all FRIs, the proportion of C in belowground pools was consistently lowest in the short FRIs compared to the other FRIs; in short FRIs, 73% of pre-fire, 49% of post-fire, and 69% of combusted C were from the belowground component (Figure S2). </w:t>
      </w:r>
    </w:p>
    <w:p w14:paraId="71BB29F1" w14:textId="77777777" w:rsidR="00A865F7" w:rsidRDefault="00A865F7" w:rsidP="00A865F7">
      <w:pPr>
        <w:spacing w:after="0" w:line="480" w:lineRule="auto"/>
        <w:jc w:val="both"/>
        <w:rPr>
          <w:rFonts w:cs="Times New Roman"/>
        </w:rPr>
      </w:pPr>
    </w:p>
    <w:p w14:paraId="3444E8AE" w14:textId="77777777" w:rsidR="00A865F7" w:rsidRDefault="00A865F7" w:rsidP="00A865F7">
      <w:pPr>
        <w:spacing w:after="0" w:line="480" w:lineRule="auto"/>
        <w:jc w:val="both"/>
        <w:rPr>
          <w:rFonts w:cs="Times New Roman"/>
        </w:rPr>
      </w:pPr>
      <w:r>
        <w:rPr>
          <w:rFonts w:cs="Times New Roman"/>
        </w:rPr>
        <w:t xml:space="preserve">Aboveground pre-fire and post-fire C pools varied among FRIs, with both triple burn categories having ~60% lower pre-fire and post-fire pool sizes than the other FRIs (Figure 3 and 4, and Table S1). Despite similarities in aboveground C pools among the short, mid, and long FRIs, the source of this C differed (Figure 4 and Table S3). In long and mid FRIs, trees contributed ~85% of the pre-fire and post-fire aboveground C pools. In contrast, short FRIs contained over 60% of pre- and post-fire aboveground C pools in snags and CWD (Figure 4 and Table S3). In triple burns, trees were still the primary component of aboveground C pools, but the pool was an order of magnitude smaller than those found in long and mid FRIs. Carbon loss followed these trends; in short FRIs, almost 85% of C loss was from snags and CWD, whereas in long and mid FRIs, 60-80% was from trees. In triple-mid burns, 60% of aboveground C was lost from shrubs, whereas in triple-short burns, 60% of aboveground C loss was from snags and CWD (Figure 4 and Table S3). </w:t>
      </w:r>
      <w:r w:rsidRPr="008D54B6">
        <w:rPr>
          <w:rFonts w:cs="Times New Roman"/>
        </w:rPr>
        <w:t xml:space="preserve">Ultimately, </w:t>
      </w:r>
      <w:r>
        <w:rPr>
          <w:rFonts w:cs="Times New Roman"/>
        </w:rPr>
        <w:t xml:space="preserve">shortened FRIs shift the composition of aboveground C </w:t>
      </w:r>
      <w:r w:rsidRPr="008D54B6">
        <w:rPr>
          <w:rFonts w:cs="Times New Roman"/>
        </w:rPr>
        <w:t xml:space="preserve">from tree-dominated in longer </w:t>
      </w:r>
      <w:r>
        <w:rPr>
          <w:rFonts w:cs="Times New Roman"/>
        </w:rPr>
        <w:t>FRIs</w:t>
      </w:r>
      <w:r w:rsidRPr="008D54B6">
        <w:rPr>
          <w:rFonts w:cs="Times New Roman"/>
        </w:rPr>
        <w:t xml:space="preserve"> to snag, debris, or shrub-dominated systems in </w:t>
      </w:r>
      <w:r>
        <w:rPr>
          <w:rFonts w:cs="Times New Roman"/>
        </w:rPr>
        <w:t>reburned</w:t>
      </w:r>
      <w:r w:rsidRPr="008D54B6">
        <w:rPr>
          <w:rFonts w:cs="Times New Roman"/>
        </w:rPr>
        <w:t xml:space="preserve"> areas.</w:t>
      </w:r>
    </w:p>
    <w:p w14:paraId="529F24DD" w14:textId="77777777" w:rsidR="00A865F7" w:rsidRDefault="00A865F7" w:rsidP="00A865F7">
      <w:pPr>
        <w:spacing w:after="0" w:line="480" w:lineRule="auto"/>
        <w:jc w:val="both"/>
      </w:pPr>
    </w:p>
    <w:p w14:paraId="3E562154" w14:textId="77777777" w:rsidR="00A865F7" w:rsidRDefault="00A865F7" w:rsidP="00A865F7">
      <w:pPr>
        <w:spacing w:after="0" w:line="480" w:lineRule="auto"/>
        <w:jc w:val="both"/>
        <w:rPr>
          <w:rFonts w:eastAsia="Times New Roman" w:cs="Times New Roman"/>
        </w:rPr>
      </w:pPr>
      <w:r>
        <w:rPr>
          <w:rFonts w:eastAsia="Times New Roman" w:cs="Times New Roman"/>
        </w:rPr>
        <w:t xml:space="preserve">Increased fire frequency resulted in more C lost during the most recent fire than was able to accumulate in the fire-free interval; SOL and aboveground legacy C were combusted (Table 2). This occurred with all shortened FRIs apart from the triple-mid burns. All shortened FRIs accumulated C in the fire-free interval, except for short FRIs that had lower pre-fire belowground </w:t>
      </w:r>
      <w:r>
        <w:rPr>
          <w:rFonts w:eastAsia="Times New Roman" w:cs="Times New Roman"/>
        </w:rPr>
        <w:lastRenderedPageBreak/>
        <w:t xml:space="preserve">C pools and triple burns that had lower pre-fire aboveground C pools than the estimated residual pools. </w:t>
      </w:r>
      <w:r w:rsidRPr="00077F7C">
        <w:rPr>
          <w:rFonts w:eastAsia="Times New Roman" w:cs="Times New Roman"/>
        </w:rPr>
        <w:t xml:space="preserve">Notably, </w:t>
      </w:r>
      <w:r>
        <w:rPr>
          <w:rFonts w:eastAsia="Times New Roman" w:cs="Times New Roman"/>
        </w:rPr>
        <w:t>~40%</w:t>
      </w:r>
      <w:r w:rsidRPr="00077F7C">
        <w:rPr>
          <w:rFonts w:eastAsia="Times New Roman" w:cs="Times New Roman"/>
        </w:rPr>
        <w:t xml:space="preserve"> of the aboveground C lost during short FRIs was legacy C</w:t>
      </w:r>
      <w:r>
        <w:rPr>
          <w:rFonts w:eastAsia="Times New Roman" w:cs="Times New Roman"/>
        </w:rPr>
        <w:t>. T</w:t>
      </w:r>
      <w:r w:rsidRPr="00077F7C">
        <w:rPr>
          <w:rFonts w:eastAsia="Times New Roman" w:cs="Times New Roman"/>
        </w:rPr>
        <w:t>his percent increased by an order of magnitude in triple burns</w:t>
      </w:r>
      <w:r>
        <w:rPr>
          <w:rFonts w:eastAsia="Times New Roman" w:cs="Times New Roman"/>
        </w:rPr>
        <w:t xml:space="preserve">, </w:t>
      </w:r>
      <w:r w:rsidRPr="00077F7C">
        <w:rPr>
          <w:rFonts w:eastAsia="Times New Roman" w:cs="Times New Roman"/>
        </w:rPr>
        <w:t>reflect</w:t>
      </w:r>
      <w:r>
        <w:rPr>
          <w:rFonts w:eastAsia="Times New Roman" w:cs="Times New Roman"/>
        </w:rPr>
        <w:t>ing</w:t>
      </w:r>
      <w:r w:rsidRPr="00077F7C">
        <w:rPr>
          <w:rFonts w:eastAsia="Times New Roman" w:cs="Times New Roman"/>
        </w:rPr>
        <w:t xml:space="preserve"> the substantially lower pre-fire aboveground C pools in triple burns compared to the legacy C pools observed after fire.</w:t>
      </w:r>
      <w:r>
        <w:rPr>
          <w:rFonts w:eastAsia="Times New Roman" w:cs="Times New Roman"/>
        </w:rPr>
        <w:t xml:space="preserve"> Belowground SOL legacy C also combusted in all FRIs apart from triple mid. In short FRIs, C loss was entirely from SOL legacy C pools. The percent of total C loss attributed to legacy C varied among FRIs and ranged from almost no legacy C lost with triple-mid burns to 100% with short FRIs (Table 2). </w:t>
      </w:r>
    </w:p>
    <w:p w14:paraId="094974B4" w14:textId="77777777" w:rsidR="00A865F7" w:rsidRDefault="00A865F7" w:rsidP="00A865F7">
      <w:pPr>
        <w:spacing w:after="0" w:line="480" w:lineRule="auto"/>
        <w:jc w:val="both"/>
        <w:rPr>
          <w:rFonts w:eastAsia="Times New Roman" w:cs="Times New Roman"/>
        </w:rPr>
      </w:pPr>
    </w:p>
    <w:p w14:paraId="620EC10E" w14:textId="77777777" w:rsidR="00A865F7" w:rsidRPr="00A723D8" w:rsidRDefault="00A865F7" w:rsidP="00A865F7">
      <w:pPr>
        <w:spacing w:after="0" w:line="480" w:lineRule="auto"/>
        <w:jc w:val="both"/>
        <w:rPr>
          <w:b/>
          <w:bCs/>
          <w:i/>
          <w:iCs/>
        </w:rPr>
      </w:pPr>
      <w:r w:rsidRPr="00A723D8">
        <w:rPr>
          <w:b/>
          <w:bCs/>
          <w:i/>
          <w:iCs/>
        </w:rPr>
        <w:t>Successional trajectories</w:t>
      </w:r>
    </w:p>
    <w:p w14:paraId="6B11219B" w14:textId="2F24AF37" w:rsidR="00A865F7" w:rsidRDefault="00A865F7" w:rsidP="00A865F7">
      <w:pPr>
        <w:tabs>
          <w:tab w:val="left" w:pos="0"/>
        </w:tabs>
        <w:spacing w:after="0" w:line="480" w:lineRule="auto"/>
        <w:jc w:val="both"/>
        <w:rPr>
          <w:rFonts w:cs="Times New Roman"/>
          <w:color w:val="000000" w:themeColor="text1"/>
        </w:rPr>
      </w:pPr>
      <w:r>
        <w:rPr>
          <w:rFonts w:cs="Times New Roman"/>
          <w:color w:val="000000" w:themeColor="text1"/>
        </w:rPr>
        <w:t>Across all sites, we found that FRI and post-fire successional trajectory were related (</w:t>
      </w:r>
      <w:r w:rsidRPr="0085296D">
        <w:rPr>
          <w:rFonts w:cs="Times New Roman"/>
          <w:i/>
          <w:iCs/>
          <w:color w:val="000000" w:themeColor="text1"/>
        </w:rPr>
        <w:t>X</w:t>
      </w:r>
      <w:r w:rsidRPr="0085296D">
        <w:rPr>
          <w:rFonts w:cs="Times New Roman"/>
          <w:color w:val="000000" w:themeColor="text1"/>
          <w:vertAlign w:val="superscript"/>
        </w:rPr>
        <w:t>2</w:t>
      </w:r>
      <w:r>
        <w:rPr>
          <w:rFonts w:cs="Times New Roman"/>
          <w:color w:val="000000" w:themeColor="text1"/>
        </w:rPr>
        <w:t>=50.93, p-value&lt;0.001). Surprisingly, recruitment failure was the dominant trajectory for long FRIs (29 of 45 sites) and spruce for mid FRIs (15 of 33). Short FRIs were either deciduous dominated or experienced recruitment failure post-fire (Figure 5 and Table S4). All triple-mid FRIs experienced recruitment failure, whereas 3 of the 7 triple-short sites were spruce dominant. In contrast to all sites, FRIs and post-fire successional trajectories were unrelated for pre-fire black spruce sites (</w:t>
      </w:r>
      <w:r w:rsidRPr="0085296D">
        <w:rPr>
          <w:rFonts w:cs="Times New Roman"/>
          <w:i/>
          <w:iCs/>
          <w:color w:val="000000" w:themeColor="text1"/>
        </w:rPr>
        <w:t>X</w:t>
      </w:r>
      <w:r w:rsidRPr="0085296D">
        <w:rPr>
          <w:rFonts w:cs="Times New Roman"/>
          <w:color w:val="000000" w:themeColor="text1"/>
          <w:vertAlign w:val="superscript"/>
        </w:rPr>
        <w:t>2</w:t>
      </w:r>
      <w:r>
        <w:rPr>
          <w:rFonts w:cs="Times New Roman"/>
          <w:color w:val="000000" w:themeColor="text1"/>
        </w:rPr>
        <w:t xml:space="preserve">=11.35, p-value=0.43). Although low sample size precluded testing the relatedness of FRI and successional trajectories in pre-fire mixed, deciduous, and open stands, we observed that all pre-fire open stands remained open and </w:t>
      </w:r>
      <w:r w:rsidR="006C4B68">
        <w:rPr>
          <w:rFonts w:cs="Times New Roman"/>
          <w:color w:val="000000" w:themeColor="text1"/>
        </w:rPr>
        <w:t>74</w:t>
      </w:r>
      <w:r>
        <w:rPr>
          <w:rFonts w:cs="Times New Roman"/>
          <w:color w:val="000000" w:themeColor="text1"/>
        </w:rPr>
        <w:t xml:space="preserve">% of pre-fire deciduous and </w:t>
      </w:r>
      <w:r w:rsidR="006C4B68">
        <w:rPr>
          <w:rFonts w:cs="Times New Roman"/>
          <w:color w:val="000000" w:themeColor="text1"/>
        </w:rPr>
        <w:t>40</w:t>
      </w:r>
      <w:r>
        <w:rPr>
          <w:rFonts w:cs="Times New Roman"/>
          <w:color w:val="000000" w:themeColor="text1"/>
        </w:rPr>
        <w:t xml:space="preserve">% of pre-fire mixed stands became open (Figure S3).      </w:t>
      </w:r>
    </w:p>
    <w:p w14:paraId="0B432A41" w14:textId="77777777" w:rsidR="00A865F7" w:rsidRDefault="00A865F7" w:rsidP="00A865F7">
      <w:pPr>
        <w:tabs>
          <w:tab w:val="left" w:pos="0"/>
        </w:tabs>
        <w:spacing w:after="0" w:line="480" w:lineRule="auto"/>
        <w:jc w:val="both"/>
        <w:rPr>
          <w:rFonts w:cs="Times New Roman"/>
          <w:color w:val="000000" w:themeColor="text1"/>
        </w:rPr>
      </w:pPr>
    </w:p>
    <w:p w14:paraId="2AB8A54E" w14:textId="77777777" w:rsidR="00A865F7" w:rsidRDefault="00A865F7" w:rsidP="00A865F7">
      <w:pPr>
        <w:tabs>
          <w:tab w:val="left" w:pos="0"/>
        </w:tabs>
        <w:spacing w:after="0" w:line="480" w:lineRule="auto"/>
        <w:jc w:val="both"/>
        <w:rPr>
          <w:rFonts w:cs="Times New Roman"/>
          <w:color w:val="000000" w:themeColor="text1"/>
        </w:rPr>
      </w:pPr>
      <w:r>
        <w:rPr>
          <w:rFonts w:cs="Times New Roman"/>
          <w:color w:val="000000" w:themeColor="text1"/>
        </w:rPr>
        <w:t xml:space="preserve">In examining post-fire density of spruce and deciduous seedlings, we saw notable differences among FRIs (Figure 6 and Table S5). Black spruce seedling density was highest in long and mid </w:t>
      </w:r>
      <w:r>
        <w:rPr>
          <w:rFonts w:cs="Times New Roman"/>
          <w:color w:val="000000" w:themeColor="text1"/>
        </w:rPr>
        <w:lastRenderedPageBreak/>
        <w:t>FRIs and was &lt;1 seedling m</w:t>
      </w:r>
      <w:r w:rsidRPr="004254CA">
        <w:rPr>
          <w:rFonts w:cs="Times New Roman"/>
          <w:color w:val="000000" w:themeColor="text1"/>
          <w:vertAlign w:val="superscript"/>
        </w:rPr>
        <w:t>-2</w:t>
      </w:r>
      <w:r>
        <w:rPr>
          <w:rFonts w:cs="Times New Roman"/>
          <w:color w:val="000000" w:themeColor="text1"/>
        </w:rPr>
        <w:t xml:space="preserve"> in the other FRIs. Deciduous seedling density was highest in mid-FRIs, with both long and short FRIs having similar densities (~0.5-0.9 seedling m</w:t>
      </w:r>
      <w:r w:rsidRPr="002967E8">
        <w:rPr>
          <w:rFonts w:cs="Times New Roman"/>
          <w:color w:val="000000" w:themeColor="text1"/>
          <w:vertAlign w:val="superscript"/>
        </w:rPr>
        <w:t>-2</w:t>
      </w:r>
      <w:r>
        <w:rPr>
          <w:rFonts w:cs="Times New Roman"/>
          <w:color w:val="000000" w:themeColor="text1"/>
        </w:rPr>
        <w:t xml:space="preserve">). </w:t>
      </w:r>
      <w:r w:rsidRPr="00AD0188">
        <w:rPr>
          <w:rFonts w:cs="Times New Roman"/>
          <w:color w:val="000000" w:themeColor="text1"/>
        </w:rPr>
        <w:t>There were no deciduous or spruce seedlings in triple-mid burns and very few seedlings in triple-short burns. These results were consistent among all sites and in the subset of pre-fire black spruce sites, except for deciduous seedling density in short FRIs</w:t>
      </w:r>
      <w:r>
        <w:rPr>
          <w:rFonts w:cs="Times New Roman"/>
          <w:color w:val="000000" w:themeColor="text1"/>
        </w:rPr>
        <w:t xml:space="preserve">. Deciduous density was </w:t>
      </w:r>
      <w:r w:rsidRPr="00AD0188">
        <w:rPr>
          <w:rFonts w:cs="Times New Roman"/>
          <w:color w:val="000000" w:themeColor="text1"/>
        </w:rPr>
        <w:t>higher for all sites (</w:t>
      </w:r>
      <w:r>
        <w:rPr>
          <w:rFonts w:cs="Times New Roman"/>
          <w:color w:val="000000" w:themeColor="text1"/>
        </w:rPr>
        <w:t>0.9</w:t>
      </w:r>
      <w:r w:rsidRPr="00AD0188">
        <w:rPr>
          <w:rFonts w:cs="Times New Roman"/>
          <w:color w:val="000000" w:themeColor="text1"/>
        </w:rPr>
        <w:t xml:space="preserve"> seedling</w:t>
      </w:r>
      <w:r>
        <w:rPr>
          <w:rFonts w:cs="Times New Roman"/>
          <w:color w:val="000000" w:themeColor="text1"/>
        </w:rPr>
        <w:t>s</w:t>
      </w:r>
      <w:r w:rsidRPr="00AD0188">
        <w:rPr>
          <w:rFonts w:cs="Times New Roman"/>
          <w:color w:val="000000" w:themeColor="text1"/>
        </w:rPr>
        <w:t xml:space="preserve"> m</w:t>
      </w:r>
      <w:r w:rsidRPr="00AD0188">
        <w:rPr>
          <w:rFonts w:cs="Times New Roman"/>
          <w:color w:val="000000" w:themeColor="text1"/>
          <w:vertAlign w:val="superscript"/>
        </w:rPr>
        <w:t>-2</w:t>
      </w:r>
      <w:r w:rsidRPr="00AD0188">
        <w:rPr>
          <w:rFonts w:cs="Times New Roman"/>
          <w:color w:val="000000" w:themeColor="text1"/>
        </w:rPr>
        <w:t>) compared to pre-fire black spruce sites (</w:t>
      </w:r>
      <w:r>
        <w:rPr>
          <w:rFonts w:cs="Times New Roman"/>
          <w:color w:val="000000" w:themeColor="text1"/>
        </w:rPr>
        <w:t xml:space="preserve">0.1 </w:t>
      </w:r>
      <w:r w:rsidRPr="00AD0188">
        <w:rPr>
          <w:rFonts w:cs="Times New Roman"/>
          <w:color w:val="000000" w:themeColor="text1"/>
        </w:rPr>
        <w:t>seedling</w:t>
      </w:r>
      <w:r>
        <w:rPr>
          <w:rFonts w:cs="Times New Roman"/>
          <w:color w:val="000000" w:themeColor="text1"/>
        </w:rPr>
        <w:t>s</w:t>
      </w:r>
      <w:r w:rsidRPr="00AD0188">
        <w:rPr>
          <w:rFonts w:cs="Times New Roman"/>
          <w:color w:val="000000" w:themeColor="text1"/>
        </w:rPr>
        <w:t xml:space="preserve"> m</w:t>
      </w:r>
      <w:r w:rsidRPr="00AD0188">
        <w:rPr>
          <w:rFonts w:cs="Times New Roman"/>
          <w:color w:val="000000" w:themeColor="text1"/>
          <w:vertAlign w:val="superscript"/>
        </w:rPr>
        <w:t>-2</w:t>
      </w:r>
      <w:r w:rsidRPr="00AD0188">
        <w:rPr>
          <w:rFonts w:cs="Times New Roman"/>
          <w:color w:val="000000" w:themeColor="text1"/>
        </w:rPr>
        <w:t>; Figure 6 and Table S5).</w:t>
      </w:r>
      <w:r>
        <w:rPr>
          <w:rFonts w:cs="Times New Roman"/>
          <w:color w:val="000000" w:themeColor="text1"/>
        </w:rPr>
        <w:t xml:space="preserve"> </w:t>
      </w:r>
    </w:p>
    <w:p w14:paraId="08AA62D4" w14:textId="77777777" w:rsidR="00A865F7" w:rsidRDefault="00A865F7" w:rsidP="00A865F7">
      <w:pPr>
        <w:tabs>
          <w:tab w:val="left" w:pos="0"/>
        </w:tabs>
        <w:spacing w:after="0" w:line="480" w:lineRule="auto"/>
        <w:jc w:val="both"/>
        <w:rPr>
          <w:rFonts w:cs="Times New Roman"/>
          <w:color w:val="000000" w:themeColor="text1"/>
        </w:rPr>
      </w:pPr>
    </w:p>
    <w:p w14:paraId="0B9E090E" w14:textId="77777777" w:rsidR="00A865F7" w:rsidRPr="008C1C23" w:rsidRDefault="00A865F7" w:rsidP="00A865F7">
      <w:pPr>
        <w:tabs>
          <w:tab w:val="left" w:pos="0"/>
        </w:tabs>
        <w:spacing w:after="0" w:line="480" w:lineRule="auto"/>
        <w:jc w:val="both"/>
        <w:rPr>
          <w:rFonts w:cs="Times New Roman"/>
          <w:b/>
          <w:bCs/>
          <w:color w:val="000000" w:themeColor="text1"/>
          <w:u w:val="single"/>
        </w:rPr>
      </w:pPr>
      <w:r w:rsidRPr="008C1C23">
        <w:rPr>
          <w:rFonts w:cs="Times New Roman"/>
          <w:b/>
          <w:bCs/>
          <w:color w:val="000000" w:themeColor="text1"/>
          <w:u w:val="single"/>
        </w:rPr>
        <w:t>Discussion</w:t>
      </w:r>
    </w:p>
    <w:p w14:paraId="48CE0DBD" w14:textId="77777777" w:rsidR="00A865F7" w:rsidRDefault="00A865F7" w:rsidP="00A865F7">
      <w:pPr>
        <w:tabs>
          <w:tab w:val="left" w:pos="0"/>
        </w:tabs>
        <w:spacing w:after="0" w:line="480" w:lineRule="auto"/>
        <w:jc w:val="both"/>
        <w:rPr>
          <w:rFonts w:cs="Times New Roman"/>
          <w:color w:val="000000" w:themeColor="text1"/>
        </w:rPr>
      </w:pPr>
    </w:p>
    <w:p w14:paraId="23F1F995" w14:textId="614D5EB0" w:rsidR="00A865F7" w:rsidRDefault="00A865F7" w:rsidP="00A865F7">
      <w:pPr>
        <w:tabs>
          <w:tab w:val="left" w:pos="0"/>
        </w:tabs>
        <w:spacing w:after="0" w:line="480" w:lineRule="auto"/>
        <w:jc w:val="both"/>
        <w:rPr>
          <w:rFonts w:cs="Times New Roman"/>
        </w:rPr>
      </w:pPr>
      <w:r>
        <w:rPr>
          <w:rFonts w:cs="Times New Roman"/>
        </w:rPr>
        <w:t xml:space="preserve">Our study </w:t>
      </w:r>
      <w:r w:rsidRPr="002D07A2">
        <w:rPr>
          <w:rFonts w:cs="Times New Roman"/>
        </w:rPr>
        <w:t xml:space="preserve">demonstrates that </w:t>
      </w:r>
      <w:r>
        <w:rPr>
          <w:rFonts w:cs="Times New Roman"/>
        </w:rPr>
        <w:t>increasing fire frequency and reburning will</w:t>
      </w:r>
      <w:r w:rsidRPr="002D07A2">
        <w:rPr>
          <w:rFonts w:cs="Times New Roman"/>
        </w:rPr>
        <w:t xml:space="preserve"> significantly reduce C</w:t>
      </w:r>
      <w:r>
        <w:rPr>
          <w:rFonts w:cs="Times New Roman"/>
        </w:rPr>
        <w:t xml:space="preserve"> </w:t>
      </w:r>
      <w:r w:rsidRPr="002D07A2">
        <w:rPr>
          <w:rFonts w:cs="Times New Roman"/>
        </w:rPr>
        <w:t xml:space="preserve">storage capacity </w:t>
      </w:r>
      <w:r>
        <w:rPr>
          <w:rFonts w:cs="Times New Roman"/>
        </w:rPr>
        <w:t>through loss of legacy C and regeneration failure</w:t>
      </w:r>
      <w:r w:rsidRPr="002D07A2">
        <w:rPr>
          <w:rFonts w:cs="Times New Roman"/>
        </w:rPr>
        <w:t>.</w:t>
      </w:r>
      <w:r>
        <w:rPr>
          <w:rFonts w:cs="Times New Roman"/>
        </w:rPr>
        <w:t xml:space="preserve"> We examined </w:t>
      </w:r>
      <w:r w:rsidRPr="00D11C52">
        <w:rPr>
          <w:rFonts w:cs="Times New Roman"/>
        </w:rPr>
        <w:t xml:space="preserve">555 plots </w:t>
      </w:r>
      <w:r>
        <w:rPr>
          <w:rFonts w:cs="Times New Roman"/>
        </w:rPr>
        <w:t xml:space="preserve">nested within 185 sites randomly located in </w:t>
      </w:r>
      <w:r w:rsidRPr="00D11C52">
        <w:rPr>
          <w:rFonts w:cs="Times New Roman"/>
        </w:rPr>
        <w:t xml:space="preserve">31 separate fire scars in </w:t>
      </w:r>
      <w:r>
        <w:rPr>
          <w:rFonts w:cs="Times New Roman"/>
        </w:rPr>
        <w:t xml:space="preserve">boreal forests of </w:t>
      </w:r>
      <w:r w:rsidRPr="00D11C52">
        <w:rPr>
          <w:rFonts w:cs="Times New Roman"/>
        </w:rPr>
        <w:t>Interior Alaska</w:t>
      </w:r>
      <w:r>
        <w:rPr>
          <w:rFonts w:cs="Times New Roman"/>
        </w:rPr>
        <w:t>. Landscapes that experienced reburning included all forest types and topographic positions, from spruce-dominated lowlands to deciduous-dominated uplands. Our</w:t>
      </w:r>
      <w:r w:rsidRPr="002D07A2">
        <w:rPr>
          <w:rFonts w:cs="Times New Roman"/>
        </w:rPr>
        <w:t xml:space="preserve"> findings provide </w:t>
      </w:r>
      <w:r w:rsidR="00977BC8">
        <w:rPr>
          <w:rFonts w:cs="Times New Roman"/>
        </w:rPr>
        <w:t>crucial</w:t>
      </w:r>
      <w:r w:rsidR="0053456A" w:rsidRPr="0053456A">
        <w:rPr>
          <w:rFonts w:cs="Times New Roman"/>
        </w:rPr>
        <w:t xml:space="preserve"> conceptual understanding and calibration data for forecasting </w:t>
      </w:r>
      <w:r w:rsidR="0053456A">
        <w:rPr>
          <w:rFonts w:cs="Times New Roman"/>
        </w:rPr>
        <w:t xml:space="preserve">the </w:t>
      </w:r>
      <w:r w:rsidRPr="002D07A2">
        <w:rPr>
          <w:rFonts w:cs="Times New Roman"/>
        </w:rPr>
        <w:t>effects of increased fire frequency on boreal ecosystems and their capacity to function as global C sinks.</w:t>
      </w:r>
    </w:p>
    <w:p w14:paraId="15008E84" w14:textId="77777777" w:rsidR="00A865F7" w:rsidRDefault="00A865F7" w:rsidP="00A865F7">
      <w:pPr>
        <w:tabs>
          <w:tab w:val="left" w:pos="0"/>
        </w:tabs>
        <w:spacing w:after="0" w:line="480" w:lineRule="auto"/>
        <w:jc w:val="both"/>
        <w:rPr>
          <w:rFonts w:cs="Times New Roman"/>
        </w:rPr>
      </w:pPr>
    </w:p>
    <w:p w14:paraId="51681912" w14:textId="0E1CF213" w:rsidR="00A865F7" w:rsidRDefault="00A865F7" w:rsidP="00A865F7">
      <w:pPr>
        <w:tabs>
          <w:tab w:val="left" w:pos="0"/>
        </w:tabs>
        <w:spacing w:after="0" w:line="480" w:lineRule="auto"/>
        <w:jc w:val="both"/>
        <w:rPr>
          <w:rFonts w:eastAsia="Times New Roman" w:cs="Times New Roman"/>
        </w:rPr>
      </w:pPr>
      <w:r>
        <w:rPr>
          <w:rFonts w:cs="Times New Roman"/>
        </w:rPr>
        <w:t>To our knowledge, this is the first study</w:t>
      </w:r>
      <w:r w:rsidRPr="0041791E">
        <w:rPr>
          <w:rFonts w:cs="Times New Roman"/>
        </w:rPr>
        <w:t xml:space="preserve"> to examine </w:t>
      </w:r>
      <w:r>
        <w:rPr>
          <w:rFonts w:cs="Times New Roman"/>
        </w:rPr>
        <w:t>C</w:t>
      </w:r>
      <w:r w:rsidRPr="0041791E">
        <w:rPr>
          <w:rFonts w:cs="Times New Roman"/>
        </w:rPr>
        <w:t xml:space="preserve"> </w:t>
      </w:r>
      <w:r>
        <w:rPr>
          <w:rFonts w:cs="Times New Roman"/>
        </w:rPr>
        <w:t>combustion</w:t>
      </w:r>
      <w:r w:rsidRPr="0041791E">
        <w:rPr>
          <w:rFonts w:cs="Times New Roman"/>
        </w:rPr>
        <w:t xml:space="preserve"> across a broad range of FRIs, spanning numerous fire scars and diverse boreal forest landscapes.</w:t>
      </w:r>
      <w:r>
        <w:rPr>
          <w:rFonts w:cs="Times New Roman"/>
        </w:rPr>
        <w:t xml:space="preserve"> </w:t>
      </w:r>
      <w:r>
        <w:rPr>
          <w:rFonts w:eastAsia="Times New Roman" w:cs="Times New Roman"/>
        </w:rPr>
        <w:t>Our estimates of C loss, ranging from 2.5 to 3.6 kg C m</w:t>
      </w:r>
      <w:r w:rsidRPr="00B7136B">
        <w:rPr>
          <w:rFonts w:eastAsia="Times New Roman" w:cs="Times New Roman"/>
        </w:rPr>
        <w:t>⁻²</w:t>
      </w:r>
      <w:r>
        <w:rPr>
          <w:rFonts w:eastAsia="Times New Roman" w:cs="Times New Roman"/>
        </w:rPr>
        <w:t xml:space="preserve">, align </w:t>
      </w:r>
      <w:r w:rsidRPr="00B7136B">
        <w:rPr>
          <w:rFonts w:eastAsia="Times New Roman" w:cs="Times New Roman"/>
        </w:rPr>
        <w:t xml:space="preserve">with previous results across </w:t>
      </w:r>
      <w:r>
        <w:rPr>
          <w:rFonts w:eastAsia="Times New Roman" w:cs="Times New Roman"/>
        </w:rPr>
        <w:t>N</w:t>
      </w:r>
      <w:r w:rsidRPr="00B7136B">
        <w:rPr>
          <w:rFonts w:eastAsia="Times New Roman" w:cs="Times New Roman"/>
        </w:rPr>
        <w:t xml:space="preserve">orthwestern </w:t>
      </w:r>
      <w:r>
        <w:rPr>
          <w:rFonts w:eastAsia="Times New Roman" w:cs="Times New Roman"/>
        </w:rPr>
        <w:t xml:space="preserve">North American </w:t>
      </w:r>
      <w:r w:rsidRPr="00B7136B">
        <w:rPr>
          <w:rFonts w:eastAsia="Times New Roman" w:cs="Times New Roman"/>
        </w:rPr>
        <w:t>boreal forest</w:t>
      </w:r>
      <w:r>
        <w:rPr>
          <w:rFonts w:eastAsia="Times New Roman" w:cs="Times New Roman"/>
        </w:rPr>
        <w:t xml:space="preserve">s, </w:t>
      </w:r>
      <w:r w:rsidRPr="00B7136B">
        <w:rPr>
          <w:rFonts w:eastAsia="Times New Roman" w:cs="Times New Roman"/>
        </w:rPr>
        <w:t xml:space="preserve">where total </w:t>
      </w:r>
      <w:r>
        <w:rPr>
          <w:rFonts w:eastAsia="Times New Roman" w:cs="Times New Roman"/>
        </w:rPr>
        <w:t>C</w:t>
      </w:r>
      <w:r w:rsidRPr="00B7136B">
        <w:rPr>
          <w:rFonts w:eastAsia="Times New Roman" w:cs="Times New Roman"/>
        </w:rPr>
        <w:t xml:space="preserve"> loss ranged from 2.9 to 3.5 kg C m⁻² across ecoregions and averaged 3.1 kg C m⁻² in</w:t>
      </w:r>
      <w:r>
        <w:rPr>
          <w:rFonts w:eastAsia="Times New Roman" w:cs="Times New Roman"/>
        </w:rPr>
        <w:t xml:space="preserve"> </w:t>
      </w:r>
      <w:r w:rsidR="00713406">
        <w:rPr>
          <w:rFonts w:eastAsia="Times New Roman" w:cs="Times New Roman"/>
        </w:rPr>
        <w:t xml:space="preserve">mature black spruce forests of </w:t>
      </w:r>
      <w:r w:rsidRPr="00B7136B">
        <w:rPr>
          <w:rFonts w:eastAsia="Times New Roman" w:cs="Times New Roman"/>
        </w:rPr>
        <w:t>Alaska</w:t>
      </w:r>
      <w:r>
        <w:rPr>
          <w:rFonts w:eastAsia="Times New Roman" w:cs="Times New Roman"/>
        </w:rPr>
        <w:t xml:space="preserve"> </w:t>
      </w:r>
      <w:r>
        <w:rPr>
          <w:rFonts w:eastAsia="Times New Roman" w:cs="Times New Roman"/>
        </w:rPr>
        <w:fldChar w:fldCharType="begin"/>
      </w:r>
      <w:r>
        <w:rPr>
          <w:rFonts w:eastAsia="Times New Roman" w:cs="Times New Roman"/>
        </w:rPr>
        <w:instrText xml:space="preserve"> ADDIN ZOTERO_ITEM CSL_CITATION {"citationID":"MJiJhaCp","properties":{"formattedCitation":"(X. Walker et al. 2020)","plainCitation":"(X. Walker et al. 2020)","dontUpdate":true,"noteIndex":0},"citationItems":[{"id":6491,"uris":["http://zotero.org/users/5290972/items/NEVK8HJW"],"itemData":{"id":6491,"type":"article-journal","abstract":"Carbon (C) emissions from wildfires are a key terrestrial–atmosphere interaction that influences global atmospheric composition and climate. Positive feedbacks between climate warming and boreal wildfires are predicted based on top-down controls of fire weather and climate, but C emissions from boreal fires may also depend on bottom-up controls of fuel availability related to edaphic controls and overstory tree composition. Here we synthesized data from 417 field sites spanning six ecoregions in the northwestern North American boreal forest and assessed the network of interactions among potential bottom-up and top-down drivers of C emissions. Our results indicate that C emissions are more strongly driven by fuel availability than by fire weather, highlighting the importance of fine-scale drainage conditions, overstory tree species composition and fuel accumulation rates for predicting total C emissions. By implication, climate change-induced modification of fuels needs to be considered for accurately predicting future C emissions from boreal wildfires.","container-title":"Nature Climate Change","DOI":"10.1038/s41558-020-00920-8","issue":"12","journalAbbreviation":"Nature Climate Change","page":"1-7","source":"ResearchGate","title":"Fuel availability not fire weather controls boreal wildfire severity and carbon emissions","volume":"10","author":[{"family":"Walker","given":"Xanthe"},{"family":"Rogers","given":"Brendan"},{"family":"Veraverbeke","given":"S."},{"family":"Johnstone","given":"Jill"},{"family":"Baltzer","given":"Jennifer"},{"family":"Barrett","given":"Kirsten"},{"family":"Bourgeau-Chavez","given":"Laura"},{"family":"Day","given":"Nicola"},{"family":"Groot","given":"W."},{"family":"Dieleman","given":"C."},{"family":"Goetz","given":"Scott"},{"family":"Hoy","given":"Elizabeth"},{"family":"Jenkins","given":"Liza"},{"family":"Kane","given":"E."},{"family":"Parisien","given":"Marc-André"},{"family":"Potter","given":"S."},{"family":"Schuur","given":"Edward"},{"family":"Turetsky","given":"M."},{"family":"Whitman","given":"Ellen"},{"family":"Mack","given":"M."}],"issued":{"date-parts":[["2020"]]}}}],"schema":"https://github.com/citation-style-language/schema/raw/master/csl-citation.json"} </w:instrText>
      </w:r>
      <w:r>
        <w:rPr>
          <w:rFonts w:eastAsia="Times New Roman" w:cs="Times New Roman"/>
        </w:rPr>
        <w:fldChar w:fldCharType="separate"/>
      </w:r>
      <w:r w:rsidRPr="002800E8">
        <w:rPr>
          <w:rFonts w:cs="Times New Roman"/>
        </w:rPr>
        <w:t>(Walker et al. 2020)</w:t>
      </w:r>
      <w:r>
        <w:rPr>
          <w:rFonts w:eastAsia="Times New Roman" w:cs="Times New Roman"/>
        </w:rPr>
        <w:fldChar w:fldCharType="end"/>
      </w:r>
      <w:r w:rsidRPr="00B7136B">
        <w:rPr>
          <w:rFonts w:eastAsia="Times New Roman" w:cs="Times New Roman"/>
        </w:rPr>
        <w:t xml:space="preserve">. </w:t>
      </w:r>
      <w:r>
        <w:rPr>
          <w:rFonts w:eastAsia="Times New Roman" w:cs="Times New Roman"/>
        </w:rPr>
        <w:t xml:space="preserve">We found that total C loss </w:t>
      </w:r>
      <w:r w:rsidRPr="00B7136B">
        <w:rPr>
          <w:rFonts w:eastAsia="Times New Roman" w:cs="Times New Roman"/>
        </w:rPr>
        <w:t xml:space="preserve">from wildfire was </w:t>
      </w:r>
      <w:r>
        <w:rPr>
          <w:rFonts w:eastAsia="Times New Roman" w:cs="Times New Roman"/>
        </w:rPr>
        <w:t xml:space="preserve">similar among FRIs but that the additive C loss of over two or three fires results </w:t>
      </w:r>
      <w:r>
        <w:rPr>
          <w:rFonts w:eastAsia="Times New Roman" w:cs="Times New Roman"/>
        </w:rPr>
        <w:lastRenderedPageBreak/>
        <w:t xml:space="preserve">in a 30-60% reduction in post-fire C stores. These findings are consistent with a case study in black spruce forests of Northwestern Canada, with a short-interval burn storing 40% less C post-fire than the long-interval burn </w:t>
      </w:r>
      <w:r>
        <w:rPr>
          <w:rFonts w:eastAsia="Times New Roman" w:cs="Times New Roman"/>
        </w:rPr>
        <w:fldChar w:fldCharType="begin"/>
      </w:r>
      <w:r>
        <w:rPr>
          <w:rFonts w:eastAsia="Times New Roman" w:cs="Times New Roman"/>
        </w:rPr>
        <w:instrText xml:space="preserve"> ADDIN ZOTERO_ITEM CSL_CITATION {"citationID":"dXwurCup","properties":{"formattedCitation":"(C.D. Brown and Johnstone 2011)","plainCitation":"(C.D. Brown and Johnstone 2011)","dontUpdate":true,"noteIndex":0},"citationItems":[{"id":57,"uris":["http://zotero.org/users/5290972/items/MEYJT4HV"],"itemData":{"id":57,"type":"article-journal","container-title":"International Journal of Wildland Fire","DOI":"10.1071/WF10113","ISSN":"1049-8001","issue":"7","language":"English","page":"829-837","title":"How does increased fire frequency affect carbon loss from fire? A case study in the northern boreal forest","volume":"20","author":[{"family":"Brown","given":"C.D."},{"family":"Johnstone","given":"J.F."}],"issued":{"date-parts":[["2011"]]}}}],"schema":"https://github.com/citation-style-language/schema/raw/master/csl-citation.json"} </w:instrText>
      </w:r>
      <w:r>
        <w:rPr>
          <w:rFonts w:eastAsia="Times New Roman" w:cs="Times New Roman"/>
        </w:rPr>
        <w:fldChar w:fldCharType="separate"/>
      </w:r>
      <w:r w:rsidRPr="002800E8">
        <w:rPr>
          <w:rFonts w:cs="Times New Roman"/>
        </w:rPr>
        <w:t>(Brown and Johnstone 2011)</w:t>
      </w:r>
      <w:r>
        <w:rPr>
          <w:rFonts w:eastAsia="Times New Roman" w:cs="Times New Roman"/>
        </w:rPr>
        <w:fldChar w:fldCharType="end"/>
      </w:r>
      <w:r>
        <w:rPr>
          <w:rFonts w:eastAsia="Times New Roman" w:cs="Times New Roman"/>
        </w:rPr>
        <w:t xml:space="preserve">. </w:t>
      </w:r>
    </w:p>
    <w:p w14:paraId="2196AD72" w14:textId="77777777" w:rsidR="00A865F7" w:rsidRDefault="00A865F7" w:rsidP="00A865F7">
      <w:pPr>
        <w:tabs>
          <w:tab w:val="left" w:pos="0"/>
        </w:tabs>
        <w:spacing w:after="0" w:line="480" w:lineRule="auto"/>
        <w:jc w:val="both"/>
        <w:rPr>
          <w:rFonts w:eastAsia="Times New Roman" w:cs="Times New Roman"/>
        </w:rPr>
      </w:pPr>
    </w:p>
    <w:p w14:paraId="2C88A317" w14:textId="77777777" w:rsidR="00A865F7" w:rsidRDefault="00A865F7" w:rsidP="00A865F7">
      <w:pPr>
        <w:tabs>
          <w:tab w:val="left" w:pos="0"/>
        </w:tabs>
        <w:spacing w:after="0" w:line="480" w:lineRule="auto"/>
        <w:jc w:val="both"/>
        <w:rPr>
          <w:rFonts w:eastAsia="Times New Roman" w:cs="Times New Roman"/>
        </w:rPr>
      </w:pPr>
      <w:r>
        <w:rPr>
          <w:rFonts w:eastAsia="Times New Roman" w:cs="Times New Roman"/>
        </w:rPr>
        <w:t>Our assessment of aboveground C pools across FRIs highlights</w:t>
      </w:r>
      <w:r w:rsidRPr="00023737">
        <w:rPr>
          <w:rFonts w:eastAsia="Times New Roman" w:cs="Times New Roman"/>
        </w:rPr>
        <w:t xml:space="preserve"> how reburning limits the time for tree growth and biomass recovery in the fire-free interval</w:t>
      </w:r>
      <w:r>
        <w:rPr>
          <w:rFonts w:eastAsia="Times New Roman" w:cs="Times New Roman"/>
        </w:rPr>
        <w:t xml:space="preserve">, resulting in the </w:t>
      </w:r>
      <w:r w:rsidRPr="00023737">
        <w:rPr>
          <w:rFonts w:eastAsia="Times New Roman" w:cs="Times New Roman"/>
        </w:rPr>
        <w:t xml:space="preserve">combustion of deadwood </w:t>
      </w:r>
      <w:r w:rsidRPr="003B7C30">
        <w:rPr>
          <w:rFonts w:eastAsia="Times New Roman" w:cs="Times New Roman"/>
        </w:rPr>
        <w:t>(snags, CWD</w:t>
      </w:r>
      <w:r>
        <w:rPr>
          <w:rFonts w:eastAsia="Times New Roman" w:cs="Times New Roman"/>
        </w:rPr>
        <w:t xml:space="preserve">) and the reduction of </w:t>
      </w:r>
      <w:r w:rsidRPr="00023737">
        <w:rPr>
          <w:rFonts w:eastAsia="Times New Roman" w:cs="Times New Roman"/>
        </w:rPr>
        <w:t>long</w:t>
      </w:r>
      <w:r>
        <w:rPr>
          <w:rFonts w:eastAsia="Times New Roman" w:cs="Times New Roman"/>
        </w:rPr>
        <w:t>er</w:t>
      </w:r>
      <w:r w:rsidRPr="00023737">
        <w:rPr>
          <w:rFonts w:eastAsia="Times New Roman" w:cs="Times New Roman"/>
        </w:rPr>
        <w:t>-term aboveground C storage</w:t>
      </w:r>
      <w:r>
        <w:rPr>
          <w:rFonts w:eastAsia="Times New Roman" w:cs="Times New Roman"/>
        </w:rPr>
        <w:t>. L</w:t>
      </w:r>
      <w:r w:rsidRPr="003B7C30">
        <w:rPr>
          <w:rFonts w:eastAsia="Times New Roman" w:cs="Times New Roman"/>
        </w:rPr>
        <w:t xml:space="preserve">ong and mid FRIs </w:t>
      </w:r>
      <w:r w:rsidRPr="005D65FD">
        <w:rPr>
          <w:rFonts w:eastAsia="Times New Roman" w:cs="Times New Roman"/>
        </w:rPr>
        <w:t>were characterized by</w:t>
      </w:r>
      <w:r>
        <w:rPr>
          <w:rFonts w:eastAsia="Times New Roman" w:cs="Times New Roman"/>
        </w:rPr>
        <w:t xml:space="preserve"> live</w:t>
      </w:r>
      <w:r w:rsidRPr="005D65FD">
        <w:rPr>
          <w:rFonts w:eastAsia="Times New Roman" w:cs="Times New Roman"/>
        </w:rPr>
        <w:t xml:space="preserve"> tree-dominated stands, whereas short FRIs </w:t>
      </w:r>
      <w:r>
        <w:rPr>
          <w:rFonts w:eastAsia="Times New Roman" w:cs="Times New Roman"/>
        </w:rPr>
        <w:t>had</w:t>
      </w:r>
      <w:r w:rsidRPr="005D65FD">
        <w:rPr>
          <w:rFonts w:eastAsia="Times New Roman" w:cs="Times New Roman"/>
        </w:rPr>
        <w:t xml:space="preserve"> more deadwood</w:t>
      </w:r>
      <w:r>
        <w:rPr>
          <w:rFonts w:eastAsia="Times New Roman" w:cs="Times New Roman"/>
        </w:rPr>
        <w:t xml:space="preserve">, most of which was spruce. Triple burns had substantially lower aboveground C pools, </w:t>
      </w:r>
      <w:r w:rsidRPr="00D63439">
        <w:rPr>
          <w:rFonts w:eastAsia="Times New Roman" w:cs="Times New Roman"/>
        </w:rPr>
        <w:t>with relatively little biomass in the form of deadwood compared to short FRIs.</w:t>
      </w:r>
      <w:r>
        <w:rPr>
          <w:rFonts w:eastAsia="Times New Roman" w:cs="Times New Roman"/>
        </w:rPr>
        <w:t xml:space="preserve"> Following fire, black spruce snags typically fall and transition to CWD in 20-30 years </w:t>
      </w:r>
      <w:r>
        <w:rPr>
          <w:rFonts w:eastAsia="Times New Roman" w:cs="Times New Roman"/>
        </w:rPr>
        <w:fldChar w:fldCharType="begin"/>
      </w:r>
      <w:r>
        <w:rPr>
          <w:rFonts w:eastAsia="Times New Roman" w:cs="Times New Roman"/>
        </w:rPr>
        <w:instrText xml:space="preserve"> ADDIN ZOTERO_ITEM CSL_CITATION {"citationID":"6BwQqDYE","properties":{"formattedCitation":"(Bond-Lamberty, Wang, and Gower 2002; Boulanger and Sirois 2006)","plainCitation":"(Bond-Lamberty, Wang, and Gower 2002; Boulanger and Sirois 2006)","noteIndex":0},"citationItems":[{"id":2026,"uris":["http://zotero.org/users/5290972/items/DLJ48XTN"],"itemData":{"id":2026,"type":"article-journal","container-title":"Journal of Geophysical Research","issue":"D3","page":"8220","title":"Coarse woody debris and its annual carbon flux for a boreal black spruce fire chronosequence","volume":"108","author":[{"family":"Bond-Lamberty","given":"B."},{"family":"Wang","given":"C."},{"family":"Gower","given":"S. T."}],"issued":{"date-parts":[["2002"]]}}},{"id":1213,"uris":["http://zotero.org/users/5290972/items/85RUGGZ4"],"itemData":{"id":1213,"type":"article-journal","container-title":"Canadian Journal of Forest Research","DOI":"10.1139/x06-070","ISSN":"0045-5067","issue":"7","page":"1770-1780","title":"Postfire dynamics of black spruce coarse woody debris in northern boreal forest of Quebec","title-short":"Postfire dynamics of black spruce coarse woody debris in northern boreal forest of Quebec","volume":"36","author":[{"family":"Boulanger","given":"Yan"},{"family":"Sirois","given":"Luc"}],"issued":{"date-parts":[["2006",7,1]]}}}],"schema":"https://github.com/citation-style-language/schema/raw/master/csl-citation.json"} </w:instrText>
      </w:r>
      <w:r>
        <w:rPr>
          <w:rFonts w:eastAsia="Times New Roman" w:cs="Times New Roman"/>
        </w:rPr>
        <w:fldChar w:fldCharType="separate"/>
      </w:r>
      <w:r w:rsidRPr="00761BC9">
        <w:rPr>
          <w:rFonts w:cs="Times New Roman"/>
        </w:rPr>
        <w:t>(Bond-Lamberty, Wang, and Gower 2002; Boulanger and Sirois 2006)</w:t>
      </w:r>
      <w:r>
        <w:rPr>
          <w:rFonts w:eastAsia="Times New Roman" w:cs="Times New Roman"/>
        </w:rPr>
        <w:fldChar w:fldCharType="end"/>
      </w:r>
      <w:r>
        <w:rPr>
          <w:rFonts w:eastAsia="Times New Roman" w:cs="Times New Roman"/>
        </w:rPr>
        <w:t>. While t</w:t>
      </w:r>
      <w:r w:rsidRPr="0055555A">
        <w:rPr>
          <w:rFonts w:eastAsia="Times New Roman" w:cs="Times New Roman"/>
        </w:rPr>
        <w:t xml:space="preserve">he </w:t>
      </w:r>
      <w:r>
        <w:rPr>
          <w:rFonts w:eastAsia="Times New Roman" w:cs="Times New Roman"/>
        </w:rPr>
        <w:t xml:space="preserve">rate of CWD </w:t>
      </w:r>
      <w:r w:rsidRPr="0055555A">
        <w:rPr>
          <w:rFonts w:eastAsia="Times New Roman" w:cs="Times New Roman"/>
        </w:rPr>
        <w:t xml:space="preserve">decomposition </w:t>
      </w:r>
      <w:r>
        <w:rPr>
          <w:rFonts w:eastAsia="Times New Roman" w:cs="Times New Roman"/>
        </w:rPr>
        <w:t>dep</w:t>
      </w:r>
      <w:r w:rsidRPr="0055555A">
        <w:rPr>
          <w:rFonts w:eastAsia="Times New Roman" w:cs="Times New Roman"/>
        </w:rPr>
        <w:t>ends on substrate quality and environment</w:t>
      </w:r>
      <w:r>
        <w:rPr>
          <w:rFonts w:eastAsia="Times New Roman" w:cs="Times New Roman"/>
        </w:rPr>
        <w:t xml:space="preserve">al conditions, studies in Northern Quebec have shown that black spruce CWD takes 56-145 years to decompose post-falling </w:t>
      </w:r>
      <w:r>
        <w:rPr>
          <w:rFonts w:eastAsia="Times New Roman" w:cs="Times New Roman"/>
        </w:rPr>
        <w:fldChar w:fldCharType="begin"/>
      </w:r>
      <w:r>
        <w:rPr>
          <w:rFonts w:eastAsia="Times New Roman" w:cs="Times New Roman"/>
        </w:rPr>
        <w:instrText xml:space="preserve"> ADDIN ZOTERO_ITEM CSL_CITATION {"citationID":"oBNrnkSp","properties":{"formattedCitation":"(Boulanger and Sirois 2006)","plainCitation":"(Boulanger and Sirois 2006)","noteIndex":0},"citationItems":[{"id":1213,"uris":["http://zotero.org/users/5290972/items/85RUGGZ4"],"itemData":{"id":1213,"type":"article-journal","container-title":"Canadian Journal of Forest Research","DOI":"10.1139/x06-070","ISSN":"0045-5067","issue":"7","page":"1770-1780","title":"Postfire dynamics of black spruce coarse woody debris in northern boreal forest of Quebec","title-short":"Postfire dynamics of black spruce coarse woody debris in northern boreal forest of Quebec","volume":"36","author":[{"family":"Boulanger","given":"Yan"},{"family":"Sirois","given":"Luc"}],"issued":{"date-parts":[["2006",7,1]]}}}],"schema":"https://github.com/citation-style-language/schema/raw/master/csl-citation.json"} </w:instrText>
      </w:r>
      <w:r>
        <w:rPr>
          <w:rFonts w:eastAsia="Times New Roman" w:cs="Times New Roman"/>
        </w:rPr>
        <w:fldChar w:fldCharType="separate"/>
      </w:r>
      <w:r w:rsidRPr="00761BC9">
        <w:rPr>
          <w:rFonts w:cs="Times New Roman"/>
        </w:rPr>
        <w:t>(Boulanger and Sirois 2006)</w:t>
      </w:r>
      <w:r>
        <w:rPr>
          <w:rFonts w:eastAsia="Times New Roman" w:cs="Times New Roman"/>
        </w:rPr>
        <w:fldChar w:fldCharType="end"/>
      </w:r>
      <w:r>
        <w:rPr>
          <w:rFonts w:eastAsia="Times New Roman" w:cs="Times New Roman"/>
        </w:rPr>
        <w:t xml:space="preserve">. </w:t>
      </w:r>
      <w:r w:rsidRPr="00673D6F">
        <w:rPr>
          <w:rFonts w:eastAsia="Times New Roman" w:cs="Times New Roman"/>
        </w:rPr>
        <w:t>If CWD is rapidly overgrown by moss, th</w:t>
      </w:r>
      <w:r>
        <w:rPr>
          <w:rFonts w:eastAsia="Times New Roman" w:cs="Times New Roman"/>
        </w:rPr>
        <w:t>is</w:t>
      </w:r>
      <w:r w:rsidRPr="00673D6F">
        <w:rPr>
          <w:rFonts w:eastAsia="Times New Roman" w:cs="Times New Roman"/>
        </w:rPr>
        <w:t xml:space="preserve"> decay rate can be greatly reduced, resulting in buried wood that is preserved for centuries within the </w:t>
      </w:r>
      <w:r>
        <w:rPr>
          <w:rFonts w:eastAsia="Times New Roman" w:cs="Times New Roman"/>
        </w:rPr>
        <w:t xml:space="preserve">SOL </w:t>
      </w:r>
      <w:r>
        <w:rPr>
          <w:rFonts w:eastAsia="Times New Roman" w:cs="Times New Roman"/>
        </w:rPr>
        <w:fldChar w:fldCharType="begin"/>
      </w:r>
      <w:r>
        <w:rPr>
          <w:rFonts w:eastAsia="Times New Roman" w:cs="Times New Roman"/>
        </w:rPr>
        <w:instrText xml:space="preserve"> ADDIN ZOTERO_ITEM CSL_CITATION {"citationID":"mAy5Byvp","properties":{"formattedCitation":"(Moroni, Hagemann, and Beilman 2010; Hagemann et al. 2010)","plainCitation":"(Moroni, Hagemann, and Beilman 2010; Hagemann et al. 2010)","noteIndex":0},"citationItems":[{"id":9871,"uris":["http://zotero.org/users/5290972/items/SJWK6ZYU"],"itemData":{"id":9871,"type":"article-journal","container-title":"Ecosystems","ISSN":"1432-9840","journalAbbreviation":"Ecosystems","note":"publisher: Springer","page":"452-458","title":"Dead wood is buried and preserved in a Labrador boreal forest","volume":"13","author":[{"family":"Moroni","given":"Martin Thomas"},{"family":"Hagemann","given":"Ulrike"},{"family":"Beilman","given":"David Wesley"}],"issued":{"date-parts":[["2010"]]}}},{"id":9870,"uris":["http://zotero.org/users/5290972/items/I6U5MZWI"],"itemData":{"id":9870,"type":"article-journal","container-title":"Ecosystems","ISSN":"1432-9840","journalAbbreviation":"Ecosystems","note":"publisher: Springer","page":"600-611","title":"Accumulation and preservation of dead wood upon burial by bryophytes","volume":"13","author":[{"family":"Hagemann","given":"Ulrike"},{"family":"Moroni","given":"Martin T"},{"family":"Gleißner","given":"Johanna"},{"family":"Makeschin","given":"Franz"}],"issued":{"date-parts":[["2010"]]}}}],"schema":"https://github.com/citation-style-language/schema/raw/master/csl-citation.json"} </w:instrText>
      </w:r>
      <w:r>
        <w:rPr>
          <w:rFonts w:eastAsia="Times New Roman" w:cs="Times New Roman"/>
        </w:rPr>
        <w:fldChar w:fldCharType="separate"/>
      </w:r>
      <w:r w:rsidRPr="00761BC9">
        <w:rPr>
          <w:rFonts w:cs="Times New Roman"/>
        </w:rPr>
        <w:t>(Moroni, Hagemann, and Beilman 2010; Hagemann et al. 2010)</w:t>
      </w:r>
      <w:r>
        <w:rPr>
          <w:rFonts w:eastAsia="Times New Roman" w:cs="Times New Roman"/>
        </w:rPr>
        <w:fldChar w:fldCharType="end"/>
      </w:r>
      <w:r>
        <w:rPr>
          <w:rFonts w:eastAsia="Times New Roman" w:cs="Times New Roman"/>
        </w:rPr>
        <w:t>. Our study highlights that i</w:t>
      </w:r>
      <w:r w:rsidRPr="00077F7C">
        <w:rPr>
          <w:rFonts w:eastAsia="Times New Roman" w:cs="Times New Roman"/>
        </w:rPr>
        <w:t xml:space="preserve">ncreased fire frequency leads to the </w:t>
      </w:r>
      <w:r>
        <w:rPr>
          <w:rFonts w:eastAsia="Times New Roman" w:cs="Times New Roman"/>
        </w:rPr>
        <w:t xml:space="preserve">instantaneous </w:t>
      </w:r>
      <w:r w:rsidRPr="00077F7C">
        <w:rPr>
          <w:rFonts w:eastAsia="Times New Roman" w:cs="Times New Roman"/>
        </w:rPr>
        <w:t xml:space="preserve">loss of legacy aboveground C </w:t>
      </w:r>
      <w:r>
        <w:rPr>
          <w:rFonts w:eastAsia="Times New Roman" w:cs="Times New Roman"/>
        </w:rPr>
        <w:t xml:space="preserve">in the form of deadwood </w:t>
      </w:r>
      <w:r w:rsidRPr="00077F7C">
        <w:rPr>
          <w:rFonts w:eastAsia="Times New Roman" w:cs="Times New Roman"/>
        </w:rPr>
        <w:t xml:space="preserve">that would typically </w:t>
      </w:r>
      <w:r>
        <w:rPr>
          <w:rFonts w:eastAsia="Times New Roman" w:cs="Times New Roman"/>
        </w:rPr>
        <w:t xml:space="preserve">slowly decompose </w:t>
      </w:r>
      <w:r w:rsidRPr="00077F7C">
        <w:rPr>
          <w:rFonts w:eastAsia="Times New Roman" w:cs="Times New Roman"/>
        </w:rPr>
        <w:t xml:space="preserve">in boreal forests. </w:t>
      </w:r>
    </w:p>
    <w:p w14:paraId="10E5776F" w14:textId="77777777" w:rsidR="00A865F7" w:rsidRDefault="00A865F7" w:rsidP="00A865F7">
      <w:pPr>
        <w:tabs>
          <w:tab w:val="left" w:pos="0"/>
        </w:tabs>
        <w:spacing w:after="0" w:line="480" w:lineRule="auto"/>
        <w:jc w:val="both"/>
        <w:rPr>
          <w:rFonts w:eastAsia="Times New Roman" w:cs="Times New Roman"/>
        </w:rPr>
      </w:pPr>
    </w:p>
    <w:p w14:paraId="4E239B24" w14:textId="77777777" w:rsidR="00A865F7" w:rsidRDefault="00A865F7" w:rsidP="00A865F7">
      <w:pPr>
        <w:tabs>
          <w:tab w:val="left" w:pos="0"/>
        </w:tabs>
        <w:spacing w:after="0" w:line="480" w:lineRule="auto"/>
        <w:jc w:val="both"/>
        <w:rPr>
          <w:rFonts w:eastAsia="Times New Roman" w:cs="Times New Roman"/>
        </w:rPr>
      </w:pPr>
      <w:r>
        <w:rPr>
          <w:rFonts w:eastAsia="Times New Roman" w:cs="Times New Roman"/>
        </w:rPr>
        <w:t>The reduction in pre</w:t>
      </w:r>
      <w:r w:rsidRPr="00766B0B">
        <w:rPr>
          <w:rFonts w:eastAsia="Times New Roman" w:cs="Times New Roman"/>
        </w:rPr>
        <w:t xml:space="preserve">-fire SOL depth and </w:t>
      </w:r>
      <w:r>
        <w:rPr>
          <w:rFonts w:eastAsia="Times New Roman" w:cs="Times New Roman"/>
        </w:rPr>
        <w:t xml:space="preserve">belowground </w:t>
      </w:r>
      <w:r w:rsidRPr="00766B0B">
        <w:rPr>
          <w:rFonts w:eastAsia="Times New Roman" w:cs="Times New Roman"/>
        </w:rPr>
        <w:t xml:space="preserve">C pools </w:t>
      </w:r>
      <w:r>
        <w:rPr>
          <w:rFonts w:eastAsia="Times New Roman" w:cs="Times New Roman"/>
        </w:rPr>
        <w:t>with shortened FRIs relative to long FRIs emphasizes</w:t>
      </w:r>
      <w:r w:rsidRPr="00766B0B">
        <w:rPr>
          <w:rFonts w:eastAsia="Times New Roman" w:cs="Times New Roman"/>
        </w:rPr>
        <w:t xml:space="preserve"> that frequent fires limit the reaccumulation of SOL and belowground C between disturbances </w:t>
      </w:r>
      <w:r>
        <w:rPr>
          <w:rFonts w:eastAsia="Times New Roman" w:cs="Times New Roman"/>
        </w:rPr>
        <w:t>(W</w:t>
      </w:r>
      <w:r w:rsidRPr="00766B0B">
        <w:rPr>
          <w:rFonts w:eastAsia="Times New Roman" w:cs="Times New Roman"/>
        </w:rPr>
        <w:t>alker et al. 2019</w:t>
      </w:r>
      <w:r>
        <w:rPr>
          <w:rFonts w:eastAsia="Times New Roman" w:cs="Times New Roman"/>
        </w:rPr>
        <w:t>)</w:t>
      </w:r>
      <w:r w:rsidRPr="00766B0B">
        <w:rPr>
          <w:rFonts w:eastAsia="Times New Roman" w:cs="Times New Roman"/>
        </w:rPr>
        <w:t>.</w:t>
      </w:r>
      <w:r>
        <w:rPr>
          <w:rFonts w:eastAsia="Times New Roman" w:cs="Times New Roman"/>
        </w:rPr>
        <w:t xml:space="preserve"> </w:t>
      </w:r>
      <w:r w:rsidRPr="00B7136B">
        <w:rPr>
          <w:rFonts w:eastAsia="Times New Roman" w:cs="Times New Roman"/>
        </w:rPr>
        <w:t xml:space="preserve">Across all FRI classes, the majority of </w:t>
      </w:r>
      <w:r>
        <w:rPr>
          <w:rFonts w:eastAsia="Times New Roman" w:cs="Times New Roman"/>
        </w:rPr>
        <w:t>C</w:t>
      </w:r>
      <w:r w:rsidRPr="00B7136B">
        <w:rPr>
          <w:rFonts w:eastAsia="Times New Roman" w:cs="Times New Roman"/>
        </w:rPr>
        <w:t xml:space="preserve"> combusted originated from belowground in the SOL</w:t>
      </w:r>
      <w:r>
        <w:rPr>
          <w:rFonts w:eastAsia="Times New Roman" w:cs="Times New Roman"/>
        </w:rPr>
        <w:t xml:space="preserve"> and </w:t>
      </w:r>
      <w:r w:rsidRPr="00B7136B">
        <w:rPr>
          <w:rFonts w:eastAsia="Times New Roman" w:cs="Times New Roman"/>
        </w:rPr>
        <w:t xml:space="preserve">short FRIs exhibited the highest proportional </w:t>
      </w:r>
      <w:r>
        <w:rPr>
          <w:rFonts w:eastAsia="Times New Roman" w:cs="Times New Roman"/>
        </w:rPr>
        <w:t>belowground C</w:t>
      </w:r>
      <w:r w:rsidRPr="00B7136B">
        <w:rPr>
          <w:rFonts w:eastAsia="Times New Roman" w:cs="Times New Roman"/>
        </w:rPr>
        <w:t xml:space="preserve"> </w:t>
      </w:r>
      <w:r w:rsidRPr="00B7136B">
        <w:rPr>
          <w:rFonts w:eastAsia="Times New Roman" w:cs="Times New Roman"/>
        </w:rPr>
        <w:lastRenderedPageBreak/>
        <w:t xml:space="preserve">loss (~52% of pre-fire </w:t>
      </w:r>
      <w:r>
        <w:rPr>
          <w:rFonts w:eastAsia="Times New Roman" w:cs="Times New Roman"/>
        </w:rPr>
        <w:t>C</w:t>
      </w:r>
      <w:r w:rsidRPr="00B7136B">
        <w:rPr>
          <w:rFonts w:eastAsia="Times New Roman" w:cs="Times New Roman"/>
        </w:rPr>
        <w:t>)</w:t>
      </w:r>
      <w:r>
        <w:rPr>
          <w:rFonts w:eastAsia="Times New Roman" w:cs="Times New Roman"/>
        </w:rPr>
        <w:t xml:space="preserve"> and the smallest post-fire belowground C pools. Despite experiencing two fires in &lt;70 years, we were surprised that triple-mid burns had slightly larger pre- and post-fire C pools than short FRIs. This is likely due to the most recent FRI being intermediate, which allows more time for SOL reaccumulation but might also be a function of triple-mid burns occurring in more poorly drained landscapes with a higher frequency of permafrost and black spruce dominance. Although boreal forests generally resist burning for upwards of 30 years, until fuels reaccumulate to levels that can sustain fire </w:t>
      </w:r>
      <w:r>
        <w:rPr>
          <w:rFonts w:eastAsia="Times New Roman" w:cs="Times New Roman"/>
        </w:rPr>
        <w:fldChar w:fldCharType="begin"/>
      </w:r>
      <w:r>
        <w:rPr>
          <w:rFonts w:eastAsia="Times New Roman" w:cs="Times New Roman"/>
        </w:rPr>
        <w:instrText xml:space="preserve"> ADDIN ZOTERO_ITEM CSL_CITATION {"citationID":"jlrSyZAU","properties":{"formattedCitation":"(Parks et al. 2015; Erni, Arseneault, and Parisien 2018)","plainCitation":"(Parks et al. 2015; Erni, Arseneault, and Parisien 2018)","noteIndex":0},"citationItems":[{"id":141,"uris":["http://zotero.org/users/5290972/items/B89TT22F"],"itemData":{"id":141,"type":"article-journal","abstract":"Theory suggests that natural fire regimes can result in landscapes that are both self-regulating and resilient to fire. For example, because fires consume fuel, they may create barriers to the spread of future fires, thereby regulating fire size. Top-down controls such as weather, however, can weaken this effect. While empirical examples demonstrating this pattern–process feedback between vegetation and fire exist, they have been geographically limited or did not consider the influence of time between fires and weather. The availability of remotely sensed data identifying fire activity over the last four decades provides an opportunity to explicitly quantify the ability of wildland fire to limit the progression of subsequent fire. Furthermore, advances in fire progression mapping now allow an evaluation of how daily weather as a top-down control modifies this effect. In this study, we evaluated the ability of wildland fire to create barriers that limit the spread of subsequent fire along a gradient representing time between fires in four large study areas in the western United States. Using fire progression maps in conjunction with weather station data, we also evaluated the influence of daily weather. Results indicate that wildland fire does limit subsequent fire spread in all four study areas, but this effect decays over time; wildland fire no longer limits subsequent fire spread 6–18 years after fire, depending on the study area. We also found that the ability of fire to regulate subsequent fire progression was substantially reduced under extreme conditions compared to moderate weather conditions in all four study areas. This study increases understanding of the spatial feedbacks that can lead to self-regulating landscapes as well as the effects of top-down controls, such as weather, on these feedbacks. Our results will be useful to managers who seek to restore natural fire regimes or to exploit recent burns when managing fire.","container-title":"Ecological Applications","DOI":"10.1890/14-1430.1","ISSN":"1939-5582","issue":"6","language":"en","license":"© 2015 by the Ecological Society of America","page":"1478-1492","source":"Wiley Online Library","title":"Wildland fire as a self-regulating mechanism: the role of previous burns and weather in limiting fire progression","title-short":"Wildland fire as a self-regulating mechanism","volume":"25","author":[{"family":"Parks","given":"Sean A."},{"family":"Holsinger","given":"Lisa M."},{"family":"Miller","given":"Carol"},{"family":"Nelson","given":"Cara R."}],"issued":{"date-parts":[["2015"]]}}},{"id":52,"uris":["http://zotero.org/users/5290972/items/2W4Q2T3T"],"itemData":{"id":52,"type":"article-journal","abstract":"Although it has long been assumed that wildfire occurrence is independent of stand age in the North American boreal forest, recent studies indicate that young forests may influence burn rates by limiting the ignition and spread of fires for several years. Wildfires not only structure the stand-age mosaic of boreal landscapes, but also alter the likelihood and behavior of subsequent fires. Using a fire simulation model, we evaluated the effect of stand age on the magnitude and spatial patterns of burn probability (BP) in the boreal forest of northeastern Canada. Specifically, we assessed the stand age effect on the two processes driving fire likelihood, ignition and spread, by simulating tens of thousands of fires under three fire regime scenarios that vary in terms of mean fire size and number of burned patches. Assuming minimal resistance to fire ignition and spread, where only the youngest stands (≤ 10 years) are resistant to burning, mean BP is reduced by 10%; in contrast, assuming maximum resistance, where stands up to 90 years old impede wildfires, mean BP can be reduced up to 85%. Although the resistance to ignition on BP is almost identical in magnitude to that of spread, it yields substantially different spatial arrangements of BP. Furthermore, stand age resistance reduces subsequent fire activity not only within but also outside the perimeter of burned patches through a shadow effect. Our results help to untangle the role of factors contributing to stand age resistance on wildfires and offer new insights for improving the spatial mapping of fire likelihood.","container-title":"Ecosystems","DOI":"10.1007/s10021-018-0235-3","ISSN":"1435-0629","journalAbbreviation":"Ecosystems","language":"en","page":"1471-1486","source":"Springer Link","title":"Stand Age Influence on Potential Wildfire Ignition and Spread in the Boreal Forest of Northeastern Canada","volume":"21","author":[{"family":"Erni","given":"Sandy"},{"family":"Arseneault","given":"Dominique"},{"family":"Parisien","given":"Marc-André"}],"issued":{"date-parts":[["2018",2,28]]}}}],"schema":"https://github.com/citation-style-language/schema/raw/master/csl-citation.json"} </w:instrText>
      </w:r>
      <w:r>
        <w:rPr>
          <w:rFonts w:eastAsia="Times New Roman" w:cs="Times New Roman"/>
        </w:rPr>
        <w:fldChar w:fldCharType="separate"/>
      </w:r>
      <w:r w:rsidRPr="007F204E">
        <w:rPr>
          <w:rFonts w:cs="Times New Roman"/>
        </w:rPr>
        <w:t>(Parks et al. 2015; Erni, Arseneault, and Parisien 2018)</w:t>
      </w:r>
      <w:r>
        <w:rPr>
          <w:rFonts w:eastAsia="Times New Roman" w:cs="Times New Roman"/>
        </w:rPr>
        <w:fldChar w:fldCharType="end"/>
      </w:r>
      <w:r>
        <w:rPr>
          <w:rFonts w:cs="Times New Roman"/>
          <w:color w:val="000000"/>
        </w:rPr>
        <w:t xml:space="preserve">, we found that </w:t>
      </w:r>
      <w:r>
        <w:rPr>
          <w:rFonts w:eastAsia="Times New Roman" w:cs="Times New Roman"/>
        </w:rPr>
        <w:t>belowground C pools were reduced in all shortened FRIs compared to long FRIs. This finding suggests that a recovery period of &lt;70 years is not sufficient to reaccumulate belowground C stores between fires and highlights the potential loss of legacy C</w:t>
      </w:r>
      <w:r w:rsidRPr="00B7136B">
        <w:rPr>
          <w:rFonts w:eastAsia="Times New Roman" w:cs="Times New Roman"/>
        </w:rPr>
        <w:t xml:space="preserve">. </w:t>
      </w:r>
    </w:p>
    <w:p w14:paraId="4703884C" w14:textId="77777777" w:rsidR="00A865F7" w:rsidRPr="00503412" w:rsidRDefault="00A865F7" w:rsidP="00A865F7">
      <w:pPr>
        <w:spacing w:before="100" w:beforeAutospacing="1" w:after="100" w:afterAutospacing="1" w:line="480" w:lineRule="auto"/>
        <w:jc w:val="both"/>
        <w:rPr>
          <w:rFonts w:eastAsia="Times New Roman" w:cs="Times New Roman"/>
        </w:rPr>
      </w:pPr>
      <w:r>
        <w:rPr>
          <w:rFonts w:eastAsia="Times New Roman" w:cs="Times New Roman"/>
        </w:rPr>
        <w:t xml:space="preserve">Similar to results in black spruce forests of the NWT, Canada, we found that shortened FRIs resulted in belowground legacy C combustion (Walker et al. 2019), with ~65% and 100% of the belowground C loss in mid and short FRIs, respectively, originating from C that accumulated before the most recent fire. Post-fire SOL C pools are likely to vary with fire severity, landscape position, pre-fire tree species composition, and long-term climate, and </w:t>
      </w:r>
      <w:r w:rsidRPr="000906CB">
        <w:rPr>
          <w:rFonts w:cs="Times New Roman"/>
        </w:rPr>
        <w:t xml:space="preserve">the rate of </w:t>
      </w:r>
      <w:r>
        <w:rPr>
          <w:rFonts w:cs="Times New Roman"/>
        </w:rPr>
        <w:t xml:space="preserve">C </w:t>
      </w:r>
      <w:r w:rsidRPr="000906CB">
        <w:rPr>
          <w:rFonts w:cs="Times New Roman"/>
        </w:rPr>
        <w:t xml:space="preserve">accumulation depends on environmental conditions that impact net primary productivity and decomposition </w:t>
      </w:r>
      <w:r w:rsidRPr="000906CB">
        <w:rPr>
          <w:rFonts w:cs="Times New Roman"/>
        </w:rPr>
        <w:fldChar w:fldCharType="begin"/>
      </w:r>
      <w:r>
        <w:rPr>
          <w:rFonts w:cs="Times New Roman"/>
        </w:rPr>
        <w:instrText xml:space="preserve"> ADDIN ZOTERO_ITEM CSL_CITATION {"citationID":"8xIi5PCN","properties":{"formattedCitation":"(Luyssaert et al. 2008; Jonsson and Wardle 2010; Xanthe J. Walker, Rogers, et al. 2018)","plainCitation":"(Luyssaert et al. 2008; Jonsson and Wardle 2010; Xanthe J. Walker, Rogers, et al. 2018)","dontUpdate":true,"noteIndex":0},"citationItems":[{"id":6351,"uris":["http://zotero.org/users/5290972/items/5FBEDM4L"],"itemData":{"id":6351,"type":"article-journal","abstract":"A literature and database search for forest carbon flux estimates finds that in forests between 15 and 800 years of age net ecosystem productivity, the net carbon balance of the forest, is usually positive. These results demonstrate that old forests can continue to accumulate carbon, contrary to the long-standing view that old forests are carbon-neutral.","container-title":"Nature","DOI":"10.1038/nature07276","ISSN":"1476-4687","issue":"7210","journalAbbreviation":"Nature","language":"en","page":"213-215","title":"Old-growth forests as global carbon sinks","volume":"455","author":[{"family":"Luyssaert","given":"Sebastiaan"},{"family":"Schulze","given":"E.-Detlef"},{"family":"Börner","given":"Annett"},{"family":"Knohl","given":"Alexander"},{"family":"Hessenmöller","given":"Dominik"},{"family":"Law","given":"Beverly E."},{"family":"Ciais","given":"Philippe"},{"family":"Grace","given":"John"}],"issued":{"date-parts":[["2008",9]]}}},{"id":6469,"uris":["http://zotero.org/users/5290972/items/SEUW6TBD"],"itemData":{"id":6469,"type":"article-journal","abstract":"Boreal forest ecosystems are important drivers of the global carbon (C) cycle by acting as both sinks and sources of atmospheric CO2. While several factors have been proposed as determining the ability of boreal forest to function as C sinks, little is known about their relative importance. In this study, we applied structural equation modelling to a previously published dataset involving 30 boreal-forested islands that vary greatly in their historic fire regime, in order to explore the simultaneous influence of several factors believed to be important in influencing above-ground, below-ground and total ecosystem C accumulation. We found that wildfire was a major driver of ecosystem C sequestration, and exerted direct effects on below-ground C storage (presumably through humus combustion) and indirect effects on both above-ground and below-ground C storage through altering plant-community composition. By contrast, plant diversity influenced only below-ground C storage (and even then only weakly), while net primary productivity and decomposition had no detectable effect. Our results suggest that while boreal forests have great potential for storing significant amounts of C, traits of dominant plant species that promote below-ground C accumulation and the absence of wildfire are the most important drivers of C sequestration in these ecosystems.","container-title":"Biology Letters","DOI":"10.1098/rsbl.2009.0613","issue":"1","journalAbbreviation":"Biol Lett","page":"116-119","source":"royalsocietypublishing.org (Atypon)","title":"Structural equation modelling reveals plant-community drivers of carbon storage in boreal forest ecosystems","volume":"6","author":[{"family":"Jonsson","given":"Micael"},{"family":"Wardle","given":"David A."}],"issued":{"date-parts":[["2010",2,23]]}}},{"id":6327,"uris":["http://zotero.org/users/5290972/items/HCBTRFGP"],"itemData":{"id":6327,"type":"article-journal","abstract":"Climate warming and drying is associated with increased wildfire disturbance and the emergence of megafires in North American boreal forests. Changes to the fire regime are expected to strongly increase combustion emissions of carbon (C) which could alter regional C balance and positively feedback to climate warming. In order to accurately estimate C emissions and thereby better predict future climate feedbacks, there is a need to understand the major sources of heterogeneity that impact C emissions at different scales. Here, we examined 211 field plots in boreal forests dominated by black spruce (Picea mariana) or jack pine (Pinus banksiana) of the Northwest Territories (NWT), Canada after an unprecedentedly large area burned in 2014. We assessed both aboveground and soil organic layer (SOL) combustion, with the goal of determining the major drivers in total C emissions, as well as to develop a high spatial resolution model to scale emissions in a relatively understudied region of the boreal forest. On average, 3.35 kg C m−2 was combusted and almost 90% of this was from SOL combustion. Our results indicate that black spruce stands located at landscape positions with intermediate drainage contribute the most to C emissions. Indices associated with fire weather and date of burn did not impact emissions, which we attribute to the extreme fire weather over a short period of time. Using these results, we estimated a total of 94.3 Tg C emitted from 2.85 Mha of burned area across the entire 2014 NWT fire complex, which offsets almost 50% of mean annual net ecosystem production in terrestrial ecosystems of Canada. Our study also highlights the need for fine-scale estimates of burned area that represent small water bodies and regionally specific calibrations of combustion that account for spatial heterogeneity in order to accurately model emissions at the continental scale.","container-title":"Global Change Biology","DOI":"10.1111/gcb.14287","ISSN":"1365-2486","issue":"9","journalAbbreviation":"Glob Chang Biol","language":"en","page":"4251-4265","title":"Cross-scale controls on carbon emissions from boreal forest megafires","volume":"24","author":[{"family":"Walker","given":"Xanthe J."},{"family":"Rogers","given":"Brendan M."},{"family":"Baltzer","given":"Jennifer L."},{"family":"Cumming","given":"Steven G."},{"family":"Day","given":"Nicola J."},{"family":"Goetz","given":"Scott J."},{"family":"Johnstone","given":"Jill F."},{"family":"Schuur","given":"Edward A. G."},{"family":"Turetsky","given":"Merritt R."},{"family":"Mack","given":"Michelle C."}],"issued":{"date-parts":[["2018"]]}}}],"schema":"https://github.com/citation-style-language/schema/raw/master/csl-citation.json"} </w:instrText>
      </w:r>
      <w:r w:rsidRPr="000906CB">
        <w:rPr>
          <w:rFonts w:cs="Times New Roman"/>
        </w:rPr>
        <w:fldChar w:fldCharType="separate"/>
      </w:r>
      <w:r w:rsidRPr="00237E71">
        <w:rPr>
          <w:rFonts w:cs="Times New Roman"/>
        </w:rPr>
        <w:t>(Luyssaert et al. 2008; Jonsson and Wardle 2010; Walker, Rogers, et al. 2018)</w:t>
      </w:r>
      <w:r w:rsidRPr="000906CB">
        <w:rPr>
          <w:rFonts w:cs="Times New Roman"/>
        </w:rPr>
        <w:fldChar w:fldCharType="end"/>
      </w:r>
      <w:r>
        <w:rPr>
          <w:rFonts w:cs="Times New Roman"/>
        </w:rPr>
        <w:t xml:space="preserve">. Thus, the lack of SOL </w:t>
      </w:r>
      <w:r>
        <w:rPr>
          <w:rFonts w:eastAsia="Times New Roman" w:cs="Times New Roman"/>
        </w:rPr>
        <w:t xml:space="preserve">legacy C loss in triple-mid FRIs likely represents differences in environmental conditions and </w:t>
      </w:r>
      <w:r>
        <w:rPr>
          <w:rFonts w:cs="Times New Roman"/>
        </w:rPr>
        <w:t>the estimates of legacy SOL C combustion that we present should be considered a preliminary metric. However, even if we use the lower 95% confidence interval of post-fire belowground C pools for long FRIs, legacy SOL C combustion still accounts for ~100% of C loss with short FRIs and ~50% with mid FRIs. Any combustion o</w:t>
      </w:r>
      <w:r>
        <w:rPr>
          <w:rFonts w:eastAsia="Times New Roman" w:cs="Times New Roman"/>
        </w:rPr>
        <w:t xml:space="preserve">f legacy C represents a change in the NECB from net </w:t>
      </w:r>
      <w:r>
        <w:rPr>
          <w:rFonts w:eastAsia="Times New Roman" w:cs="Times New Roman"/>
        </w:rPr>
        <w:lastRenderedPageBreak/>
        <w:t xml:space="preserve">C sink or neutral to a net C source and our findings highlight the vulnerability of SOL legacy C to continued increases in fire frequency. </w:t>
      </w:r>
    </w:p>
    <w:p w14:paraId="6D90ABBD" w14:textId="77777777" w:rsidR="00A865F7" w:rsidRDefault="00A865F7" w:rsidP="00A865F7">
      <w:pPr>
        <w:tabs>
          <w:tab w:val="left" w:pos="0"/>
        </w:tabs>
        <w:spacing w:after="0" w:line="480" w:lineRule="auto"/>
        <w:jc w:val="both"/>
        <w:rPr>
          <w:rFonts w:cs="Times New Roman"/>
        </w:rPr>
      </w:pPr>
      <w:r>
        <w:rPr>
          <w:rFonts w:cs="Times New Roman"/>
        </w:rPr>
        <w:t xml:space="preserve">In agreement with previous work examining post-fire recruitment with reburning (e.g., </w:t>
      </w:r>
      <w:r>
        <w:rPr>
          <w:rFonts w:cs="Times New Roman"/>
        </w:rPr>
        <w:fldChar w:fldCharType="begin"/>
      </w:r>
      <w:r>
        <w:rPr>
          <w:rFonts w:cs="Times New Roman"/>
        </w:rPr>
        <w:instrText xml:space="preserve"> ADDIN ZOTERO_ITEM CSL_CITATION {"citationID":"IutGp2e8","properties":{"formattedCitation":"(Carissa D Brown and Johnstone 2012; Hayes and Buma 2021; J. F. Johnstone and Chapin 2006; Whitman et al. 2019)","plainCitation":"(Carissa D Brown and Johnstone 2012; Hayes and Buma 2021; J. F. Johnstone and Chapin 2006; Whitman et al. 2019)","dontUpdate":true,"noteIndex":0},"citationItems":[{"id":1223,"uris":["http://zotero.org/users/5290972/items/TPKRZXAZ"],"itemData":{"id":1223,"type":"article-journal","container-title":"Forest Ecology and Management","ISSN":"0378-1127","page":"34-41","title":"Once burned, twice shy: Repeat fires reduce seed availability and alter substrate constraints on&lt; i&gt; Picea mariana regeneration","title-short":"Once burned, twice shy: Repeat fires reduce seed availability and alter substrate constraints on&lt; i&gt; Picea mariana regeneration","volume":"266","author":[{"family":"Brown","given":"Carissa D"},{"family":"Johnstone","given":"Jill F"}],"issued":{"date-parts":[["2012"]]}}},{"id":6271,"uris":["http://zotero.org/users/5290972/items/RK9DF4ZZ"],"itemData":{"id":6271,"type":"article-journal","abstract":"Increasing rates of short-interval disturbances have the potential to rapidly transform ecosystems via shifts in post-disturbance regeneration. While research has explored compound events in multiple biomes, we know little regarding how local site conditions interact with short-interval disturbances to influence post-disturbance regeneration. Furthermore, questions remain regarding the consequences of continued high frequency events: What happens when emerging new communities are themselves subject to short-interval disturbances? To investigate effects of ongoing short-interval fires on regeneration, we examined post-fire forest regeneration in two locations in interior Alaska. We established 50 plots across a mosaic of fire histories (one, two, or three fires in &lt;70 yr) in an upland and lowland site in interior Alaska. To investigate how shifts in community driven by short-interval fires differ according to local site conditions, we quantified abundance, proportion, and density of conifer and deciduous regeneration in a drier upland site and a wetter lowland site. Both sites were dominated by black spruce prior to burning. In the drier upland site, black spruce (Picea mariana) presence declined sharply after two fires, while paper birch (Betula neoalaskana) became increasingly abundant with each additional fire. In the wetter lowland site, less organic soil was consumed by fire and presence of black spruce persisted through an initial single reburn (two fires), indicating local topography may temporarily buffer reburning impacts. However, after three burns, conifers were effectively eliminated in both upland and lowland stands. Deciduous regeneration differed with site: Birch dominated in upland plots, while willow (Salix spp.) and aspen (Populus tremuloides) dominated in lowlands. These results offer strong empirical evidence of the divergence of boreal successional trajectories from previous historic norms. Furthermore, results from this study demonstrate shifts in post-fire succession in forested ecosystems continue to accumulate with additional short-interval disturbance events, overwhelming the interactive effects of local site conditions.","container-title":"Ecosphere","DOI":"10.1002/ecs2.3379","ISSN":"2150-8925","issue":"3","language":"en","note":"_eprint: https://onlinelibrary.wiley.com/doi/pdf/10.1002/ecs2.3379","page":"e03379","source":"Wiley Online Library","title":"Effects of short-interval disturbances continue to accumulate, overwhelming variability in local resilience","volume":"12","author":[{"family":"Hayes","given":"Katherine"},{"family":"Buma","given":"Brian"}],"issued":{"date-parts":[["2021"]]}}},{"id":777,"uris":["http://zotero.org/users/5290972/items/7KD6GFKU"],"itemData":{"id":777,"type":"article-journal","archive_location":"WOS:000236424100009","container-title":"Ecosystems","DOI":"10.1007/s10021-005-0061-2","ISSN":"1432-9840","issue":"2","page":"268-277","title":"Fire interval effects on successional trajectory in boreal forests of northwest Canada","title-short":"Fire interval effects on successional trajectory in boreal forests of northwest Canada","volume":"9","author":[{"family":"Johnstone","given":"J. F."},{"family":"Chapin","given":"F. S."}],"issued":{"date-parts":[["2006"]]}}},{"id":6239,"uris":["http://zotero.org/users/5290972/items/T75LT9H4"],"itemData":{"id":6239,"type":"article-journal","abstract":"The size and frequency of large wildfires in western North America have increased in recent years, a trend climate change is likely to exacerbate. Due to fuel limitations, recently burned forests resist burning for upwards of 30 years; however, extreme fire-conducive weather enables reburning at shorter fire-free intervals than expected. This research quantifies the outcomes of short-interval reburns in upland and wetland environments of northwestern Canadian boreal forests and identifies an interactive effect of post-fire drought. Despite adaptations to wildfire amongst boreal plants, post-fire forests at paired short- and long-interval sites were significantly different, with short-interval sites having lower stem densities of trees due to reduced conifer recruitment, a higher proportion of broadleaf trees, less residual organic material, and reduced herbaceous vegetation cover. Drought reinforced changes in proportions of tree species and decreases in tree recruitment, reinforcing non-resilient responses to short-interval reburning. Drier and warmer weather will increase the incidence of short-interval reburning and amplify the ecological changes such events cause, as wildfire activity and post-fire drought increase synergistically. These interacting disturbances will accelerate climate-driven changes in boreal forest structure and composition. Our findings identify processes of ongoing and future change in a climate-sensitive biome.","container-title":"Scientific Reports","DOI":"10.1038/s41598-019-55036-7","ISSN":"2045-2322","issue":"1","language":"en","license":"2019 The Author(s)","note":"container-title: Scientific Reports\nnumber: 1\npublisher: Nature Publishing Group","page":"18796","source":"www.nature.com","title":"Short-interval wildfire and drought overwhelm boreal forest resilience","volume":"9","author":[{"family":"Whitman","given":"Ellen"},{"family":"Parisien","given":"Marc-André"},{"family":"Thompson","given":"Dan K."},{"family":"Flannigan","given":"Mike D."}],"issued":{"date-parts":[["2019",12,11]]}}}],"schema":"https://github.com/citation-style-language/schema/raw/master/csl-citation.json"} </w:instrText>
      </w:r>
      <w:r>
        <w:rPr>
          <w:rFonts w:cs="Times New Roman"/>
        </w:rPr>
        <w:fldChar w:fldCharType="separate"/>
      </w:r>
      <w:r w:rsidRPr="00C75DFE">
        <w:rPr>
          <w:rFonts w:cs="Times New Roman"/>
        </w:rPr>
        <w:t>Brown and Johnstone 2012; Hayes and Buma 2021; Johnstone and Chapin 2006; Whitman et al. 2019)</w:t>
      </w:r>
      <w:r>
        <w:rPr>
          <w:rFonts w:cs="Times New Roman"/>
        </w:rPr>
        <w:fldChar w:fldCharType="end"/>
      </w:r>
      <w:r>
        <w:rPr>
          <w:rFonts w:cs="Times New Roman"/>
        </w:rPr>
        <w:t xml:space="preserve">, we observed a reduction in spruce dominance associated with shortened FRIs. In black spruce forests, increased fire frequency reduces post-fire black spruce seed availability and exposes mineral soil, leading to recruitment failure or the establishment of deciduous species (Johnstone and Chapin 2006, Brown and Johnstone 2012). </w:t>
      </w:r>
      <w:r w:rsidRPr="00AF5CC7">
        <w:rPr>
          <w:rFonts w:cs="Times New Roman"/>
        </w:rPr>
        <w:t>Notably, intermediate FRIs showed regeneration trajectories dominated by black spruce.</w:t>
      </w:r>
      <w:r>
        <w:rPr>
          <w:rFonts w:cs="Times New Roman"/>
        </w:rPr>
        <w:t xml:space="preserve"> </w:t>
      </w:r>
      <w:r w:rsidRPr="00AF5CC7">
        <w:rPr>
          <w:rFonts w:cs="Times New Roman"/>
        </w:rPr>
        <w:t xml:space="preserve">These findings suggest that stands over 30 years old at the time of fire produce sufficient seed to sustain historical self-replacement cycles. In contrast, short FRIs and triple burns erode the </w:t>
      </w:r>
      <w:r>
        <w:rPr>
          <w:rFonts w:cs="Times New Roman"/>
        </w:rPr>
        <w:t xml:space="preserve">compositional </w:t>
      </w:r>
      <w:r w:rsidRPr="00AF5CC7">
        <w:rPr>
          <w:rFonts w:cs="Times New Roman"/>
        </w:rPr>
        <w:t>resilience of black spruce forests</w:t>
      </w:r>
      <w:r>
        <w:rPr>
          <w:rFonts w:cs="Times New Roman"/>
        </w:rPr>
        <w:t xml:space="preserve"> and alter post-fire successional trajectories.</w:t>
      </w:r>
    </w:p>
    <w:p w14:paraId="62197396" w14:textId="77777777" w:rsidR="00A865F7" w:rsidRDefault="00A865F7" w:rsidP="00A865F7">
      <w:pPr>
        <w:tabs>
          <w:tab w:val="left" w:pos="0"/>
        </w:tabs>
        <w:spacing w:after="0" w:line="480" w:lineRule="auto"/>
        <w:jc w:val="both"/>
        <w:rPr>
          <w:rFonts w:cs="Times New Roman"/>
        </w:rPr>
      </w:pPr>
    </w:p>
    <w:p w14:paraId="05741A23" w14:textId="741C495D" w:rsidR="00A865F7" w:rsidRDefault="00A865F7" w:rsidP="00A865F7">
      <w:pPr>
        <w:tabs>
          <w:tab w:val="left" w:pos="0"/>
        </w:tabs>
        <w:spacing w:after="0" w:line="480" w:lineRule="auto"/>
        <w:jc w:val="both"/>
        <w:rPr>
          <w:rFonts w:cs="Times New Roman"/>
        </w:rPr>
      </w:pPr>
      <w:r w:rsidRPr="00F941E2">
        <w:rPr>
          <w:rFonts w:cs="Times New Roman"/>
        </w:rPr>
        <w:t xml:space="preserve">Recruitment failure was unexpectedly high across all stand types. Even </w:t>
      </w:r>
      <w:r>
        <w:rPr>
          <w:rFonts w:cs="Times New Roman"/>
        </w:rPr>
        <w:t>in long and mid FRIs, 36-52</w:t>
      </w:r>
      <w:r w:rsidRPr="00F941E2">
        <w:rPr>
          <w:rFonts w:cs="Times New Roman"/>
        </w:rPr>
        <w:t xml:space="preserve">% of </w:t>
      </w:r>
      <w:r>
        <w:rPr>
          <w:rFonts w:cs="Times New Roman"/>
        </w:rPr>
        <w:t>pre-fire black spruce sites experienced recruitment failure</w:t>
      </w:r>
      <w:r w:rsidRPr="00F941E2">
        <w:rPr>
          <w:rFonts w:cs="Times New Roman"/>
        </w:rPr>
        <w:t xml:space="preserve">, exceeding the 10–25% reported in a synthesis of black spruce stands across North America </w:t>
      </w:r>
      <w:r>
        <w:rPr>
          <w:rFonts w:cs="Times New Roman"/>
        </w:rPr>
        <w:fldChar w:fldCharType="begin"/>
      </w:r>
      <w:r>
        <w:rPr>
          <w:rFonts w:cs="Times New Roman"/>
        </w:rPr>
        <w:instrText xml:space="preserve"> ADDIN ZOTERO_ITEM CSL_CITATION {"citationID":"5Ae1y2VT","properties":{"formattedCitation":"(Baltzer et al. 2021)","plainCitation":"(Baltzer et al. 2021)","noteIndex":0},"citationItems":[{"id":6314,"uris":["http://zotero.org/users/5290972/items/F4PMSSBA"],"itemData":{"id":6314,"type":"article-journal","abstract":"Author Information\nJennifer L. Baltzera,1, Nicola J. Daya,b, Xanthe J. Walkerc,d, David Greenee, Michelle C. Mackc,d, Heather D. Alexanderf, Dominique Arseneaultg, Jennifer Barnesh, Yves Bergeroni, Yan Boucherj, Laura Bourgeau-Chavezk, Carissa D. Brownl, Suzanne Carrièrem, Brian K. Howardc,d, Sylvie Gauthiern, Marc-André Parisieno, Kirsten A. Reida,l, Brendan M. Rogersp, Carl Rolandq, Luc Siroisg, Sarah Stehnq, Dan K. Thompsono, Merritt R. Turetskyr, Sander Veraverbekes, Ellen Whitmano, Jian Yangt, and Jill F. Johnstoneu,vaBiology Department, Wilfrid Laurier University, Waterloo, ON N2L 3C5, Canada;bSchool of Biological Sciences, Victoria University of Wellington, Wellington 6012, New Zealand;cCenter for Ecosystem Science and Society, Northern Arizona University, Flagstaff, AZ 86001;dDepartment of Biological Sciences, Northern Arizona University, Flagstaff, AZ 86001;eForestry and Wildland Resources, Humboldt State University, Arcata, CA 95521;fSchool of Forestry and Wildlife Sciences, Auburn University, Auburn, AL 36849;gDépartement de Biologie, Chimie et Géographie, Université du Québec à Rimouski, Rimouski, QC G5L 3A1, Canada;hNational Park Service, Alaska Region, Fairbanks, AK 99501;iDépartement des Sciences Biologiques, Université du Québec à Montréal and Institut de Recherche sur les Forêts, Université du Québec en Abitibi-Témiscamingue, Rouyn-Noranda, QC J9X 5E4, Canada;jDépartement des Sciences Fondamentales, Université du Québec à Chicoutimi, QC G7H 2B1, Canada;kMichigan Tech Research Institute, Michigan Technological University, Ann Arbor, MI 48105;lDepartment of Geography, Memorial University, St. John’s, NL A1B 3X9, Canada;mEnvironment and Natural Resources, Government of the Northwest Territories, Yellowknife, NT X1A 2L9, Canada;nLaurentian Forestry Centre, Canadian Forest Service, Natural Resources Canada, Québec City, QC G1V 4C7, Canada;oNorthern Forestry Centre, Canadian Forest Service, Natural Resources Canada, Edmonton, AB T6H 3S5, Canada;pWoodwell Climate Research Center, Falmouth, MA 02540;qDenali National Park and Preserve, US National Parks Service, Denali Park, AK 99755;rInstitute of Arctic and Alpine Research, University of Colorado Boulder, Boulder, CO 80303;sEarth and Climate, Vrije Universiteit Amsterdam, Amsterdam, The Netherlands;tDepartment of Forestry and Natural Resources, University of Kentucky, Lexington, KY 40546;uYukonU Research Centre, Yukon University, Whitehorse, YT Y1A 5G9, Canada;vInstitute of Arctic Biology, University of Alaska Fairbanks, Fairbanks, AK 99775Edited by James T. Randerson, University of California, Irvine, CA, and approved August 26, 2021 (received for review December 3, 2020)\nFootnotes</w:instrText>
      </w:r>
      <w:r>
        <w:rPr>
          <w:rFonts w:ascii="Cambria Math" w:hAnsi="Cambria Math" w:cs="Cambria Math"/>
        </w:rPr>
        <w:instrText>↵</w:instrText>
      </w:r>
      <w:r>
        <w:rPr>
          <w:rFonts w:cs="Times New Roman"/>
        </w:rPr>
        <w:instrText xml:space="preserve">1To whom correspondence may be addressed. Email: jbaltzer@wlu.ca.Accepted August 26, 2021.Author contributions: J.L.B., N.J.D., and J.F.J. designed research with help from D.G., L.B.-C., B.K.H., S.S., and E.W.; J.L.B., N.J.D., X.J.W., D.G., M.C.M., D.A., J.B., Y. Bergeron, Y. Boucher, L.B.-C., C.D.B., S.C., B.K.H., S.G., M.-A.P., K.A.R., B.M.R., C.R., L.S., S.S., D.K.T., M.R.T., E.W., and J.F.J. contributed datasets; J.L.B. analyzed data with input from N.J.D., X.J.W., M.C.M., B.M.R., and J.F.J.; and J.L.B. led the writing in collaboration with N.J.D., D.G., M.C.M., and J.F.J. All authors read and edited this manuscript.The authors declare no competing interest.This article is a PNAS Direct Submission.This article contains supporting information online at https://www.pnas.org/lookup/suppl/doi:10.1073/pnas.2024872118/-/DCSupplemental.","container-title":"Proceedings of the National Academy of Sciences","DOI":"10.1073/pnas.2024872118","ISSN":"0027-8424, 1091-6490","issue":"45","journalAbbreviation":"Proc Natl Acad Sci","language":"en","page":"e2024872118","source":"www.pnas.org","title":"Increasing fire and the decline of fire adapted black spruce in the boreal forest","volume":"118","author":[{"family":"Baltzer","given":"Jennifer L."},{"family":"Day","given":"Nicola J."},{"family":"Walker","given":"Xanthe J."},{"family":"Greene","given":"David"},{"family":"Mack","given":"Michelle C."},{"family":"Alexander","given":"Heather D."},{"family":"Arseneault","given":"Dominique"},{"family":"Barnes","given":"Jennifer"},{"family":"Bergeron","given":"Yves"},{"family":"Boucher","given":"Yan"},{"family":"Bourgeau-Chavez","given":"Laura"},{"family":"Brown","given":"Carissa D."},{"family":"Carrière","given":"Suzanne"},{"family":"Howard","given":"Brian K."},{"family":"Gauthier","given":"Sylvie"},{"family":"Parisien","given":"Marc-André"},{"family":"Reid","given":"Kirsten A."},{"family":"Rogers","given":"Brendan M."},{"family":"Roland","given":"Carl"},{"family":"Sirois","given":"Luc"},{"family":"Stehn","given":"Sarah"},{"family":"Thompson","given":"Dan K."},{"family":"Turetsky","given":"Merritt R."},{"family":"Veraverbeke","given":"Sander"},{"family":"Whitman","given":"Ellen"},{"family":"Yang","given":"Jian"},{"family":"Johnstone","given":"Jill F."}],"issued":{"date-parts":[["2021"]]}}}],"schema":"https://github.com/citation-style-language/schema/raw/master/csl-citation.json"} </w:instrText>
      </w:r>
      <w:r>
        <w:rPr>
          <w:rFonts w:cs="Times New Roman"/>
        </w:rPr>
        <w:fldChar w:fldCharType="separate"/>
      </w:r>
      <w:r w:rsidRPr="0066467A">
        <w:rPr>
          <w:rFonts w:cs="Times New Roman"/>
        </w:rPr>
        <w:t>(Baltzer et al. 2021)</w:t>
      </w:r>
      <w:r>
        <w:rPr>
          <w:rFonts w:cs="Times New Roman"/>
        </w:rPr>
        <w:fldChar w:fldCharType="end"/>
      </w:r>
      <w:r w:rsidRPr="00F941E2">
        <w:rPr>
          <w:rFonts w:cs="Times New Roman"/>
        </w:rPr>
        <w:t>.</w:t>
      </w:r>
      <w:r>
        <w:rPr>
          <w:rFonts w:cs="Times New Roman"/>
        </w:rPr>
        <w:t xml:space="preserve"> </w:t>
      </w:r>
      <w:r w:rsidRPr="00B31F79">
        <w:rPr>
          <w:rFonts w:cs="Times New Roman"/>
        </w:rPr>
        <w:t xml:space="preserve">In short and triple FRI sites, recruitment failure was even more pronounced, with </w:t>
      </w:r>
      <w:r w:rsidR="00E80F0F">
        <w:rPr>
          <w:rFonts w:cs="Times New Roman"/>
        </w:rPr>
        <w:t>7</w:t>
      </w:r>
      <w:r w:rsidRPr="00B31F79">
        <w:rPr>
          <w:rFonts w:cs="Times New Roman"/>
        </w:rPr>
        <w:t xml:space="preserve"> out of </w:t>
      </w:r>
      <w:r>
        <w:rPr>
          <w:rFonts w:cs="Times New Roman"/>
        </w:rPr>
        <w:t>10</w:t>
      </w:r>
      <w:r w:rsidRPr="00B31F79">
        <w:rPr>
          <w:rFonts w:cs="Times New Roman"/>
        </w:rPr>
        <w:t xml:space="preserve"> </w:t>
      </w:r>
      <w:r>
        <w:rPr>
          <w:rFonts w:cs="Times New Roman"/>
        </w:rPr>
        <w:t xml:space="preserve">pre-fire black spruce sites </w:t>
      </w:r>
      <w:r w:rsidRPr="00B31F79">
        <w:rPr>
          <w:rFonts w:cs="Times New Roman"/>
        </w:rPr>
        <w:t xml:space="preserve">transitioning to open post-fire. </w:t>
      </w:r>
      <w:r>
        <w:rPr>
          <w:rFonts w:cs="Times New Roman"/>
        </w:rPr>
        <w:t>The</w:t>
      </w:r>
      <w:r w:rsidRPr="00B31F79">
        <w:rPr>
          <w:rFonts w:cs="Times New Roman"/>
        </w:rPr>
        <w:t xml:space="preserve"> high failure rate </w:t>
      </w:r>
      <w:r>
        <w:rPr>
          <w:rFonts w:cs="Times New Roman"/>
        </w:rPr>
        <w:t xml:space="preserve">with short FRIs and triple burns likely </w:t>
      </w:r>
      <w:r w:rsidRPr="00B31F79">
        <w:rPr>
          <w:rFonts w:cs="Times New Roman"/>
        </w:rPr>
        <w:t>result</w:t>
      </w:r>
      <w:r>
        <w:rPr>
          <w:rFonts w:cs="Times New Roman"/>
        </w:rPr>
        <w:t>s</w:t>
      </w:r>
      <w:r w:rsidRPr="00B31F79">
        <w:rPr>
          <w:rFonts w:cs="Times New Roman"/>
        </w:rPr>
        <w:t xml:space="preserve"> from reproductive immaturity, </w:t>
      </w:r>
      <w:r>
        <w:rPr>
          <w:rFonts w:cs="Times New Roman"/>
        </w:rPr>
        <w:t xml:space="preserve">as black spruce stands do not produce sufficient seeds for self-replacement until ~50 years </w:t>
      </w:r>
      <w:r>
        <w:rPr>
          <w:rFonts w:cs="Times New Roman"/>
        </w:rPr>
        <w:fldChar w:fldCharType="begin"/>
      </w:r>
      <w:r>
        <w:rPr>
          <w:rFonts w:cs="Times New Roman"/>
        </w:rPr>
        <w:instrText xml:space="preserve"> ADDIN ZOTERO_ITEM CSL_CITATION {"citationID":"HZVrfKoG","properties":{"formattedCitation":"(Viglas, Brown, and Johnstone 2013)","plainCitation":"(Viglas, Brown, and Johnstone 2013)","noteIndex":0},"citationItems":[{"id":36,"uris":["http://zotero.org/users/5290972/items/4V8NHXUM"],"itemData":{"id":36,"type":"article-journal","container-title":"Canadian Journal of Forest Research","ISSN":"0045-5067","issue":"6","page":"534-543","title":"Age and size effects on seed productivity of northern black spruce","volume":"43","author":[{"family":"Viglas","given":"Jayme N"},{"family":"Brown","given":"Carissa D"},{"family":"Johnstone","given":"Jill F"}],"issued":{"date-parts":[["2013"]]}}}],"schema":"https://github.com/citation-style-language/schema/raw/master/csl-citation.json"} </w:instrText>
      </w:r>
      <w:r>
        <w:rPr>
          <w:rFonts w:cs="Times New Roman"/>
        </w:rPr>
        <w:fldChar w:fldCharType="separate"/>
      </w:r>
      <w:r w:rsidRPr="002B3973">
        <w:rPr>
          <w:rFonts w:cs="Times New Roman"/>
        </w:rPr>
        <w:t>(Viglas, Brown, and Johnstone 2013)</w:t>
      </w:r>
      <w:r>
        <w:rPr>
          <w:rFonts w:cs="Times New Roman"/>
        </w:rPr>
        <w:fldChar w:fldCharType="end"/>
      </w:r>
      <w:r>
        <w:rPr>
          <w:rFonts w:cs="Times New Roman"/>
        </w:rPr>
        <w:t xml:space="preserve">. </w:t>
      </w:r>
      <w:r w:rsidRPr="00D466A6">
        <w:rPr>
          <w:rFonts w:cs="Times New Roman"/>
        </w:rPr>
        <w:t>Surprisingly, pre-fire mixed and deciduous sites also experienced regeneration failure</w:t>
      </w:r>
      <w:r>
        <w:rPr>
          <w:rFonts w:cs="Times New Roman"/>
        </w:rPr>
        <w:t xml:space="preserve"> (Figure S3)</w:t>
      </w:r>
      <w:r w:rsidRPr="00D466A6">
        <w:rPr>
          <w:rFonts w:cs="Times New Roman"/>
        </w:rPr>
        <w:t>. Deciduous forests typically rely on asexual regeneration strategies, such as resprouting, to persist through subsequent fires</w:t>
      </w:r>
      <w:r>
        <w:rPr>
          <w:rFonts w:cs="Times New Roman"/>
        </w:rPr>
        <w:t xml:space="preserve"> of varying severity</w:t>
      </w:r>
      <w:r w:rsidRPr="00D466A6">
        <w:rPr>
          <w:rFonts w:cs="Times New Roman"/>
        </w:rPr>
        <w:t xml:space="preserve"> </w:t>
      </w:r>
      <w:r>
        <w:rPr>
          <w:rFonts w:cs="Times New Roman"/>
        </w:rPr>
        <w:fldChar w:fldCharType="begin"/>
      </w:r>
      <w:r>
        <w:rPr>
          <w:rFonts w:cs="Times New Roman"/>
        </w:rPr>
        <w:instrText xml:space="preserve"> ADDIN ZOTERO_ITEM CSL_CITATION {"citationID":"idcK9WG9","properties":{"formattedCitation":"(X. J. Walker et al. 2023; Jean, Pinno, and Nielsen 2020)","plainCitation":"(X. J. Walker et al. 2023; Jean, Pinno, and Nielsen 2020)","dontUpdate":true,"noteIndex":0},"citationItems":[{"id":6608,"uris":["http://zotero.org/users/5290972/items/HGC7RQ3V"],"itemData":{"id":6608,"type":"article-journal","container-title":"Ecosystems","note":"ISBN: 1432-9840\npublisher: Springer US New York","page":"1-10","title":"Shifts in Ecological Legacies Support Hysteresis of Stand Type Conversions in Boreal Forests","author":[{"family":"Walker","given":"X. J."},{"family":"Okano","given":"K."},{"family":"Berner","given":"L. T."},{"family":"Massey","given":"R."},{"family":"Goetz","given":"S. J."},{"family":"Johnstone","given":"J. F."},{"family":"Mack","given":"M. C."}],"issued":{"date-parts":[["2023"]]}}},{"id":9876,"uris":["http://zotero.org/users/5290972/items/FBLUQSQS"],"itemData":{"id":9876,"type":"article-journal","abstract":"Research Highlights: Black spruce (Picea mariana Mill.) and trembling aspen (Populus tremuloides Michx.) both regenerated vigorously after wildfire. However, pure semi-upland black spruce stands are at increasing risk of changing successional trajectories, due to greater aspen recruitment. Background and Objectives: Black spruce and aspen are found across the boreal forest with black spruce dominating lowlands and aspen being common in uplands. Both species are well adapted to wildfire with black spruce holding an aerial seedbank while aspen reproduce rapidly via root suckering. In the summer of 2016, the Horse River wildfire burned 589,617 hectares of northern Alberta’s boreal forest. Methods: We assessed early regeneration dynamics of both pure aspen and pure black spruce forests. For black spruce, 12 plots were established in both bog and semi-upland habitats to assess seedling regeneration and seedbed availability. For aspen, 12 plots were established in each of the low, moderate, and high burn severities, as well as 5 unburned plots. Results: Post-fire black spruce regeneration densities did not differ between bog and semi-upland habitats, but were positively correlated with forb cover and charred organic matter seedbeds. Aspen regeneration within pure black sprue stands was substantial, particularly in semi-upland habitats, indicating a potential shift in successional trajectory. Fire severity did not significantly affect aspen regeneration in pure aspen stands, but regeneration density in all severity types was &gt;90,000 stems ha−1. Aspen regeneration densities were negatively related to post-fire forb and shrub cover, likely due to competition and cooler soil temperature.","container-title":"Forests","DOI":"10.3390/f11030333","ISSN":"1999-4907","issue":"3","language":"en","license":"http://creativecommons.org/licenses/by/3.0/","note":"number: 3\npublisher: Multidisciplinary Digital Publishing Institute","page":"333","source":"www.mdpi.com","title":"Early Regeneration Dynamics of Pure Black Spruce and Aspen Forests after Wildfire in Boreal Alberta, Canada","volume":"11","author":[{"family":"Jean","given":"Stephanie A."},{"family":"Pinno","given":"Bradley D."},{"family":"Nielsen","given":"Scott E."}],"issued":{"date-parts":[["2020",3]]}}}],"schema":"https://github.com/citation-style-language/schema/raw/master/csl-citation.json"} </w:instrText>
      </w:r>
      <w:r>
        <w:rPr>
          <w:rFonts w:cs="Times New Roman"/>
        </w:rPr>
        <w:fldChar w:fldCharType="separate"/>
      </w:r>
      <w:r w:rsidRPr="002D044A">
        <w:rPr>
          <w:rFonts w:cs="Times New Roman"/>
        </w:rPr>
        <w:t>(Walker et al. 2023; Jean, Pinno, and Nielsen 2020)</w:t>
      </w:r>
      <w:r>
        <w:rPr>
          <w:rFonts w:cs="Times New Roman"/>
        </w:rPr>
        <w:fldChar w:fldCharType="end"/>
      </w:r>
      <w:r>
        <w:rPr>
          <w:rFonts w:cs="Times New Roman"/>
        </w:rPr>
        <w:t xml:space="preserve">. </w:t>
      </w:r>
      <w:r w:rsidRPr="00D466A6">
        <w:rPr>
          <w:rFonts w:cs="Times New Roman"/>
        </w:rPr>
        <w:t>However, high-</w:t>
      </w:r>
      <w:r w:rsidRPr="00D466A6">
        <w:rPr>
          <w:rFonts w:cs="Times New Roman"/>
        </w:rPr>
        <w:lastRenderedPageBreak/>
        <w:t xml:space="preserve">severity burning </w:t>
      </w:r>
      <w:r>
        <w:rPr>
          <w:rFonts w:cs="Times New Roman"/>
        </w:rPr>
        <w:t xml:space="preserve">has been shown to consume the lateral roots of trembling aspen and </w:t>
      </w:r>
      <w:r w:rsidRPr="00D466A6">
        <w:rPr>
          <w:rFonts w:cs="Times New Roman"/>
        </w:rPr>
        <w:t xml:space="preserve">prevent </w:t>
      </w:r>
      <w:r>
        <w:rPr>
          <w:rFonts w:cs="Times New Roman"/>
        </w:rPr>
        <w:t xml:space="preserve">the </w:t>
      </w:r>
      <w:r w:rsidRPr="00D466A6">
        <w:rPr>
          <w:rFonts w:cs="Times New Roman"/>
        </w:rPr>
        <w:t xml:space="preserve">species </w:t>
      </w:r>
      <w:r>
        <w:rPr>
          <w:rFonts w:cs="Times New Roman"/>
        </w:rPr>
        <w:t xml:space="preserve">from </w:t>
      </w:r>
      <w:r w:rsidRPr="00D466A6">
        <w:rPr>
          <w:rFonts w:cs="Times New Roman"/>
        </w:rPr>
        <w:t>establish</w:t>
      </w:r>
      <w:r>
        <w:rPr>
          <w:rFonts w:cs="Times New Roman"/>
        </w:rPr>
        <w:t xml:space="preserve">ing </w:t>
      </w:r>
      <w:r>
        <w:rPr>
          <w:rFonts w:cs="Times New Roman"/>
        </w:rPr>
        <w:fldChar w:fldCharType="begin"/>
      </w:r>
      <w:r>
        <w:rPr>
          <w:rFonts w:cs="Times New Roman"/>
        </w:rPr>
        <w:instrText xml:space="preserve"> ADDIN ZOTERO_ITEM CSL_CITATION {"citationID":"7DaUnWNF","properties":{"formattedCitation":"(Wang 2003)","plainCitation":"(Wang 2003)","noteIndex":0},"citationItems":[{"id":9874,"uris":["http://zotero.org/users/5290972/items/XAIVV7L4"],"itemData":{"id":9874,"type":"article-journal","abstract":"Four boreal mixedwood stands burned by the 1999 Black River wildfire in southeastern Manitoba were sampled to determine the effect of fire severity on density and diameter and height growth of trembling aspen (Populus tremuloides Michx.) suckers during the first three postfire years. Analysis of covariance, using prefire aspen basal area as the covariate, indicated that fire severity significantly affected postfire aspen sucker density, with significantly lower density found on severely burned plots. Changes in aspen sucker density over the three postfire years depended on fire severity, with significant changes observed only on scorched and lightly burned plots. Sucker mortality was positively related to the initial sucker density, with more than 80% of the total variance being explained. Fire severity significantly affected the growth of dominant aspen suckers in the first, but not the second and the third, postfire years. The first year of growth initially increased and then remained stable with the increase in density, while the second and third years of growth were not affected by density. Since fire severity within and (or) among burned stands is inherently heterogeneous, the effect of fire severity must be taken into account in predicting postfire density and growth of aspen suckers.","container-title":"Canadian Journal of Forest Research","DOI":"10.1139/x03-123","ISSN":"0045-5067","issue":"10","journalAbbreviation":"Can. J. For. Res.","note":"publisher: NRC Research Press","page":"1998-2006","source":"cdnsciencepub.com (Atypon)","title":"Early regeneration and growth dynamics of Populus tremuloides suckers in relation to fire severity","volume":"33","author":[{"family":"Wang","given":"G. Geoff"}],"issued":{"date-parts":[["2003",10]]}}}],"schema":"https://github.com/citation-style-language/schema/raw/master/csl-citation.json"} </w:instrText>
      </w:r>
      <w:r>
        <w:rPr>
          <w:rFonts w:cs="Times New Roman"/>
        </w:rPr>
        <w:fldChar w:fldCharType="separate"/>
      </w:r>
      <w:r w:rsidRPr="002D044A">
        <w:rPr>
          <w:rFonts w:cs="Times New Roman"/>
        </w:rPr>
        <w:t>(Wang 2003)</w:t>
      </w:r>
      <w:r>
        <w:rPr>
          <w:rFonts w:cs="Times New Roman"/>
        </w:rPr>
        <w:fldChar w:fldCharType="end"/>
      </w:r>
      <w:r w:rsidRPr="00D466A6">
        <w:rPr>
          <w:rFonts w:cs="Times New Roman"/>
        </w:rPr>
        <w:t>.</w:t>
      </w:r>
      <w:r>
        <w:rPr>
          <w:rFonts w:cs="Times New Roman"/>
        </w:rPr>
        <w:t xml:space="preserve"> Additionally, s</w:t>
      </w:r>
      <w:r w:rsidRPr="00D466A6">
        <w:rPr>
          <w:rFonts w:cs="Times New Roman"/>
        </w:rPr>
        <w:t xml:space="preserve">hort FRIs might limit the time for deciduous species to accumulate carbohydrate reserves necessary for </w:t>
      </w:r>
      <w:r>
        <w:rPr>
          <w:rFonts w:cs="Times New Roman"/>
        </w:rPr>
        <w:t xml:space="preserve">successful </w:t>
      </w:r>
      <w:r w:rsidRPr="00D466A6">
        <w:rPr>
          <w:rFonts w:cs="Times New Roman"/>
        </w:rPr>
        <w:t>asexual regeneration</w:t>
      </w:r>
      <w:r>
        <w:rPr>
          <w:rFonts w:cs="Times New Roman"/>
        </w:rPr>
        <w:t xml:space="preserve"> post-fire </w:t>
      </w:r>
      <w:r>
        <w:rPr>
          <w:rFonts w:eastAsia="Times New Roman" w:cs="Times New Roman"/>
        </w:rPr>
        <w:fldChar w:fldCharType="begin"/>
      </w:r>
      <w:r>
        <w:rPr>
          <w:rFonts w:eastAsia="Times New Roman" w:cs="Times New Roman"/>
        </w:rPr>
        <w:instrText xml:space="preserve"> ADDIN ZOTERO_ITEM CSL_CITATION {"citationID":"0bqWhBtr","properties":{"formattedCitation":"(Clarke et al. 2013)","plainCitation":"(Clarke et al. 2013)","noteIndex":0},"citationItems":[{"id":9865,"uris":["http://zotero.org/users/5290972/items/XVFQF8DC"],"itemData":{"id":9865,"type":"article-journal","container-title":"New phytologist","ISSN":"0028-646X","issue":"1","journalAbbreviation":"New phytologist","note":"publisher: Wiley Online Library","page":"19-35","title":"Resprouting as a key functional trait: how buds, protection and resources drive persistence after fire","volume":"197","author":[{"family":"Clarke","given":"Peter J"},{"family":"Lawes","given":"MJ"},{"family":"Midgley","given":"Jeremy J"},{"family":"Lamont","given":"BB"},{"family":"Ojeda","given":"F"},{"family":"Burrows","given":"GE"},{"family":"Enright","given":"NJ"},{"family":"Knox","given":"KJE"}],"issued":{"date-parts":[["2013"]]}}}],"schema":"https://github.com/citation-style-language/schema/raw/master/csl-citation.json"} </w:instrText>
      </w:r>
      <w:r>
        <w:rPr>
          <w:rFonts w:eastAsia="Times New Roman" w:cs="Times New Roman"/>
        </w:rPr>
        <w:fldChar w:fldCharType="separate"/>
      </w:r>
      <w:r w:rsidRPr="00E54603">
        <w:rPr>
          <w:rFonts w:cs="Times New Roman"/>
        </w:rPr>
        <w:t>(Clarke et al. 2013)</w:t>
      </w:r>
      <w:r>
        <w:rPr>
          <w:rFonts w:eastAsia="Times New Roman" w:cs="Times New Roman"/>
        </w:rPr>
        <w:fldChar w:fldCharType="end"/>
      </w:r>
      <w:r w:rsidRPr="00D466A6">
        <w:rPr>
          <w:rFonts w:cs="Times New Roman"/>
        </w:rPr>
        <w:t>.</w:t>
      </w:r>
      <w:r>
        <w:rPr>
          <w:rFonts w:cs="Times New Roman"/>
        </w:rPr>
        <w:t xml:space="preserve"> </w:t>
      </w:r>
    </w:p>
    <w:p w14:paraId="521B5F9F" w14:textId="77777777" w:rsidR="00A865F7" w:rsidRDefault="00A865F7" w:rsidP="00A865F7">
      <w:pPr>
        <w:tabs>
          <w:tab w:val="left" w:pos="0"/>
        </w:tabs>
        <w:spacing w:after="0" w:line="480" w:lineRule="auto"/>
        <w:jc w:val="both"/>
        <w:rPr>
          <w:rFonts w:cs="Times New Roman"/>
        </w:rPr>
      </w:pPr>
    </w:p>
    <w:p w14:paraId="7F30255C" w14:textId="77777777" w:rsidR="00A865F7" w:rsidRDefault="00A865F7" w:rsidP="00A865F7">
      <w:pPr>
        <w:tabs>
          <w:tab w:val="left" w:pos="0"/>
        </w:tabs>
        <w:spacing w:after="0" w:line="480" w:lineRule="auto"/>
        <w:jc w:val="both"/>
        <w:rPr>
          <w:rFonts w:cs="Times New Roman"/>
        </w:rPr>
      </w:pPr>
      <w:r>
        <w:rPr>
          <w:rFonts w:cs="Times New Roman"/>
        </w:rPr>
        <w:t>In addition to our findings that i</w:t>
      </w:r>
      <w:r w:rsidRPr="008C10FB">
        <w:rPr>
          <w:rFonts w:cs="Times New Roman"/>
        </w:rPr>
        <w:t xml:space="preserve">ncreasing </w:t>
      </w:r>
      <w:r>
        <w:rPr>
          <w:rFonts w:cs="Times New Roman"/>
        </w:rPr>
        <w:t>wildfire</w:t>
      </w:r>
      <w:r w:rsidRPr="008C10FB">
        <w:rPr>
          <w:rFonts w:cs="Times New Roman"/>
        </w:rPr>
        <w:t xml:space="preserve"> frequency decreases </w:t>
      </w:r>
      <w:r>
        <w:rPr>
          <w:rFonts w:cs="Times New Roman"/>
        </w:rPr>
        <w:t>C</w:t>
      </w:r>
      <w:r w:rsidRPr="008C10FB">
        <w:rPr>
          <w:rFonts w:cs="Times New Roman"/>
        </w:rPr>
        <w:t xml:space="preserve"> storage and leads to regeneration failure</w:t>
      </w:r>
      <w:r>
        <w:rPr>
          <w:rFonts w:cs="Times New Roman"/>
        </w:rPr>
        <w:t xml:space="preserve">, </w:t>
      </w:r>
      <w:r w:rsidRPr="00A948C8">
        <w:rPr>
          <w:rFonts w:cs="Times New Roman"/>
        </w:rPr>
        <w:t>our extensive sampling across Interior Alaska revealed several distinct attributes of reburning.</w:t>
      </w:r>
      <w:r>
        <w:rPr>
          <w:rFonts w:cs="Times New Roman"/>
        </w:rPr>
        <w:t xml:space="preserve"> </w:t>
      </w:r>
      <w:r w:rsidRPr="00A948C8">
        <w:rPr>
          <w:rFonts w:cs="Times New Roman"/>
        </w:rPr>
        <w:t xml:space="preserve">We </w:t>
      </w:r>
      <w:r>
        <w:rPr>
          <w:rFonts w:cs="Times New Roman"/>
        </w:rPr>
        <w:t xml:space="preserve">observed </w:t>
      </w:r>
      <w:r w:rsidRPr="00A948C8">
        <w:rPr>
          <w:rFonts w:cs="Times New Roman"/>
        </w:rPr>
        <w:t xml:space="preserve">that reburning occurs </w:t>
      </w:r>
      <w:r>
        <w:rPr>
          <w:rFonts w:cs="Times New Roman"/>
        </w:rPr>
        <w:t xml:space="preserve">across all forest types and landscape positions, however, short FRIs were more prevalent at drier upland positions and triple burns at wetter lowland positions. Although reburning is thought to primarily occur in coniferous forests </w:t>
      </w:r>
      <w:r>
        <w:rPr>
          <w:rFonts w:cs="Times New Roman"/>
        </w:rPr>
        <w:fldChar w:fldCharType="begin"/>
      </w:r>
      <w:r>
        <w:rPr>
          <w:rFonts w:cs="Times New Roman"/>
        </w:rPr>
        <w:instrText xml:space="preserve"> ADDIN ZOTERO_ITEM CSL_CITATION {"citationID":"CAiPLfvq","properties":{"formattedCitation":"(Buma et al. 2022)","plainCitation":"(Buma et al. 2022)","noteIndex":0},"citationItems":[{"id":9867,"uris":["http://zotero.org/users/5290972/items/BWQLSJMD"],"itemData":{"id":9867,"type":"article-journal","abstract":"Climate drivers are increasingly creating conditions conducive to higher frequency fires. In the coniferous boreal forest, the world’s largest terrestrial biome, fires are historically common but relatively infrequent. Post-fire, regenerating forests are generally resistant to burning (strong fire self-regulation), favoring millennial coniferous resilience. However, short intervals between fires are associated with rapid, threshold-like losses of resilience and changes to broadleaf or shrub communities, impacting carbon content, habitat, and other ecosystem services. Fires burning the same location 2 + times comprise approximately 4% of all Alaskan boreal fire events since 1984, and the fraction of short-interval events (&lt; 20 years between fires) is increasing with time. While there is strong resistance to burning for the first decade after a fire, from 10 to 20 years post-fire resistance appears to decline. Reburning is biased towards coniferous forests and in areas with seasonally variable precipitation, and that proportion appears to be increasing with time, suggesting continued forest shifts as changing climatic drivers overwhelm the resistance of early postfire landscapes to reburning. As area burned in large fire years of ~ 15 years ago begin to mature, there is potential for more widespread shifts, which should be evaluated closely to understand finer grained patterns within this regional trend.","container-title":"Scientific Reports","DOI":"10.1038/s41598-022-08912-8","ISSN":"2045-2322","issue":"1","journalAbbreviation":"Sci Rep","language":"en","license":"2022 The Author(s)","note":"publisher: Nature Publishing Group","page":"4901","source":"www.nature.com","title":"Short-interval fires increasing in the Alaskan boreal forest as fire self-regulation decays across forest types","volume":"12","author":[{"family":"Buma","given":"B."},{"family":"Hayes","given":"K."},{"family":"Weiss","given":"S."},{"family":"Lucash","given":"M."}],"issued":{"date-parts":[["2022",3,22]]}}}],"schema":"https://github.com/citation-style-language/schema/raw/master/csl-citation.json"} </w:instrText>
      </w:r>
      <w:r>
        <w:rPr>
          <w:rFonts w:cs="Times New Roman"/>
        </w:rPr>
        <w:fldChar w:fldCharType="separate"/>
      </w:r>
      <w:r w:rsidRPr="00384CF9">
        <w:rPr>
          <w:rFonts w:cs="Times New Roman"/>
        </w:rPr>
        <w:t>(Buma et al. 2022)</w:t>
      </w:r>
      <w:r>
        <w:rPr>
          <w:rFonts w:cs="Times New Roman"/>
        </w:rPr>
        <w:fldChar w:fldCharType="end"/>
      </w:r>
      <w:r>
        <w:rPr>
          <w:rFonts w:cs="Times New Roman"/>
        </w:rPr>
        <w:t xml:space="preserve"> and deciduous dominance typically reduces ignitions </w:t>
      </w:r>
      <w:r>
        <w:rPr>
          <w:rFonts w:cs="Times New Roman"/>
        </w:rPr>
        <w:fldChar w:fldCharType="begin"/>
      </w:r>
      <w:r>
        <w:rPr>
          <w:rFonts w:cs="Times New Roman"/>
        </w:rPr>
        <w:instrText xml:space="preserve"> ADDIN ZOTERO_ITEM CSL_CITATION {"citationID":"F8ssDiXF","properties":{"formattedCitation":"(Krawchuk et al. 2006)","plainCitation":"(Krawchuk et al. 2006)","noteIndex":0},"citationItems":[{"id":44,"uris":["http://zotero.org/users/5290972/items/65REYJ26"],"itemData":{"id":44,"type":"article-journal","abstract":"Lightning fire is the dominant natural disturbance of the western mixedwood boreal forest of North America. We quantified the independent effects of weather and forest composition on lightning fire initiation (a detected and recorded fire start) patterns in Alberta, Canada, to demonstrate how these biotic and abiotic components contribute to ecosystem dynamics in the mixedwood boreal forest. We used logistic regression to describe variation in annual initiation occurrence among 10 000-ha landscape units (voxels) covering a 9 million-ha study region over 11 years. At a voxel scale, forest composition explained more variation in annual initiation than did weather indices. Initiations occurred more frequently in landscapes with more conifer fuels (Picea spp.), and less in aspen-dominated (Populus spp.) ones. Initiations were less frequent in landscapes that had recently burned. Variation in initiation was also influenced by joint weather–lightning indices, but to a lesser degree. For each voxel, these indices quantified the number of days in the fire season when moisture levels were low and lightning was detected. Regional indices of fire weather severity explained substantial interannual variation of initiation, and the effect of forest composition was stronger in years with more severe fire weather. Our study is a conclusive demonstration of biotic and abiotic regulation of lightning fire initiation in the mixedwood boreal forest. The independent effects of forest composition emphasize that vegetation feedbacks strongly regulate disturbance dynamics in the region.","container-title":"Ecology","DOI":"10.1890/05-1021","ISSN":"1939-9170","issue":"2","language":"en","page":"458-468","source":"Wiley Online Library","title":"Biotic and Abiotic Regulation of Lightning Fire Initiation in the Mixedwood Boreal Forest","volume":"87","author":[{"family":"Krawchuk","given":"M. A."},{"family":"Cumming","given":"S. G."},{"family":"Flannigan","given":"M. D."},{"family":"Wein","given":"R. W."}],"issued":{"date-parts":[["2006",2,1]]}}}],"schema":"https://github.com/citation-style-language/schema/raw/master/csl-citation.json"} </w:instrText>
      </w:r>
      <w:r>
        <w:rPr>
          <w:rFonts w:cs="Times New Roman"/>
        </w:rPr>
        <w:fldChar w:fldCharType="separate"/>
      </w:r>
      <w:r w:rsidRPr="00C97002">
        <w:rPr>
          <w:rFonts w:cs="Times New Roman"/>
        </w:rPr>
        <w:t>(Krawchuk et al. 2006)</w:t>
      </w:r>
      <w:r>
        <w:rPr>
          <w:rFonts w:cs="Times New Roman"/>
        </w:rPr>
        <w:fldChar w:fldCharType="end"/>
      </w:r>
      <w:r>
        <w:rPr>
          <w:rFonts w:cs="Times New Roman"/>
        </w:rPr>
        <w:t xml:space="preserve">, fire probability </w:t>
      </w:r>
      <w:r>
        <w:rPr>
          <w:rFonts w:cs="Times New Roman"/>
        </w:rPr>
        <w:fldChar w:fldCharType="begin"/>
      </w:r>
      <w:r>
        <w:rPr>
          <w:rFonts w:cs="Times New Roman"/>
        </w:rPr>
        <w:instrText xml:space="preserve"> ADDIN ZOTERO_ITEM CSL_CITATION {"citationID":"RyRSsAak","properties":{"formattedCitation":"(Bernier et al. 2016; Cumming 2001)","plainCitation":"(Bernier et al. 2016; Cumming 2001)","noteIndex":0},"citationItems":[{"id":1663,"uris":["http://zotero.org/users/5290972/items/PS63E8YF"],"itemData":{"id":1663,"type":"article-journal","abstract":"Fire is a dominant mechanism of forest renewal in most of Canada’s forests and its activity is predicted to increase over the coming decades. Individual fire events have been considered to be non-selective with regards to forest properties, but evidence now suggests otherwise. Our objective was therefore to quantify the effect of forest properties on fire selectivity or avoidance, evaluate the stability of these effects across varying burn rates, and use these results to map local fire risk across the forests of Canada. We used Canada-wide MODIS-based maps of annual fires and of forest properties to identify burned and unburned pixels for the 2002–2011 period and to bin them into classes of forest composition (% conifer and broadleaved deciduous), above-ground tree biomass and stand age. Logistic binomial regressions were then used to quantify fire selectivity by forest properties classes and by zones of homogeneous fire regime (HFR). Results suggest that fire exhibits a strong selectivity for conifer stands, but an even stronger avoidance of broadleaved stands. In terms of age classes, fire also shows a strong avoidance for young (0 to 29 year) stands. The large differences among regional burn rates do not significantly alter the overall preference and avoidance ratings. Finally, we combined these results on relative burn preference with regional burn rates to map local fire risks across Canada.","container-title":"Forests","DOI":"10.3390/f7080157","issue":"8","language":"en","license":"http://creativecommons.org/licenses/by/3.0/","page":"157","source":"www.mdpi.com","title":"Mapping Local Effects of Forest Properties on Fire Risk across Canada","volume":"7","author":[{"family":"Bernier","given":"Pierre"},{"family":"Gauthier","given":"Sylvie"},{"family":"Jean","given":"Pierre-Olivier"},{"family":"Manka","given":"Francis"},{"family":"Boulanger","given":"Yan"},{"family":"Beaudoin","given":"André"},{"family":"Guindon","given":"Luc"},{"family":"Bernier","given":"Pierre Y."},{"family":"Gauthier","given":"Sylvie"},{"family":"Jean","given":"Pierre-Olivier"},{"family":"Manka","given":"Francis"},{"family":"Boulanger","given":"Yan"},{"family":"Beaudoin","given":"André"},{"family":"Guindon","given":"Luc"}],"issued":{"date-parts":[["2016",7,27]]}}},{"id":51,"uris":["http://zotero.org/users/5290972/items/NMBEQTIC"],"itemData":{"id":51,"type":"article-journal","container-title":"Ecological Society of America Annual Meeting Abstracts","page":"77","title":"Fire arrival probabilities vary with stand-type in boreal mixedwood forests","volume":"86","author":[{"family":"Cumming","given":"Steven G."}],"issued":{"date-parts":[["2001"]]}}}],"schema":"https://github.com/citation-style-language/schema/raw/master/csl-citation.json"} </w:instrText>
      </w:r>
      <w:r>
        <w:rPr>
          <w:rFonts w:cs="Times New Roman"/>
        </w:rPr>
        <w:fldChar w:fldCharType="separate"/>
      </w:r>
      <w:r w:rsidRPr="00C97002">
        <w:rPr>
          <w:rFonts w:cs="Times New Roman"/>
        </w:rPr>
        <w:t>(Bernier et al. 2016; Cumming 2001)</w:t>
      </w:r>
      <w:r>
        <w:rPr>
          <w:rFonts w:cs="Times New Roman"/>
        </w:rPr>
        <w:fldChar w:fldCharType="end"/>
      </w:r>
      <w:r>
        <w:rPr>
          <w:rFonts w:cs="Times New Roman"/>
        </w:rPr>
        <w:t xml:space="preserve">, and burned area </w:t>
      </w:r>
      <w:r>
        <w:rPr>
          <w:rFonts w:cs="Times New Roman"/>
        </w:rPr>
        <w:fldChar w:fldCharType="begin"/>
      </w:r>
      <w:r>
        <w:rPr>
          <w:rFonts w:cs="Times New Roman"/>
        </w:rPr>
        <w:instrText xml:space="preserve"> ADDIN ZOTERO_ITEM CSL_CITATION {"citationID":"ZUilNkHg","properties":{"formattedCitation":"(Parisien et al. 2011)","plainCitation":"(Parisien et al. 2011)","noteIndex":0},"citationItems":[{"id":1615,"uris":["http://zotero.org/users/5290972/items/US8PZE5Q"],"itemData":{"id":1615,"type":"article-journal","abstract":"The spatial pattern of fire observed across boreal landscapes is the outcome of complex interactions among components of the fire environment. We investigated how the naturally occurring patterns of ignitions, fuels, and weather generate spatial pattern of burn probability (BP) in a large and highly fire-prone boreal landscape of western Canada, Wood Buffalo National Park. This was achieved by producing a high-resolution map of BP using a fire simulation model that models the ignition and spread of individual fires for the current state of the study landscape (that is, the ‘control’). Then, to extract the effect of the variability in ignitions, fuels, and weather on spatial BP patterns, we subtracted the control BP map to those produced by “homogenizing” a single environmental factor of interest (that is, the ‘experimental treatments’). This yielded maps of spatial residuals that represent the spatial BP patterns for which the heterogeneity of each factor of interest is responsible. Residuals were analyzed within a structural equation modeling framework. The results showed unequal contributions of fuels (67.4%), weather (29.2%), and ignitions (3.4%) to spatial BP patterning. The large contribution of fuels reflects how substantial heterogeneity of land cover on this landscape strongly affects BP. Although weather has a chiefly temporal control on fire regimes, the variability in fire-conducive weather conditions exerted a surprisingly large influence on spatial BP patterns. The almost negligible effect of spatial ignition patterns was surprising but explainable in the context of this area’s fire regime. Similar contributions of fuels, weather, and ignitions could be expected in other parts of the boreal forest that lack a strong anthropogenic imprint, but are likely to be altered in human-dominated fire regimes.","container-title":"Ecosystems","DOI":"10.1007/s10021-011-9474-2","ISSN":"1435-0629","issue":"7","journalAbbreviation":"Ecosystems","language":"en","page":"1141-1155","source":"Springer Link","title":"Contributions of Ignitions, Fuels, and Weather to the Spatial Patterns of Burn Probability of a Boreal Landscape","volume":"14","author":[{"family":"Parisien","given":"Marc-André"},{"family":"Parks","given":"Sean A."},{"family":"Miller","given":"Carol"},{"family":"Krawchuk","given":"Meg A."},{"family":"Heathcott","given":"Mark"},{"family":"Moritz","given":"Max A."}],"issued":{"date-parts":[["2011",11,1]]}}}],"schema":"https://github.com/citation-style-language/schema/raw/master/csl-citation.json"} </w:instrText>
      </w:r>
      <w:r>
        <w:rPr>
          <w:rFonts w:cs="Times New Roman"/>
        </w:rPr>
        <w:fldChar w:fldCharType="separate"/>
      </w:r>
      <w:r w:rsidRPr="002800E8">
        <w:rPr>
          <w:rFonts w:cs="Times New Roman"/>
        </w:rPr>
        <w:t>(Parisien et al. 2011)</w:t>
      </w:r>
      <w:r>
        <w:rPr>
          <w:rFonts w:cs="Times New Roman"/>
        </w:rPr>
        <w:fldChar w:fldCharType="end"/>
      </w:r>
      <w:r>
        <w:rPr>
          <w:rFonts w:cs="Times New Roman"/>
        </w:rPr>
        <w:t xml:space="preserve">, both our field observations and recent modeling work </w:t>
      </w:r>
      <w:r>
        <w:rPr>
          <w:rFonts w:cs="Times New Roman"/>
        </w:rPr>
        <w:fldChar w:fldCharType="begin"/>
      </w:r>
      <w:r>
        <w:rPr>
          <w:rFonts w:cs="Times New Roman"/>
        </w:rPr>
        <w:instrText xml:space="preserve"> ADDIN ZOTERO_ITEM CSL_CITATION {"citationID":"4CcWfX0E","properties":{"formattedCitation":"(Hayes et al. 2024)","plainCitation":"(Hayes et al. 2024)","noteIndex":0},"citationItems":[{"id":9863,"uris":["http://zotero.org/users/5290972/items/R22J53R7"],"itemData":{"id":9863,"type":"article-journal","container-title":"Agricultural and Forest Meteorology","ISSN":"0168-1923","journalAbbreviation":"Agricultural and Forest Meteorology","note":"publisher: Elsevier","page":"110216","title":"Fuel constraints, not fire weather conditions, limit fire behavior in reburned boreal forests","volume":"358","author":[{"family":"Hayes","given":"Katherine"},{"family":"Hoffman","given":"Chad M"},{"family":"Linn","given":"Rodman"},{"family":"Ziegler","given":"Justin"},{"family":"Buma","given":"Brian"}],"issued":{"date-parts":[["2024"]]}}}],"schema":"https://github.com/citation-style-language/schema/raw/master/csl-citation.json"} </w:instrText>
      </w:r>
      <w:r>
        <w:rPr>
          <w:rFonts w:cs="Times New Roman"/>
        </w:rPr>
        <w:fldChar w:fldCharType="separate"/>
      </w:r>
      <w:r w:rsidRPr="002800E8">
        <w:rPr>
          <w:rFonts w:cs="Times New Roman"/>
        </w:rPr>
        <w:t>(Hayes et al. 2024)</w:t>
      </w:r>
      <w:r>
        <w:rPr>
          <w:rFonts w:cs="Times New Roman"/>
        </w:rPr>
        <w:fldChar w:fldCharType="end"/>
      </w:r>
      <w:r>
        <w:rPr>
          <w:rFonts w:cs="Times New Roman"/>
        </w:rPr>
        <w:t xml:space="preserve"> indicate that reburning can occur in deciduous and mixed stands. We also found that about 10% of our sites originally classified as reburned had to be reclassified to longer FRIs, suggesting </w:t>
      </w:r>
      <w:r w:rsidRPr="003D378D">
        <w:rPr>
          <w:rFonts w:cs="Times New Roman"/>
        </w:rPr>
        <w:t xml:space="preserve">that previous fires had </w:t>
      </w:r>
      <w:r>
        <w:rPr>
          <w:rFonts w:cs="Times New Roman"/>
        </w:rPr>
        <w:t>unburned patches</w:t>
      </w:r>
      <w:r w:rsidRPr="003D378D">
        <w:rPr>
          <w:rFonts w:cs="Times New Roman"/>
        </w:rPr>
        <w:t xml:space="preserve"> </w:t>
      </w:r>
      <w:r>
        <w:rPr>
          <w:rFonts w:cs="Times New Roman"/>
        </w:rPr>
        <w:t xml:space="preserve">or ground fires </w:t>
      </w:r>
      <w:r w:rsidRPr="003D378D">
        <w:rPr>
          <w:rFonts w:cs="Times New Roman"/>
        </w:rPr>
        <w:t xml:space="preserve">that allowed trees to survive. </w:t>
      </w:r>
      <w:r w:rsidRPr="002E5176">
        <w:rPr>
          <w:rFonts w:cs="Times New Roman"/>
        </w:rPr>
        <w:t>This survivorship indicates that increased fire frequency might shift stands from even-aged</w:t>
      </w:r>
      <w:r>
        <w:rPr>
          <w:rFonts w:cs="Times New Roman"/>
        </w:rPr>
        <w:t xml:space="preserve"> </w:t>
      </w:r>
      <w:r w:rsidRPr="002E5176">
        <w:rPr>
          <w:rFonts w:cs="Times New Roman"/>
        </w:rPr>
        <w:t xml:space="preserve">forests to </w:t>
      </w:r>
      <w:r>
        <w:rPr>
          <w:rFonts w:cs="Times New Roman"/>
        </w:rPr>
        <w:t xml:space="preserve">a more </w:t>
      </w:r>
      <w:r w:rsidRPr="002E5176">
        <w:rPr>
          <w:rFonts w:cs="Times New Roman"/>
        </w:rPr>
        <w:t>heterogene</w:t>
      </w:r>
      <w:r>
        <w:rPr>
          <w:rFonts w:cs="Times New Roman"/>
        </w:rPr>
        <w:t>ous age structure. Furthermore, it highlights that</w:t>
      </w:r>
      <w:r w:rsidRPr="003D378D">
        <w:rPr>
          <w:rFonts w:cs="Times New Roman"/>
        </w:rPr>
        <w:t xml:space="preserve"> historical fire perimeter data does not capture within-perimeter variability in fire severity and tree survivorship.</w:t>
      </w:r>
      <w:r>
        <w:rPr>
          <w:rFonts w:cs="Times New Roman"/>
        </w:rPr>
        <w:t xml:space="preserve"> Our observation that reburning occurs in areas of deciduous and mixed species dominance, with previous fires including unburned patches, highlights unique attributes of reburns that should be considered in future studies on the drivers and impacts of increasing fire frequency in boreal forest ecosystems. </w:t>
      </w:r>
    </w:p>
    <w:p w14:paraId="75162903" w14:textId="77777777" w:rsidR="00A865F7" w:rsidRDefault="00A865F7" w:rsidP="00A865F7">
      <w:pPr>
        <w:tabs>
          <w:tab w:val="left" w:pos="0"/>
        </w:tabs>
        <w:spacing w:after="0" w:line="480" w:lineRule="auto"/>
        <w:jc w:val="both"/>
        <w:rPr>
          <w:rFonts w:cs="Times New Roman"/>
        </w:rPr>
      </w:pPr>
    </w:p>
    <w:p w14:paraId="6E305C30" w14:textId="77777777" w:rsidR="00A865F7" w:rsidRPr="009C401B" w:rsidRDefault="00A865F7" w:rsidP="00A865F7">
      <w:pPr>
        <w:tabs>
          <w:tab w:val="left" w:pos="0"/>
        </w:tabs>
        <w:spacing w:after="0" w:line="480" w:lineRule="auto"/>
        <w:jc w:val="both"/>
        <w:rPr>
          <w:rFonts w:cs="Times New Roman"/>
          <w:b/>
          <w:bCs/>
          <w:u w:val="single"/>
        </w:rPr>
      </w:pPr>
      <w:r w:rsidRPr="009C401B">
        <w:rPr>
          <w:rFonts w:cs="Times New Roman"/>
          <w:b/>
          <w:bCs/>
          <w:u w:val="single"/>
        </w:rPr>
        <w:lastRenderedPageBreak/>
        <w:t>Conclusions</w:t>
      </w:r>
      <w:r>
        <w:rPr>
          <w:rFonts w:cs="Times New Roman"/>
          <w:b/>
          <w:bCs/>
          <w:u w:val="single"/>
        </w:rPr>
        <w:t xml:space="preserve"> and Future Research</w:t>
      </w:r>
    </w:p>
    <w:p w14:paraId="504D8044" w14:textId="77777777" w:rsidR="00A865F7" w:rsidRDefault="00A865F7" w:rsidP="00A865F7">
      <w:pPr>
        <w:tabs>
          <w:tab w:val="left" w:pos="0"/>
        </w:tabs>
        <w:spacing w:after="0" w:line="480" w:lineRule="auto"/>
        <w:jc w:val="both"/>
        <w:rPr>
          <w:rFonts w:cs="Times New Roman"/>
        </w:rPr>
      </w:pPr>
    </w:p>
    <w:p w14:paraId="483EA105" w14:textId="77777777" w:rsidR="00A865F7" w:rsidRDefault="00A865F7" w:rsidP="00A865F7">
      <w:pPr>
        <w:tabs>
          <w:tab w:val="left" w:pos="0"/>
        </w:tabs>
        <w:spacing w:after="0" w:line="480" w:lineRule="auto"/>
        <w:jc w:val="both"/>
        <w:rPr>
          <w:rFonts w:cs="Times New Roman"/>
        </w:rPr>
      </w:pPr>
      <w:r>
        <w:rPr>
          <w:rFonts w:cs="Times New Roman"/>
        </w:rPr>
        <w:t xml:space="preserve">Our study highlights that reburning occurs across </w:t>
      </w:r>
      <w:r w:rsidRPr="0041791E">
        <w:rPr>
          <w:rFonts w:cs="Times New Roman"/>
        </w:rPr>
        <w:t>diverse boreal forest landscapes</w:t>
      </w:r>
      <w:r>
        <w:rPr>
          <w:rFonts w:cs="Times New Roman"/>
        </w:rPr>
        <w:t xml:space="preserve"> and that stands thought to be resistant to fire, like young, low-density deciduous-dominated stands, experienced reburning. E</w:t>
      </w:r>
      <w:r w:rsidRPr="00E96D19">
        <w:rPr>
          <w:rFonts w:cs="Times New Roman"/>
        </w:rPr>
        <w:t xml:space="preserve">xamining reburning over larger </w:t>
      </w:r>
      <w:r>
        <w:rPr>
          <w:rFonts w:cs="Times New Roman"/>
        </w:rPr>
        <w:t xml:space="preserve">spatial and </w:t>
      </w:r>
      <w:r w:rsidRPr="00E96D19">
        <w:rPr>
          <w:rFonts w:cs="Times New Roman"/>
        </w:rPr>
        <w:t xml:space="preserve">temporal scales could clarify the </w:t>
      </w:r>
      <w:r>
        <w:rPr>
          <w:rFonts w:cs="Times New Roman"/>
        </w:rPr>
        <w:t xml:space="preserve">weather </w:t>
      </w:r>
      <w:r w:rsidRPr="00E96D19">
        <w:rPr>
          <w:rFonts w:cs="Times New Roman"/>
        </w:rPr>
        <w:t xml:space="preserve">conditions under which different forest types are vulnerable </w:t>
      </w:r>
      <w:r>
        <w:rPr>
          <w:rFonts w:cs="Times New Roman"/>
        </w:rPr>
        <w:t xml:space="preserve">to reburning </w:t>
      </w:r>
      <w:r w:rsidRPr="00E96D19">
        <w:rPr>
          <w:rFonts w:cs="Times New Roman"/>
        </w:rPr>
        <w:t xml:space="preserve">and </w:t>
      </w:r>
      <w:r>
        <w:rPr>
          <w:rFonts w:cs="Times New Roman"/>
        </w:rPr>
        <w:t xml:space="preserve">assess the efficacy of </w:t>
      </w:r>
      <w:r w:rsidRPr="00E96D19">
        <w:rPr>
          <w:rFonts w:cs="Times New Roman"/>
        </w:rPr>
        <w:t xml:space="preserve">recently burned areas </w:t>
      </w:r>
      <w:r>
        <w:rPr>
          <w:rFonts w:cs="Times New Roman"/>
        </w:rPr>
        <w:t xml:space="preserve">to limit fire spread. As the climate continues to warm and fire activity increases, this information is imperative for effective and adaptive wildfire management.  </w:t>
      </w:r>
    </w:p>
    <w:p w14:paraId="25B4215F" w14:textId="77777777" w:rsidR="00A865F7" w:rsidRDefault="00A865F7" w:rsidP="00A865F7">
      <w:pPr>
        <w:tabs>
          <w:tab w:val="left" w:pos="0"/>
        </w:tabs>
        <w:spacing w:after="0" w:line="480" w:lineRule="auto"/>
        <w:jc w:val="both"/>
        <w:rPr>
          <w:rFonts w:cs="Times New Roman"/>
        </w:rPr>
      </w:pPr>
    </w:p>
    <w:p w14:paraId="0A710A37" w14:textId="237D6AA4" w:rsidR="00A865F7" w:rsidRDefault="00A865F7" w:rsidP="00A865F7">
      <w:pPr>
        <w:tabs>
          <w:tab w:val="left" w:pos="0"/>
        </w:tabs>
        <w:spacing w:after="0" w:line="480" w:lineRule="auto"/>
        <w:jc w:val="both"/>
        <w:rPr>
          <w:rFonts w:cs="Times New Roman"/>
        </w:rPr>
      </w:pPr>
      <w:r>
        <w:rPr>
          <w:rFonts w:cs="Times New Roman"/>
        </w:rPr>
        <w:t xml:space="preserve">We found that shortened FRIs erode both above- and belowground </w:t>
      </w:r>
      <w:r w:rsidRPr="00295EBA">
        <w:rPr>
          <w:rFonts w:cs="Times New Roman"/>
        </w:rPr>
        <w:t xml:space="preserve">legacy </w:t>
      </w:r>
      <w:r>
        <w:rPr>
          <w:rFonts w:cs="Times New Roman"/>
        </w:rPr>
        <w:t>C</w:t>
      </w:r>
      <w:r w:rsidRPr="00295EBA">
        <w:rPr>
          <w:rFonts w:cs="Times New Roman"/>
        </w:rPr>
        <w:t xml:space="preserve"> stores</w:t>
      </w:r>
      <w:r>
        <w:rPr>
          <w:rFonts w:cs="Times New Roman"/>
        </w:rPr>
        <w:t>. However, fire severity and rates of post-fire C accumulation can vary substantially with stand characteristics and environmental conditions. For example, Walker et al. (2019) found that belowground legacy C never accumulates in dry stands because of complete combustion, whereas it readily accumulates in wet stands because the deep SOL burns at low severity. Comparison of stand age at the time of fire with r</w:t>
      </w:r>
      <w:r w:rsidRPr="00E96D19">
        <w:rPr>
          <w:rFonts w:cs="Times New Roman"/>
        </w:rPr>
        <w:t xml:space="preserve">adiocarbon dating of </w:t>
      </w:r>
      <w:r>
        <w:rPr>
          <w:rFonts w:cs="Times New Roman"/>
        </w:rPr>
        <w:t xml:space="preserve">the </w:t>
      </w:r>
      <w:r w:rsidRPr="00E96D19">
        <w:rPr>
          <w:rFonts w:cs="Times New Roman"/>
        </w:rPr>
        <w:t xml:space="preserve">residual </w:t>
      </w:r>
      <w:r>
        <w:rPr>
          <w:rFonts w:cs="Times New Roman"/>
        </w:rPr>
        <w:t>SOL</w:t>
      </w:r>
      <w:r w:rsidRPr="00E96D19">
        <w:rPr>
          <w:rFonts w:cs="Times New Roman"/>
        </w:rPr>
        <w:t xml:space="preserve"> C</w:t>
      </w:r>
      <w:r>
        <w:rPr>
          <w:rFonts w:cs="Times New Roman"/>
        </w:rPr>
        <w:t xml:space="preserve">, </w:t>
      </w:r>
      <w:r w:rsidRPr="00E96D19">
        <w:rPr>
          <w:rFonts w:cs="Times New Roman"/>
        </w:rPr>
        <w:t>as demonstrated by Walker et al. (2019) and Mack et al. (</w:t>
      </w:r>
      <w:r>
        <w:rPr>
          <w:rFonts w:cs="Times New Roman"/>
        </w:rPr>
        <w:t>2011</w:t>
      </w:r>
      <w:r w:rsidRPr="00E96D19">
        <w:rPr>
          <w:rFonts w:cs="Times New Roman"/>
        </w:rPr>
        <w:t>), would</w:t>
      </w:r>
      <w:r>
        <w:rPr>
          <w:rFonts w:cs="Times New Roman"/>
        </w:rPr>
        <w:t xml:space="preserve"> </w:t>
      </w:r>
      <w:r w:rsidRPr="00E96D19">
        <w:rPr>
          <w:rFonts w:cs="Times New Roman"/>
        </w:rPr>
        <w:t xml:space="preserve">refine estimates of </w:t>
      </w:r>
      <w:r>
        <w:rPr>
          <w:rFonts w:cs="Times New Roman"/>
        </w:rPr>
        <w:t xml:space="preserve">belowground </w:t>
      </w:r>
      <w:r w:rsidRPr="00E96D19">
        <w:rPr>
          <w:rFonts w:cs="Times New Roman"/>
        </w:rPr>
        <w:t>legacy C combustion</w:t>
      </w:r>
      <w:r>
        <w:rPr>
          <w:rFonts w:cs="Times New Roman"/>
        </w:rPr>
        <w:t xml:space="preserve"> across stand types and environmental conditions. Although there are likely variations in legacy C combustion that we did not capture, the loss of any legacy C represents a critical </w:t>
      </w:r>
      <w:r w:rsidRPr="00295EBA">
        <w:rPr>
          <w:rFonts w:cs="Times New Roman"/>
        </w:rPr>
        <w:t xml:space="preserve">tipping point for the </w:t>
      </w:r>
      <w:r>
        <w:rPr>
          <w:rFonts w:cs="Times New Roman"/>
        </w:rPr>
        <w:t>C</w:t>
      </w:r>
      <w:r w:rsidRPr="00295EBA">
        <w:rPr>
          <w:rFonts w:cs="Times New Roman"/>
        </w:rPr>
        <w:t xml:space="preserve"> balance of boreal forests, </w:t>
      </w:r>
      <w:r>
        <w:rPr>
          <w:rFonts w:cs="Times New Roman"/>
        </w:rPr>
        <w:t xml:space="preserve">which </w:t>
      </w:r>
      <w:r>
        <w:rPr>
          <w:rFonts w:cs="Times New Roman"/>
          <w:shd w:val="clear" w:color="auto" w:fill="FFFFFF"/>
        </w:rPr>
        <w:t>could fundamentally alter climate dynamics (Field et al. 2007; Lenton et al.</w:t>
      </w:r>
      <w:r w:rsidRPr="00125EA0">
        <w:rPr>
          <w:rFonts w:cs="Times New Roman"/>
          <w:shd w:val="clear" w:color="auto" w:fill="FFFFFF"/>
        </w:rPr>
        <w:t xml:space="preserve"> 2019).</w:t>
      </w:r>
      <w:r>
        <w:rPr>
          <w:rFonts w:cs="Times New Roman"/>
          <w:shd w:val="clear" w:color="auto" w:fill="FFFFFF"/>
        </w:rPr>
        <w:t xml:space="preserve"> </w:t>
      </w:r>
      <w:r>
        <w:rPr>
          <w:rFonts w:cs="Times New Roman"/>
        </w:rPr>
        <w:t xml:space="preserve"> </w:t>
      </w:r>
      <w:r w:rsidRPr="00E96D19">
        <w:rPr>
          <w:rFonts w:cs="Times New Roman"/>
        </w:rPr>
        <w:t xml:space="preserve"> </w:t>
      </w:r>
    </w:p>
    <w:p w14:paraId="2DA18525" w14:textId="77777777" w:rsidR="00A865F7" w:rsidRDefault="00A865F7" w:rsidP="00A865F7">
      <w:pPr>
        <w:tabs>
          <w:tab w:val="left" w:pos="0"/>
        </w:tabs>
        <w:spacing w:after="0" w:line="480" w:lineRule="auto"/>
        <w:jc w:val="both"/>
        <w:rPr>
          <w:rFonts w:cs="Times New Roman"/>
        </w:rPr>
      </w:pPr>
    </w:p>
    <w:p w14:paraId="287DB9E1" w14:textId="77777777" w:rsidR="00A865F7" w:rsidRDefault="00A865F7" w:rsidP="00A865F7">
      <w:pPr>
        <w:tabs>
          <w:tab w:val="left" w:pos="0"/>
        </w:tabs>
        <w:spacing w:after="0" w:line="480" w:lineRule="auto"/>
        <w:jc w:val="both"/>
        <w:rPr>
          <w:rFonts w:cs="Times New Roman"/>
        </w:rPr>
      </w:pPr>
      <w:r>
        <w:rPr>
          <w:rFonts w:cs="Times New Roman"/>
        </w:rPr>
        <w:t xml:space="preserve">Changes in successional trajectories are also likely to alter the boreal C-climate feedback. A switch from black spruce to deciduous dominance can act as a negative or neutral feedback to climate </w:t>
      </w:r>
      <w:r>
        <w:rPr>
          <w:rFonts w:cs="Times New Roman"/>
        </w:rPr>
        <w:lastRenderedPageBreak/>
        <w:t xml:space="preserve">warming via the rapid accumulation of aboveground C pools (Mack et al. 2021). However, we observed recruitment failure more frequently than transitions to deciduous dominance. The switch from forests to shrublands or grasslands has widespread implications, including reduced C storage and the potential to accelerate the boreal C-climate feedback (Burell et al. 2024). </w:t>
      </w:r>
      <w:r w:rsidRPr="00822AB1">
        <w:rPr>
          <w:rFonts w:cs="Times New Roman"/>
        </w:rPr>
        <w:t>While fire severity and frequency are critical determinants of post-fire recruitment, other factors such as post-fire climate conditions, nutrient availability, soil microbial processes, and herbivory may also play significant roles</w:t>
      </w:r>
      <w:r>
        <w:rPr>
          <w:rFonts w:cs="Times New Roman"/>
        </w:rPr>
        <w:t xml:space="preserve"> </w:t>
      </w:r>
      <w:r>
        <w:rPr>
          <w:rFonts w:cs="Times New Roman"/>
        </w:rPr>
        <w:fldChar w:fldCharType="begin"/>
      </w:r>
      <w:r>
        <w:rPr>
          <w:rFonts w:cs="Times New Roman"/>
        </w:rPr>
        <w:instrText xml:space="preserve"> ADDIN ZOTERO_ITEM CSL_CITATION {"citationID":"fFfd5LMd","properties":{"formattedCitation":"(Whitman et al. 2019; Stevens-Rumann et al. 2022; Burrell et al. 2021)","plainCitation":"(Whitman et al. 2019; Stevens-Rumann et al. 2022; Burrell et al. 2021)","noteIndex":0},"citationItems":[{"id":6239,"uris":["http://zotero.org/users/5290972/items/T75LT9H4"],"itemData":{"id":6239,"type":"article-journal","abstract":"The size and frequency of large wildfires in western North America have increased in recent years, a trend climate change is likely to exacerbate. Due to fuel limitations, recently burned forests resist burning for upwards of 30 years; however, extreme fire-conducive weather enables reburning at shorter fire-free intervals than expected. This research quantifies the outcomes of short-interval reburns in upland and wetland environments of northwestern Canadian boreal forests and identifies an interactive effect of post-fire drought. Despite adaptations to wildfire amongst boreal plants, post-fire forests at paired short- and long-interval sites were significantly different, with short-interval sites having lower stem densities of trees due to reduced conifer recruitment, a higher proportion of broadleaf trees, less residual organic material, and reduced herbaceous vegetation cover. Drought reinforced changes in proportions of tree species and decreases in tree recruitment, reinforcing non-resilient responses to short-interval reburning. Drier and warmer weather will increase the incidence of short-interval reburning and amplify the ecological changes such events cause, as wildfire activity and post-fire drought increase synergistically. These interacting disturbances will accelerate climate-driven changes in boreal forest structure and composition. Our findings identify processes of ongoing and future change in a climate-sensitive biome.","container-title":"Scientific Reports","DOI":"10.1038/s41598-019-55036-7","ISSN":"2045-2322","issue":"1","language":"en","license":"2019 The Author(s)","note":"container-title: Scientific Reports\nnumber: 1\npublisher: Nature Publishing Group","page":"18796","source":"www.nature.com","title":"Short-interval wildfire and drought overwhelm boreal forest resilience","volume":"9","author":[{"family":"Whitman","given":"Ellen"},{"family":"Parisien","given":"Marc-André"},{"family":"Thompson","given":"Dan K."},{"family":"Flannigan","given":"Mike D."}],"issued":{"date-parts":[["2019",12,11]]}}},{"id":9873,"uris":["http://zotero.org/users/5290972/items/G77QXJ7P"],"itemData":{"id":9873,"type":"article-journal","container-title":"Canadian Journal of Forest Research","ISSN":"0045-5067","issue":"10","journalAbbreviation":"Canadian Journal of Forest Research","note":"publisher: Canadian Science Publishing 1840 Woodward Drive, Suite 1, Ottawa, ON K2C 0P7","page":"1281-1302","title":"Considering regeneration failure in the context of changing climate and disturbance regimes in western North America","volume":"52","author":[{"family":"Stevens-Rumann","given":"Camille S"},{"family":"Prichard","given":"Susan J"},{"family":"Whitman","given":"Ellen"},{"family":"Parisien","given":"Marc-André"},{"family":"Meddens","given":"Arjan JH"}],"issued":{"date-parts":[["2022"]]}}},{"id":9872,"uris":["http://zotero.org/users/5290972/items/569623QM"],"itemData":{"id":9872,"type":"chapter","container-title":"Ecosystem collapse and climate change","page":"69-100","publisher":"Springer","title":"Post-fire recruitment failure as a driver of forest to non-forest ecosystem shifts in boreal regions","author":[{"family":"Burrell","given":"Arden"},{"family":"Kukavskaya","given":"Elena"},{"family":"Baxter","given":"Robert"},{"family":"Sun","given":"Qiaoqi"},{"family":"Barrett","given":"Kirsten"}],"issued":{"date-parts":[["2021"]]}}}],"schema":"https://github.com/citation-style-language/schema/raw/master/csl-citation.json"} </w:instrText>
      </w:r>
      <w:r>
        <w:rPr>
          <w:rFonts w:cs="Times New Roman"/>
        </w:rPr>
        <w:fldChar w:fldCharType="separate"/>
      </w:r>
      <w:r w:rsidRPr="000773CE">
        <w:rPr>
          <w:rFonts w:cs="Times New Roman"/>
        </w:rPr>
        <w:t>(Whitman et al. 2019; Stevens-Rumann et al. 2022; Burrell et al. 2021)</w:t>
      </w:r>
      <w:r>
        <w:rPr>
          <w:rFonts w:cs="Times New Roman"/>
        </w:rPr>
        <w:fldChar w:fldCharType="end"/>
      </w:r>
      <w:r>
        <w:rPr>
          <w:rFonts w:cs="Times New Roman"/>
        </w:rPr>
        <w:t xml:space="preserve">. Understanding the mechanisms that drive these transitions will be critical for managing boreal forest ecosystems in the face of continued climate warming and increasing fire activity.  </w:t>
      </w:r>
    </w:p>
    <w:p w14:paraId="756623F3" w14:textId="77777777" w:rsidR="00A71328" w:rsidRDefault="00A71328" w:rsidP="00A71328">
      <w:pPr>
        <w:tabs>
          <w:tab w:val="left" w:pos="0"/>
        </w:tabs>
        <w:spacing w:after="0" w:line="480" w:lineRule="auto"/>
        <w:jc w:val="both"/>
        <w:rPr>
          <w:rFonts w:cs="Times New Roman"/>
          <w:color w:val="000000" w:themeColor="text1"/>
        </w:rPr>
        <w:sectPr w:rsidR="00A71328" w:rsidSect="00A71328">
          <w:pgSz w:w="12240" w:h="15840"/>
          <w:pgMar w:top="1440" w:right="1440" w:bottom="1440" w:left="1440" w:header="720" w:footer="720" w:gutter="0"/>
          <w:lnNumType w:countBy="1" w:restart="continuous"/>
          <w:cols w:space="720"/>
          <w:docGrid w:linePitch="360"/>
        </w:sectPr>
      </w:pPr>
    </w:p>
    <w:p w14:paraId="6A7E279F" w14:textId="77777777" w:rsidR="00A71328" w:rsidRDefault="00A71328" w:rsidP="00A71328">
      <w:pPr>
        <w:tabs>
          <w:tab w:val="left" w:pos="0"/>
        </w:tabs>
        <w:spacing w:after="0" w:line="480" w:lineRule="auto"/>
        <w:jc w:val="both"/>
        <w:rPr>
          <w:rFonts w:cs="Times New Roman"/>
        </w:rPr>
      </w:pPr>
      <w:r w:rsidRPr="006958B8">
        <w:rPr>
          <w:rFonts w:cs="Times New Roman"/>
          <w:b/>
          <w:bCs/>
          <w:u w:val="single"/>
        </w:rPr>
        <w:lastRenderedPageBreak/>
        <w:t>Availability of data and materials</w:t>
      </w:r>
      <w:r>
        <w:rPr>
          <w:rFonts w:cs="Times New Roman"/>
          <w:b/>
          <w:bCs/>
          <w:u w:val="single"/>
        </w:rPr>
        <w:t>:</w:t>
      </w:r>
      <w:r w:rsidRPr="00303A45">
        <w:rPr>
          <w:rFonts w:cs="Times New Roman"/>
          <w:b/>
          <w:bCs/>
        </w:rPr>
        <w:t xml:space="preserve"> </w:t>
      </w:r>
      <w:r w:rsidRPr="00AF5B5A">
        <w:rPr>
          <w:rFonts w:cs="Times New Roman"/>
        </w:rPr>
        <w:t xml:space="preserve">The datasets generated and analyzed </w:t>
      </w:r>
      <w:r>
        <w:rPr>
          <w:rFonts w:cs="Times New Roman"/>
        </w:rPr>
        <w:t xml:space="preserve">in this study will be </w:t>
      </w:r>
      <w:r w:rsidRPr="00AF5B5A">
        <w:rPr>
          <w:rFonts w:cs="Times New Roman"/>
        </w:rPr>
        <w:t xml:space="preserve">available in the </w:t>
      </w:r>
      <w:r>
        <w:rPr>
          <w:rFonts w:cs="Times New Roman"/>
        </w:rPr>
        <w:t xml:space="preserve">Artic Data Center </w:t>
      </w:r>
      <w:r w:rsidRPr="00AF5B5A">
        <w:rPr>
          <w:rFonts w:cs="Times New Roman"/>
        </w:rPr>
        <w:t>repository</w:t>
      </w:r>
      <w:r>
        <w:rPr>
          <w:rFonts w:cs="Times New Roman"/>
        </w:rPr>
        <w:t xml:space="preserve"> prior to publication. </w:t>
      </w:r>
    </w:p>
    <w:p w14:paraId="04C2F2D4" w14:textId="77777777" w:rsidR="00A71328" w:rsidRDefault="00A71328" w:rsidP="00A71328">
      <w:pPr>
        <w:tabs>
          <w:tab w:val="left" w:pos="0"/>
        </w:tabs>
        <w:spacing w:after="0" w:line="480" w:lineRule="auto"/>
        <w:jc w:val="both"/>
        <w:rPr>
          <w:rFonts w:cs="Times New Roman"/>
        </w:rPr>
      </w:pPr>
    </w:p>
    <w:p w14:paraId="45EA705A" w14:textId="77777777" w:rsidR="00A71328" w:rsidRDefault="00A71328" w:rsidP="00A71328">
      <w:pPr>
        <w:tabs>
          <w:tab w:val="left" w:pos="0"/>
        </w:tabs>
        <w:spacing w:after="0" w:line="480" w:lineRule="auto"/>
        <w:jc w:val="both"/>
        <w:rPr>
          <w:rFonts w:cs="Times New Roman"/>
        </w:rPr>
      </w:pPr>
      <w:r w:rsidRPr="00A63BF1">
        <w:rPr>
          <w:rFonts w:cs="Times New Roman"/>
          <w:b/>
          <w:bCs/>
          <w:u w:val="single"/>
        </w:rPr>
        <w:t>Competing Interests:</w:t>
      </w:r>
      <w:r>
        <w:rPr>
          <w:rFonts w:cs="Times New Roman"/>
        </w:rPr>
        <w:t xml:space="preserve"> </w:t>
      </w:r>
      <w:r w:rsidRPr="003A2A11">
        <w:rPr>
          <w:rFonts w:cs="Times New Roman"/>
        </w:rPr>
        <w:t>The authors declare that they have no competing interests</w:t>
      </w:r>
    </w:p>
    <w:p w14:paraId="4DE51585" w14:textId="77777777" w:rsidR="00A71328" w:rsidRDefault="00A71328" w:rsidP="00A71328">
      <w:pPr>
        <w:tabs>
          <w:tab w:val="left" w:pos="0"/>
        </w:tabs>
        <w:spacing w:after="0" w:line="480" w:lineRule="auto"/>
        <w:jc w:val="both"/>
        <w:rPr>
          <w:rFonts w:cs="Times New Roman"/>
        </w:rPr>
      </w:pPr>
    </w:p>
    <w:p w14:paraId="68776D93" w14:textId="77777777" w:rsidR="00A71328" w:rsidRDefault="00A71328" w:rsidP="00A71328">
      <w:pPr>
        <w:tabs>
          <w:tab w:val="left" w:pos="0"/>
        </w:tabs>
        <w:spacing w:after="0" w:line="480" w:lineRule="auto"/>
        <w:jc w:val="both"/>
        <w:rPr>
          <w:rFonts w:cs="Times New Roman"/>
        </w:rPr>
      </w:pPr>
      <w:r w:rsidRPr="003A2A11">
        <w:rPr>
          <w:rFonts w:cs="Times New Roman"/>
          <w:b/>
          <w:bCs/>
          <w:u w:val="single"/>
        </w:rPr>
        <w:t>Funding:</w:t>
      </w:r>
      <w:r>
        <w:rPr>
          <w:rFonts w:cs="Times New Roman"/>
        </w:rPr>
        <w:t xml:space="preserve"> </w:t>
      </w:r>
    </w:p>
    <w:p w14:paraId="48B38D93" w14:textId="77777777" w:rsidR="00A71328" w:rsidRPr="00BB1965" w:rsidRDefault="00A71328" w:rsidP="0005056A">
      <w:pPr>
        <w:pStyle w:val="ListParagraph"/>
        <w:numPr>
          <w:ilvl w:val="0"/>
          <w:numId w:val="22"/>
        </w:numPr>
        <w:tabs>
          <w:tab w:val="left" w:pos="0"/>
        </w:tabs>
        <w:spacing w:after="0" w:line="480" w:lineRule="auto"/>
        <w:rPr>
          <w:rFonts w:ascii="Times New Roman" w:hAnsi="Times New Roman" w:cs="Times New Roman"/>
        </w:rPr>
      </w:pPr>
      <w:r w:rsidRPr="00BB1965">
        <w:rPr>
          <w:rFonts w:ascii="Times New Roman" w:hAnsi="Times New Roman" w:cs="Times New Roman"/>
        </w:rPr>
        <w:t xml:space="preserve">NSF-OPP-ANS: 2019485, Collaborative Research: Increasing wildfires and the loss of legacy carbon from boreal and tundra ecosystems </w:t>
      </w:r>
    </w:p>
    <w:p w14:paraId="2B4B0CD5" w14:textId="77777777" w:rsidR="00A71328" w:rsidRPr="00BB1965" w:rsidRDefault="00A71328" w:rsidP="0005056A">
      <w:pPr>
        <w:pStyle w:val="ListParagraph"/>
        <w:numPr>
          <w:ilvl w:val="0"/>
          <w:numId w:val="22"/>
        </w:numPr>
        <w:tabs>
          <w:tab w:val="left" w:pos="0"/>
        </w:tabs>
        <w:spacing w:after="0" w:line="480" w:lineRule="auto"/>
        <w:rPr>
          <w:rFonts w:ascii="Times New Roman" w:hAnsi="Times New Roman" w:cs="Times New Roman"/>
        </w:rPr>
      </w:pPr>
      <w:r w:rsidRPr="00BB1965">
        <w:rPr>
          <w:rFonts w:ascii="Times New Roman" w:hAnsi="Times New Roman" w:cs="Times New Roman"/>
        </w:rPr>
        <w:t>NASA - 80NSSC22K1244 P00002 Drivers and impacts of reburning in boreal forest Ecosystems (DIRE)</w:t>
      </w:r>
    </w:p>
    <w:p w14:paraId="79380557" w14:textId="77777777" w:rsidR="00A71328" w:rsidRPr="00BB1965" w:rsidRDefault="00A71328" w:rsidP="0005056A">
      <w:pPr>
        <w:pStyle w:val="ListParagraph"/>
        <w:numPr>
          <w:ilvl w:val="0"/>
          <w:numId w:val="22"/>
        </w:numPr>
        <w:tabs>
          <w:tab w:val="left" w:pos="0"/>
        </w:tabs>
        <w:spacing w:after="0" w:line="480" w:lineRule="auto"/>
        <w:rPr>
          <w:rFonts w:ascii="Times New Roman" w:hAnsi="Times New Roman" w:cs="Times New Roman"/>
        </w:rPr>
      </w:pPr>
      <w:r w:rsidRPr="00BB1965">
        <w:rPr>
          <w:rFonts w:ascii="Times New Roman" w:hAnsi="Times New Roman" w:cs="Times New Roman"/>
        </w:rPr>
        <w:t>NSF-OPP-ARCSS: 2116864, Collaborative research: Climate warming and increasing wildfire in the boreal forests of Northwestern North America: Will vegetation change slow the feedback?</w:t>
      </w:r>
    </w:p>
    <w:p w14:paraId="7531E31F" w14:textId="77777777" w:rsidR="00A71328" w:rsidRDefault="00A71328" w:rsidP="0005056A">
      <w:pPr>
        <w:pStyle w:val="ListParagraph"/>
        <w:numPr>
          <w:ilvl w:val="0"/>
          <w:numId w:val="22"/>
        </w:numPr>
        <w:tabs>
          <w:tab w:val="left" w:pos="0"/>
        </w:tabs>
        <w:spacing w:after="0" w:line="480" w:lineRule="auto"/>
        <w:rPr>
          <w:rFonts w:ascii="Times New Roman" w:hAnsi="Times New Roman" w:cs="Times New Roman"/>
        </w:rPr>
      </w:pPr>
      <w:r w:rsidRPr="00BB1965">
        <w:rPr>
          <w:rFonts w:ascii="Times New Roman" w:hAnsi="Times New Roman" w:cs="Times New Roman"/>
        </w:rPr>
        <w:t>National Science Foundation Long-Term Ecological Research program (NSF Grant numbers DEB-2224776, DEB-1636476, DEB-1026415, DEB-0620579, DEB-0423442, DEB-0080609, DEB-9810217, DEB-9211769, DEB-8702629) and by the USDA Forest Service, Pacific Northwest Research Station (Agreement # RJVA-PNW-20-JV-11261932-018)</w:t>
      </w:r>
    </w:p>
    <w:p w14:paraId="15E31AAB" w14:textId="77777777" w:rsidR="00A71328" w:rsidRDefault="00A71328" w:rsidP="00A71328">
      <w:pPr>
        <w:tabs>
          <w:tab w:val="left" w:pos="0"/>
        </w:tabs>
        <w:spacing w:after="0" w:line="480" w:lineRule="auto"/>
        <w:jc w:val="both"/>
        <w:rPr>
          <w:rFonts w:cs="Times New Roman"/>
        </w:rPr>
      </w:pPr>
    </w:p>
    <w:p w14:paraId="4482D615" w14:textId="77777777" w:rsidR="00A71328" w:rsidRDefault="00A71328" w:rsidP="00A71328">
      <w:pPr>
        <w:tabs>
          <w:tab w:val="left" w:pos="0"/>
        </w:tabs>
        <w:spacing w:after="0" w:line="480" w:lineRule="auto"/>
        <w:jc w:val="both"/>
        <w:rPr>
          <w:rFonts w:cs="Times New Roman"/>
        </w:rPr>
      </w:pPr>
      <w:r w:rsidRPr="001660BA">
        <w:rPr>
          <w:rFonts w:cs="Times New Roman"/>
          <w:b/>
          <w:bCs/>
          <w:u w:val="single"/>
        </w:rPr>
        <w:t>Author Contributions:</w:t>
      </w:r>
      <w:r>
        <w:rPr>
          <w:rFonts w:cs="Times New Roman"/>
          <w:b/>
          <w:bCs/>
          <w:u w:val="single"/>
        </w:rPr>
        <w:t xml:space="preserve"> </w:t>
      </w:r>
      <w:r w:rsidRPr="009B6A42">
        <w:rPr>
          <w:rFonts w:cs="Times New Roman"/>
        </w:rPr>
        <w:t>XJW</w:t>
      </w:r>
      <w:r>
        <w:rPr>
          <w:rFonts w:cs="Times New Roman"/>
        </w:rPr>
        <w:t xml:space="preserve"> and </w:t>
      </w:r>
      <w:r w:rsidRPr="009B6A42">
        <w:rPr>
          <w:rFonts w:cs="Times New Roman"/>
        </w:rPr>
        <w:t>MCM</w:t>
      </w:r>
      <w:r>
        <w:rPr>
          <w:rFonts w:cs="Times New Roman"/>
        </w:rPr>
        <w:t xml:space="preserve"> </w:t>
      </w:r>
      <w:r w:rsidRPr="009B6A42">
        <w:rPr>
          <w:rFonts w:cs="Times New Roman"/>
        </w:rPr>
        <w:t>were involved in conceptualization. XJW</w:t>
      </w:r>
      <w:r>
        <w:rPr>
          <w:rFonts w:cs="Times New Roman"/>
        </w:rPr>
        <w:t xml:space="preserve"> </w:t>
      </w:r>
      <w:r w:rsidRPr="009B6A42">
        <w:rPr>
          <w:rFonts w:cs="Times New Roman"/>
        </w:rPr>
        <w:t>contributed to data curation. XJW</w:t>
      </w:r>
      <w:r>
        <w:rPr>
          <w:rFonts w:cs="Times New Roman"/>
        </w:rPr>
        <w:t xml:space="preserve"> and BB</w:t>
      </w:r>
      <w:r w:rsidRPr="009B6A42">
        <w:rPr>
          <w:rFonts w:cs="Times New Roman"/>
        </w:rPr>
        <w:t xml:space="preserve"> w</w:t>
      </w:r>
      <w:r>
        <w:rPr>
          <w:rFonts w:cs="Times New Roman"/>
        </w:rPr>
        <w:t>ere</w:t>
      </w:r>
      <w:r w:rsidRPr="009B6A42">
        <w:rPr>
          <w:rFonts w:cs="Times New Roman"/>
        </w:rPr>
        <w:t xml:space="preserve"> involved in formal analysis. </w:t>
      </w:r>
      <w:r>
        <w:rPr>
          <w:rFonts w:cs="Times New Roman"/>
        </w:rPr>
        <w:t xml:space="preserve">XJW, </w:t>
      </w:r>
      <w:r w:rsidRPr="009B6A42">
        <w:rPr>
          <w:rFonts w:cs="Times New Roman"/>
        </w:rPr>
        <w:t xml:space="preserve">MCM, </w:t>
      </w:r>
      <w:r>
        <w:rPr>
          <w:rFonts w:cs="Times New Roman"/>
        </w:rPr>
        <w:t>BMR</w:t>
      </w:r>
      <w:r w:rsidRPr="009B6A42">
        <w:rPr>
          <w:rFonts w:cs="Times New Roman"/>
        </w:rPr>
        <w:t xml:space="preserve"> contributed to funding acquisition. XJW, </w:t>
      </w:r>
      <w:r>
        <w:rPr>
          <w:rFonts w:cs="Times New Roman"/>
        </w:rPr>
        <w:t>BB, LK, CT</w:t>
      </w:r>
      <w:r w:rsidRPr="009B6A42">
        <w:rPr>
          <w:rFonts w:cs="Times New Roman"/>
        </w:rPr>
        <w:t xml:space="preserve"> were involved in investigation. </w:t>
      </w:r>
      <w:r>
        <w:rPr>
          <w:rFonts w:cs="Times New Roman"/>
        </w:rPr>
        <w:t xml:space="preserve">All authors </w:t>
      </w:r>
      <w:r w:rsidRPr="009B6A42">
        <w:rPr>
          <w:rFonts w:cs="Times New Roman"/>
        </w:rPr>
        <w:t xml:space="preserve">involved in methodology. </w:t>
      </w:r>
      <w:r>
        <w:rPr>
          <w:rFonts w:cs="Times New Roman"/>
        </w:rPr>
        <w:t>XJW and MCM</w:t>
      </w:r>
      <w:r w:rsidRPr="009B6A42">
        <w:rPr>
          <w:rFonts w:cs="Times New Roman"/>
        </w:rPr>
        <w:t xml:space="preserve"> contributed to project administration and resources. XJW</w:t>
      </w:r>
      <w:r>
        <w:rPr>
          <w:rFonts w:cs="Times New Roman"/>
        </w:rPr>
        <w:t xml:space="preserve"> and BB</w:t>
      </w:r>
      <w:r w:rsidRPr="009B6A42">
        <w:rPr>
          <w:rFonts w:cs="Times New Roman"/>
        </w:rPr>
        <w:t xml:space="preserve"> contributed to software. </w:t>
      </w:r>
      <w:r>
        <w:rPr>
          <w:rFonts w:cs="Times New Roman"/>
        </w:rPr>
        <w:t xml:space="preserve">XJW and </w:t>
      </w:r>
      <w:r w:rsidRPr="009B6A42">
        <w:rPr>
          <w:rFonts w:cs="Times New Roman"/>
        </w:rPr>
        <w:t xml:space="preserve">MCM contributed to supervision. </w:t>
      </w:r>
      <w:r>
        <w:rPr>
          <w:rFonts w:cs="Times New Roman"/>
        </w:rPr>
        <w:t>All authors</w:t>
      </w:r>
      <w:r w:rsidRPr="009B6A42">
        <w:rPr>
          <w:rFonts w:cs="Times New Roman"/>
        </w:rPr>
        <w:t xml:space="preserve"> contributed to validation. XJW</w:t>
      </w:r>
      <w:r>
        <w:rPr>
          <w:rFonts w:cs="Times New Roman"/>
        </w:rPr>
        <w:t xml:space="preserve"> and CT</w:t>
      </w:r>
      <w:r w:rsidRPr="009B6A42">
        <w:rPr>
          <w:rFonts w:cs="Times New Roman"/>
        </w:rPr>
        <w:t xml:space="preserve"> contributed to visualization. XJW contributed to writing—original draft. </w:t>
      </w:r>
      <w:r>
        <w:rPr>
          <w:rFonts w:cs="Times New Roman"/>
        </w:rPr>
        <w:t xml:space="preserve">All authors </w:t>
      </w:r>
      <w:r w:rsidRPr="009B6A42">
        <w:rPr>
          <w:rFonts w:cs="Times New Roman"/>
        </w:rPr>
        <w:t>contributed to writing—review &amp; editing.</w:t>
      </w:r>
    </w:p>
    <w:p w14:paraId="6A5BB3CD" w14:textId="77777777" w:rsidR="00A71328" w:rsidRDefault="00A71328" w:rsidP="00A71328">
      <w:pPr>
        <w:tabs>
          <w:tab w:val="left" w:pos="0"/>
        </w:tabs>
        <w:spacing w:after="0" w:line="480" w:lineRule="auto"/>
        <w:jc w:val="both"/>
        <w:rPr>
          <w:rFonts w:cs="Times New Roman"/>
        </w:rPr>
      </w:pPr>
      <w:r w:rsidRPr="0069048E">
        <w:rPr>
          <w:rFonts w:cs="Times New Roman"/>
          <w:b/>
          <w:bCs/>
          <w:u w:val="single"/>
        </w:rPr>
        <w:lastRenderedPageBreak/>
        <w:t>Acknowledgements</w:t>
      </w:r>
      <w:r>
        <w:rPr>
          <w:rFonts w:cs="Times New Roman"/>
        </w:rPr>
        <w:t>:</w:t>
      </w:r>
    </w:p>
    <w:p w14:paraId="5B0DA6F3" w14:textId="77777777" w:rsidR="00A71328" w:rsidRDefault="00A71328" w:rsidP="00A71328">
      <w:pPr>
        <w:tabs>
          <w:tab w:val="left" w:pos="0"/>
        </w:tabs>
        <w:spacing w:after="0" w:line="480" w:lineRule="auto"/>
        <w:jc w:val="both"/>
        <w:rPr>
          <w:rFonts w:cs="Times New Roman"/>
        </w:rPr>
        <w:sectPr w:rsidR="00A71328" w:rsidSect="00A71328">
          <w:pgSz w:w="12240" w:h="15840"/>
          <w:pgMar w:top="1440" w:right="1440" w:bottom="1440" w:left="1440" w:header="720" w:footer="720" w:gutter="0"/>
          <w:lnNumType w:countBy="1" w:restart="continuous"/>
          <w:cols w:space="720"/>
          <w:docGrid w:linePitch="360"/>
        </w:sectPr>
      </w:pPr>
      <w:r>
        <w:rPr>
          <w:rFonts w:cs="Times New Roman"/>
        </w:rPr>
        <w:t xml:space="preserve">We thank all members of the Mack/Walker lab at NAU for their help with field and laboratory work. </w:t>
      </w:r>
    </w:p>
    <w:p w14:paraId="1D9FB1A5" w14:textId="0614323E" w:rsidR="00331925" w:rsidRPr="00331925" w:rsidRDefault="00331925" w:rsidP="00622D01">
      <w:pPr>
        <w:pStyle w:val="Bibliography"/>
        <w:spacing w:line="480" w:lineRule="auto"/>
        <w:rPr>
          <w:b/>
          <w:bCs/>
          <w:u w:val="single"/>
        </w:rPr>
      </w:pPr>
      <w:r w:rsidRPr="00331925">
        <w:rPr>
          <w:b/>
          <w:bCs/>
          <w:u w:val="single"/>
        </w:rPr>
        <w:lastRenderedPageBreak/>
        <w:t>References:</w:t>
      </w:r>
    </w:p>
    <w:p w14:paraId="3F341466" w14:textId="23322098" w:rsidR="00723E0C" w:rsidRDefault="00723E0C" w:rsidP="00622D01">
      <w:pPr>
        <w:pStyle w:val="Bibliography"/>
        <w:spacing w:line="480" w:lineRule="auto"/>
      </w:pPr>
      <w:r>
        <w:t xml:space="preserve">Agee, James K, and Carl N Skinner. 2005. “Basic Principles of Forest Fuel Reduction Treatments.” </w:t>
      </w:r>
      <w:r>
        <w:rPr>
          <w:i/>
          <w:iCs/>
        </w:rPr>
        <w:t>Forest Ecology and Management</w:t>
      </w:r>
      <w:r>
        <w:t xml:space="preserve"> 211 (1–2): 83–96.</w:t>
      </w:r>
    </w:p>
    <w:p w14:paraId="4BFF6DB6" w14:textId="77777777" w:rsidR="00723E0C" w:rsidRDefault="00723E0C" w:rsidP="00622D01">
      <w:pPr>
        <w:pStyle w:val="Bibliography"/>
        <w:spacing w:line="480" w:lineRule="auto"/>
      </w:pPr>
      <w:r>
        <w:t xml:space="preserve">Alexander, Heather D., Michelle C. Mack, Scott Goetz, Pieter S. A. Beck, and E. Fay Belshe. 2012. “Implications of Increased Deciduous Cover on Stand Structure and Aboveground Carbon Pools of Alaskan Boreal Forests.” </w:t>
      </w:r>
      <w:r>
        <w:rPr>
          <w:i/>
          <w:iCs/>
        </w:rPr>
        <w:t>Ecosphere</w:t>
      </w:r>
      <w:r>
        <w:t xml:space="preserve"> 3 (5): 1–21. https://doi.org/10.1890/es11-00364.1.</w:t>
      </w:r>
    </w:p>
    <w:p w14:paraId="2120C519" w14:textId="77777777" w:rsidR="00723E0C" w:rsidRDefault="00723E0C" w:rsidP="00622D01">
      <w:pPr>
        <w:pStyle w:val="Bibliography"/>
        <w:spacing w:line="480" w:lineRule="auto"/>
      </w:pPr>
      <w:r>
        <w:t xml:space="preserve">Alfaro-Sánchez, Raquel, Jill F. Johnstone, Steve G. Cumming, Nicola J. Day, Michelle C. Mack, Xanthe J. Walker, and Jennifer L. Baltzer. 2022. “What Drives Reproductive Maturity and Efficiency in Serotinous Boreal Conifers?” </w:t>
      </w:r>
      <w:r>
        <w:rPr>
          <w:i/>
          <w:iCs/>
        </w:rPr>
        <w:t>Frontiers in Ecology and Evolution</w:t>
      </w:r>
      <w:r>
        <w:t>, 662.</w:t>
      </w:r>
    </w:p>
    <w:p w14:paraId="01360BBB" w14:textId="77777777" w:rsidR="00723E0C" w:rsidRDefault="00723E0C" w:rsidP="00622D01">
      <w:pPr>
        <w:pStyle w:val="Bibliography"/>
        <w:spacing w:line="480" w:lineRule="auto"/>
      </w:pPr>
      <w:r>
        <w:t xml:space="preserve">Baltzer, Jennifer L., Nicola J. Day, Xanthe J. Walker, David Greene, Michelle C. Mack, Heather D. Alexander, Dominique Arseneault, et al. 2021. “Increasing Fire and the Decline of Fire Adapted Black Spruce in the Boreal Forest.” </w:t>
      </w:r>
      <w:r>
        <w:rPr>
          <w:i/>
          <w:iCs/>
        </w:rPr>
        <w:t>Proceedings of the National Academy of Sciences</w:t>
      </w:r>
      <w:r>
        <w:t xml:space="preserve"> 118 (45): e2024872118. https://doi.org/10.1073/pnas.2024872118.</w:t>
      </w:r>
    </w:p>
    <w:p w14:paraId="116CA887" w14:textId="77777777" w:rsidR="00723E0C" w:rsidRDefault="00723E0C" w:rsidP="00622D01">
      <w:pPr>
        <w:pStyle w:val="Bibliography"/>
        <w:spacing w:line="480" w:lineRule="auto"/>
      </w:pPr>
      <w:r>
        <w:t xml:space="preserve">Berner, Logan T., Heather D. Alexander, Michael M. Loranty, Peter Ganzlin, Michelle C. Mack, Sergei P. Davydov, and Scott J. Goetz. 2015. “Biomass Allometry for Alder, Dwarf Birch, and Willow in Boreal Forest and Tundra Ecosystems of Far Northeastern Siberia and North-Central Alaska.” </w:t>
      </w:r>
      <w:r>
        <w:rPr>
          <w:i/>
          <w:iCs/>
        </w:rPr>
        <w:t>Forest Ecology and Management</w:t>
      </w:r>
      <w:r>
        <w:t xml:space="preserve"> 337 (February):110–18. https://doi.org/10.1016/j.foreco.2014.10.027.</w:t>
      </w:r>
    </w:p>
    <w:p w14:paraId="108A013D" w14:textId="77777777" w:rsidR="00723E0C" w:rsidRDefault="00723E0C" w:rsidP="00622D01">
      <w:pPr>
        <w:pStyle w:val="Bibliography"/>
        <w:spacing w:line="480" w:lineRule="auto"/>
      </w:pPr>
      <w:r>
        <w:t xml:space="preserve">Bernier, Pierre, Sylvie Gauthier, Pierre-Olivier Jean, Francis Manka, Yan Boulanger, André Beaudoin, Luc Guindon, et al. 2016. “Mapping Local Effects of Forest Properties on Fire Risk across Canada.” </w:t>
      </w:r>
      <w:r>
        <w:rPr>
          <w:i/>
          <w:iCs/>
        </w:rPr>
        <w:t>Forests</w:t>
      </w:r>
      <w:r>
        <w:t xml:space="preserve"> 7 (8): 157. https://doi.org/10.3390/f7080157.</w:t>
      </w:r>
    </w:p>
    <w:p w14:paraId="195E3700" w14:textId="77777777" w:rsidR="00723E0C" w:rsidRDefault="00723E0C" w:rsidP="00622D01">
      <w:pPr>
        <w:pStyle w:val="Bibliography"/>
        <w:spacing w:line="480" w:lineRule="auto"/>
      </w:pPr>
      <w:r>
        <w:lastRenderedPageBreak/>
        <w:t xml:space="preserve">Bessie, W.C., and E.A. Johnson. 1995. “The Relative Importance of Fuels and Weather on Fire Behavior in Sub-Alpine Forest.” </w:t>
      </w:r>
      <w:r>
        <w:rPr>
          <w:i/>
          <w:iCs/>
        </w:rPr>
        <w:t>Ecology</w:t>
      </w:r>
      <w:r>
        <w:t xml:space="preserve"> 76 (3): 747–62. https://doi.org/10.2307/1939341.</w:t>
      </w:r>
    </w:p>
    <w:p w14:paraId="4E70AED0" w14:textId="3834C047" w:rsidR="00723E0C" w:rsidRDefault="00723E0C" w:rsidP="00622D01">
      <w:pPr>
        <w:pStyle w:val="Bibliography"/>
        <w:spacing w:line="480" w:lineRule="auto"/>
      </w:pPr>
      <w:r>
        <w:t>Boby, L</w:t>
      </w:r>
      <w:r w:rsidR="00C14E26">
        <w:t>eslie</w:t>
      </w:r>
      <w:r>
        <w:t>. A., E</w:t>
      </w:r>
      <w:r w:rsidR="00C14E26">
        <w:t>dward</w:t>
      </w:r>
      <w:r>
        <w:t xml:space="preserve"> A. G. Schuur, M</w:t>
      </w:r>
      <w:r w:rsidR="00C14E26">
        <w:t>ichelle</w:t>
      </w:r>
      <w:r>
        <w:t>. C. Mack, D</w:t>
      </w:r>
      <w:r w:rsidR="00C14E26">
        <w:t>avid</w:t>
      </w:r>
      <w:r>
        <w:t>. Verbyla, and J</w:t>
      </w:r>
      <w:r w:rsidR="00C14E26">
        <w:t>ill</w:t>
      </w:r>
      <w:r>
        <w:t xml:space="preserve">. F. Johnstone. 2010. “Quantifying Fire Severity, Carbon, and Nitrogen Emissions in Alaska’s Boreal Forest.” </w:t>
      </w:r>
      <w:r>
        <w:rPr>
          <w:i/>
          <w:iCs/>
        </w:rPr>
        <w:t>Ecological Applications</w:t>
      </w:r>
      <w:r>
        <w:t xml:space="preserve"> 20 (6): 1633–47. https://doi.org/10.1890/08-2295.1.</w:t>
      </w:r>
    </w:p>
    <w:p w14:paraId="53EF3F69" w14:textId="7A62AC0A" w:rsidR="00723E0C" w:rsidRDefault="00723E0C" w:rsidP="00622D01">
      <w:pPr>
        <w:pStyle w:val="Bibliography"/>
        <w:spacing w:line="480" w:lineRule="auto"/>
      </w:pPr>
      <w:r>
        <w:t>Bond-Lamberty, B</w:t>
      </w:r>
      <w:r w:rsidR="00C83246">
        <w:t>en</w:t>
      </w:r>
      <w:r>
        <w:t>, C. Wang, and S. T. Gower. 2002. “</w:t>
      </w:r>
      <w:r w:rsidR="00C83246" w:rsidRPr="00C83246">
        <w:t>Annual carbon flux from woody debris for a boreal black spruce fire chronosequence</w:t>
      </w:r>
      <w:r>
        <w:t xml:space="preserve">.” </w:t>
      </w:r>
      <w:r>
        <w:rPr>
          <w:i/>
          <w:iCs/>
        </w:rPr>
        <w:t>Journal of Geophysical Research</w:t>
      </w:r>
      <w:r>
        <w:t xml:space="preserve"> 108 (D3): 8220.</w:t>
      </w:r>
    </w:p>
    <w:p w14:paraId="1C607936" w14:textId="77777777" w:rsidR="00723E0C" w:rsidRDefault="00723E0C" w:rsidP="00622D01">
      <w:pPr>
        <w:pStyle w:val="Bibliography"/>
        <w:spacing w:line="480" w:lineRule="auto"/>
      </w:pPr>
      <w:r>
        <w:t xml:space="preserve">Boulanger, Yan, and Luc Sirois. 2006. “Postfire Dynamics of Black Spruce Coarse Woody Debris in Northern Boreal Forest of Quebec.” </w:t>
      </w:r>
      <w:r>
        <w:rPr>
          <w:i/>
          <w:iCs/>
        </w:rPr>
        <w:t>Canadian Journal of Forest Research</w:t>
      </w:r>
      <w:r>
        <w:t xml:space="preserve"> 36 (7): 1770–80. https://doi.org/10.1139/x06-070.</w:t>
      </w:r>
    </w:p>
    <w:p w14:paraId="3C16CCD5" w14:textId="77777777" w:rsidR="00723E0C" w:rsidRDefault="00723E0C" w:rsidP="00622D01">
      <w:pPr>
        <w:pStyle w:val="Bibliography"/>
        <w:spacing w:line="480" w:lineRule="auto"/>
      </w:pPr>
      <w:r>
        <w:t xml:space="preserve">Brooks, Mollie E., Kasper Kristensen, Koen J. van Benthem, Arni Magnusson, Casper W. Berg, Anders Nielsen, Hans J. Skaug, Martin Mächler, and Benjamin M. Bolker. 2017. “glmmTMB Balances Speed and Flexibility Among Packages for Zero-Inflated Generalized Linear Mixed Modeling.” </w:t>
      </w:r>
      <w:r>
        <w:rPr>
          <w:i/>
          <w:iCs/>
        </w:rPr>
        <w:t>The R Journal</w:t>
      </w:r>
      <w:r>
        <w:t xml:space="preserve"> 9 (2): 378–400.</w:t>
      </w:r>
    </w:p>
    <w:p w14:paraId="51BCD468" w14:textId="77777777" w:rsidR="00723E0C" w:rsidRDefault="00723E0C" w:rsidP="00622D01">
      <w:pPr>
        <w:pStyle w:val="Bibliography"/>
        <w:spacing w:line="480" w:lineRule="auto"/>
      </w:pPr>
      <w:r>
        <w:t xml:space="preserve">Brown, Carissa D, and Jill F Johnstone. 2012. “Once Burned, Twice Shy: Repeat Fires Reduce Seed Availability and Alter Substrate Constraints On&lt; I&gt; Picea Mariana Regeneration.” </w:t>
      </w:r>
      <w:r>
        <w:rPr>
          <w:i/>
          <w:iCs/>
        </w:rPr>
        <w:t>Forest Ecology and Management</w:t>
      </w:r>
      <w:r>
        <w:t xml:space="preserve"> 266:34–41.</w:t>
      </w:r>
    </w:p>
    <w:p w14:paraId="542D6921" w14:textId="7215492F" w:rsidR="00723E0C" w:rsidRDefault="00723E0C" w:rsidP="00622D01">
      <w:pPr>
        <w:pStyle w:val="Bibliography"/>
        <w:spacing w:line="480" w:lineRule="auto"/>
      </w:pPr>
      <w:r>
        <w:t>Brown, C</w:t>
      </w:r>
      <w:r w:rsidR="001D5026">
        <w:t xml:space="preserve">arissa </w:t>
      </w:r>
      <w:r>
        <w:t xml:space="preserve">D., and </w:t>
      </w:r>
      <w:r w:rsidR="001D5026">
        <w:t xml:space="preserve">Jill </w:t>
      </w:r>
      <w:r>
        <w:t xml:space="preserve">F. Johnstone. 2011. “How Does Increased Fire Frequency Affect Carbon Loss from Fire? A Case Study in the Northern Boreal Forest.” </w:t>
      </w:r>
      <w:r>
        <w:rPr>
          <w:i/>
          <w:iCs/>
        </w:rPr>
        <w:t>International Journal of Wildland Fire</w:t>
      </w:r>
      <w:r>
        <w:t xml:space="preserve"> 20 (7): 829–37. https://doi.org/10.1071/WF10113.</w:t>
      </w:r>
    </w:p>
    <w:p w14:paraId="6D26FE89" w14:textId="77777777" w:rsidR="00723E0C" w:rsidRDefault="00723E0C" w:rsidP="00622D01">
      <w:pPr>
        <w:pStyle w:val="Bibliography"/>
        <w:spacing w:line="480" w:lineRule="auto"/>
      </w:pPr>
      <w:r>
        <w:lastRenderedPageBreak/>
        <w:t xml:space="preserve">Brown, James K. 1974. “Handbook for Inventorying Downed Woody Material.” </w:t>
      </w:r>
      <w:r>
        <w:rPr>
          <w:i/>
          <w:iCs/>
        </w:rPr>
        <w:t>Gen. Tech. Rep. INT-16. Ogden, UT: U.S. Department of Agriculture, Forest Service, Intermountain Forest and Range Experiment Station. 24 p.</w:t>
      </w:r>
      <w:r>
        <w:t xml:space="preserve"> 016. https://www.fs.usda.gov/treesearch/pubs/28647.</w:t>
      </w:r>
    </w:p>
    <w:p w14:paraId="0BFFCF06" w14:textId="01AA7E7E" w:rsidR="00723E0C" w:rsidRDefault="00723E0C" w:rsidP="00622D01">
      <w:pPr>
        <w:pStyle w:val="Bibliography"/>
        <w:spacing w:line="480" w:lineRule="auto"/>
      </w:pPr>
      <w:r>
        <w:t>Buma, B</w:t>
      </w:r>
      <w:r w:rsidR="001D5026">
        <w:t>rian</w:t>
      </w:r>
      <w:r>
        <w:t>, K</w:t>
      </w:r>
      <w:r w:rsidR="001D5026">
        <w:t>atherine</w:t>
      </w:r>
      <w:r>
        <w:t xml:space="preserve"> Hayes, S. Weiss, and M. Lucash. 2022. “Short-Interval Fires Increasing in the Alaskan Boreal Forest as Fire Self-Regulation Decays across Forest Types.” </w:t>
      </w:r>
      <w:r>
        <w:rPr>
          <w:i/>
          <w:iCs/>
        </w:rPr>
        <w:t>Scientific Reports</w:t>
      </w:r>
      <w:r>
        <w:t xml:space="preserve"> 12 (1): 4901. https://doi.org/10.1038/s41598-022-08912-8.</w:t>
      </w:r>
    </w:p>
    <w:p w14:paraId="6FB5D964" w14:textId="77777777" w:rsidR="00723E0C" w:rsidRDefault="00723E0C" w:rsidP="00622D01">
      <w:pPr>
        <w:pStyle w:val="Bibliography"/>
        <w:spacing w:line="480" w:lineRule="auto"/>
      </w:pPr>
      <w:r>
        <w:t xml:space="preserve">Burrell, Arden, Elena Kukavskaya, Robert Baxter, Qiaoqi Sun, and Kirsten Barrett. 2021. “Post-Fire Recruitment Failure as a Driver of Forest to Non-Forest Ecosystem Shifts in Boreal Regions.” In </w:t>
      </w:r>
      <w:r>
        <w:rPr>
          <w:i/>
          <w:iCs/>
        </w:rPr>
        <w:t>Ecosystem Collapse and Climate Change</w:t>
      </w:r>
      <w:r>
        <w:t>, 69–100. Springer.</w:t>
      </w:r>
    </w:p>
    <w:p w14:paraId="2E61C4B8" w14:textId="620D46D3" w:rsidR="00723E0C" w:rsidRDefault="00723E0C" w:rsidP="00622D01">
      <w:pPr>
        <w:pStyle w:val="Bibliography"/>
        <w:spacing w:line="480" w:lineRule="auto"/>
      </w:pPr>
      <w:r>
        <w:t xml:space="preserve">Chapin, </w:t>
      </w:r>
      <w:r w:rsidR="00773077">
        <w:t xml:space="preserve">F. </w:t>
      </w:r>
      <w:r>
        <w:t>S</w:t>
      </w:r>
      <w:r w:rsidR="001D5026">
        <w:t>tuart</w:t>
      </w:r>
      <w:r>
        <w:t>, III, David McGuire, Roger W. Ruess, Teresa N. Hollingsworth, M</w:t>
      </w:r>
      <w:r w:rsidR="0099725F">
        <w:t>ichelle</w:t>
      </w:r>
      <w:r>
        <w:t xml:space="preserve"> C. Mack, J</w:t>
      </w:r>
      <w:r w:rsidR="0099725F">
        <w:t>ill</w:t>
      </w:r>
      <w:r>
        <w:t xml:space="preserve"> F. Johnstone, E</w:t>
      </w:r>
      <w:r w:rsidR="0099725F">
        <w:t>ric</w:t>
      </w:r>
      <w:r>
        <w:t xml:space="preserve"> S. Kasischke, E</w:t>
      </w:r>
      <w:r w:rsidR="0099725F">
        <w:t>ugenie</w:t>
      </w:r>
      <w:r>
        <w:t>. S. Euskirchen, J</w:t>
      </w:r>
      <w:r w:rsidR="0099725F">
        <w:t>ay</w:t>
      </w:r>
      <w:r>
        <w:t xml:space="preserve"> B. Jones, and M. T. Jorgenson. 2010. “Resilience of Alaska’s Boreal Forest to Climatic Change.” </w:t>
      </w:r>
      <w:r>
        <w:rPr>
          <w:i/>
          <w:iCs/>
        </w:rPr>
        <w:t>Canadian Journal of Forest Research</w:t>
      </w:r>
      <w:r>
        <w:t xml:space="preserve"> 40 (7): 1360–70.</w:t>
      </w:r>
    </w:p>
    <w:p w14:paraId="77C49631" w14:textId="1B5F852B" w:rsidR="00723E0C" w:rsidRDefault="00723E0C" w:rsidP="00622D01">
      <w:pPr>
        <w:pStyle w:val="Bibliography"/>
        <w:spacing w:line="480" w:lineRule="auto"/>
      </w:pPr>
      <w:r>
        <w:t>Chapin, F. S</w:t>
      </w:r>
      <w:r w:rsidR="00773077">
        <w:t>tuart</w:t>
      </w:r>
      <w:r>
        <w:t xml:space="preserve">, III, G. M. Woodwell, J. T. Randerson, E. B. Rastetter, G. M. Lovett, D. D. Baldocchi, D. A. Clark, et al. 2006. “Reconciling Carbon-Cycle Concepts, Terminology, and Methods.” </w:t>
      </w:r>
      <w:r>
        <w:rPr>
          <w:i/>
          <w:iCs/>
        </w:rPr>
        <w:t>Ecosystems</w:t>
      </w:r>
      <w:r>
        <w:t xml:space="preserve"> 9 (7): 1041–50. https://doi.org/10.1007/s10021-005-0105-7.</w:t>
      </w:r>
    </w:p>
    <w:p w14:paraId="4BC2BD5A" w14:textId="77777777" w:rsidR="00723E0C" w:rsidRDefault="00723E0C" w:rsidP="00622D01">
      <w:pPr>
        <w:pStyle w:val="Bibliography"/>
        <w:spacing w:line="480" w:lineRule="auto"/>
      </w:pPr>
      <w:r>
        <w:t xml:space="preserve">Charron, I., and D. F. Greene. 2002. “Post-Wildfire Seedbeds and Tree Establishment in the Southern Mixedwood Boreal Forest.” </w:t>
      </w:r>
      <w:r>
        <w:rPr>
          <w:i/>
          <w:iCs/>
        </w:rPr>
        <w:t>Canadian Journal of Forest Research-Revue Canadienne De Recherche Forestiere</w:t>
      </w:r>
      <w:r>
        <w:t xml:space="preserve"> 32 (9): 1607–15. https://doi.org/10.1139/x02-085.</w:t>
      </w:r>
    </w:p>
    <w:p w14:paraId="08E700BD" w14:textId="77777777" w:rsidR="00723E0C" w:rsidRDefault="00723E0C" w:rsidP="00622D01">
      <w:pPr>
        <w:pStyle w:val="Bibliography"/>
        <w:spacing w:line="480" w:lineRule="auto"/>
      </w:pPr>
      <w:r>
        <w:t xml:space="preserve">Clarke, Peter J, MJ Lawes, Jeremy J Midgley, BB Lamont, F Ojeda, GE Burrows, NJ Enright, and KJE Knox. 2013. “Resprouting as a Key Functional Trait: How Buds, Protection and Resources Drive Persistence after Fire.” </w:t>
      </w:r>
      <w:r>
        <w:rPr>
          <w:i/>
          <w:iCs/>
        </w:rPr>
        <w:t>New Phytologist</w:t>
      </w:r>
      <w:r>
        <w:t xml:space="preserve"> 197 (1): 19–35.</w:t>
      </w:r>
    </w:p>
    <w:p w14:paraId="2113FA60" w14:textId="77777777" w:rsidR="00723E0C" w:rsidRDefault="00723E0C" w:rsidP="00622D01">
      <w:pPr>
        <w:pStyle w:val="Bibliography"/>
        <w:spacing w:line="480" w:lineRule="auto"/>
      </w:pPr>
      <w:r>
        <w:lastRenderedPageBreak/>
        <w:t xml:space="preserve">Cook, E. R., and L. Kairiukstis. 1990. </w:t>
      </w:r>
      <w:r>
        <w:rPr>
          <w:i/>
          <w:iCs/>
        </w:rPr>
        <w:t>Methods of Dendrochronology: Applications in the Environmental Sciences</w:t>
      </w:r>
      <w:r>
        <w:t>. Dordrecht: Kluwer Academic Publishers.</w:t>
      </w:r>
    </w:p>
    <w:p w14:paraId="1678F2B2" w14:textId="77777777" w:rsidR="00723E0C" w:rsidRDefault="00723E0C" w:rsidP="00622D01">
      <w:pPr>
        <w:pStyle w:val="Bibliography"/>
        <w:spacing w:line="480" w:lineRule="auto"/>
      </w:pPr>
      <w:r>
        <w:t xml:space="preserve">Cumming, Steven G. 2001. “Fire Arrival Probabilities Vary with Stand-Type in Boreal Mixedwood Forests.” </w:t>
      </w:r>
      <w:r>
        <w:rPr>
          <w:i/>
          <w:iCs/>
        </w:rPr>
        <w:t>Ecological Society of America Annual Meeting Abstracts</w:t>
      </w:r>
      <w:r>
        <w:t xml:space="preserve"> 86:77.</w:t>
      </w:r>
    </w:p>
    <w:p w14:paraId="39034485" w14:textId="77777777" w:rsidR="00723E0C" w:rsidRDefault="00723E0C" w:rsidP="00622D01">
      <w:pPr>
        <w:pStyle w:val="Bibliography"/>
        <w:spacing w:line="480" w:lineRule="auto"/>
      </w:pPr>
      <w:r>
        <w:t xml:space="preserve">Dieleman, Catherine M., Brendan M. Rogers, Stefano Potter, Sander Veraverbeke, Jill F. Johnstone, Jocelyne Laflamme, Kylen Solvik, Xanthe J. Walker, Michelle C. Mack, and Merritt R. Turetsky. 2020. “Wildfire Combustion and Carbon Stocks in the Southern Canadian Boreal Forest: Implications for a Warming World.” </w:t>
      </w:r>
      <w:r>
        <w:rPr>
          <w:i/>
          <w:iCs/>
        </w:rPr>
        <w:t>Global Change Biology</w:t>
      </w:r>
      <w:r>
        <w:t xml:space="preserve"> 26 (11): 6062–79. https://doi.org/10.1111/gcb.15158.</w:t>
      </w:r>
    </w:p>
    <w:p w14:paraId="4D688273" w14:textId="4DE558C8" w:rsidR="00723E0C" w:rsidRDefault="00723E0C" w:rsidP="00622D01">
      <w:pPr>
        <w:pStyle w:val="Bibliography"/>
        <w:spacing w:line="480" w:lineRule="auto"/>
      </w:pPr>
      <w:r>
        <w:t xml:space="preserve">Ebbert, Daniel. 2019. “Package ‘Chisq. Posthoc. Test.’” </w:t>
      </w:r>
      <w:r>
        <w:rPr>
          <w:i/>
          <w:iCs/>
        </w:rPr>
        <w:t>Version 0.1</w:t>
      </w:r>
      <w:r>
        <w:t xml:space="preserve"> 2.</w:t>
      </w:r>
    </w:p>
    <w:p w14:paraId="3D615157" w14:textId="77777777" w:rsidR="00723E0C" w:rsidRDefault="00723E0C" w:rsidP="00622D01">
      <w:pPr>
        <w:pStyle w:val="Bibliography"/>
        <w:spacing w:line="480" w:lineRule="auto"/>
      </w:pPr>
      <w:r>
        <w:t xml:space="preserve">Erni, Sandy, Dominique Arseneault, and Marc-André Parisien. 2018. “Stand Age Influence on Potential Wildfire Ignition and Spread in the Boreal Forest of Northeastern Canada.” </w:t>
      </w:r>
      <w:r>
        <w:rPr>
          <w:i/>
          <w:iCs/>
        </w:rPr>
        <w:t>Ecosystems</w:t>
      </w:r>
      <w:r>
        <w:t xml:space="preserve"> 21 (February):1471–86. https://doi.org/10.1007/s10021-018-0235-3.</w:t>
      </w:r>
    </w:p>
    <w:p w14:paraId="597A4F18" w14:textId="5C577E75" w:rsidR="00723E0C" w:rsidRDefault="00723E0C" w:rsidP="00622D01">
      <w:pPr>
        <w:pStyle w:val="Bibliography"/>
        <w:spacing w:line="480" w:lineRule="auto"/>
      </w:pPr>
      <w:r>
        <w:t>Field, C</w:t>
      </w:r>
      <w:r w:rsidR="00B7389D">
        <w:t>hristopher</w:t>
      </w:r>
      <w:r>
        <w:t xml:space="preserve"> B., D</w:t>
      </w:r>
      <w:r w:rsidR="00B46858">
        <w:t>avid</w:t>
      </w:r>
      <w:r>
        <w:t xml:space="preserve"> B. Lobell, H</w:t>
      </w:r>
      <w:r w:rsidR="00B46858">
        <w:t>alton</w:t>
      </w:r>
      <w:r>
        <w:t xml:space="preserve"> A. Peters, and N</w:t>
      </w:r>
      <w:r w:rsidR="00B46858">
        <w:t>ona</w:t>
      </w:r>
      <w:r>
        <w:t xml:space="preserve"> R. Chiariello. 2007. “Feedbacks of Terrestrial Ecosystems to Climate Change.” </w:t>
      </w:r>
      <w:r>
        <w:rPr>
          <w:i/>
          <w:iCs/>
        </w:rPr>
        <w:t>Annual Review of Environment and Resources</w:t>
      </w:r>
      <w:r>
        <w:t xml:space="preserve"> 32:1–29. https://doi.org/10.1146/annurev.energy.32.053006.141119.</w:t>
      </w:r>
    </w:p>
    <w:p w14:paraId="4439396A" w14:textId="77777777" w:rsidR="00723E0C" w:rsidRDefault="00723E0C" w:rsidP="00622D01">
      <w:pPr>
        <w:pStyle w:val="Bibliography"/>
        <w:spacing w:line="480" w:lineRule="auto"/>
      </w:pPr>
      <w:r>
        <w:t xml:space="preserve">Hagemann, Ulrike, Martin T Moroni, Johanna Gleißner, and Franz Makeschin. 2010. “Accumulation and Preservation of Dead Wood upon Burial by Bryophytes.” </w:t>
      </w:r>
      <w:r>
        <w:rPr>
          <w:i/>
          <w:iCs/>
        </w:rPr>
        <w:t>Ecosystems</w:t>
      </w:r>
      <w:r>
        <w:t xml:space="preserve"> 13:600–611.</w:t>
      </w:r>
    </w:p>
    <w:p w14:paraId="625C6E59" w14:textId="77777777" w:rsidR="00723E0C" w:rsidRDefault="00723E0C" w:rsidP="00622D01">
      <w:pPr>
        <w:pStyle w:val="Bibliography"/>
        <w:spacing w:line="480" w:lineRule="auto"/>
      </w:pPr>
      <w:r>
        <w:t>Hartig, Florian. 2020. “DHARMa: Residual Diagnostics for Hierarchical (Multi-Level / Mixed) Regression Models.” https://CRAN.R-project.org/package=DHARMa.</w:t>
      </w:r>
    </w:p>
    <w:p w14:paraId="0F023A2E" w14:textId="77777777" w:rsidR="00723E0C" w:rsidRDefault="00723E0C" w:rsidP="00622D01">
      <w:pPr>
        <w:pStyle w:val="Bibliography"/>
        <w:spacing w:line="480" w:lineRule="auto"/>
      </w:pPr>
      <w:r>
        <w:lastRenderedPageBreak/>
        <w:t xml:space="preserve">Hayes, Katherine, and Brian Buma. 2021. “Effects of Short-Interval Disturbances Continue to Accumulate, Overwhelming Variability in Local Resilience.” </w:t>
      </w:r>
      <w:r>
        <w:rPr>
          <w:i/>
          <w:iCs/>
        </w:rPr>
        <w:t>Ecosphere</w:t>
      </w:r>
      <w:r>
        <w:t xml:space="preserve"> 12 (3): e03379. https://doi.org/10.1002/ecs2.3379.</w:t>
      </w:r>
    </w:p>
    <w:p w14:paraId="637EB520" w14:textId="77777777" w:rsidR="00723E0C" w:rsidRDefault="00723E0C" w:rsidP="00622D01">
      <w:pPr>
        <w:pStyle w:val="Bibliography"/>
        <w:spacing w:line="480" w:lineRule="auto"/>
      </w:pPr>
      <w:r>
        <w:t xml:space="preserve">Hayes, Katherine, Chad M Hoffman, Rodman Linn, Justin Ziegler, and Brian Buma. 2024. “Fuel Constraints, Not Fire Weather Conditions, Limit Fire Behavior in Reburned Boreal Forests.” </w:t>
      </w:r>
      <w:r>
        <w:rPr>
          <w:i/>
          <w:iCs/>
        </w:rPr>
        <w:t>Agricultural and Forest Meteorology</w:t>
      </w:r>
      <w:r>
        <w:t xml:space="preserve"> 358:110216.</w:t>
      </w:r>
    </w:p>
    <w:p w14:paraId="0EF7723B" w14:textId="77777777" w:rsidR="00723E0C" w:rsidRDefault="00723E0C" w:rsidP="00622D01">
      <w:pPr>
        <w:pStyle w:val="Bibliography"/>
        <w:spacing w:line="480" w:lineRule="auto"/>
      </w:pPr>
      <w:r>
        <w:t xml:space="preserve">Hersbach, Hans, Bill Bell, Paul Berrisford, Shoji Hirahara, András Horányi, Joaquín Muñoz-Sabater, Julien Nicolas, et al. 2020. “The ERA5 Global Reanalysis.” </w:t>
      </w:r>
      <w:r>
        <w:rPr>
          <w:i/>
          <w:iCs/>
        </w:rPr>
        <w:t>Quarterly Journal of the Royal Meteorological Society</w:t>
      </w:r>
      <w:r>
        <w:t xml:space="preserve"> 146 (730): 1999–2049. https://doi.org/10.1002/qj.3803.</w:t>
      </w:r>
    </w:p>
    <w:p w14:paraId="45E60099" w14:textId="77777777" w:rsidR="00723E0C" w:rsidRDefault="00723E0C" w:rsidP="00622D01">
      <w:pPr>
        <w:pStyle w:val="Bibliography"/>
        <w:spacing w:line="480" w:lineRule="auto"/>
      </w:pPr>
      <w:r>
        <w:t xml:space="preserve">Jean, Stephanie A., Bradley D. Pinno, and Scott E. Nielsen. 2020. “Early Regeneration Dynamics of Pure Black Spruce and Aspen Forests after Wildfire in Boreal Alberta, Canada.” </w:t>
      </w:r>
      <w:r>
        <w:rPr>
          <w:i/>
          <w:iCs/>
        </w:rPr>
        <w:t>Forests</w:t>
      </w:r>
      <w:r>
        <w:t xml:space="preserve"> 11 (3): 333. https://doi.org/10.3390/f11030333.</w:t>
      </w:r>
    </w:p>
    <w:p w14:paraId="23B1CC25" w14:textId="4A9F644E" w:rsidR="00723E0C" w:rsidRDefault="00723E0C" w:rsidP="00622D01">
      <w:pPr>
        <w:pStyle w:val="Bibliography"/>
        <w:spacing w:line="480" w:lineRule="auto"/>
      </w:pPr>
      <w:r>
        <w:t>Johnstone, J</w:t>
      </w:r>
      <w:r w:rsidR="00F21B67">
        <w:t>ill</w:t>
      </w:r>
      <w:r>
        <w:t xml:space="preserve"> F., G. Celis, F. S</w:t>
      </w:r>
      <w:r w:rsidR="00F21B67">
        <w:t>tuart</w:t>
      </w:r>
      <w:r>
        <w:t xml:space="preserve"> Chapin, T</w:t>
      </w:r>
      <w:r w:rsidR="00F21B67">
        <w:t>eres</w:t>
      </w:r>
      <w:r w:rsidR="008C386C">
        <w:t>a</w:t>
      </w:r>
      <w:r>
        <w:t>. N. Hollingsworth, M</w:t>
      </w:r>
      <w:r w:rsidR="008C386C">
        <w:t>elanie</w:t>
      </w:r>
      <w:r>
        <w:t xml:space="preserve"> Jean, and M</w:t>
      </w:r>
      <w:r w:rsidR="008C386C">
        <w:t>ichelle</w:t>
      </w:r>
      <w:r>
        <w:t xml:space="preserve">. C. Mack. 2020. “Factors Shaping Alternate Successional Trajectories in Burned Black Spruce Forests of Alaska.” </w:t>
      </w:r>
      <w:r>
        <w:rPr>
          <w:i/>
          <w:iCs/>
        </w:rPr>
        <w:t>Ecosphere</w:t>
      </w:r>
      <w:r>
        <w:t xml:space="preserve"> 11 (5): e03129. https://doi.org/10.1002/ecs2.3129.</w:t>
      </w:r>
    </w:p>
    <w:p w14:paraId="76F163C1" w14:textId="32E3887A" w:rsidR="00723E0C" w:rsidRDefault="00723E0C" w:rsidP="00622D01">
      <w:pPr>
        <w:pStyle w:val="Bibliography"/>
        <w:spacing w:line="480" w:lineRule="auto"/>
      </w:pPr>
      <w:r>
        <w:t>Johnstone, J</w:t>
      </w:r>
      <w:r w:rsidR="008C386C">
        <w:t>ill</w:t>
      </w:r>
      <w:r>
        <w:t>. F., and F. S</w:t>
      </w:r>
      <w:r w:rsidR="008C386C">
        <w:t>tuart</w:t>
      </w:r>
      <w:r>
        <w:t xml:space="preserve"> Chapin. 2006. “Fire Interval Effects on Successional Trajectory in Boreal Forests of Northwest Canada.” </w:t>
      </w:r>
      <w:r>
        <w:rPr>
          <w:i/>
          <w:iCs/>
        </w:rPr>
        <w:t>Ecosystems</w:t>
      </w:r>
      <w:r>
        <w:t xml:space="preserve"> 9 (2): 268–77. https://doi.org/10.1007/s10021-005-0061-2.</w:t>
      </w:r>
    </w:p>
    <w:p w14:paraId="258CEBC9" w14:textId="63EC8DC3" w:rsidR="00723E0C" w:rsidRDefault="00723E0C" w:rsidP="00622D01">
      <w:pPr>
        <w:pStyle w:val="Bibliography"/>
        <w:spacing w:line="480" w:lineRule="auto"/>
      </w:pPr>
      <w:r>
        <w:t>Johnstone, J</w:t>
      </w:r>
      <w:r w:rsidR="008C386C">
        <w:t>ill</w:t>
      </w:r>
      <w:r>
        <w:t xml:space="preserve"> F., F. S</w:t>
      </w:r>
      <w:r w:rsidR="008C386C">
        <w:t>tuart</w:t>
      </w:r>
      <w:r>
        <w:t xml:space="preserve"> Chapin III, T</w:t>
      </w:r>
      <w:r w:rsidR="008C386C">
        <w:t>eresa</w:t>
      </w:r>
      <w:r>
        <w:t>. N. Hollingsworth, M</w:t>
      </w:r>
      <w:r w:rsidR="008C386C">
        <w:t>ichelle</w:t>
      </w:r>
      <w:r>
        <w:t>. C. Mack, V</w:t>
      </w:r>
      <w:r w:rsidR="008C386C">
        <w:t>ladimir</w:t>
      </w:r>
      <w:r>
        <w:t>. Romanovsky, and M</w:t>
      </w:r>
      <w:r w:rsidR="008C386C">
        <w:t>erritt</w:t>
      </w:r>
      <w:r>
        <w:t xml:space="preserve">. R. Turetsky. 2010. “Fire, Climate Change, and Forest Resilience in Interior Alaska.” </w:t>
      </w:r>
      <w:r>
        <w:rPr>
          <w:i/>
          <w:iCs/>
        </w:rPr>
        <w:t>Canadian Journal of Forest Research</w:t>
      </w:r>
      <w:r>
        <w:t xml:space="preserve"> 40 (7): 1302–12. https://doi.org/10.1139/X10-061.</w:t>
      </w:r>
    </w:p>
    <w:p w14:paraId="2A3E3D7C" w14:textId="7A4E215F" w:rsidR="00723E0C" w:rsidRDefault="008C386C" w:rsidP="00622D01">
      <w:pPr>
        <w:pStyle w:val="Bibliography"/>
        <w:spacing w:line="480" w:lineRule="auto"/>
      </w:pPr>
      <w:r>
        <w:lastRenderedPageBreak/>
        <w:t>Johnstone, Jill F., Teresa. N. Hollingsworth, F. Stuart Chapin III, Michelle. C. Mack</w:t>
      </w:r>
      <w:r w:rsidR="00723E0C">
        <w:t xml:space="preserve">. 2010. “Changes in Fire Regime Break the Legacy Lock on Successional Trajectories in Alaskan Boreal Forest.” </w:t>
      </w:r>
      <w:r w:rsidR="00723E0C">
        <w:rPr>
          <w:i/>
          <w:iCs/>
        </w:rPr>
        <w:t>Ecology Letters</w:t>
      </w:r>
      <w:r w:rsidR="00723E0C">
        <w:t xml:space="preserve"> 16 (4): 1281–95. https://doi.org/10.1111/j.1365-2486.2009.02051.x.</w:t>
      </w:r>
    </w:p>
    <w:p w14:paraId="30C9921E" w14:textId="750517D0" w:rsidR="00723E0C" w:rsidRDefault="008C386C" w:rsidP="00622D01">
      <w:pPr>
        <w:pStyle w:val="Bibliography"/>
        <w:spacing w:line="480" w:lineRule="auto"/>
      </w:pPr>
      <w:r>
        <w:t>Johnstone, Jill F., Teresa. N. Hollingsworth, F. Stuart Chapin III</w:t>
      </w:r>
      <w:r w:rsidR="00723E0C">
        <w:t xml:space="preserve">. 2008. “A Key for Predicting Postfire Successional Trajectories in Black Spruce Stands of Interior Alaska.” </w:t>
      </w:r>
      <w:r w:rsidR="00723E0C">
        <w:rPr>
          <w:i/>
          <w:iCs/>
        </w:rPr>
        <w:t>General Technical Report - Pacific Northwest Research Station, USDA Forest Service</w:t>
      </w:r>
      <w:r w:rsidR="00723E0C">
        <w:t>, no. PNW-GTR-767.</w:t>
      </w:r>
    </w:p>
    <w:p w14:paraId="3FF75B18" w14:textId="6B2C1399" w:rsidR="00723E0C" w:rsidRDefault="00723E0C" w:rsidP="00622D01">
      <w:pPr>
        <w:pStyle w:val="Bibliography"/>
        <w:spacing w:line="480" w:lineRule="auto"/>
      </w:pPr>
      <w:r>
        <w:t>Johnstone, Jill F, F</w:t>
      </w:r>
      <w:r w:rsidR="008C386C">
        <w:t xml:space="preserve">. </w:t>
      </w:r>
      <w:r>
        <w:t>S</w:t>
      </w:r>
      <w:r w:rsidR="008C386C">
        <w:t>tuart</w:t>
      </w:r>
      <w:r>
        <w:t xml:space="preserve"> Chapin I</w:t>
      </w:r>
      <w:r w:rsidR="008C386C">
        <w:t>II</w:t>
      </w:r>
      <w:r>
        <w:t xml:space="preserve">, J Foote, S Kemmett, K Price, and L Viereck. 2004. “Decadal Observations of Tree Regeneration Following Fire in Boreal Forests.” </w:t>
      </w:r>
      <w:r>
        <w:rPr>
          <w:i/>
          <w:iCs/>
        </w:rPr>
        <w:t>Canadian Journal of Forest Research</w:t>
      </w:r>
      <w:r>
        <w:t xml:space="preserve"> 34 (2): 267–73.</w:t>
      </w:r>
    </w:p>
    <w:p w14:paraId="0F6E8B87" w14:textId="77777777" w:rsidR="00723E0C" w:rsidRDefault="00723E0C" w:rsidP="00622D01">
      <w:pPr>
        <w:pStyle w:val="Bibliography"/>
        <w:spacing w:line="480" w:lineRule="auto"/>
      </w:pPr>
      <w:r>
        <w:t xml:space="preserve">Jonsson, Micael, and David A. Wardle. 2010. “Structural Equation Modelling Reveals Plant-Community Drivers of Carbon Storage in Boreal Forest Ecosystems.” </w:t>
      </w:r>
      <w:r>
        <w:rPr>
          <w:i/>
          <w:iCs/>
        </w:rPr>
        <w:t>Biology Letters</w:t>
      </w:r>
      <w:r>
        <w:t xml:space="preserve"> 6 (1): 116–19. https://doi.org/10.1098/rsbl.2009.0613.</w:t>
      </w:r>
    </w:p>
    <w:p w14:paraId="1EEB6B6C" w14:textId="77777777" w:rsidR="00723E0C" w:rsidRDefault="00723E0C" w:rsidP="00622D01">
      <w:pPr>
        <w:pStyle w:val="Bibliography"/>
        <w:spacing w:line="480" w:lineRule="auto"/>
      </w:pPr>
      <w:r>
        <w:t xml:space="preserve">Kelly, Ryan, Melissa L. Chipman, Philip E. Higuera, Ivanka Stefanova, Linda B. Brubaker, and Feng Sheng Hu. 2013. “Recent Burning of Boreal Forests Exceeds Fire Regime Limits of the Past 10,000 Years.” </w:t>
      </w:r>
      <w:r>
        <w:rPr>
          <w:i/>
          <w:iCs/>
        </w:rPr>
        <w:t>Proceedings of the National Academy of Sciences of the United States of America</w:t>
      </w:r>
      <w:r>
        <w:t xml:space="preserve"> 110 (32): 13055–60. https://doi.org/10.1073/pnas.1305069110.</w:t>
      </w:r>
    </w:p>
    <w:p w14:paraId="4884DC9C" w14:textId="77777777" w:rsidR="00723E0C" w:rsidRDefault="00723E0C" w:rsidP="00622D01">
      <w:pPr>
        <w:pStyle w:val="Bibliography"/>
        <w:spacing w:line="480" w:lineRule="auto"/>
      </w:pPr>
      <w:r>
        <w:t xml:space="preserve">Krawchuk, M. A., S. G. Cumming, M. D. Flannigan, and R. W. Wein. 2006. “Biotic and Abiotic Regulation of Lightning Fire Initiation in the Mixedwood Boreal Forest.” </w:t>
      </w:r>
      <w:r>
        <w:rPr>
          <w:i/>
          <w:iCs/>
        </w:rPr>
        <w:t>Ecology</w:t>
      </w:r>
      <w:r>
        <w:t xml:space="preserve"> 87 (2): 458–68. https://doi.org/10.1890/05-1021.</w:t>
      </w:r>
    </w:p>
    <w:p w14:paraId="2C10265D" w14:textId="77777777" w:rsidR="00723E0C" w:rsidRDefault="00723E0C" w:rsidP="00622D01">
      <w:pPr>
        <w:pStyle w:val="Bibliography"/>
        <w:spacing w:line="480" w:lineRule="auto"/>
      </w:pPr>
      <w:r>
        <w:lastRenderedPageBreak/>
        <w:t xml:space="preserve">Lenth, Russell, Henrik Singmann, Jonathon Love, Paul Buerkner, and Maxime Herve. 2019. </w:t>
      </w:r>
      <w:r>
        <w:rPr>
          <w:i/>
          <w:iCs/>
        </w:rPr>
        <w:t>Emmeans: Estimated Marginal Means, Aka Least-Squares Means</w:t>
      </w:r>
      <w:r>
        <w:t>. 1.3.3. https://CRAN.R-project.org/package=emmeans.</w:t>
      </w:r>
    </w:p>
    <w:p w14:paraId="029C8186" w14:textId="77777777" w:rsidR="00723E0C" w:rsidRDefault="00723E0C" w:rsidP="00622D01">
      <w:pPr>
        <w:pStyle w:val="Bibliography"/>
        <w:spacing w:line="480" w:lineRule="auto"/>
      </w:pPr>
      <w:r>
        <w:t xml:space="preserve">Lenton, Timothy M, Johan Rockström, Owen Gaffney, Stefan Rahmstorf, Katherine Richardson, Will Steffen, and Hans Joachim Schellnhuber. 2019. “Climate Tipping Points—Too Risky to Bet Against.” </w:t>
      </w:r>
      <w:r>
        <w:rPr>
          <w:i/>
          <w:iCs/>
        </w:rPr>
        <w:t>Nature</w:t>
      </w:r>
      <w:r>
        <w:t xml:space="preserve"> 575:592–95.</w:t>
      </w:r>
    </w:p>
    <w:p w14:paraId="4921ACF3" w14:textId="77777777" w:rsidR="00723E0C" w:rsidRDefault="00723E0C" w:rsidP="00622D01">
      <w:pPr>
        <w:pStyle w:val="Bibliography"/>
        <w:spacing w:line="480" w:lineRule="auto"/>
      </w:pPr>
      <w:r>
        <w:t xml:space="preserve">Luyssaert, Sebastiaan, E.-Detlef Schulze, Annett Börner, Alexander Knohl, Dominik Hessenmöller, Beverly E. Law, Philippe Ciais, and John Grace. 2008. “Old-Growth Forests as Global Carbon Sinks.” </w:t>
      </w:r>
      <w:r>
        <w:rPr>
          <w:i/>
          <w:iCs/>
        </w:rPr>
        <w:t>Nature</w:t>
      </w:r>
      <w:r>
        <w:t xml:space="preserve"> 455 (7210): 213–15. https://doi.org/10.1038/nature07276.</w:t>
      </w:r>
    </w:p>
    <w:p w14:paraId="2BF4B3C2" w14:textId="77777777" w:rsidR="00723E0C" w:rsidRDefault="00723E0C" w:rsidP="00622D01">
      <w:pPr>
        <w:pStyle w:val="Bibliography"/>
        <w:spacing w:line="480" w:lineRule="auto"/>
      </w:pPr>
      <w:r>
        <w:t xml:space="preserve">Mack, Michelle C., Xanthe J. Walker, Jill F. Johnstone, Heather D. Alexander, April M. Melvin, Mélanie Jean, and Samantha N. Miller. 2021. “Carbon Loss from Boreal Forest Wildfires Offset by Increased Dominance of Deciduous Trees.” </w:t>
      </w:r>
      <w:r>
        <w:rPr>
          <w:i/>
          <w:iCs/>
        </w:rPr>
        <w:t>Science</w:t>
      </w:r>
      <w:r>
        <w:t xml:space="preserve"> 372 (6539): 280–83. https://doi.org/10.1126/science.abf3903.</w:t>
      </w:r>
    </w:p>
    <w:p w14:paraId="65A0DCE9" w14:textId="77777777" w:rsidR="00723E0C" w:rsidRDefault="00723E0C" w:rsidP="00622D01">
      <w:pPr>
        <w:pStyle w:val="Bibliography"/>
        <w:spacing w:line="480" w:lineRule="auto"/>
      </w:pPr>
      <w:r>
        <w:t xml:space="preserve">Manies, K L, J W Harden, B P Bond-Lamberty, and K P O’Neill. 2005. “Woody Debris along an Upland Chronosequence in Boreal Manitoba and Its Impact on Long-Term Carbon Storage.” </w:t>
      </w:r>
      <w:r>
        <w:rPr>
          <w:i/>
          <w:iCs/>
        </w:rPr>
        <w:t>Canadian Journal of Forest Research</w:t>
      </w:r>
      <w:r>
        <w:t xml:space="preserve"> 35 (2): 472–82. https://doi.org/10.1139/x04-179.</w:t>
      </w:r>
    </w:p>
    <w:p w14:paraId="6747C2C4" w14:textId="77777777" w:rsidR="00723E0C" w:rsidRDefault="00723E0C" w:rsidP="00622D01">
      <w:pPr>
        <w:pStyle w:val="Bibliography"/>
        <w:spacing w:line="480" w:lineRule="auto"/>
      </w:pPr>
      <w:r>
        <w:t xml:space="preserve">Melvin, April M., Michelle C. Mack, Jill F. Johnstone, A. David McGuire, Helene Genet, and Edward A. G. Schuur. 2015. “Differences in Ecosystem Carbon Cistribution and Nutrient Cycling Linked to Forest Tree Species Composition in a Mid-Successional Boreal Forest.” </w:t>
      </w:r>
      <w:r>
        <w:rPr>
          <w:i/>
          <w:iCs/>
        </w:rPr>
        <w:t>Ecosystems</w:t>
      </w:r>
      <w:r>
        <w:t xml:space="preserve"> 18 (8): 1472–88. https://doi.org/10.1007/s10021-015-9912-7.</w:t>
      </w:r>
    </w:p>
    <w:p w14:paraId="4707B72A" w14:textId="77777777" w:rsidR="00723E0C" w:rsidRDefault="00723E0C" w:rsidP="00622D01">
      <w:pPr>
        <w:pStyle w:val="Bibliography"/>
        <w:spacing w:line="480" w:lineRule="auto"/>
      </w:pPr>
      <w:r>
        <w:lastRenderedPageBreak/>
        <w:t xml:space="preserve">Moroni, Martin Thomas, Ulrike Hagemann, and David Wesley Beilman. 2010. “Dead Wood Is Buried and Preserved in a Labrador Boreal Forest.” </w:t>
      </w:r>
      <w:r>
        <w:rPr>
          <w:i/>
          <w:iCs/>
        </w:rPr>
        <w:t>Ecosystems</w:t>
      </w:r>
      <w:r>
        <w:t xml:space="preserve"> 13:452–58.</w:t>
      </w:r>
    </w:p>
    <w:p w14:paraId="0E0A978F" w14:textId="77777777" w:rsidR="00723E0C" w:rsidRDefault="00723E0C" w:rsidP="00622D01">
      <w:pPr>
        <w:pStyle w:val="Bibliography"/>
        <w:spacing w:line="480" w:lineRule="auto"/>
      </w:pPr>
      <w:r>
        <w:t xml:space="preserve">Neigh, Christopher S. R., Ross F. Nelson, K. Jon Ranson, Hank A. Margolis, Paul M. Montesano, Guoqing Sun, Viacheslav Kharuk, Erik Næsset, Michael A. Wulder, and Hans-Erik Andersen. 2013. “Taking Stock of Circumboreal Forest Carbon with Ground Measurements, Airborne and Spaceborne LiDAR.” </w:t>
      </w:r>
      <w:r>
        <w:rPr>
          <w:i/>
          <w:iCs/>
        </w:rPr>
        <w:t>Remote Sensing of Environment</w:t>
      </w:r>
      <w:r>
        <w:t xml:space="preserve"> 137 (October):274–87. https://doi.org/10.1016/j.rse.2013.06.019.</w:t>
      </w:r>
    </w:p>
    <w:p w14:paraId="4764FF7F" w14:textId="77777777" w:rsidR="00723E0C" w:rsidRDefault="00723E0C" w:rsidP="00622D01">
      <w:pPr>
        <w:pStyle w:val="Bibliography"/>
        <w:spacing w:line="480" w:lineRule="auto"/>
      </w:pPr>
      <w:r>
        <w:t xml:space="preserve">Parisien, Marc-André, Sean A. Parks, Carol Miller, Meg A. Krawchuk, Mark Heathcott, and Max A. Moritz. 2011. “Contributions of Ignitions, Fuels, and Weather to the Spatial Patterns of Burn Probability of a Boreal Landscape.” </w:t>
      </w:r>
      <w:r>
        <w:rPr>
          <w:i/>
          <w:iCs/>
        </w:rPr>
        <w:t>Ecosystems</w:t>
      </w:r>
      <w:r>
        <w:t xml:space="preserve"> 14 (7): 1141–55. https://doi.org/10.1007/s10021-011-9474-2.</w:t>
      </w:r>
    </w:p>
    <w:p w14:paraId="08AA8DF9" w14:textId="77777777" w:rsidR="00723E0C" w:rsidRDefault="00723E0C" w:rsidP="00622D01">
      <w:pPr>
        <w:pStyle w:val="Bibliography"/>
        <w:spacing w:line="480" w:lineRule="auto"/>
      </w:pPr>
      <w:r>
        <w:t xml:space="preserve">Parks, Sean A., Lisa M. Holsinger, Carol Miller, and Cara R. Nelson. 2015. “Wildland Fire as a Self-Regulating Mechanism: The Role of Previous Burns and Weather in Limiting Fire Progression.” </w:t>
      </w:r>
      <w:r>
        <w:rPr>
          <w:i/>
          <w:iCs/>
        </w:rPr>
        <w:t>Ecological Applications</w:t>
      </w:r>
      <w:r>
        <w:t xml:space="preserve"> 25 (6): 1478–92. https://doi.org/10.1890/14-1430.1.</w:t>
      </w:r>
    </w:p>
    <w:p w14:paraId="12152CFA" w14:textId="77777777" w:rsidR="00723E0C" w:rsidRDefault="00723E0C" w:rsidP="00622D01">
      <w:pPr>
        <w:pStyle w:val="Bibliography"/>
        <w:spacing w:line="480" w:lineRule="auto"/>
      </w:pPr>
      <w:r>
        <w:t xml:space="preserve">Parks, Sean A, Marc‐André Parisien, Carol Miller, Lisa M Holsinger, and Larry Scott Baggett. 2018. “Fine‐scale Spatial Climate Variation and Drought Mediate the Likelihood of Reburning.” </w:t>
      </w:r>
      <w:r>
        <w:rPr>
          <w:i/>
          <w:iCs/>
        </w:rPr>
        <w:t>Ecological Applications</w:t>
      </w:r>
      <w:r>
        <w:t xml:space="preserve"> 28 (2): 573–86.</w:t>
      </w:r>
    </w:p>
    <w:p w14:paraId="516B2A0B" w14:textId="77777777" w:rsidR="00723E0C" w:rsidRDefault="00723E0C" w:rsidP="00622D01">
      <w:pPr>
        <w:pStyle w:val="Bibliography"/>
        <w:spacing w:line="480" w:lineRule="auto"/>
      </w:pPr>
      <w:r>
        <w:t xml:space="preserve">Pinno, Bradley D., Ruth C. Errington, and Dan K. Thompson. 2013. “Young Jack Pine and High Severity Fire Combine to Create Potentially Expansive Areas of Understocked Forest.” </w:t>
      </w:r>
      <w:r>
        <w:rPr>
          <w:i/>
          <w:iCs/>
        </w:rPr>
        <w:t>Forest Ecology and Management</w:t>
      </w:r>
      <w:r>
        <w:t xml:space="preserve"> 310:517–22.</w:t>
      </w:r>
    </w:p>
    <w:p w14:paraId="1738BCD1" w14:textId="77777777" w:rsidR="00723E0C" w:rsidRDefault="00723E0C" w:rsidP="00622D01">
      <w:pPr>
        <w:pStyle w:val="Bibliography"/>
        <w:spacing w:line="480" w:lineRule="auto"/>
      </w:pPr>
      <w:r>
        <w:lastRenderedPageBreak/>
        <w:t xml:space="preserve">Prichard, Susan J, Camille S Stevens-Rumann, and Paul F Hessburg. 2017. “Tamm Review: Shifting Global Fire Regimes: Lessons from Reburns and Research Needs.” </w:t>
      </w:r>
      <w:r>
        <w:rPr>
          <w:i/>
          <w:iCs/>
        </w:rPr>
        <w:t>Forest Ecology and Management</w:t>
      </w:r>
      <w:r>
        <w:t xml:space="preserve"> 396:217–33.</w:t>
      </w:r>
    </w:p>
    <w:p w14:paraId="76B06913" w14:textId="77777777" w:rsidR="00723E0C" w:rsidRDefault="00723E0C" w:rsidP="00622D01">
      <w:pPr>
        <w:pStyle w:val="Bibliography"/>
        <w:spacing w:line="480" w:lineRule="auto"/>
      </w:pPr>
      <w:r>
        <w:t xml:space="preserve">Schuur, E. A. G., A. D. McGuire, V. Romanovsky, C. Schädel, and M. Mack. 2018. “Chapter 11: Arctic and Boreal Carbon.” In </w:t>
      </w:r>
      <w:r>
        <w:rPr>
          <w:i/>
          <w:iCs/>
        </w:rPr>
        <w:t>Second State of the Carbon Cycle Report (SOCCR2): A Sustained Assessment Report</w:t>
      </w:r>
      <w:r>
        <w:t>, edited by N. Cavallaro, G. Shrestha, R. Birdsey, M. A. Mayes, R. G. Najjar, S. C. Reed, P. Romero-Lankao, and Z. Zhu, 428–68. Washington, DC, USA: U.S. Global Change Research Program. https://doi.org/10.7930/ SOCCR2.2018.Ch11.</w:t>
      </w:r>
    </w:p>
    <w:p w14:paraId="68BC0538" w14:textId="77777777" w:rsidR="00723E0C" w:rsidRDefault="00723E0C" w:rsidP="00622D01">
      <w:pPr>
        <w:pStyle w:val="Bibliography"/>
        <w:spacing w:line="480" w:lineRule="auto"/>
      </w:pPr>
      <w:r>
        <w:t xml:space="preserve">Stephens, Scott L, and Lawrence W Ruth. 2005. “Federal Forest‐fire Policy in the United States.” </w:t>
      </w:r>
      <w:r>
        <w:rPr>
          <w:i/>
          <w:iCs/>
        </w:rPr>
        <w:t>Ecological Applications</w:t>
      </w:r>
      <w:r>
        <w:t xml:space="preserve"> 15 (2): 532–42.</w:t>
      </w:r>
    </w:p>
    <w:p w14:paraId="10213759" w14:textId="77777777" w:rsidR="00723E0C" w:rsidRDefault="00723E0C" w:rsidP="00622D01">
      <w:pPr>
        <w:pStyle w:val="Bibliography"/>
        <w:spacing w:line="480" w:lineRule="auto"/>
      </w:pPr>
      <w:r>
        <w:t xml:space="preserve">Stevens-Rumann, Camille S, Susan J Prichard, Ellen Whitman, Marc-André Parisien, and Arjan JH Meddens. 2022. “Considering Regeneration Failure in the Context of Changing Climate and Disturbance Regimes in Western North America.” </w:t>
      </w:r>
      <w:r>
        <w:rPr>
          <w:i/>
          <w:iCs/>
        </w:rPr>
        <w:t>Canadian Journal of Forest Research</w:t>
      </w:r>
      <w:r>
        <w:t xml:space="preserve"> 52 (10): 1281–1302.</w:t>
      </w:r>
    </w:p>
    <w:p w14:paraId="65550A6D" w14:textId="77777777" w:rsidR="00723E0C" w:rsidRDefault="00723E0C" w:rsidP="00622D01">
      <w:pPr>
        <w:pStyle w:val="Bibliography"/>
        <w:spacing w:line="480" w:lineRule="auto"/>
      </w:pPr>
      <w:r>
        <w:t xml:space="preserve">Viglas, Jayme N, Carissa D Brown, and Jill F Johnstone. 2013. “Age and Size Effects on Seed Productivity of Northern Black Spruce.” </w:t>
      </w:r>
      <w:r>
        <w:rPr>
          <w:i/>
          <w:iCs/>
        </w:rPr>
        <w:t>Canadian Journal of Forest Research</w:t>
      </w:r>
      <w:r>
        <w:t xml:space="preserve"> 43 (6): 534–43.</w:t>
      </w:r>
    </w:p>
    <w:p w14:paraId="0A7DE12D" w14:textId="18FDB2EA" w:rsidR="00723E0C" w:rsidRDefault="00723E0C" w:rsidP="00622D01">
      <w:pPr>
        <w:pStyle w:val="Bibliography"/>
        <w:spacing w:line="480" w:lineRule="auto"/>
      </w:pPr>
      <w:r>
        <w:t>Walker, X</w:t>
      </w:r>
      <w:r w:rsidR="00CA46A1">
        <w:t>anthe J</w:t>
      </w:r>
      <w:r>
        <w:t>., K</w:t>
      </w:r>
      <w:r w:rsidR="00CA46A1">
        <w:t>yoko</w:t>
      </w:r>
      <w:r>
        <w:t xml:space="preserve"> Okano, L</w:t>
      </w:r>
      <w:r w:rsidR="00CA46A1">
        <w:t xml:space="preserve">ogan </w:t>
      </w:r>
      <w:r>
        <w:t>T. Berner, R</w:t>
      </w:r>
      <w:r w:rsidR="00CA46A1">
        <w:t>ichard</w:t>
      </w:r>
      <w:r>
        <w:t xml:space="preserve"> Massey, S</w:t>
      </w:r>
      <w:r w:rsidR="00CA46A1">
        <w:t>cott</w:t>
      </w:r>
      <w:r>
        <w:t xml:space="preserve"> J. Goetz, J</w:t>
      </w:r>
      <w:r w:rsidR="00CA46A1">
        <w:t>ill</w:t>
      </w:r>
      <w:r>
        <w:t xml:space="preserve"> F. Johnstone, and M</w:t>
      </w:r>
      <w:r w:rsidR="00CA46A1">
        <w:t>ichelle</w:t>
      </w:r>
      <w:r>
        <w:t xml:space="preserve"> C. Mack. 2023. “Shifts in Ecological Legacies Support Hysteresis of Stand Type Conversions in Boreal Forests.” </w:t>
      </w:r>
      <w:r>
        <w:rPr>
          <w:i/>
          <w:iCs/>
        </w:rPr>
        <w:t>Ecosystems</w:t>
      </w:r>
      <w:r>
        <w:t>, 1–10.</w:t>
      </w:r>
    </w:p>
    <w:p w14:paraId="1A342C34" w14:textId="77777777" w:rsidR="00723E0C" w:rsidRDefault="00723E0C" w:rsidP="00622D01">
      <w:pPr>
        <w:pStyle w:val="Bibliography"/>
        <w:spacing w:line="480" w:lineRule="auto"/>
      </w:pPr>
      <w:r>
        <w:t xml:space="preserve">Walker, Xanthe J., Jennifer L. Baltzer, Laura Bourgeau-Chavez, Nicola J. Day, Catherine M. Dieleman, Jill F. Johnstone, Evan S. Kane, Brendan M. Rogers, Merritt R. Turetsky, and </w:t>
      </w:r>
      <w:r>
        <w:lastRenderedPageBreak/>
        <w:t xml:space="preserve">Sander Veraverbeke. 2020. “Patterns of Ecosystem Structure and Wildfire Carbon Combustion Across Six Ecoregions of the North American Boreal Forest.” </w:t>
      </w:r>
      <w:r>
        <w:rPr>
          <w:i/>
          <w:iCs/>
        </w:rPr>
        <w:t>Frontiers in Forests and Global Change</w:t>
      </w:r>
      <w:r>
        <w:t xml:space="preserve"> 3:87.</w:t>
      </w:r>
    </w:p>
    <w:p w14:paraId="5E908AD9" w14:textId="77777777" w:rsidR="00723E0C" w:rsidRDefault="00723E0C" w:rsidP="00622D01">
      <w:pPr>
        <w:pStyle w:val="Bibliography"/>
        <w:spacing w:line="480" w:lineRule="auto"/>
      </w:pPr>
      <w:r>
        <w:t xml:space="preserve">Walker, Xanthe J., Jennifer L. Baltzer, Steven G. Cumming, Nicola J. Day, Christopher Ebert, Scott Goetz, Jill F. Johnstone, et al. 2019. “Increasing Wildfires Threaten Historic Carbon Sink of Boreal Forest Soils.” </w:t>
      </w:r>
      <w:r>
        <w:rPr>
          <w:i/>
          <w:iCs/>
        </w:rPr>
        <w:t>Nature</w:t>
      </w:r>
      <w:r>
        <w:t xml:space="preserve"> 572 (7770): 520–23. https://doi.org/10.1038/s41586-019-1474-y.</w:t>
      </w:r>
    </w:p>
    <w:p w14:paraId="6A2B9D5E" w14:textId="77777777" w:rsidR="00723E0C" w:rsidRDefault="00723E0C" w:rsidP="00622D01">
      <w:pPr>
        <w:pStyle w:val="Bibliography"/>
        <w:spacing w:line="480" w:lineRule="auto"/>
      </w:pPr>
      <w:r>
        <w:t xml:space="preserve">Walker, Xanthe J., Brain K. Howard, Mélanie Jean, Jill F. Johnstone, Carl Roland, Brendan M. Rogers, Edward A. G. Schuur, Kylen K. Solvik, and Michelle C. Mack. 2021. “Impacts of Pre-Fire Conifer Density and Wildfire Severity on Ecosystem Structure and Function at the Forest-Tundra Ecotone.” </w:t>
      </w:r>
      <w:r>
        <w:rPr>
          <w:i/>
          <w:iCs/>
        </w:rPr>
        <w:t>PLoS ONE</w:t>
      </w:r>
      <w:r>
        <w:t xml:space="preserve"> 16 (10): e0258558. https://doi.org/10.1371/journal.pone.0258558.</w:t>
      </w:r>
    </w:p>
    <w:p w14:paraId="264106A0" w14:textId="77777777" w:rsidR="00723E0C" w:rsidRDefault="00723E0C" w:rsidP="00622D01">
      <w:pPr>
        <w:pStyle w:val="Bibliography"/>
        <w:spacing w:line="480" w:lineRule="auto"/>
      </w:pPr>
      <w:r>
        <w:t xml:space="preserve">Walker, Xanthe J., Brendan M. Rogers, Jennifer L. Baltzer, Steven G. Cumming, Nicola J. Day, Scott J. Goetz, Jill F. Johnstone, Edward A. G. Schuur, Merritt R. Turetsky, and Michelle C. Mack. 2018. “Cross-Scale Controls on Carbon Emissions from Boreal Forest Megafires.” </w:t>
      </w:r>
      <w:r>
        <w:rPr>
          <w:i/>
          <w:iCs/>
        </w:rPr>
        <w:t>Global Change Biology</w:t>
      </w:r>
      <w:r>
        <w:t xml:space="preserve"> 24 (9): 4251–65. https://doi.org/10.1111/gcb.14287.</w:t>
      </w:r>
    </w:p>
    <w:p w14:paraId="27A7FC0C" w14:textId="49D30F80" w:rsidR="00723E0C" w:rsidRDefault="00723E0C" w:rsidP="00622D01">
      <w:pPr>
        <w:pStyle w:val="Bibliography"/>
        <w:spacing w:line="480" w:lineRule="auto"/>
      </w:pPr>
      <w:r>
        <w:t>Walker, Xanthe</w:t>
      </w:r>
      <w:r w:rsidR="00CE78CF">
        <w:t xml:space="preserve"> J.</w:t>
      </w:r>
      <w:r>
        <w:t xml:space="preserve">, Brendan </w:t>
      </w:r>
      <w:r w:rsidR="00CE78CF">
        <w:t xml:space="preserve">M. </w:t>
      </w:r>
      <w:r>
        <w:t>Rogers, S</w:t>
      </w:r>
      <w:r w:rsidR="00CE78CF">
        <w:t xml:space="preserve">ander </w:t>
      </w:r>
      <w:r>
        <w:t xml:space="preserve">Veraverbeke, Jill </w:t>
      </w:r>
      <w:r w:rsidR="00CE78CF">
        <w:t xml:space="preserve">F. </w:t>
      </w:r>
      <w:r>
        <w:t xml:space="preserve">Johnstone, Jennifer </w:t>
      </w:r>
      <w:r w:rsidR="00CE78CF">
        <w:t xml:space="preserve">L. </w:t>
      </w:r>
      <w:r>
        <w:t xml:space="preserve">Baltzer, Kirsten Barrett, Laura Bourgeau-Chavez, et al. 2020. “Fuel Availability Not Fire Weather Controls Boreal Wildfire Severity and Carbon Emissions.” </w:t>
      </w:r>
      <w:r>
        <w:rPr>
          <w:i/>
          <w:iCs/>
        </w:rPr>
        <w:t>Nature Climate Change</w:t>
      </w:r>
      <w:r>
        <w:t xml:space="preserve"> 10 (12): 1–7. https://doi.org/10.1038/s41558-020-00920-8.</w:t>
      </w:r>
    </w:p>
    <w:p w14:paraId="727D1C9E" w14:textId="77777777" w:rsidR="00723E0C" w:rsidRDefault="00723E0C" w:rsidP="00622D01">
      <w:pPr>
        <w:pStyle w:val="Bibliography"/>
        <w:spacing w:line="480" w:lineRule="auto"/>
      </w:pPr>
      <w:r>
        <w:t xml:space="preserve">Wang, G. Geoff. 2003. “Early Regeneration and Growth Dynamics of Populus Tremuloides Suckers in Relation to Fire Severity.” </w:t>
      </w:r>
      <w:r>
        <w:rPr>
          <w:i/>
          <w:iCs/>
        </w:rPr>
        <w:t>Canadian Journal of Forest Research</w:t>
      </w:r>
      <w:r>
        <w:t xml:space="preserve"> 33 (10): 1998–2006. https://doi.org/10.1139/x03-123.</w:t>
      </w:r>
    </w:p>
    <w:p w14:paraId="44BFC572" w14:textId="77777777" w:rsidR="00723E0C" w:rsidRDefault="00723E0C" w:rsidP="00622D01">
      <w:pPr>
        <w:pStyle w:val="Bibliography"/>
        <w:spacing w:line="480" w:lineRule="auto"/>
      </w:pPr>
      <w:r>
        <w:lastRenderedPageBreak/>
        <w:t xml:space="preserve">Whitman, Ellen, Quinn E. Barber, Piyush Jain, Sean A. Parks, Luc Guindon, Dan K. Thompson, and Marc-André Parisien. 2024. “A Modest Increase in Fire Weather Overcomes Resistance to Fire Spread in Recently Burned Boreal Forests.” </w:t>
      </w:r>
      <w:r>
        <w:rPr>
          <w:i/>
          <w:iCs/>
        </w:rPr>
        <w:t>Global Change Biology</w:t>
      </w:r>
      <w:r>
        <w:t xml:space="preserve"> 30 (6): e17363. https://doi.org/10.1111/gcb.17363.</w:t>
      </w:r>
    </w:p>
    <w:p w14:paraId="0C067D8F" w14:textId="77777777" w:rsidR="00723E0C" w:rsidRDefault="00723E0C" w:rsidP="00622D01">
      <w:pPr>
        <w:pStyle w:val="Bibliography"/>
        <w:spacing w:line="480" w:lineRule="auto"/>
      </w:pPr>
      <w:r>
        <w:t xml:space="preserve">Whitman, Ellen, Marc-André Parisien, Dan K. Thompson, and Mike D. Flannigan. 2019. “Short-Interval Wildfire and Drought Overwhelm Boreal Forest Resilience.” </w:t>
      </w:r>
      <w:r>
        <w:rPr>
          <w:i/>
          <w:iCs/>
        </w:rPr>
        <w:t>Scientific Reports</w:t>
      </w:r>
      <w:r>
        <w:t xml:space="preserve"> 9 (1): 18796. https://doi.org/10.1038/s41598-019-55036-7.</w:t>
      </w:r>
    </w:p>
    <w:p w14:paraId="700B93F0" w14:textId="77777777" w:rsidR="00723E0C" w:rsidRDefault="00723E0C" w:rsidP="00622D01">
      <w:pPr>
        <w:pStyle w:val="Bibliography"/>
        <w:spacing w:line="480" w:lineRule="auto"/>
      </w:pPr>
      <w:r>
        <w:t>Wickham, Hadley, Romain François, Lionel Henry, and Kirill Müller. 2018. “Dplyr: A Grammar of Data Manipulation.” https://CRAN.R-project.org/package=dplyr.</w:t>
      </w:r>
    </w:p>
    <w:p w14:paraId="073758D9" w14:textId="77777777" w:rsidR="00723E0C" w:rsidRDefault="00723E0C" w:rsidP="00622D01">
      <w:pPr>
        <w:pStyle w:val="Bibliography"/>
        <w:spacing w:line="480" w:lineRule="auto"/>
      </w:pPr>
      <w:r>
        <w:t xml:space="preserve">Yarie, J., and S. Billings. 2002. “Carbon Balance of the Taiga Forest within Alaska: Present and Future.” </w:t>
      </w:r>
      <w:r>
        <w:rPr>
          <w:i/>
          <w:iCs/>
        </w:rPr>
        <w:t>Canadian Journal of Forest Research</w:t>
      </w:r>
      <w:r>
        <w:t xml:space="preserve"> 32 (5): 757–67. https://doi.org/10.1139/x01-075.</w:t>
      </w:r>
    </w:p>
    <w:p w14:paraId="71583DA4" w14:textId="77777777" w:rsidR="00723E0C" w:rsidRDefault="00723E0C" w:rsidP="00622D01">
      <w:pPr>
        <w:pStyle w:val="Bibliography"/>
        <w:spacing w:line="480" w:lineRule="auto"/>
      </w:pPr>
      <w:r>
        <w:t xml:space="preserve">Zuur, Alain, Elena N Ieno, Neil Walker, Anatoly A Saveliev, and Graham M Smith. 2009. </w:t>
      </w:r>
      <w:r>
        <w:rPr>
          <w:i/>
          <w:iCs/>
        </w:rPr>
        <w:t>Mixed Effects Models and Extensions in Ecology with R</w:t>
      </w:r>
      <w:r>
        <w:t>. Springer Science &amp; Business Media.</w:t>
      </w:r>
    </w:p>
    <w:p w14:paraId="67481A24" w14:textId="13865330" w:rsidR="00605D9A" w:rsidRDefault="00605D9A" w:rsidP="00622D01">
      <w:pPr>
        <w:tabs>
          <w:tab w:val="left" w:pos="0"/>
        </w:tabs>
        <w:spacing w:after="0" w:line="480" w:lineRule="auto"/>
        <w:jc w:val="both"/>
        <w:rPr>
          <w:rFonts w:cs="Times New Roman"/>
        </w:rPr>
      </w:pPr>
    </w:p>
    <w:p w14:paraId="56365DAF" w14:textId="77777777" w:rsidR="00330532" w:rsidRDefault="00330532" w:rsidP="00622D01">
      <w:pPr>
        <w:tabs>
          <w:tab w:val="left" w:pos="0"/>
        </w:tabs>
        <w:spacing w:after="0" w:line="480" w:lineRule="auto"/>
        <w:jc w:val="both"/>
        <w:rPr>
          <w:rFonts w:cs="Times New Roman"/>
        </w:rPr>
      </w:pPr>
    </w:p>
    <w:p w14:paraId="7EB8A66C" w14:textId="77777777" w:rsidR="004F7550" w:rsidRDefault="004F7550" w:rsidP="00622D01">
      <w:pPr>
        <w:tabs>
          <w:tab w:val="left" w:pos="0"/>
        </w:tabs>
        <w:spacing w:after="0" w:line="480" w:lineRule="auto"/>
        <w:jc w:val="both"/>
        <w:rPr>
          <w:rFonts w:cs="Times New Roman"/>
        </w:rPr>
        <w:sectPr w:rsidR="004F7550" w:rsidSect="00995725">
          <w:pgSz w:w="12240" w:h="15840"/>
          <w:pgMar w:top="1440" w:right="1440" w:bottom="1440" w:left="1440" w:header="720" w:footer="720" w:gutter="0"/>
          <w:lnNumType w:countBy="1" w:restart="continuous"/>
          <w:cols w:space="720"/>
          <w:docGrid w:linePitch="360"/>
        </w:sectPr>
      </w:pPr>
    </w:p>
    <w:p w14:paraId="260E5BFA" w14:textId="77777777" w:rsidR="005E51E6" w:rsidRDefault="005E51E6" w:rsidP="005E51E6">
      <w:pPr>
        <w:rPr>
          <w:rFonts w:cs="Times New Roman"/>
        </w:rPr>
      </w:pPr>
      <w:r w:rsidRPr="00D95A45">
        <w:rPr>
          <w:rFonts w:cs="Times New Roman"/>
        </w:rPr>
        <w:lastRenderedPageBreak/>
        <w:t>Table 1. Cli</w:t>
      </w:r>
      <w:r>
        <w:rPr>
          <w:rFonts w:cs="Times New Roman"/>
        </w:rPr>
        <w:t>m</w:t>
      </w:r>
      <w:r w:rsidRPr="00D95A45">
        <w:rPr>
          <w:rFonts w:cs="Times New Roman"/>
        </w:rPr>
        <w:t xml:space="preserve">ate, landscape, and pre-fire characteristics of sites examined in this study across fire return intervals. Values represent mean </w:t>
      </w:r>
      <w:r w:rsidRPr="002907C0">
        <w:rPr>
          <w:rFonts w:eastAsia="Times New Roman" w:cs="Times New Roman"/>
          <w:sz w:val="20"/>
          <w:szCs w:val="20"/>
        </w:rPr>
        <w:t>± </w:t>
      </w:r>
      <w:r w:rsidRPr="00D95A45">
        <w:rPr>
          <w:rFonts w:cs="Times New Roman"/>
        </w:rPr>
        <w:t>standard error of the mean and the rang</w:t>
      </w:r>
      <w:r>
        <w:rPr>
          <w:rFonts w:cs="Times New Roman"/>
        </w:rPr>
        <w:t>e.</w:t>
      </w:r>
    </w:p>
    <w:tbl>
      <w:tblPr>
        <w:tblpPr w:leftFromText="180" w:rightFromText="180" w:horzAnchor="margin" w:tblpXSpec="center" w:tblpY="735"/>
        <w:tblW w:w="10970" w:type="dxa"/>
        <w:tblLook w:val="0420" w:firstRow="1" w:lastRow="0" w:firstColumn="0" w:lastColumn="0" w:noHBand="0" w:noVBand="1"/>
      </w:tblPr>
      <w:tblGrid>
        <w:gridCol w:w="587"/>
        <w:gridCol w:w="1590"/>
        <w:gridCol w:w="1849"/>
        <w:gridCol w:w="1676"/>
        <w:gridCol w:w="1676"/>
        <w:gridCol w:w="1576"/>
        <w:gridCol w:w="2016"/>
      </w:tblGrid>
      <w:tr w:rsidR="00DA0DA2" w:rsidRPr="00D95A45" w14:paraId="2DC98252" w14:textId="77777777" w:rsidTr="003E0C34">
        <w:trPr>
          <w:trHeight w:val="260"/>
        </w:trPr>
        <w:tc>
          <w:tcPr>
            <w:tcW w:w="587" w:type="dxa"/>
            <w:tcBorders>
              <w:top w:val="single" w:sz="8" w:space="0" w:color="FFFFFF"/>
              <w:left w:val="single" w:sz="8" w:space="0" w:color="FFFFFF"/>
              <w:bottom w:val="single" w:sz="12" w:space="0" w:color="FFFFFF"/>
              <w:right w:val="single" w:sz="8" w:space="0" w:color="FFFFFF"/>
            </w:tcBorders>
            <w:shd w:val="clear" w:color="000000" w:fill="FFFFFF"/>
            <w:hideMark/>
          </w:tcPr>
          <w:p w14:paraId="29417125" w14:textId="77777777" w:rsidR="00DA0DA2" w:rsidRPr="002907C0"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 </w:t>
            </w:r>
          </w:p>
        </w:tc>
        <w:tc>
          <w:tcPr>
            <w:tcW w:w="1590" w:type="dxa"/>
            <w:tcBorders>
              <w:top w:val="single" w:sz="8" w:space="0" w:color="FFFFFF"/>
              <w:left w:val="nil"/>
              <w:bottom w:val="single" w:sz="12" w:space="0" w:color="auto"/>
              <w:right w:val="single" w:sz="8" w:space="0" w:color="FFFFFF"/>
            </w:tcBorders>
            <w:shd w:val="clear" w:color="000000" w:fill="FFFFFF"/>
            <w:vAlign w:val="center"/>
            <w:hideMark/>
          </w:tcPr>
          <w:p w14:paraId="4E9E6B16" w14:textId="77777777" w:rsidR="00DA0DA2" w:rsidRPr="002907C0" w:rsidRDefault="00DA0DA2" w:rsidP="003E0C34">
            <w:pPr>
              <w:spacing w:after="0" w:line="240" w:lineRule="auto"/>
              <w:rPr>
                <w:rFonts w:eastAsia="Times New Roman" w:cs="Times New Roman"/>
                <w:b/>
                <w:bCs/>
                <w:sz w:val="20"/>
                <w:szCs w:val="20"/>
              </w:rPr>
            </w:pPr>
            <w:r w:rsidRPr="002907C0">
              <w:rPr>
                <w:rFonts w:eastAsia="Times New Roman" w:cs="Times New Roman"/>
                <w:b/>
                <w:bCs/>
                <w:sz w:val="20"/>
                <w:szCs w:val="20"/>
              </w:rPr>
              <w:t>Variable</w:t>
            </w:r>
          </w:p>
        </w:tc>
        <w:tc>
          <w:tcPr>
            <w:tcW w:w="1849" w:type="dxa"/>
            <w:tcBorders>
              <w:top w:val="single" w:sz="8" w:space="0" w:color="FFFFFF"/>
              <w:left w:val="nil"/>
              <w:bottom w:val="single" w:sz="12" w:space="0" w:color="auto"/>
              <w:right w:val="single" w:sz="8" w:space="0" w:color="FFFFFF"/>
            </w:tcBorders>
            <w:shd w:val="clear" w:color="000000" w:fill="FFFFFF"/>
            <w:vAlign w:val="center"/>
            <w:hideMark/>
          </w:tcPr>
          <w:p w14:paraId="2E7F123F" w14:textId="77777777" w:rsidR="00DA0DA2" w:rsidRPr="002907C0" w:rsidRDefault="00DA0DA2" w:rsidP="003E0C34">
            <w:pPr>
              <w:spacing w:after="0" w:line="240" w:lineRule="auto"/>
              <w:jc w:val="center"/>
              <w:rPr>
                <w:rFonts w:eastAsia="Times New Roman" w:cs="Times New Roman"/>
                <w:b/>
                <w:bCs/>
                <w:sz w:val="20"/>
                <w:szCs w:val="20"/>
              </w:rPr>
            </w:pPr>
            <w:r w:rsidRPr="002907C0">
              <w:rPr>
                <w:rFonts w:eastAsia="Times New Roman" w:cs="Times New Roman"/>
                <w:b/>
                <w:bCs/>
                <w:sz w:val="20"/>
                <w:szCs w:val="20"/>
              </w:rPr>
              <w:t>Long</w:t>
            </w:r>
          </w:p>
        </w:tc>
        <w:tc>
          <w:tcPr>
            <w:tcW w:w="1676" w:type="dxa"/>
            <w:tcBorders>
              <w:top w:val="single" w:sz="8" w:space="0" w:color="FFFFFF"/>
              <w:left w:val="nil"/>
              <w:bottom w:val="single" w:sz="12" w:space="0" w:color="auto"/>
              <w:right w:val="single" w:sz="8" w:space="0" w:color="FFFFFF"/>
            </w:tcBorders>
            <w:shd w:val="clear" w:color="000000" w:fill="FFFFFF"/>
            <w:vAlign w:val="center"/>
            <w:hideMark/>
          </w:tcPr>
          <w:p w14:paraId="5BEBB9E6" w14:textId="77777777" w:rsidR="00DA0DA2" w:rsidRPr="002907C0" w:rsidRDefault="00DA0DA2" w:rsidP="003E0C34">
            <w:pPr>
              <w:spacing w:after="0" w:line="240" w:lineRule="auto"/>
              <w:jc w:val="center"/>
              <w:rPr>
                <w:rFonts w:eastAsia="Times New Roman" w:cs="Times New Roman"/>
                <w:b/>
                <w:bCs/>
                <w:sz w:val="20"/>
                <w:szCs w:val="20"/>
              </w:rPr>
            </w:pPr>
            <w:r w:rsidRPr="002907C0">
              <w:rPr>
                <w:rFonts w:eastAsia="Times New Roman" w:cs="Times New Roman"/>
                <w:b/>
                <w:bCs/>
                <w:sz w:val="20"/>
                <w:szCs w:val="20"/>
              </w:rPr>
              <w:t>Intermediate</w:t>
            </w:r>
          </w:p>
        </w:tc>
        <w:tc>
          <w:tcPr>
            <w:tcW w:w="1676" w:type="dxa"/>
            <w:tcBorders>
              <w:top w:val="single" w:sz="8" w:space="0" w:color="FFFFFF"/>
              <w:left w:val="nil"/>
              <w:bottom w:val="single" w:sz="12" w:space="0" w:color="auto"/>
              <w:right w:val="single" w:sz="8" w:space="0" w:color="FFFFFF"/>
            </w:tcBorders>
            <w:shd w:val="clear" w:color="000000" w:fill="FFFFFF"/>
            <w:vAlign w:val="center"/>
            <w:hideMark/>
          </w:tcPr>
          <w:p w14:paraId="7D47A38A" w14:textId="77777777" w:rsidR="00DA0DA2" w:rsidRPr="002907C0" w:rsidRDefault="00DA0DA2" w:rsidP="003E0C34">
            <w:pPr>
              <w:spacing w:after="0" w:line="240" w:lineRule="auto"/>
              <w:jc w:val="center"/>
              <w:rPr>
                <w:rFonts w:eastAsia="Times New Roman" w:cs="Times New Roman"/>
                <w:b/>
                <w:bCs/>
                <w:sz w:val="20"/>
                <w:szCs w:val="20"/>
              </w:rPr>
            </w:pPr>
            <w:r w:rsidRPr="002907C0">
              <w:rPr>
                <w:rFonts w:eastAsia="Times New Roman" w:cs="Times New Roman"/>
                <w:b/>
                <w:bCs/>
                <w:sz w:val="20"/>
                <w:szCs w:val="20"/>
              </w:rPr>
              <w:t>Short</w:t>
            </w:r>
          </w:p>
        </w:tc>
        <w:tc>
          <w:tcPr>
            <w:tcW w:w="1576" w:type="dxa"/>
            <w:tcBorders>
              <w:top w:val="single" w:sz="8" w:space="0" w:color="FFFFFF"/>
              <w:left w:val="nil"/>
              <w:bottom w:val="single" w:sz="12" w:space="0" w:color="auto"/>
              <w:right w:val="single" w:sz="8" w:space="0" w:color="FFFFFF"/>
            </w:tcBorders>
            <w:shd w:val="clear" w:color="000000" w:fill="FFFFFF"/>
            <w:vAlign w:val="center"/>
            <w:hideMark/>
          </w:tcPr>
          <w:p w14:paraId="4059D00E" w14:textId="77777777" w:rsidR="00DA0DA2" w:rsidRPr="002907C0" w:rsidRDefault="00DA0DA2" w:rsidP="003E0C34">
            <w:pPr>
              <w:spacing w:after="0" w:line="240" w:lineRule="auto"/>
              <w:jc w:val="center"/>
              <w:rPr>
                <w:rFonts w:eastAsia="Times New Roman" w:cs="Times New Roman"/>
                <w:b/>
                <w:bCs/>
                <w:sz w:val="20"/>
                <w:szCs w:val="20"/>
              </w:rPr>
            </w:pPr>
            <w:r w:rsidRPr="002907C0">
              <w:rPr>
                <w:rFonts w:eastAsia="Times New Roman" w:cs="Times New Roman"/>
                <w:b/>
                <w:bCs/>
                <w:sz w:val="20"/>
                <w:szCs w:val="20"/>
              </w:rPr>
              <w:t>Triple-Mid</w:t>
            </w:r>
          </w:p>
        </w:tc>
        <w:tc>
          <w:tcPr>
            <w:tcW w:w="2016" w:type="dxa"/>
            <w:tcBorders>
              <w:top w:val="single" w:sz="8" w:space="0" w:color="FFFFFF"/>
              <w:left w:val="nil"/>
              <w:bottom w:val="single" w:sz="12" w:space="0" w:color="auto"/>
              <w:right w:val="single" w:sz="8" w:space="0" w:color="FFFFFF"/>
            </w:tcBorders>
            <w:shd w:val="clear" w:color="000000" w:fill="FFFFFF"/>
            <w:vAlign w:val="center"/>
            <w:hideMark/>
          </w:tcPr>
          <w:p w14:paraId="508F8AB8" w14:textId="77777777" w:rsidR="00DA0DA2" w:rsidRPr="002907C0" w:rsidRDefault="00DA0DA2" w:rsidP="003E0C34">
            <w:pPr>
              <w:spacing w:after="0" w:line="240" w:lineRule="auto"/>
              <w:jc w:val="center"/>
              <w:rPr>
                <w:rFonts w:eastAsia="Times New Roman" w:cs="Times New Roman"/>
                <w:b/>
                <w:bCs/>
                <w:sz w:val="20"/>
                <w:szCs w:val="20"/>
              </w:rPr>
            </w:pPr>
            <w:r w:rsidRPr="002907C0">
              <w:rPr>
                <w:rFonts w:eastAsia="Times New Roman" w:cs="Times New Roman"/>
                <w:b/>
                <w:bCs/>
                <w:sz w:val="20"/>
                <w:szCs w:val="20"/>
              </w:rPr>
              <w:t>Triple-Short</w:t>
            </w:r>
          </w:p>
        </w:tc>
      </w:tr>
      <w:tr w:rsidR="00DA0DA2" w:rsidRPr="00D95A45" w14:paraId="62280BD7" w14:textId="77777777" w:rsidTr="003E0C34">
        <w:trPr>
          <w:trHeight w:val="260"/>
        </w:trPr>
        <w:tc>
          <w:tcPr>
            <w:tcW w:w="587" w:type="dxa"/>
            <w:tcBorders>
              <w:top w:val="nil"/>
              <w:left w:val="single" w:sz="8" w:space="0" w:color="FFFFFF"/>
              <w:bottom w:val="single" w:sz="12" w:space="0" w:color="auto"/>
              <w:right w:val="single" w:sz="8" w:space="0" w:color="FFFFFF"/>
            </w:tcBorders>
            <w:shd w:val="clear" w:color="000000" w:fill="FFFFFF"/>
            <w:hideMark/>
          </w:tcPr>
          <w:p w14:paraId="26995696" w14:textId="77777777" w:rsidR="00DA0DA2" w:rsidRPr="002907C0"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 </w:t>
            </w:r>
          </w:p>
        </w:tc>
        <w:tc>
          <w:tcPr>
            <w:tcW w:w="1590" w:type="dxa"/>
            <w:tcBorders>
              <w:top w:val="nil"/>
              <w:left w:val="nil"/>
              <w:bottom w:val="single" w:sz="12" w:space="0" w:color="auto"/>
              <w:right w:val="single" w:sz="8" w:space="0" w:color="FFFFFF"/>
            </w:tcBorders>
            <w:shd w:val="clear" w:color="000000" w:fill="FFFFFF"/>
            <w:vAlign w:val="center"/>
            <w:hideMark/>
          </w:tcPr>
          <w:p w14:paraId="639B8751" w14:textId="77777777" w:rsidR="00DA0DA2" w:rsidRPr="002907C0" w:rsidRDefault="00DA0DA2" w:rsidP="003E0C34">
            <w:pPr>
              <w:spacing w:after="0" w:line="240" w:lineRule="auto"/>
              <w:ind w:hanging="119"/>
              <w:rPr>
                <w:rFonts w:eastAsia="Times New Roman" w:cs="Times New Roman"/>
                <w:sz w:val="20"/>
                <w:szCs w:val="20"/>
              </w:rPr>
            </w:pPr>
            <w:r w:rsidRPr="00D95A45">
              <w:rPr>
                <w:rFonts w:eastAsia="Times New Roman" w:cs="Times New Roman"/>
                <w:sz w:val="20"/>
                <w:szCs w:val="20"/>
              </w:rPr>
              <w:t>#</w:t>
            </w:r>
            <w:r w:rsidRPr="002907C0">
              <w:rPr>
                <w:rFonts w:eastAsia="Times New Roman" w:cs="Times New Roman"/>
                <w:sz w:val="20"/>
                <w:szCs w:val="20"/>
              </w:rPr>
              <w:t xml:space="preserve"> of sites (plots)</w:t>
            </w:r>
          </w:p>
        </w:tc>
        <w:tc>
          <w:tcPr>
            <w:tcW w:w="1849" w:type="dxa"/>
            <w:tcBorders>
              <w:top w:val="nil"/>
              <w:left w:val="nil"/>
              <w:bottom w:val="single" w:sz="12" w:space="0" w:color="auto"/>
              <w:right w:val="single" w:sz="8" w:space="0" w:color="FFFFFF"/>
            </w:tcBorders>
            <w:shd w:val="clear" w:color="000000" w:fill="FFFFFF"/>
            <w:vAlign w:val="center"/>
            <w:hideMark/>
          </w:tcPr>
          <w:p w14:paraId="60A30B8F"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68 (204)</w:t>
            </w:r>
          </w:p>
        </w:tc>
        <w:tc>
          <w:tcPr>
            <w:tcW w:w="1676" w:type="dxa"/>
            <w:tcBorders>
              <w:top w:val="nil"/>
              <w:left w:val="nil"/>
              <w:bottom w:val="single" w:sz="12" w:space="0" w:color="auto"/>
              <w:right w:val="single" w:sz="8" w:space="0" w:color="FFFFFF"/>
            </w:tcBorders>
            <w:shd w:val="clear" w:color="000000" w:fill="FFFFFF"/>
            <w:vAlign w:val="center"/>
            <w:hideMark/>
          </w:tcPr>
          <w:p w14:paraId="69FF64AF"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47 (141)</w:t>
            </w:r>
          </w:p>
        </w:tc>
        <w:tc>
          <w:tcPr>
            <w:tcW w:w="1676" w:type="dxa"/>
            <w:tcBorders>
              <w:top w:val="nil"/>
              <w:left w:val="nil"/>
              <w:bottom w:val="single" w:sz="12" w:space="0" w:color="auto"/>
              <w:right w:val="single" w:sz="8" w:space="0" w:color="FFFFFF"/>
            </w:tcBorders>
            <w:shd w:val="clear" w:color="000000" w:fill="FFFFFF"/>
            <w:vAlign w:val="center"/>
            <w:hideMark/>
          </w:tcPr>
          <w:p w14:paraId="05C67175"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44 (132)</w:t>
            </w:r>
          </w:p>
        </w:tc>
        <w:tc>
          <w:tcPr>
            <w:tcW w:w="1576" w:type="dxa"/>
            <w:tcBorders>
              <w:top w:val="nil"/>
              <w:left w:val="nil"/>
              <w:bottom w:val="single" w:sz="12" w:space="0" w:color="auto"/>
              <w:right w:val="single" w:sz="8" w:space="0" w:color="FFFFFF"/>
            </w:tcBorders>
            <w:shd w:val="clear" w:color="000000" w:fill="FFFFFF"/>
            <w:vAlign w:val="center"/>
            <w:hideMark/>
          </w:tcPr>
          <w:p w14:paraId="28FB4DDA"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13 (39)</w:t>
            </w:r>
          </w:p>
        </w:tc>
        <w:tc>
          <w:tcPr>
            <w:tcW w:w="2016" w:type="dxa"/>
            <w:tcBorders>
              <w:top w:val="nil"/>
              <w:left w:val="nil"/>
              <w:bottom w:val="single" w:sz="12" w:space="0" w:color="auto"/>
              <w:right w:val="single" w:sz="8" w:space="0" w:color="FFFFFF"/>
            </w:tcBorders>
            <w:shd w:val="clear" w:color="000000" w:fill="FFFFFF"/>
            <w:vAlign w:val="center"/>
            <w:hideMark/>
          </w:tcPr>
          <w:p w14:paraId="4BE66E73"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13 (39)</w:t>
            </w:r>
          </w:p>
        </w:tc>
      </w:tr>
      <w:tr w:rsidR="00DA0DA2" w:rsidRPr="00D95A45" w14:paraId="680C1FAF" w14:textId="77777777" w:rsidTr="003E0C34">
        <w:trPr>
          <w:cantSplit/>
          <w:trHeight w:val="288"/>
        </w:trPr>
        <w:tc>
          <w:tcPr>
            <w:tcW w:w="587" w:type="dxa"/>
            <w:vMerge w:val="restart"/>
            <w:tcBorders>
              <w:top w:val="nil"/>
              <w:left w:val="single" w:sz="8" w:space="0" w:color="FFFFFF"/>
              <w:bottom w:val="single" w:sz="12" w:space="0" w:color="000000"/>
              <w:right w:val="single" w:sz="8" w:space="0" w:color="FFFFFF"/>
            </w:tcBorders>
            <w:shd w:val="clear" w:color="000000" w:fill="FFFFFF"/>
            <w:textDirection w:val="btLr"/>
            <w:vAlign w:val="center"/>
            <w:hideMark/>
          </w:tcPr>
          <w:p w14:paraId="355B1DAF" w14:textId="77777777" w:rsidR="00DA0DA2" w:rsidRPr="002907C0" w:rsidRDefault="00DA0DA2" w:rsidP="003E0C34">
            <w:pPr>
              <w:spacing w:after="0" w:line="240" w:lineRule="auto"/>
              <w:ind w:left="113" w:right="113"/>
              <w:jc w:val="center"/>
              <w:rPr>
                <w:rFonts w:eastAsia="Times New Roman" w:cs="Times New Roman"/>
                <w:sz w:val="20"/>
                <w:szCs w:val="20"/>
              </w:rPr>
            </w:pPr>
            <w:r w:rsidRPr="002907C0">
              <w:rPr>
                <w:rFonts w:eastAsia="Times New Roman" w:cs="Times New Roman"/>
                <w:sz w:val="20"/>
                <w:szCs w:val="20"/>
              </w:rPr>
              <w:t>Climate</w:t>
            </w:r>
          </w:p>
        </w:tc>
        <w:tc>
          <w:tcPr>
            <w:tcW w:w="1590" w:type="dxa"/>
            <w:tcBorders>
              <w:top w:val="nil"/>
              <w:left w:val="nil"/>
              <w:bottom w:val="single" w:sz="8" w:space="0" w:color="FFFFFF"/>
              <w:right w:val="single" w:sz="8" w:space="0" w:color="FFFFFF"/>
            </w:tcBorders>
            <w:shd w:val="clear" w:color="000000" w:fill="FFFFFF"/>
            <w:vAlign w:val="center"/>
            <w:hideMark/>
          </w:tcPr>
          <w:p w14:paraId="038E8F9B" w14:textId="77777777" w:rsidR="00DA0DA2" w:rsidRPr="002907C0"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MAT</w:t>
            </w:r>
            <w:r>
              <w:rPr>
                <w:rFonts w:eastAsia="Times New Roman" w:cs="Times New Roman"/>
                <w:sz w:val="20"/>
                <w:szCs w:val="20"/>
              </w:rPr>
              <w:t xml:space="preserve"> (C)</w:t>
            </w:r>
          </w:p>
        </w:tc>
        <w:tc>
          <w:tcPr>
            <w:tcW w:w="1849" w:type="dxa"/>
            <w:tcBorders>
              <w:top w:val="nil"/>
              <w:left w:val="nil"/>
              <w:bottom w:val="single" w:sz="8" w:space="0" w:color="FFFFFF"/>
              <w:right w:val="single" w:sz="8" w:space="0" w:color="FFFFFF"/>
            </w:tcBorders>
            <w:shd w:val="clear" w:color="000000" w:fill="FFFFFF"/>
            <w:hideMark/>
          </w:tcPr>
          <w:p w14:paraId="0F27D64C" w14:textId="77777777" w:rsidR="00DA0DA2" w:rsidRPr="002907C0" w:rsidRDefault="00DA0DA2" w:rsidP="003E0C34">
            <w:pPr>
              <w:spacing w:after="0" w:line="240" w:lineRule="auto"/>
              <w:jc w:val="center"/>
              <w:rPr>
                <w:rFonts w:eastAsia="Times New Roman" w:cs="Times New Roman"/>
                <w:sz w:val="20"/>
                <w:szCs w:val="20"/>
              </w:rPr>
            </w:pPr>
            <w:r>
              <w:rPr>
                <w:rFonts w:eastAsia="Times New Roman" w:cs="Times New Roman"/>
                <w:sz w:val="20"/>
                <w:szCs w:val="20"/>
              </w:rPr>
              <w:t xml:space="preserve">-4.4 </w:t>
            </w:r>
            <w:r w:rsidRPr="002907C0">
              <w:rPr>
                <w:rFonts w:eastAsia="Times New Roman" w:cs="Times New Roman"/>
                <w:sz w:val="20"/>
                <w:szCs w:val="20"/>
              </w:rPr>
              <w:t>±</w:t>
            </w:r>
            <w:r>
              <w:rPr>
                <w:rFonts w:eastAsia="Times New Roman" w:cs="Times New Roman"/>
                <w:sz w:val="20"/>
                <w:szCs w:val="20"/>
              </w:rPr>
              <w:t xml:space="preserve"> 0.07</w:t>
            </w:r>
          </w:p>
        </w:tc>
        <w:tc>
          <w:tcPr>
            <w:tcW w:w="1676" w:type="dxa"/>
            <w:tcBorders>
              <w:top w:val="nil"/>
              <w:left w:val="nil"/>
              <w:bottom w:val="single" w:sz="8" w:space="0" w:color="FFFFFF"/>
              <w:right w:val="single" w:sz="8" w:space="0" w:color="FFFFFF"/>
            </w:tcBorders>
            <w:shd w:val="clear" w:color="000000" w:fill="FFFFFF"/>
            <w:hideMark/>
          </w:tcPr>
          <w:p w14:paraId="0654E2CD" w14:textId="77777777" w:rsidR="00DA0DA2" w:rsidRPr="002907C0" w:rsidRDefault="00DA0DA2" w:rsidP="003E0C34">
            <w:pPr>
              <w:spacing w:after="0" w:line="240" w:lineRule="auto"/>
              <w:jc w:val="center"/>
              <w:rPr>
                <w:rFonts w:eastAsia="Times New Roman" w:cs="Times New Roman"/>
                <w:sz w:val="20"/>
                <w:szCs w:val="20"/>
              </w:rPr>
            </w:pPr>
            <w:r>
              <w:rPr>
                <w:rFonts w:eastAsia="Times New Roman" w:cs="Times New Roman"/>
                <w:sz w:val="20"/>
                <w:szCs w:val="20"/>
              </w:rPr>
              <w:t xml:space="preserve">-3.7 </w:t>
            </w:r>
            <w:r w:rsidRPr="002907C0">
              <w:rPr>
                <w:rFonts w:eastAsia="Times New Roman" w:cs="Times New Roman"/>
                <w:sz w:val="20"/>
                <w:szCs w:val="20"/>
              </w:rPr>
              <w:t>±</w:t>
            </w:r>
            <w:r>
              <w:rPr>
                <w:rFonts w:eastAsia="Times New Roman" w:cs="Times New Roman"/>
                <w:sz w:val="20"/>
                <w:szCs w:val="20"/>
              </w:rPr>
              <w:t xml:space="preserve"> 0.09</w:t>
            </w:r>
          </w:p>
        </w:tc>
        <w:tc>
          <w:tcPr>
            <w:tcW w:w="1676" w:type="dxa"/>
            <w:tcBorders>
              <w:top w:val="nil"/>
              <w:left w:val="nil"/>
              <w:bottom w:val="single" w:sz="8" w:space="0" w:color="FFFFFF"/>
              <w:right w:val="single" w:sz="8" w:space="0" w:color="FFFFFF"/>
            </w:tcBorders>
            <w:shd w:val="clear" w:color="000000" w:fill="FFFFFF"/>
            <w:hideMark/>
          </w:tcPr>
          <w:p w14:paraId="018D8700" w14:textId="77777777" w:rsidR="00DA0DA2" w:rsidRPr="002907C0" w:rsidRDefault="00DA0DA2" w:rsidP="003E0C34">
            <w:pPr>
              <w:spacing w:after="0" w:line="240" w:lineRule="auto"/>
              <w:jc w:val="center"/>
              <w:rPr>
                <w:rFonts w:eastAsia="Times New Roman" w:cs="Times New Roman"/>
                <w:sz w:val="20"/>
                <w:szCs w:val="20"/>
              </w:rPr>
            </w:pPr>
            <w:r>
              <w:rPr>
                <w:rFonts w:eastAsia="Times New Roman" w:cs="Times New Roman"/>
                <w:sz w:val="20"/>
                <w:szCs w:val="20"/>
              </w:rPr>
              <w:t xml:space="preserve">-4.5 </w:t>
            </w:r>
            <w:r w:rsidRPr="002907C0">
              <w:rPr>
                <w:rFonts w:eastAsia="Times New Roman" w:cs="Times New Roman"/>
                <w:sz w:val="20"/>
                <w:szCs w:val="20"/>
              </w:rPr>
              <w:t>±</w:t>
            </w:r>
            <w:r>
              <w:rPr>
                <w:rFonts w:eastAsia="Times New Roman" w:cs="Times New Roman"/>
                <w:sz w:val="20"/>
                <w:szCs w:val="20"/>
              </w:rPr>
              <w:t xml:space="preserve"> 0.08</w:t>
            </w:r>
          </w:p>
        </w:tc>
        <w:tc>
          <w:tcPr>
            <w:tcW w:w="1576" w:type="dxa"/>
            <w:tcBorders>
              <w:top w:val="nil"/>
              <w:left w:val="nil"/>
              <w:bottom w:val="single" w:sz="8" w:space="0" w:color="FFFFFF"/>
              <w:right w:val="single" w:sz="8" w:space="0" w:color="FFFFFF"/>
            </w:tcBorders>
            <w:shd w:val="clear" w:color="000000" w:fill="FFFFFF"/>
            <w:hideMark/>
          </w:tcPr>
          <w:p w14:paraId="2D80CB24" w14:textId="77777777" w:rsidR="00DA0DA2" w:rsidRPr="002907C0" w:rsidRDefault="00DA0DA2" w:rsidP="003E0C34">
            <w:pPr>
              <w:spacing w:after="0" w:line="240" w:lineRule="auto"/>
              <w:jc w:val="center"/>
              <w:rPr>
                <w:rFonts w:eastAsia="Times New Roman" w:cs="Times New Roman"/>
                <w:sz w:val="20"/>
                <w:szCs w:val="20"/>
              </w:rPr>
            </w:pPr>
            <w:r>
              <w:rPr>
                <w:rFonts w:eastAsia="Times New Roman" w:cs="Times New Roman"/>
                <w:sz w:val="20"/>
                <w:szCs w:val="20"/>
              </w:rPr>
              <w:t xml:space="preserve">-4.5 </w:t>
            </w:r>
            <w:r w:rsidRPr="002907C0">
              <w:rPr>
                <w:rFonts w:eastAsia="Times New Roman" w:cs="Times New Roman"/>
                <w:sz w:val="20"/>
                <w:szCs w:val="20"/>
              </w:rPr>
              <w:t>±</w:t>
            </w:r>
            <w:r>
              <w:rPr>
                <w:rFonts w:eastAsia="Times New Roman" w:cs="Times New Roman"/>
                <w:sz w:val="20"/>
                <w:szCs w:val="20"/>
              </w:rPr>
              <w:t xml:space="preserve"> 0.18</w:t>
            </w:r>
          </w:p>
        </w:tc>
        <w:tc>
          <w:tcPr>
            <w:tcW w:w="2016" w:type="dxa"/>
            <w:tcBorders>
              <w:top w:val="nil"/>
              <w:left w:val="nil"/>
              <w:bottom w:val="single" w:sz="8" w:space="0" w:color="FFFFFF"/>
              <w:right w:val="single" w:sz="8" w:space="0" w:color="FFFFFF"/>
            </w:tcBorders>
            <w:shd w:val="clear" w:color="000000" w:fill="FFFFFF"/>
            <w:hideMark/>
          </w:tcPr>
          <w:p w14:paraId="40FDEA23" w14:textId="77777777" w:rsidR="00DA0DA2" w:rsidRPr="002907C0" w:rsidRDefault="00DA0DA2" w:rsidP="003E0C34">
            <w:pPr>
              <w:spacing w:after="0" w:line="240" w:lineRule="auto"/>
              <w:jc w:val="center"/>
              <w:rPr>
                <w:rFonts w:eastAsia="Times New Roman" w:cs="Times New Roman"/>
                <w:sz w:val="20"/>
                <w:szCs w:val="20"/>
              </w:rPr>
            </w:pPr>
            <w:r>
              <w:rPr>
                <w:rFonts w:eastAsia="Times New Roman" w:cs="Times New Roman"/>
                <w:sz w:val="20"/>
                <w:szCs w:val="20"/>
              </w:rPr>
              <w:t xml:space="preserve">-3.8 </w:t>
            </w:r>
            <w:r w:rsidRPr="002907C0">
              <w:rPr>
                <w:rFonts w:eastAsia="Times New Roman" w:cs="Times New Roman"/>
                <w:sz w:val="20"/>
                <w:szCs w:val="20"/>
              </w:rPr>
              <w:t>±</w:t>
            </w:r>
            <w:r>
              <w:rPr>
                <w:rFonts w:eastAsia="Times New Roman" w:cs="Times New Roman"/>
                <w:sz w:val="20"/>
                <w:szCs w:val="20"/>
              </w:rPr>
              <w:t xml:space="preserve"> 0.16</w:t>
            </w:r>
          </w:p>
        </w:tc>
      </w:tr>
      <w:tr w:rsidR="00DA0DA2" w:rsidRPr="00D95A45" w14:paraId="20C0EE6C" w14:textId="77777777" w:rsidTr="003E0C34">
        <w:trPr>
          <w:cantSplit/>
          <w:trHeight w:val="288"/>
        </w:trPr>
        <w:tc>
          <w:tcPr>
            <w:tcW w:w="587" w:type="dxa"/>
            <w:vMerge/>
            <w:tcBorders>
              <w:top w:val="nil"/>
              <w:left w:val="single" w:sz="8" w:space="0" w:color="FFFFFF"/>
              <w:bottom w:val="single" w:sz="12" w:space="0" w:color="000000"/>
              <w:right w:val="single" w:sz="8" w:space="0" w:color="FFFFFF"/>
            </w:tcBorders>
            <w:vAlign w:val="center"/>
            <w:hideMark/>
          </w:tcPr>
          <w:p w14:paraId="3428725D" w14:textId="77777777" w:rsidR="00DA0DA2" w:rsidRPr="002907C0" w:rsidRDefault="00DA0DA2" w:rsidP="003E0C34">
            <w:pPr>
              <w:spacing w:after="0" w:line="240" w:lineRule="auto"/>
              <w:rPr>
                <w:rFonts w:eastAsia="Times New Roman" w:cs="Times New Roman"/>
                <w:sz w:val="20"/>
                <w:szCs w:val="20"/>
              </w:rPr>
            </w:pPr>
          </w:p>
        </w:tc>
        <w:tc>
          <w:tcPr>
            <w:tcW w:w="1590" w:type="dxa"/>
            <w:tcBorders>
              <w:top w:val="nil"/>
              <w:left w:val="nil"/>
              <w:bottom w:val="single" w:sz="8" w:space="0" w:color="FFFFFF"/>
              <w:right w:val="single" w:sz="8" w:space="0" w:color="FFFFFF"/>
            </w:tcBorders>
            <w:shd w:val="clear" w:color="000000" w:fill="FFFFFF"/>
            <w:vAlign w:val="center"/>
            <w:hideMark/>
          </w:tcPr>
          <w:p w14:paraId="0EB821F2" w14:textId="77777777" w:rsidR="00DA0DA2" w:rsidRPr="002907C0"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MAP</w:t>
            </w:r>
            <w:r>
              <w:rPr>
                <w:rFonts w:eastAsia="Times New Roman" w:cs="Times New Roman"/>
                <w:sz w:val="20"/>
                <w:szCs w:val="20"/>
              </w:rPr>
              <w:t xml:space="preserve"> (cm)</w:t>
            </w:r>
          </w:p>
        </w:tc>
        <w:tc>
          <w:tcPr>
            <w:tcW w:w="1849" w:type="dxa"/>
            <w:tcBorders>
              <w:top w:val="nil"/>
              <w:left w:val="nil"/>
              <w:bottom w:val="single" w:sz="8" w:space="0" w:color="FFFFFF"/>
              <w:right w:val="single" w:sz="8" w:space="0" w:color="FFFFFF"/>
            </w:tcBorders>
            <w:shd w:val="clear" w:color="000000" w:fill="FFFFFF"/>
            <w:hideMark/>
          </w:tcPr>
          <w:p w14:paraId="48FAF151" w14:textId="77777777" w:rsidR="00DA0DA2" w:rsidRPr="002907C0" w:rsidRDefault="00DA0DA2" w:rsidP="003E0C34">
            <w:pPr>
              <w:spacing w:after="0" w:line="240" w:lineRule="auto"/>
              <w:jc w:val="center"/>
              <w:rPr>
                <w:rFonts w:eastAsia="Times New Roman" w:cs="Times New Roman"/>
                <w:sz w:val="20"/>
                <w:szCs w:val="20"/>
              </w:rPr>
            </w:pPr>
            <w:r>
              <w:rPr>
                <w:rFonts w:eastAsia="Times New Roman" w:cs="Times New Roman"/>
                <w:sz w:val="20"/>
                <w:szCs w:val="20"/>
              </w:rPr>
              <w:t xml:space="preserve">17.43 </w:t>
            </w:r>
            <w:r w:rsidRPr="002907C0">
              <w:rPr>
                <w:rFonts w:eastAsia="Times New Roman" w:cs="Times New Roman"/>
                <w:sz w:val="20"/>
                <w:szCs w:val="20"/>
              </w:rPr>
              <w:t>±</w:t>
            </w:r>
            <w:r>
              <w:rPr>
                <w:rFonts w:eastAsia="Times New Roman" w:cs="Times New Roman"/>
                <w:sz w:val="20"/>
                <w:szCs w:val="20"/>
              </w:rPr>
              <w:t xml:space="preserve"> 0.23</w:t>
            </w:r>
          </w:p>
        </w:tc>
        <w:tc>
          <w:tcPr>
            <w:tcW w:w="1676" w:type="dxa"/>
            <w:tcBorders>
              <w:top w:val="nil"/>
              <w:left w:val="nil"/>
              <w:bottom w:val="single" w:sz="8" w:space="0" w:color="FFFFFF"/>
              <w:right w:val="single" w:sz="8" w:space="0" w:color="FFFFFF"/>
            </w:tcBorders>
            <w:shd w:val="clear" w:color="000000" w:fill="FFFFFF"/>
            <w:hideMark/>
          </w:tcPr>
          <w:p w14:paraId="5E08974D" w14:textId="77777777" w:rsidR="00DA0DA2" w:rsidRPr="002907C0" w:rsidRDefault="00DA0DA2" w:rsidP="003E0C34">
            <w:pPr>
              <w:spacing w:after="0" w:line="240" w:lineRule="auto"/>
              <w:jc w:val="center"/>
              <w:rPr>
                <w:rFonts w:eastAsia="Times New Roman" w:cs="Times New Roman"/>
                <w:sz w:val="20"/>
                <w:szCs w:val="20"/>
              </w:rPr>
            </w:pPr>
            <w:r>
              <w:rPr>
                <w:rFonts w:eastAsia="Times New Roman" w:cs="Times New Roman"/>
                <w:sz w:val="20"/>
                <w:szCs w:val="20"/>
              </w:rPr>
              <w:t xml:space="preserve">17.48 </w:t>
            </w:r>
            <w:r w:rsidRPr="002907C0">
              <w:rPr>
                <w:rFonts w:eastAsia="Times New Roman" w:cs="Times New Roman"/>
                <w:sz w:val="20"/>
                <w:szCs w:val="20"/>
              </w:rPr>
              <w:t>±</w:t>
            </w:r>
            <w:r>
              <w:rPr>
                <w:rFonts w:eastAsia="Times New Roman" w:cs="Times New Roman"/>
                <w:sz w:val="20"/>
                <w:szCs w:val="20"/>
              </w:rPr>
              <w:t xml:space="preserve"> 0.26</w:t>
            </w:r>
          </w:p>
        </w:tc>
        <w:tc>
          <w:tcPr>
            <w:tcW w:w="1676" w:type="dxa"/>
            <w:tcBorders>
              <w:top w:val="nil"/>
              <w:left w:val="nil"/>
              <w:bottom w:val="single" w:sz="8" w:space="0" w:color="FFFFFF"/>
              <w:right w:val="single" w:sz="8" w:space="0" w:color="FFFFFF"/>
            </w:tcBorders>
            <w:shd w:val="clear" w:color="000000" w:fill="FFFFFF"/>
            <w:hideMark/>
          </w:tcPr>
          <w:p w14:paraId="0AA14DE0" w14:textId="77777777" w:rsidR="00DA0DA2" w:rsidRPr="002907C0" w:rsidRDefault="00DA0DA2" w:rsidP="003E0C34">
            <w:pPr>
              <w:spacing w:after="0" w:line="240" w:lineRule="auto"/>
              <w:jc w:val="center"/>
              <w:rPr>
                <w:rFonts w:eastAsia="Times New Roman" w:cs="Times New Roman"/>
                <w:sz w:val="20"/>
                <w:szCs w:val="20"/>
              </w:rPr>
            </w:pPr>
            <w:r>
              <w:rPr>
                <w:rFonts w:eastAsia="Times New Roman" w:cs="Times New Roman"/>
                <w:sz w:val="20"/>
                <w:szCs w:val="20"/>
              </w:rPr>
              <w:t xml:space="preserve">17.28 </w:t>
            </w:r>
            <w:r w:rsidRPr="002907C0">
              <w:rPr>
                <w:rFonts w:eastAsia="Times New Roman" w:cs="Times New Roman"/>
                <w:sz w:val="20"/>
                <w:szCs w:val="20"/>
              </w:rPr>
              <w:t>±</w:t>
            </w:r>
            <w:r>
              <w:rPr>
                <w:rFonts w:eastAsia="Times New Roman" w:cs="Times New Roman"/>
                <w:sz w:val="20"/>
                <w:szCs w:val="20"/>
              </w:rPr>
              <w:t xml:space="preserve"> 0.27</w:t>
            </w:r>
          </w:p>
        </w:tc>
        <w:tc>
          <w:tcPr>
            <w:tcW w:w="1576" w:type="dxa"/>
            <w:tcBorders>
              <w:top w:val="nil"/>
              <w:left w:val="nil"/>
              <w:bottom w:val="single" w:sz="8" w:space="0" w:color="FFFFFF"/>
              <w:right w:val="single" w:sz="8" w:space="0" w:color="FFFFFF"/>
            </w:tcBorders>
            <w:shd w:val="clear" w:color="000000" w:fill="FFFFFF"/>
            <w:hideMark/>
          </w:tcPr>
          <w:p w14:paraId="6935493D" w14:textId="77777777" w:rsidR="00DA0DA2" w:rsidRPr="002907C0" w:rsidRDefault="00DA0DA2" w:rsidP="003E0C34">
            <w:pPr>
              <w:spacing w:after="0" w:line="240" w:lineRule="auto"/>
              <w:jc w:val="center"/>
              <w:rPr>
                <w:rFonts w:eastAsia="Times New Roman" w:cs="Times New Roman"/>
                <w:sz w:val="20"/>
                <w:szCs w:val="20"/>
              </w:rPr>
            </w:pPr>
            <w:r>
              <w:rPr>
                <w:rFonts w:eastAsia="Times New Roman" w:cs="Times New Roman"/>
                <w:sz w:val="20"/>
                <w:szCs w:val="20"/>
              </w:rPr>
              <w:t xml:space="preserve">17.36 </w:t>
            </w:r>
            <w:r w:rsidRPr="002907C0">
              <w:rPr>
                <w:rFonts w:eastAsia="Times New Roman" w:cs="Times New Roman"/>
                <w:sz w:val="20"/>
                <w:szCs w:val="20"/>
              </w:rPr>
              <w:t>±</w:t>
            </w:r>
            <w:r>
              <w:rPr>
                <w:rFonts w:eastAsia="Times New Roman" w:cs="Times New Roman"/>
                <w:sz w:val="20"/>
                <w:szCs w:val="20"/>
              </w:rPr>
              <w:t xml:space="preserve"> 0.45</w:t>
            </w:r>
          </w:p>
        </w:tc>
        <w:tc>
          <w:tcPr>
            <w:tcW w:w="2016" w:type="dxa"/>
            <w:tcBorders>
              <w:top w:val="nil"/>
              <w:left w:val="nil"/>
              <w:bottom w:val="single" w:sz="8" w:space="0" w:color="FFFFFF"/>
              <w:right w:val="single" w:sz="8" w:space="0" w:color="FFFFFF"/>
            </w:tcBorders>
            <w:shd w:val="clear" w:color="000000" w:fill="FFFFFF"/>
            <w:hideMark/>
          </w:tcPr>
          <w:p w14:paraId="3C479236" w14:textId="77777777" w:rsidR="00DA0DA2" w:rsidRPr="002907C0" w:rsidRDefault="00DA0DA2" w:rsidP="003E0C34">
            <w:pPr>
              <w:spacing w:after="0" w:line="240" w:lineRule="auto"/>
              <w:jc w:val="center"/>
              <w:rPr>
                <w:rFonts w:eastAsia="Times New Roman" w:cs="Times New Roman"/>
                <w:sz w:val="20"/>
                <w:szCs w:val="20"/>
              </w:rPr>
            </w:pPr>
            <w:r>
              <w:rPr>
                <w:rFonts w:eastAsia="Times New Roman" w:cs="Times New Roman"/>
                <w:sz w:val="20"/>
                <w:szCs w:val="20"/>
              </w:rPr>
              <w:t xml:space="preserve">16.92 </w:t>
            </w:r>
            <w:r w:rsidRPr="002907C0">
              <w:rPr>
                <w:rFonts w:eastAsia="Times New Roman" w:cs="Times New Roman"/>
                <w:sz w:val="20"/>
                <w:szCs w:val="20"/>
              </w:rPr>
              <w:t>±</w:t>
            </w:r>
            <w:r>
              <w:rPr>
                <w:rFonts w:eastAsia="Times New Roman" w:cs="Times New Roman"/>
                <w:sz w:val="20"/>
                <w:szCs w:val="20"/>
              </w:rPr>
              <w:t xml:space="preserve"> 0.70</w:t>
            </w:r>
          </w:p>
        </w:tc>
      </w:tr>
      <w:tr w:rsidR="00DA0DA2" w:rsidRPr="00D95A45" w14:paraId="705E1EEB" w14:textId="77777777" w:rsidTr="003E0C34">
        <w:trPr>
          <w:cantSplit/>
          <w:trHeight w:val="288"/>
        </w:trPr>
        <w:tc>
          <w:tcPr>
            <w:tcW w:w="587" w:type="dxa"/>
            <w:vMerge/>
            <w:tcBorders>
              <w:top w:val="nil"/>
              <w:left w:val="single" w:sz="8" w:space="0" w:color="FFFFFF"/>
              <w:bottom w:val="single" w:sz="12" w:space="0" w:color="000000"/>
              <w:right w:val="single" w:sz="8" w:space="0" w:color="FFFFFF"/>
            </w:tcBorders>
            <w:vAlign w:val="center"/>
            <w:hideMark/>
          </w:tcPr>
          <w:p w14:paraId="24875FAE" w14:textId="77777777" w:rsidR="00DA0DA2" w:rsidRPr="002907C0" w:rsidRDefault="00DA0DA2" w:rsidP="003E0C34">
            <w:pPr>
              <w:spacing w:after="0" w:line="240" w:lineRule="auto"/>
              <w:rPr>
                <w:rFonts w:eastAsia="Times New Roman" w:cs="Times New Roman"/>
                <w:sz w:val="20"/>
                <w:szCs w:val="20"/>
              </w:rPr>
            </w:pPr>
          </w:p>
        </w:tc>
        <w:tc>
          <w:tcPr>
            <w:tcW w:w="1590" w:type="dxa"/>
            <w:tcBorders>
              <w:top w:val="nil"/>
              <w:left w:val="nil"/>
              <w:bottom w:val="single" w:sz="12" w:space="0" w:color="auto"/>
              <w:right w:val="single" w:sz="8" w:space="0" w:color="FFFFFF"/>
            </w:tcBorders>
            <w:shd w:val="clear" w:color="000000" w:fill="FFFFFF"/>
            <w:vAlign w:val="center"/>
            <w:hideMark/>
          </w:tcPr>
          <w:p w14:paraId="786E63C2" w14:textId="77777777" w:rsidR="00DA0DA2" w:rsidRPr="002907C0"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CMI</w:t>
            </w:r>
            <w:r>
              <w:rPr>
                <w:rFonts w:eastAsia="Times New Roman" w:cs="Times New Roman"/>
                <w:sz w:val="20"/>
                <w:szCs w:val="20"/>
              </w:rPr>
              <w:t xml:space="preserve"> (cm)</w:t>
            </w:r>
          </w:p>
        </w:tc>
        <w:tc>
          <w:tcPr>
            <w:tcW w:w="1849" w:type="dxa"/>
            <w:tcBorders>
              <w:top w:val="nil"/>
              <w:left w:val="nil"/>
              <w:bottom w:val="single" w:sz="12" w:space="0" w:color="auto"/>
              <w:right w:val="single" w:sz="8" w:space="0" w:color="FFFFFF"/>
            </w:tcBorders>
            <w:shd w:val="clear" w:color="000000" w:fill="FFFFFF"/>
            <w:hideMark/>
          </w:tcPr>
          <w:p w14:paraId="3DF6099B" w14:textId="77777777" w:rsidR="00DA0DA2" w:rsidRPr="002907C0" w:rsidRDefault="00DA0DA2" w:rsidP="003E0C34">
            <w:pPr>
              <w:spacing w:after="0" w:line="240" w:lineRule="auto"/>
              <w:jc w:val="center"/>
              <w:rPr>
                <w:rFonts w:eastAsia="Times New Roman" w:cs="Times New Roman"/>
                <w:sz w:val="20"/>
                <w:szCs w:val="20"/>
              </w:rPr>
            </w:pPr>
            <w:r>
              <w:rPr>
                <w:rFonts w:eastAsia="Times New Roman" w:cs="Times New Roman"/>
                <w:sz w:val="20"/>
                <w:szCs w:val="20"/>
              </w:rPr>
              <w:t xml:space="preserve">0.39 </w:t>
            </w:r>
            <w:r w:rsidRPr="002907C0">
              <w:rPr>
                <w:rFonts w:eastAsia="Times New Roman" w:cs="Times New Roman"/>
                <w:sz w:val="20"/>
                <w:szCs w:val="20"/>
              </w:rPr>
              <w:t>±</w:t>
            </w:r>
            <w:r>
              <w:rPr>
                <w:rFonts w:eastAsia="Times New Roman" w:cs="Times New Roman"/>
                <w:sz w:val="20"/>
                <w:szCs w:val="20"/>
              </w:rPr>
              <w:t xml:space="preserve"> 0.01</w:t>
            </w:r>
          </w:p>
        </w:tc>
        <w:tc>
          <w:tcPr>
            <w:tcW w:w="1676" w:type="dxa"/>
            <w:tcBorders>
              <w:top w:val="nil"/>
              <w:left w:val="nil"/>
              <w:bottom w:val="single" w:sz="12" w:space="0" w:color="auto"/>
              <w:right w:val="single" w:sz="8" w:space="0" w:color="FFFFFF"/>
            </w:tcBorders>
            <w:shd w:val="clear" w:color="000000" w:fill="FFFFFF"/>
            <w:hideMark/>
          </w:tcPr>
          <w:p w14:paraId="22DB4A2A" w14:textId="77777777" w:rsidR="00DA0DA2" w:rsidRPr="002907C0" w:rsidRDefault="00DA0DA2" w:rsidP="003E0C34">
            <w:pPr>
              <w:spacing w:after="0" w:line="240" w:lineRule="auto"/>
              <w:jc w:val="center"/>
              <w:rPr>
                <w:rFonts w:eastAsia="Times New Roman" w:cs="Times New Roman"/>
                <w:sz w:val="20"/>
                <w:szCs w:val="20"/>
              </w:rPr>
            </w:pPr>
            <w:r>
              <w:rPr>
                <w:rFonts w:eastAsia="Times New Roman" w:cs="Times New Roman"/>
                <w:sz w:val="20"/>
                <w:szCs w:val="20"/>
              </w:rPr>
              <w:t xml:space="preserve">0.41 </w:t>
            </w:r>
            <w:r w:rsidRPr="002907C0">
              <w:rPr>
                <w:rFonts w:eastAsia="Times New Roman" w:cs="Times New Roman"/>
                <w:sz w:val="20"/>
                <w:szCs w:val="20"/>
              </w:rPr>
              <w:t>±</w:t>
            </w:r>
            <w:r>
              <w:rPr>
                <w:rFonts w:eastAsia="Times New Roman" w:cs="Times New Roman"/>
                <w:sz w:val="20"/>
                <w:szCs w:val="20"/>
              </w:rPr>
              <w:t xml:space="preserve"> 0.01</w:t>
            </w:r>
          </w:p>
        </w:tc>
        <w:tc>
          <w:tcPr>
            <w:tcW w:w="1676" w:type="dxa"/>
            <w:tcBorders>
              <w:top w:val="nil"/>
              <w:left w:val="nil"/>
              <w:bottom w:val="single" w:sz="12" w:space="0" w:color="auto"/>
              <w:right w:val="single" w:sz="8" w:space="0" w:color="FFFFFF"/>
            </w:tcBorders>
            <w:shd w:val="clear" w:color="000000" w:fill="FFFFFF"/>
            <w:hideMark/>
          </w:tcPr>
          <w:p w14:paraId="51B8F257" w14:textId="77777777" w:rsidR="00DA0DA2" w:rsidRPr="002907C0" w:rsidRDefault="00DA0DA2" w:rsidP="003E0C34">
            <w:pPr>
              <w:spacing w:after="0" w:line="240" w:lineRule="auto"/>
              <w:jc w:val="center"/>
              <w:rPr>
                <w:rFonts w:eastAsia="Times New Roman" w:cs="Times New Roman"/>
                <w:sz w:val="20"/>
                <w:szCs w:val="20"/>
              </w:rPr>
            </w:pPr>
            <w:r>
              <w:rPr>
                <w:rFonts w:eastAsia="Times New Roman" w:cs="Times New Roman"/>
                <w:sz w:val="20"/>
                <w:szCs w:val="20"/>
              </w:rPr>
              <w:t xml:space="preserve">0.29 </w:t>
            </w:r>
            <w:r w:rsidRPr="002907C0">
              <w:rPr>
                <w:rFonts w:eastAsia="Times New Roman" w:cs="Times New Roman"/>
                <w:sz w:val="20"/>
                <w:szCs w:val="20"/>
              </w:rPr>
              <w:t>±</w:t>
            </w:r>
            <w:r>
              <w:rPr>
                <w:rFonts w:eastAsia="Times New Roman" w:cs="Times New Roman"/>
                <w:sz w:val="20"/>
                <w:szCs w:val="20"/>
              </w:rPr>
              <w:t xml:space="preserve"> 0.01</w:t>
            </w:r>
          </w:p>
        </w:tc>
        <w:tc>
          <w:tcPr>
            <w:tcW w:w="1576" w:type="dxa"/>
            <w:tcBorders>
              <w:top w:val="nil"/>
              <w:left w:val="nil"/>
              <w:bottom w:val="single" w:sz="12" w:space="0" w:color="auto"/>
              <w:right w:val="single" w:sz="8" w:space="0" w:color="FFFFFF"/>
            </w:tcBorders>
            <w:shd w:val="clear" w:color="000000" w:fill="FFFFFF"/>
            <w:hideMark/>
          </w:tcPr>
          <w:p w14:paraId="3F35DF94" w14:textId="77777777" w:rsidR="00DA0DA2" w:rsidRPr="002907C0" w:rsidRDefault="00DA0DA2" w:rsidP="003E0C34">
            <w:pPr>
              <w:spacing w:after="0" w:line="240" w:lineRule="auto"/>
              <w:jc w:val="center"/>
              <w:rPr>
                <w:rFonts w:eastAsia="Times New Roman" w:cs="Times New Roman"/>
                <w:sz w:val="20"/>
                <w:szCs w:val="20"/>
              </w:rPr>
            </w:pPr>
            <w:r>
              <w:rPr>
                <w:rFonts w:eastAsia="Times New Roman" w:cs="Times New Roman"/>
                <w:sz w:val="20"/>
                <w:szCs w:val="20"/>
              </w:rPr>
              <w:t xml:space="preserve">0.23 </w:t>
            </w:r>
            <w:r w:rsidRPr="002907C0">
              <w:rPr>
                <w:rFonts w:eastAsia="Times New Roman" w:cs="Times New Roman"/>
                <w:sz w:val="20"/>
                <w:szCs w:val="20"/>
              </w:rPr>
              <w:t>±</w:t>
            </w:r>
            <w:r>
              <w:rPr>
                <w:rFonts w:eastAsia="Times New Roman" w:cs="Times New Roman"/>
                <w:sz w:val="20"/>
                <w:szCs w:val="20"/>
              </w:rPr>
              <w:t xml:space="preserve"> 0.01</w:t>
            </w:r>
          </w:p>
        </w:tc>
        <w:tc>
          <w:tcPr>
            <w:tcW w:w="2016" w:type="dxa"/>
            <w:tcBorders>
              <w:top w:val="nil"/>
              <w:left w:val="nil"/>
              <w:bottom w:val="single" w:sz="12" w:space="0" w:color="auto"/>
              <w:right w:val="single" w:sz="8" w:space="0" w:color="FFFFFF"/>
            </w:tcBorders>
            <w:shd w:val="clear" w:color="000000" w:fill="FFFFFF"/>
            <w:hideMark/>
          </w:tcPr>
          <w:p w14:paraId="10CF00CB" w14:textId="77777777" w:rsidR="00DA0DA2" w:rsidRPr="002907C0" w:rsidRDefault="00DA0DA2" w:rsidP="003E0C34">
            <w:pPr>
              <w:spacing w:after="0" w:line="240" w:lineRule="auto"/>
              <w:jc w:val="center"/>
              <w:rPr>
                <w:rFonts w:eastAsia="Times New Roman" w:cs="Times New Roman"/>
                <w:sz w:val="20"/>
                <w:szCs w:val="20"/>
              </w:rPr>
            </w:pPr>
            <w:r>
              <w:rPr>
                <w:rFonts w:eastAsia="Times New Roman" w:cs="Times New Roman"/>
                <w:sz w:val="20"/>
                <w:szCs w:val="20"/>
              </w:rPr>
              <w:t xml:space="preserve">0.42 </w:t>
            </w:r>
            <w:r w:rsidRPr="002907C0">
              <w:rPr>
                <w:rFonts w:eastAsia="Times New Roman" w:cs="Times New Roman"/>
                <w:sz w:val="20"/>
                <w:szCs w:val="20"/>
              </w:rPr>
              <w:t>±</w:t>
            </w:r>
            <w:r>
              <w:rPr>
                <w:rFonts w:eastAsia="Times New Roman" w:cs="Times New Roman"/>
                <w:sz w:val="20"/>
                <w:szCs w:val="20"/>
              </w:rPr>
              <w:t xml:space="preserve"> 0.02</w:t>
            </w:r>
          </w:p>
        </w:tc>
      </w:tr>
      <w:tr w:rsidR="00DA0DA2" w:rsidRPr="00D95A45" w14:paraId="1DD2CD90" w14:textId="77777777" w:rsidTr="003E0C34">
        <w:trPr>
          <w:trHeight w:val="260"/>
        </w:trPr>
        <w:tc>
          <w:tcPr>
            <w:tcW w:w="587" w:type="dxa"/>
            <w:vMerge w:val="restart"/>
            <w:tcBorders>
              <w:top w:val="nil"/>
              <w:left w:val="single" w:sz="8" w:space="0" w:color="FFFFFF"/>
              <w:right w:val="single" w:sz="8" w:space="0" w:color="FFFFFF"/>
            </w:tcBorders>
            <w:shd w:val="clear" w:color="000000" w:fill="FFFFFF"/>
            <w:textDirection w:val="btLr"/>
            <w:vAlign w:val="center"/>
            <w:hideMark/>
          </w:tcPr>
          <w:p w14:paraId="65D51FE5" w14:textId="77777777" w:rsidR="00DA0DA2" w:rsidRPr="002907C0" w:rsidRDefault="00DA0DA2" w:rsidP="003E0C34">
            <w:pPr>
              <w:spacing w:after="0" w:line="240" w:lineRule="auto"/>
              <w:ind w:left="113" w:right="113"/>
              <w:jc w:val="center"/>
              <w:rPr>
                <w:rFonts w:eastAsia="Times New Roman" w:cs="Times New Roman"/>
                <w:sz w:val="20"/>
                <w:szCs w:val="20"/>
              </w:rPr>
            </w:pPr>
            <w:r w:rsidRPr="002907C0">
              <w:rPr>
                <w:rFonts w:eastAsia="Times New Roman" w:cs="Times New Roman"/>
                <w:sz w:val="20"/>
                <w:szCs w:val="20"/>
              </w:rPr>
              <w:t>Landscape</w:t>
            </w:r>
          </w:p>
        </w:tc>
        <w:tc>
          <w:tcPr>
            <w:tcW w:w="1590" w:type="dxa"/>
            <w:tcBorders>
              <w:top w:val="nil"/>
              <w:left w:val="nil"/>
              <w:bottom w:val="single" w:sz="8" w:space="0" w:color="FFFFFF"/>
              <w:right w:val="single" w:sz="8" w:space="0" w:color="FFFFFF"/>
            </w:tcBorders>
            <w:shd w:val="clear" w:color="000000" w:fill="FFFFFF"/>
            <w:vAlign w:val="center"/>
            <w:hideMark/>
          </w:tcPr>
          <w:p w14:paraId="3C357E37" w14:textId="77777777" w:rsidR="00DA0DA2" w:rsidRPr="00D95A45"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 xml:space="preserve">Elevation </w:t>
            </w:r>
          </w:p>
          <w:p w14:paraId="6B37DEA4" w14:textId="77777777" w:rsidR="00DA0DA2" w:rsidRPr="002907C0"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(masl)</w:t>
            </w:r>
          </w:p>
        </w:tc>
        <w:tc>
          <w:tcPr>
            <w:tcW w:w="1849" w:type="dxa"/>
            <w:tcBorders>
              <w:top w:val="nil"/>
              <w:left w:val="nil"/>
              <w:bottom w:val="single" w:sz="8" w:space="0" w:color="FFFFFF"/>
              <w:right w:val="single" w:sz="8" w:space="0" w:color="FFFFFF"/>
            </w:tcBorders>
            <w:shd w:val="clear" w:color="000000" w:fill="FFFFFF"/>
            <w:vAlign w:val="center"/>
            <w:hideMark/>
          </w:tcPr>
          <w:p w14:paraId="59653189"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354.18 ± 24.32</w:t>
            </w:r>
          </w:p>
          <w:p w14:paraId="1A2A4DA2"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 (77–834)</w:t>
            </w:r>
          </w:p>
        </w:tc>
        <w:tc>
          <w:tcPr>
            <w:tcW w:w="1676" w:type="dxa"/>
            <w:tcBorders>
              <w:top w:val="nil"/>
              <w:left w:val="nil"/>
              <w:bottom w:val="single" w:sz="8" w:space="0" w:color="FFFFFF"/>
              <w:right w:val="single" w:sz="8" w:space="0" w:color="FFFFFF"/>
            </w:tcBorders>
            <w:shd w:val="clear" w:color="000000" w:fill="FFFFFF"/>
            <w:vAlign w:val="center"/>
            <w:hideMark/>
          </w:tcPr>
          <w:p w14:paraId="63F0F2CD"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302.30 ± 25.06 </w:t>
            </w:r>
          </w:p>
          <w:p w14:paraId="2D9F9018"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(77–852)</w:t>
            </w:r>
          </w:p>
        </w:tc>
        <w:tc>
          <w:tcPr>
            <w:tcW w:w="1676" w:type="dxa"/>
            <w:tcBorders>
              <w:top w:val="nil"/>
              <w:left w:val="nil"/>
              <w:bottom w:val="single" w:sz="8" w:space="0" w:color="FFFFFF"/>
              <w:right w:val="single" w:sz="8" w:space="0" w:color="FFFFFF"/>
            </w:tcBorders>
            <w:shd w:val="clear" w:color="000000" w:fill="FFFFFF"/>
            <w:vAlign w:val="center"/>
            <w:hideMark/>
          </w:tcPr>
          <w:p w14:paraId="5D67B897"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357.48 ± 26.74 </w:t>
            </w:r>
          </w:p>
          <w:p w14:paraId="6F216AD2"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(76–676)</w:t>
            </w:r>
          </w:p>
        </w:tc>
        <w:tc>
          <w:tcPr>
            <w:tcW w:w="1576" w:type="dxa"/>
            <w:tcBorders>
              <w:top w:val="nil"/>
              <w:left w:val="nil"/>
              <w:bottom w:val="single" w:sz="8" w:space="0" w:color="FFFFFF"/>
              <w:right w:val="single" w:sz="8" w:space="0" w:color="FFFFFF"/>
            </w:tcBorders>
            <w:shd w:val="clear" w:color="000000" w:fill="FFFFFF"/>
            <w:vAlign w:val="center"/>
            <w:hideMark/>
          </w:tcPr>
          <w:p w14:paraId="700BDEB1"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318.62 ± 43.21 </w:t>
            </w:r>
          </w:p>
          <w:p w14:paraId="126B156E"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(128–531)</w:t>
            </w:r>
          </w:p>
        </w:tc>
        <w:tc>
          <w:tcPr>
            <w:tcW w:w="2016" w:type="dxa"/>
            <w:tcBorders>
              <w:top w:val="nil"/>
              <w:left w:val="nil"/>
              <w:bottom w:val="single" w:sz="8" w:space="0" w:color="FFFFFF"/>
              <w:right w:val="single" w:sz="8" w:space="0" w:color="FFFFFF"/>
            </w:tcBorders>
            <w:shd w:val="clear" w:color="000000" w:fill="FFFFFF"/>
            <w:vAlign w:val="center"/>
            <w:hideMark/>
          </w:tcPr>
          <w:p w14:paraId="3121CA72"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235.15 ± 30.89</w:t>
            </w:r>
          </w:p>
          <w:p w14:paraId="786034B4"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 (138–517)</w:t>
            </w:r>
          </w:p>
        </w:tc>
      </w:tr>
      <w:tr w:rsidR="00DA0DA2" w:rsidRPr="00D95A45" w14:paraId="33EDE79F" w14:textId="77777777" w:rsidTr="003E0C34">
        <w:trPr>
          <w:trHeight w:val="260"/>
        </w:trPr>
        <w:tc>
          <w:tcPr>
            <w:tcW w:w="587" w:type="dxa"/>
            <w:vMerge/>
            <w:tcBorders>
              <w:left w:val="single" w:sz="8" w:space="0" w:color="FFFFFF"/>
              <w:right w:val="single" w:sz="8" w:space="0" w:color="FFFFFF"/>
            </w:tcBorders>
            <w:shd w:val="clear" w:color="000000" w:fill="FFFFFF"/>
            <w:vAlign w:val="center"/>
            <w:hideMark/>
          </w:tcPr>
          <w:p w14:paraId="3B24BDA4" w14:textId="77777777" w:rsidR="00DA0DA2" w:rsidRPr="002907C0" w:rsidRDefault="00DA0DA2" w:rsidP="003E0C34">
            <w:pPr>
              <w:spacing w:after="0" w:line="240" w:lineRule="auto"/>
              <w:rPr>
                <w:rFonts w:eastAsia="Times New Roman" w:cs="Times New Roman"/>
                <w:sz w:val="20"/>
                <w:szCs w:val="20"/>
              </w:rPr>
            </w:pPr>
          </w:p>
        </w:tc>
        <w:tc>
          <w:tcPr>
            <w:tcW w:w="1590" w:type="dxa"/>
            <w:tcBorders>
              <w:top w:val="nil"/>
              <w:left w:val="nil"/>
              <w:bottom w:val="single" w:sz="8" w:space="0" w:color="FFFFFF"/>
              <w:right w:val="single" w:sz="8" w:space="0" w:color="FFFFFF"/>
            </w:tcBorders>
            <w:shd w:val="clear" w:color="000000" w:fill="FFFFFF"/>
            <w:vAlign w:val="center"/>
            <w:hideMark/>
          </w:tcPr>
          <w:p w14:paraId="0B8C1C7D" w14:textId="77777777" w:rsidR="00DA0DA2" w:rsidRPr="00D95A45"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 xml:space="preserve">Slope </w:t>
            </w:r>
          </w:p>
          <w:p w14:paraId="192DAE12" w14:textId="77777777" w:rsidR="00DA0DA2" w:rsidRPr="002907C0"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(radians)</w:t>
            </w:r>
          </w:p>
        </w:tc>
        <w:tc>
          <w:tcPr>
            <w:tcW w:w="1849" w:type="dxa"/>
            <w:tcBorders>
              <w:top w:val="nil"/>
              <w:left w:val="nil"/>
              <w:bottom w:val="single" w:sz="8" w:space="0" w:color="FFFFFF"/>
              <w:right w:val="single" w:sz="8" w:space="0" w:color="FFFFFF"/>
            </w:tcBorders>
            <w:shd w:val="clear" w:color="000000" w:fill="FFFFFF"/>
            <w:vAlign w:val="center"/>
            <w:hideMark/>
          </w:tcPr>
          <w:p w14:paraId="087BA708"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0.10 ± 0.01 </w:t>
            </w:r>
          </w:p>
          <w:p w14:paraId="0AC3A41E"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(0–0.37)</w:t>
            </w:r>
          </w:p>
        </w:tc>
        <w:tc>
          <w:tcPr>
            <w:tcW w:w="1676" w:type="dxa"/>
            <w:tcBorders>
              <w:top w:val="nil"/>
              <w:left w:val="nil"/>
              <w:bottom w:val="single" w:sz="8" w:space="0" w:color="FFFFFF"/>
              <w:right w:val="single" w:sz="8" w:space="0" w:color="FFFFFF"/>
            </w:tcBorders>
            <w:shd w:val="clear" w:color="000000" w:fill="FFFFFF"/>
            <w:vAlign w:val="center"/>
            <w:hideMark/>
          </w:tcPr>
          <w:p w14:paraId="0E7BCDF2"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0.07 ± 0.01 </w:t>
            </w:r>
          </w:p>
          <w:p w14:paraId="3E98757C"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(0–0.56)</w:t>
            </w:r>
          </w:p>
        </w:tc>
        <w:tc>
          <w:tcPr>
            <w:tcW w:w="1676" w:type="dxa"/>
            <w:tcBorders>
              <w:top w:val="nil"/>
              <w:left w:val="nil"/>
              <w:bottom w:val="single" w:sz="8" w:space="0" w:color="FFFFFF"/>
              <w:right w:val="single" w:sz="8" w:space="0" w:color="FFFFFF"/>
            </w:tcBorders>
            <w:shd w:val="clear" w:color="000000" w:fill="FFFFFF"/>
            <w:vAlign w:val="center"/>
            <w:hideMark/>
          </w:tcPr>
          <w:p w14:paraId="79DFF534"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0.12 ± 0.02</w:t>
            </w:r>
          </w:p>
          <w:p w14:paraId="1FCEBFF5"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 (0–0.59)</w:t>
            </w:r>
          </w:p>
        </w:tc>
        <w:tc>
          <w:tcPr>
            <w:tcW w:w="1576" w:type="dxa"/>
            <w:tcBorders>
              <w:top w:val="nil"/>
              <w:left w:val="nil"/>
              <w:bottom w:val="single" w:sz="8" w:space="0" w:color="FFFFFF"/>
              <w:right w:val="single" w:sz="8" w:space="0" w:color="FFFFFF"/>
            </w:tcBorders>
            <w:shd w:val="clear" w:color="000000" w:fill="FFFFFF"/>
            <w:vAlign w:val="center"/>
            <w:hideMark/>
          </w:tcPr>
          <w:p w14:paraId="59A6DB6A"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0.07 ± 0.03 </w:t>
            </w:r>
          </w:p>
          <w:p w14:paraId="713C614C"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(0.02–0.35)</w:t>
            </w:r>
          </w:p>
        </w:tc>
        <w:tc>
          <w:tcPr>
            <w:tcW w:w="2016" w:type="dxa"/>
            <w:tcBorders>
              <w:top w:val="nil"/>
              <w:left w:val="nil"/>
              <w:bottom w:val="single" w:sz="8" w:space="0" w:color="FFFFFF"/>
              <w:right w:val="single" w:sz="8" w:space="0" w:color="FFFFFF"/>
            </w:tcBorders>
            <w:shd w:val="clear" w:color="000000" w:fill="FFFFFF"/>
            <w:vAlign w:val="center"/>
            <w:hideMark/>
          </w:tcPr>
          <w:p w14:paraId="346DA11D"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0.03 ± 0.01 </w:t>
            </w:r>
          </w:p>
          <w:p w14:paraId="6CCA9CCA"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(0–0.12)</w:t>
            </w:r>
          </w:p>
        </w:tc>
      </w:tr>
      <w:tr w:rsidR="00DA0DA2" w:rsidRPr="00D95A45" w14:paraId="6377F1AC" w14:textId="77777777" w:rsidTr="003E0C34">
        <w:trPr>
          <w:trHeight w:val="260"/>
        </w:trPr>
        <w:tc>
          <w:tcPr>
            <w:tcW w:w="587" w:type="dxa"/>
            <w:vMerge/>
            <w:tcBorders>
              <w:left w:val="single" w:sz="8" w:space="0" w:color="FFFFFF"/>
              <w:right w:val="single" w:sz="8" w:space="0" w:color="FFFFFF"/>
            </w:tcBorders>
            <w:shd w:val="clear" w:color="000000" w:fill="FFFFFF"/>
            <w:vAlign w:val="center"/>
            <w:hideMark/>
          </w:tcPr>
          <w:p w14:paraId="48DB8A84" w14:textId="77777777" w:rsidR="00DA0DA2" w:rsidRPr="002907C0" w:rsidRDefault="00DA0DA2" w:rsidP="003E0C34">
            <w:pPr>
              <w:spacing w:after="0" w:line="240" w:lineRule="auto"/>
              <w:rPr>
                <w:rFonts w:eastAsia="Times New Roman" w:cs="Times New Roman"/>
                <w:sz w:val="20"/>
                <w:szCs w:val="20"/>
              </w:rPr>
            </w:pPr>
          </w:p>
        </w:tc>
        <w:tc>
          <w:tcPr>
            <w:tcW w:w="1590" w:type="dxa"/>
            <w:tcBorders>
              <w:top w:val="nil"/>
              <w:left w:val="nil"/>
              <w:bottom w:val="single" w:sz="8" w:space="0" w:color="FFFFFF"/>
              <w:right w:val="single" w:sz="8" w:space="0" w:color="FFFFFF"/>
            </w:tcBorders>
            <w:shd w:val="clear" w:color="000000" w:fill="FFFFFF"/>
            <w:vAlign w:val="center"/>
            <w:hideMark/>
          </w:tcPr>
          <w:p w14:paraId="295DB5EF" w14:textId="77777777" w:rsidR="00DA0DA2" w:rsidRPr="00D95A45"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Aspect</w:t>
            </w:r>
          </w:p>
          <w:p w14:paraId="0B194C59" w14:textId="77777777" w:rsidR="00DA0DA2" w:rsidRPr="002907C0"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 xml:space="preserve"> (radians)</w:t>
            </w:r>
          </w:p>
        </w:tc>
        <w:tc>
          <w:tcPr>
            <w:tcW w:w="1849" w:type="dxa"/>
            <w:tcBorders>
              <w:top w:val="nil"/>
              <w:left w:val="nil"/>
              <w:bottom w:val="single" w:sz="8" w:space="0" w:color="FFFFFF"/>
              <w:right w:val="single" w:sz="8" w:space="0" w:color="FFFFFF"/>
            </w:tcBorders>
            <w:shd w:val="clear" w:color="000000" w:fill="FFFFFF"/>
            <w:vAlign w:val="center"/>
            <w:hideMark/>
          </w:tcPr>
          <w:p w14:paraId="6492A07C"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2.87 ± 0.27</w:t>
            </w:r>
          </w:p>
          <w:p w14:paraId="6823B10D"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 (0–6.25)</w:t>
            </w:r>
          </w:p>
        </w:tc>
        <w:tc>
          <w:tcPr>
            <w:tcW w:w="1676" w:type="dxa"/>
            <w:tcBorders>
              <w:top w:val="nil"/>
              <w:left w:val="nil"/>
              <w:bottom w:val="single" w:sz="8" w:space="0" w:color="FFFFFF"/>
              <w:right w:val="single" w:sz="8" w:space="0" w:color="FFFFFF"/>
            </w:tcBorders>
            <w:shd w:val="clear" w:color="000000" w:fill="FFFFFF"/>
            <w:vAlign w:val="center"/>
            <w:hideMark/>
          </w:tcPr>
          <w:p w14:paraId="3C4C312A"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2.23 ± 0.30 </w:t>
            </w:r>
          </w:p>
          <w:p w14:paraId="5206F23F"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(0–6.02)</w:t>
            </w:r>
          </w:p>
        </w:tc>
        <w:tc>
          <w:tcPr>
            <w:tcW w:w="1676" w:type="dxa"/>
            <w:tcBorders>
              <w:top w:val="nil"/>
              <w:left w:val="nil"/>
              <w:bottom w:val="single" w:sz="8" w:space="0" w:color="FFFFFF"/>
              <w:right w:val="single" w:sz="8" w:space="0" w:color="FFFFFF"/>
            </w:tcBorders>
            <w:shd w:val="clear" w:color="000000" w:fill="FFFFFF"/>
            <w:vAlign w:val="center"/>
            <w:hideMark/>
          </w:tcPr>
          <w:p w14:paraId="6F883A7E"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2.60 ± 0.31 </w:t>
            </w:r>
          </w:p>
          <w:p w14:paraId="5838EB48"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(0–5.93)</w:t>
            </w:r>
          </w:p>
        </w:tc>
        <w:tc>
          <w:tcPr>
            <w:tcW w:w="1576" w:type="dxa"/>
            <w:tcBorders>
              <w:top w:val="nil"/>
              <w:left w:val="nil"/>
              <w:bottom w:val="single" w:sz="8" w:space="0" w:color="FFFFFF"/>
              <w:right w:val="single" w:sz="8" w:space="0" w:color="FFFFFF"/>
            </w:tcBorders>
            <w:shd w:val="clear" w:color="000000" w:fill="FFFFFF"/>
            <w:vAlign w:val="center"/>
            <w:hideMark/>
          </w:tcPr>
          <w:p w14:paraId="1AA71E92"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3.09 ± 0.45 </w:t>
            </w:r>
          </w:p>
          <w:p w14:paraId="184C92B8"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(1.05–6.13)</w:t>
            </w:r>
          </w:p>
        </w:tc>
        <w:tc>
          <w:tcPr>
            <w:tcW w:w="2016" w:type="dxa"/>
            <w:tcBorders>
              <w:top w:val="nil"/>
              <w:left w:val="nil"/>
              <w:bottom w:val="single" w:sz="8" w:space="0" w:color="FFFFFF"/>
              <w:right w:val="single" w:sz="8" w:space="0" w:color="FFFFFF"/>
            </w:tcBorders>
            <w:shd w:val="clear" w:color="000000" w:fill="FFFFFF"/>
            <w:vAlign w:val="center"/>
            <w:hideMark/>
          </w:tcPr>
          <w:p w14:paraId="4CA561DA"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1.44 ± 0.58</w:t>
            </w:r>
          </w:p>
          <w:p w14:paraId="7FA7CD32"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 (0–6.11)</w:t>
            </w:r>
          </w:p>
        </w:tc>
      </w:tr>
      <w:tr w:rsidR="00DA0DA2" w:rsidRPr="00D95A45" w14:paraId="5CD62DA2" w14:textId="77777777" w:rsidTr="003E0C34">
        <w:trPr>
          <w:trHeight w:val="260"/>
        </w:trPr>
        <w:tc>
          <w:tcPr>
            <w:tcW w:w="587" w:type="dxa"/>
            <w:vMerge/>
            <w:tcBorders>
              <w:left w:val="single" w:sz="8" w:space="0" w:color="FFFFFF"/>
              <w:right w:val="single" w:sz="8" w:space="0" w:color="FFFFFF"/>
            </w:tcBorders>
            <w:shd w:val="clear" w:color="000000" w:fill="FFFFFF"/>
            <w:vAlign w:val="center"/>
            <w:hideMark/>
          </w:tcPr>
          <w:p w14:paraId="0B7F2CBA" w14:textId="77777777" w:rsidR="00DA0DA2" w:rsidRPr="002907C0" w:rsidRDefault="00DA0DA2" w:rsidP="003E0C34">
            <w:pPr>
              <w:spacing w:after="0" w:line="240" w:lineRule="auto"/>
              <w:rPr>
                <w:rFonts w:eastAsia="Times New Roman" w:cs="Times New Roman"/>
                <w:sz w:val="20"/>
                <w:szCs w:val="20"/>
              </w:rPr>
            </w:pPr>
          </w:p>
        </w:tc>
        <w:tc>
          <w:tcPr>
            <w:tcW w:w="1590" w:type="dxa"/>
            <w:tcBorders>
              <w:top w:val="nil"/>
              <w:left w:val="nil"/>
              <w:bottom w:val="single" w:sz="8" w:space="0" w:color="FFFFFF"/>
              <w:right w:val="single" w:sz="8" w:space="0" w:color="FFFFFF"/>
            </w:tcBorders>
            <w:shd w:val="clear" w:color="000000" w:fill="FFFFFF"/>
            <w:vAlign w:val="center"/>
            <w:hideMark/>
          </w:tcPr>
          <w:p w14:paraId="28E39BDC" w14:textId="77777777" w:rsidR="00DA0DA2" w:rsidRPr="002907C0"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Heatload</w:t>
            </w:r>
          </w:p>
        </w:tc>
        <w:tc>
          <w:tcPr>
            <w:tcW w:w="1849" w:type="dxa"/>
            <w:tcBorders>
              <w:top w:val="nil"/>
              <w:left w:val="nil"/>
              <w:bottom w:val="single" w:sz="8" w:space="0" w:color="FFFFFF"/>
              <w:right w:val="single" w:sz="8" w:space="0" w:color="FFFFFF"/>
            </w:tcBorders>
            <w:shd w:val="clear" w:color="000000" w:fill="FFFFFF"/>
            <w:vAlign w:val="center"/>
            <w:hideMark/>
          </w:tcPr>
          <w:p w14:paraId="3EDF1AEB"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0.69 ± 0.03 </w:t>
            </w:r>
          </w:p>
          <w:p w14:paraId="1018749A"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(0.19–1.15)</w:t>
            </w:r>
          </w:p>
        </w:tc>
        <w:tc>
          <w:tcPr>
            <w:tcW w:w="1676" w:type="dxa"/>
            <w:tcBorders>
              <w:top w:val="nil"/>
              <w:left w:val="nil"/>
              <w:bottom w:val="single" w:sz="8" w:space="0" w:color="FFFFFF"/>
              <w:right w:val="single" w:sz="8" w:space="0" w:color="FFFFFF"/>
            </w:tcBorders>
            <w:shd w:val="clear" w:color="000000" w:fill="FFFFFF"/>
            <w:vAlign w:val="center"/>
            <w:hideMark/>
          </w:tcPr>
          <w:p w14:paraId="153DF983"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0.71 ± 0.04 </w:t>
            </w:r>
          </w:p>
          <w:p w14:paraId="0599C799"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(0.23–1.14)</w:t>
            </w:r>
          </w:p>
        </w:tc>
        <w:tc>
          <w:tcPr>
            <w:tcW w:w="1676" w:type="dxa"/>
            <w:tcBorders>
              <w:top w:val="nil"/>
              <w:left w:val="nil"/>
              <w:bottom w:val="single" w:sz="8" w:space="0" w:color="FFFFFF"/>
              <w:right w:val="single" w:sz="8" w:space="0" w:color="FFFFFF"/>
            </w:tcBorders>
            <w:shd w:val="clear" w:color="000000" w:fill="FFFFFF"/>
            <w:vAlign w:val="center"/>
            <w:hideMark/>
          </w:tcPr>
          <w:p w14:paraId="778AE41D"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0.69 ± 0.04 </w:t>
            </w:r>
          </w:p>
          <w:p w14:paraId="265E1AD5"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(0.20–1.15)</w:t>
            </w:r>
          </w:p>
        </w:tc>
        <w:tc>
          <w:tcPr>
            <w:tcW w:w="1576" w:type="dxa"/>
            <w:tcBorders>
              <w:top w:val="nil"/>
              <w:left w:val="nil"/>
              <w:bottom w:val="single" w:sz="8" w:space="0" w:color="FFFFFF"/>
              <w:right w:val="single" w:sz="8" w:space="0" w:color="FFFFFF"/>
            </w:tcBorders>
            <w:shd w:val="clear" w:color="000000" w:fill="FFFFFF"/>
            <w:vAlign w:val="center"/>
            <w:hideMark/>
          </w:tcPr>
          <w:p w14:paraId="03381F3F"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0.65 ± 0.11 </w:t>
            </w:r>
          </w:p>
          <w:p w14:paraId="1B135A67"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(0.22–1.11)</w:t>
            </w:r>
          </w:p>
        </w:tc>
        <w:tc>
          <w:tcPr>
            <w:tcW w:w="2016" w:type="dxa"/>
            <w:tcBorders>
              <w:top w:val="nil"/>
              <w:left w:val="nil"/>
              <w:bottom w:val="single" w:sz="8" w:space="0" w:color="FFFFFF"/>
              <w:right w:val="single" w:sz="8" w:space="0" w:color="FFFFFF"/>
            </w:tcBorders>
            <w:shd w:val="clear" w:color="000000" w:fill="FFFFFF"/>
            <w:vAlign w:val="center"/>
            <w:hideMark/>
          </w:tcPr>
          <w:p w14:paraId="507FE2D5"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0.54 ± 0.07 </w:t>
            </w:r>
          </w:p>
          <w:p w14:paraId="552DE5D0"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(0.20–0.94)</w:t>
            </w:r>
          </w:p>
        </w:tc>
      </w:tr>
      <w:tr w:rsidR="00DA0DA2" w:rsidRPr="00D95A45" w14:paraId="072657D2" w14:textId="77777777" w:rsidTr="003E0C34">
        <w:trPr>
          <w:trHeight w:val="260"/>
        </w:trPr>
        <w:tc>
          <w:tcPr>
            <w:tcW w:w="587" w:type="dxa"/>
            <w:vMerge/>
            <w:tcBorders>
              <w:left w:val="single" w:sz="8" w:space="0" w:color="FFFFFF"/>
              <w:right w:val="single" w:sz="8" w:space="0" w:color="FFFFFF"/>
            </w:tcBorders>
            <w:shd w:val="clear" w:color="000000" w:fill="FFFFFF"/>
            <w:vAlign w:val="center"/>
            <w:hideMark/>
          </w:tcPr>
          <w:p w14:paraId="1FA18E39" w14:textId="77777777" w:rsidR="00DA0DA2" w:rsidRPr="002907C0" w:rsidRDefault="00DA0DA2" w:rsidP="003E0C34">
            <w:pPr>
              <w:spacing w:after="0" w:line="240" w:lineRule="auto"/>
              <w:rPr>
                <w:rFonts w:eastAsia="Times New Roman" w:cs="Times New Roman"/>
                <w:sz w:val="20"/>
                <w:szCs w:val="20"/>
              </w:rPr>
            </w:pPr>
          </w:p>
        </w:tc>
        <w:tc>
          <w:tcPr>
            <w:tcW w:w="1590" w:type="dxa"/>
            <w:tcBorders>
              <w:top w:val="nil"/>
              <w:left w:val="nil"/>
              <w:bottom w:val="single" w:sz="8" w:space="0" w:color="FFFFFF"/>
              <w:right w:val="single" w:sz="8" w:space="0" w:color="FFFFFF"/>
            </w:tcBorders>
            <w:shd w:val="clear" w:color="000000" w:fill="FFFFFF"/>
            <w:vAlign w:val="center"/>
            <w:hideMark/>
          </w:tcPr>
          <w:p w14:paraId="13D9E98A" w14:textId="77777777" w:rsidR="00DA0DA2" w:rsidRPr="00D95A45"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Moisture</w:t>
            </w:r>
          </w:p>
          <w:p w14:paraId="29E11BE4" w14:textId="77777777" w:rsidR="00DA0DA2" w:rsidRPr="002907C0"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 xml:space="preserve"> (unitless)</w:t>
            </w:r>
          </w:p>
        </w:tc>
        <w:tc>
          <w:tcPr>
            <w:tcW w:w="1849" w:type="dxa"/>
            <w:tcBorders>
              <w:top w:val="nil"/>
              <w:left w:val="nil"/>
              <w:bottom w:val="single" w:sz="8" w:space="0" w:color="FFFFFF"/>
              <w:right w:val="single" w:sz="8" w:space="0" w:color="FFFFFF"/>
            </w:tcBorders>
            <w:shd w:val="clear" w:color="000000" w:fill="FFFFFF"/>
            <w:vAlign w:val="center"/>
            <w:hideMark/>
          </w:tcPr>
          <w:p w14:paraId="3BF7BB9E"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4.09 ± 0.18</w:t>
            </w:r>
          </w:p>
          <w:p w14:paraId="29E5624F"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 (1- 6)</w:t>
            </w:r>
          </w:p>
        </w:tc>
        <w:tc>
          <w:tcPr>
            <w:tcW w:w="1676" w:type="dxa"/>
            <w:tcBorders>
              <w:top w:val="nil"/>
              <w:left w:val="nil"/>
              <w:bottom w:val="single" w:sz="8" w:space="0" w:color="FFFFFF"/>
              <w:right w:val="single" w:sz="8" w:space="0" w:color="FFFFFF"/>
            </w:tcBorders>
            <w:shd w:val="clear" w:color="000000" w:fill="FFFFFF"/>
            <w:vAlign w:val="center"/>
            <w:hideMark/>
          </w:tcPr>
          <w:p w14:paraId="5FF9363B"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3.36 ± 0.14 </w:t>
            </w:r>
          </w:p>
          <w:p w14:paraId="76A264D9"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(1- 6)</w:t>
            </w:r>
          </w:p>
        </w:tc>
        <w:tc>
          <w:tcPr>
            <w:tcW w:w="1676" w:type="dxa"/>
            <w:tcBorders>
              <w:top w:val="nil"/>
              <w:left w:val="nil"/>
              <w:bottom w:val="single" w:sz="8" w:space="0" w:color="FFFFFF"/>
              <w:right w:val="single" w:sz="8" w:space="0" w:color="FFFFFF"/>
            </w:tcBorders>
            <w:shd w:val="clear" w:color="000000" w:fill="FFFFFF"/>
            <w:vAlign w:val="center"/>
            <w:hideMark/>
          </w:tcPr>
          <w:p w14:paraId="4F03DCDB"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2.61 ± 0.18 </w:t>
            </w:r>
          </w:p>
          <w:p w14:paraId="623C997E"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(1- 5)</w:t>
            </w:r>
          </w:p>
        </w:tc>
        <w:tc>
          <w:tcPr>
            <w:tcW w:w="1576" w:type="dxa"/>
            <w:tcBorders>
              <w:top w:val="nil"/>
              <w:left w:val="nil"/>
              <w:bottom w:val="single" w:sz="8" w:space="0" w:color="FFFFFF"/>
              <w:right w:val="single" w:sz="8" w:space="0" w:color="FFFFFF"/>
            </w:tcBorders>
            <w:shd w:val="clear" w:color="000000" w:fill="FFFFFF"/>
            <w:vAlign w:val="center"/>
            <w:hideMark/>
          </w:tcPr>
          <w:p w14:paraId="49D9721B"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3.38 ± 0.27 </w:t>
            </w:r>
          </w:p>
          <w:p w14:paraId="35FB4EE6"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(2-6)</w:t>
            </w:r>
          </w:p>
        </w:tc>
        <w:tc>
          <w:tcPr>
            <w:tcW w:w="2016" w:type="dxa"/>
            <w:tcBorders>
              <w:top w:val="nil"/>
              <w:left w:val="nil"/>
              <w:bottom w:val="single" w:sz="8" w:space="0" w:color="FFFFFF"/>
              <w:right w:val="single" w:sz="8" w:space="0" w:color="FFFFFF"/>
            </w:tcBorders>
            <w:shd w:val="clear" w:color="000000" w:fill="FFFFFF"/>
            <w:vAlign w:val="center"/>
            <w:hideMark/>
          </w:tcPr>
          <w:p w14:paraId="050EA646"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 xml:space="preserve">3.54 ± 0.49 </w:t>
            </w:r>
          </w:p>
          <w:p w14:paraId="1E0D814E"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(1- 6)</w:t>
            </w:r>
          </w:p>
        </w:tc>
      </w:tr>
      <w:tr w:rsidR="00DA0DA2" w:rsidRPr="00D95A45" w14:paraId="2A193BA7" w14:textId="77777777" w:rsidTr="003E0C34">
        <w:trPr>
          <w:trHeight w:val="260"/>
        </w:trPr>
        <w:tc>
          <w:tcPr>
            <w:tcW w:w="587" w:type="dxa"/>
            <w:vMerge/>
            <w:tcBorders>
              <w:left w:val="single" w:sz="8" w:space="0" w:color="FFFFFF"/>
              <w:right w:val="single" w:sz="8" w:space="0" w:color="FFFFFF"/>
            </w:tcBorders>
            <w:shd w:val="clear" w:color="000000" w:fill="FFFFFF"/>
            <w:vAlign w:val="center"/>
            <w:hideMark/>
          </w:tcPr>
          <w:p w14:paraId="6503B588" w14:textId="77777777" w:rsidR="00DA0DA2" w:rsidRPr="002907C0" w:rsidRDefault="00DA0DA2" w:rsidP="003E0C34">
            <w:pPr>
              <w:spacing w:after="0" w:line="240" w:lineRule="auto"/>
              <w:rPr>
                <w:rFonts w:eastAsia="Times New Roman" w:cs="Times New Roman"/>
                <w:sz w:val="20"/>
                <w:szCs w:val="20"/>
              </w:rPr>
            </w:pPr>
          </w:p>
        </w:tc>
        <w:tc>
          <w:tcPr>
            <w:tcW w:w="1590" w:type="dxa"/>
            <w:tcBorders>
              <w:top w:val="nil"/>
              <w:left w:val="nil"/>
              <w:bottom w:val="single" w:sz="8" w:space="0" w:color="FFFFFF"/>
              <w:right w:val="single" w:sz="8" w:space="0" w:color="FFFFFF"/>
            </w:tcBorders>
            <w:shd w:val="clear" w:color="000000" w:fill="FFFFFF"/>
            <w:vAlign w:val="center"/>
            <w:hideMark/>
          </w:tcPr>
          <w:p w14:paraId="5A57FC9E" w14:textId="77777777" w:rsidR="00DA0DA2" w:rsidRPr="002907C0" w:rsidRDefault="00DA0DA2" w:rsidP="003E0C34">
            <w:pPr>
              <w:spacing w:after="0" w:line="240" w:lineRule="auto"/>
              <w:rPr>
                <w:rFonts w:eastAsia="Times New Roman" w:cs="Times New Roman"/>
                <w:sz w:val="20"/>
                <w:szCs w:val="20"/>
              </w:rPr>
            </w:pPr>
            <w:r w:rsidRPr="00D95A45">
              <w:rPr>
                <w:rFonts w:eastAsia="Times New Roman" w:cs="Times New Roman"/>
                <w:sz w:val="20"/>
                <w:szCs w:val="20"/>
              </w:rPr>
              <w:t>%</w:t>
            </w:r>
            <w:r w:rsidRPr="002907C0">
              <w:rPr>
                <w:rFonts w:eastAsia="Times New Roman" w:cs="Times New Roman"/>
                <w:sz w:val="20"/>
                <w:szCs w:val="20"/>
              </w:rPr>
              <w:t xml:space="preserve"> of </w:t>
            </w:r>
            <w:r w:rsidRPr="00D95A45">
              <w:rPr>
                <w:rFonts w:eastAsia="Times New Roman" w:cs="Times New Roman"/>
                <w:sz w:val="20"/>
                <w:szCs w:val="20"/>
              </w:rPr>
              <w:t>sites w</w:t>
            </w:r>
            <w:r>
              <w:rPr>
                <w:rFonts w:eastAsia="Times New Roman" w:cs="Times New Roman"/>
                <w:sz w:val="20"/>
                <w:szCs w:val="20"/>
              </w:rPr>
              <w:t>ith</w:t>
            </w:r>
            <w:r w:rsidRPr="00D95A45">
              <w:rPr>
                <w:rFonts w:eastAsia="Times New Roman" w:cs="Times New Roman"/>
                <w:sz w:val="20"/>
                <w:szCs w:val="20"/>
              </w:rPr>
              <w:t xml:space="preserve"> permafrost</w:t>
            </w:r>
          </w:p>
        </w:tc>
        <w:tc>
          <w:tcPr>
            <w:tcW w:w="1849" w:type="dxa"/>
            <w:tcBorders>
              <w:top w:val="nil"/>
              <w:left w:val="nil"/>
              <w:bottom w:val="single" w:sz="8" w:space="0" w:color="FFFFFF"/>
              <w:right w:val="single" w:sz="8" w:space="0" w:color="FFFFFF"/>
            </w:tcBorders>
            <w:shd w:val="clear" w:color="000000" w:fill="FFFFFF"/>
            <w:vAlign w:val="center"/>
            <w:hideMark/>
          </w:tcPr>
          <w:p w14:paraId="7C832DE9"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47.10%</w:t>
            </w:r>
          </w:p>
        </w:tc>
        <w:tc>
          <w:tcPr>
            <w:tcW w:w="1676" w:type="dxa"/>
            <w:tcBorders>
              <w:top w:val="nil"/>
              <w:left w:val="nil"/>
              <w:bottom w:val="single" w:sz="8" w:space="0" w:color="FFFFFF"/>
              <w:right w:val="single" w:sz="8" w:space="0" w:color="FFFFFF"/>
            </w:tcBorders>
            <w:shd w:val="clear" w:color="000000" w:fill="FFFFFF"/>
            <w:vAlign w:val="center"/>
            <w:hideMark/>
          </w:tcPr>
          <w:p w14:paraId="4F852ECB"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25.50%</w:t>
            </w:r>
          </w:p>
        </w:tc>
        <w:tc>
          <w:tcPr>
            <w:tcW w:w="1676" w:type="dxa"/>
            <w:tcBorders>
              <w:top w:val="nil"/>
              <w:left w:val="nil"/>
              <w:bottom w:val="single" w:sz="8" w:space="0" w:color="FFFFFF"/>
              <w:right w:val="single" w:sz="8" w:space="0" w:color="FFFFFF"/>
            </w:tcBorders>
            <w:shd w:val="clear" w:color="000000" w:fill="FFFFFF"/>
            <w:vAlign w:val="center"/>
            <w:hideMark/>
          </w:tcPr>
          <w:p w14:paraId="4360F1FF"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13.60%</w:t>
            </w:r>
          </w:p>
        </w:tc>
        <w:tc>
          <w:tcPr>
            <w:tcW w:w="1576" w:type="dxa"/>
            <w:tcBorders>
              <w:top w:val="nil"/>
              <w:left w:val="nil"/>
              <w:bottom w:val="single" w:sz="8" w:space="0" w:color="FFFFFF"/>
              <w:right w:val="single" w:sz="8" w:space="0" w:color="FFFFFF"/>
            </w:tcBorders>
            <w:shd w:val="clear" w:color="000000" w:fill="FFFFFF"/>
            <w:vAlign w:val="center"/>
            <w:hideMark/>
          </w:tcPr>
          <w:p w14:paraId="79308BB7"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38.50%</w:t>
            </w:r>
          </w:p>
        </w:tc>
        <w:tc>
          <w:tcPr>
            <w:tcW w:w="2016" w:type="dxa"/>
            <w:tcBorders>
              <w:top w:val="nil"/>
              <w:left w:val="nil"/>
              <w:bottom w:val="single" w:sz="8" w:space="0" w:color="FFFFFF"/>
              <w:right w:val="single" w:sz="8" w:space="0" w:color="FFFFFF"/>
            </w:tcBorders>
            <w:shd w:val="clear" w:color="000000" w:fill="FFFFFF"/>
            <w:vAlign w:val="center"/>
            <w:hideMark/>
          </w:tcPr>
          <w:p w14:paraId="566CE1A4"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15.40%</w:t>
            </w:r>
          </w:p>
        </w:tc>
      </w:tr>
      <w:tr w:rsidR="00DA0DA2" w:rsidRPr="00D95A45" w14:paraId="30E6623C" w14:textId="77777777" w:rsidTr="003E0C34">
        <w:trPr>
          <w:trHeight w:val="260"/>
        </w:trPr>
        <w:tc>
          <w:tcPr>
            <w:tcW w:w="587" w:type="dxa"/>
            <w:vMerge/>
            <w:tcBorders>
              <w:left w:val="single" w:sz="8" w:space="0" w:color="FFFFFF"/>
              <w:bottom w:val="single" w:sz="12" w:space="0" w:color="000000"/>
              <w:right w:val="single" w:sz="8" w:space="0" w:color="FFFFFF"/>
            </w:tcBorders>
            <w:shd w:val="clear" w:color="000000" w:fill="FFFFFF"/>
            <w:vAlign w:val="center"/>
            <w:hideMark/>
          </w:tcPr>
          <w:p w14:paraId="25123ECD" w14:textId="77777777" w:rsidR="00DA0DA2" w:rsidRPr="002907C0" w:rsidRDefault="00DA0DA2" w:rsidP="003E0C34">
            <w:pPr>
              <w:spacing w:after="0" w:line="240" w:lineRule="auto"/>
              <w:rPr>
                <w:rFonts w:eastAsia="Times New Roman" w:cs="Times New Roman"/>
                <w:sz w:val="20"/>
                <w:szCs w:val="20"/>
              </w:rPr>
            </w:pPr>
          </w:p>
        </w:tc>
        <w:tc>
          <w:tcPr>
            <w:tcW w:w="1590" w:type="dxa"/>
            <w:tcBorders>
              <w:top w:val="single" w:sz="8" w:space="0" w:color="FFFFFF"/>
              <w:left w:val="nil"/>
              <w:bottom w:val="single" w:sz="12" w:space="0" w:color="auto"/>
              <w:right w:val="single" w:sz="8" w:space="0" w:color="FFFFFF"/>
            </w:tcBorders>
            <w:shd w:val="clear" w:color="000000" w:fill="FFFFFF"/>
            <w:vAlign w:val="center"/>
            <w:hideMark/>
          </w:tcPr>
          <w:p w14:paraId="47FFFCBD" w14:textId="77777777" w:rsidR="00DA0DA2" w:rsidRPr="002907C0" w:rsidRDefault="00DA0DA2" w:rsidP="003E0C34">
            <w:pPr>
              <w:spacing w:after="0" w:line="240" w:lineRule="auto"/>
              <w:rPr>
                <w:rFonts w:eastAsia="Times New Roman" w:cs="Times New Roman"/>
                <w:sz w:val="20"/>
                <w:szCs w:val="20"/>
              </w:rPr>
            </w:pPr>
            <w:r w:rsidRPr="00D95A45">
              <w:rPr>
                <w:rFonts w:eastAsia="Times New Roman" w:cs="Times New Roman"/>
                <w:sz w:val="20"/>
                <w:szCs w:val="20"/>
              </w:rPr>
              <w:t>F</w:t>
            </w:r>
            <w:r w:rsidRPr="002907C0">
              <w:rPr>
                <w:rFonts w:eastAsia="Times New Roman" w:cs="Times New Roman"/>
                <w:sz w:val="20"/>
                <w:szCs w:val="20"/>
              </w:rPr>
              <w:t>requency of rock</w:t>
            </w:r>
            <w:r w:rsidRPr="00D95A45">
              <w:rPr>
                <w:rFonts w:eastAsia="Times New Roman" w:cs="Times New Roman"/>
                <w:sz w:val="20"/>
                <w:szCs w:val="20"/>
              </w:rPr>
              <w:t>s</w:t>
            </w:r>
            <w:r w:rsidRPr="002907C0">
              <w:rPr>
                <w:rFonts w:eastAsia="Times New Roman" w:cs="Times New Roman"/>
                <w:sz w:val="20"/>
                <w:szCs w:val="20"/>
              </w:rPr>
              <w:t xml:space="preserve"> </w:t>
            </w:r>
          </w:p>
        </w:tc>
        <w:tc>
          <w:tcPr>
            <w:tcW w:w="1849" w:type="dxa"/>
            <w:tcBorders>
              <w:top w:val="single" w:sz="8" w:space="0" w:color="FFFFFF"/>
              <w:left w:val="nil"/>
              <w:bottom w:val="single" w:sz="12" w:space="0" w:color="auto"/>
              <w:right w:val="single" w:sz="8" w:space="0" w:color="FFFFFF"/>
            </w:tcBorders>
            <w:shd w:val="clear" w:color="000000" w:fill="FFFFFF"/>
            <w:vAlign w:val="center"/>
            <w:hideMark/>
          </w:tcPr>
          <w:p w14:paraId="428FB654"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0.18 ± 0.04 </w:t>
            </w:r>
          </w:p>
          <w:p w14:paraId="1E527BED"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(0–1)</w:t>
            </w:r>
          </w:p>
        </w:tc>
        <w:tc>
          <w:tcPr>
            <w:tcW w:w="1676" w:type="dxa"/>
            <w:tcBorders>
              <w:top w:val="single" w:sz="8" w:space="0" w:color="FFFFFF"/>
              <w:left w:val="nil"/>
              <w:bottom w:val="single" w:sz="12" w:space="0" w:color="auto"/>
              <w:right w:val="single" w:sz="8" w:space="0" w:color="FFFFFF"/>
            </w:tcBorders>
            <w:shd w:val="clear" w:color="000000" w:fill="FFFFFF"/>
            <w:vAlign w:val="center"/>
            <w:hideMark/>
          </w:tcPr>
          <w:p w14:paraId="5D68EA8B"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0.19 ± 0.05 </w:t>
            </w:r>
          </w:p>
          <w:p w14:paraId="1CFAC039"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(0–1)</w:t>
            </w:r>
          </w:p>
        </w:tc>
        <w:tc>
          <w:tcPr>
            <w:tcW w:w="1676" w:type="dxa"/>
            <w:tcBorders>
              <w:top w:val="single" w:sz="8" w:space="0" w:color="FFFFFF"/>
              <w:left w:val="nil"/>
              <w:bottom w:val="single" w:sz="12" w:space="0" w:color="auto"/>
              <w:right w:val="single" w:sz="8" w:space="0" w:color="FFFFFF"/>
            </w:tcBorders>
            <w:shd w:val="clear" w:color="000000" w:fill="FFFFFF"/>
            <w:vAlign w:val="center"/>
            <w:hideMark/>
          </w:tcPr>
          <w:p w14:paraId="5AAD097F"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0.24 ± 0.06</w:t>
            </w:r>
          </w:p>
          <w:p w14:paraId="3B522F38"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 (0–1)</w:t>
            </w:r>
          </w:p>
        </w:tc>
        <w:tc>
          <w:tcPr>
            <w:tcW w:w="1576" w:type="dxa"/>
            <w:tcBorders>
              <w:top w:val="single" w:sz="8" w:space="0" w:color="FFFFFF"/>
              <w:left w:val="nil"/>
              <w:bottom w:val="single" w:sz="12" w:space="0" w:color="auto"/>
              <w:right w:val="single" w:sz="8" w:space="0" w:color="FFFFFF"/>
            </w:tcBorders>
            <w:shd w:val="clear" w:color="000000" w:fill="FFFFFF"/>
            <w:vAlign w:val="center"/>
            <w:hideMark/>
          </w:tcPr>
          <w:p w14:paraId="5AEA4844"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 ± 0 </w:t>
            </w:r>
          </w:p>
          <w:p w14:paraId="68E33922"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(0–0)</w:t>
            </w:r>
          </w:p>
        </w:tc>
        <w:tc>
          <w:tcPr>
            <w:tcW w:w="2016" w:type="dxa"/>
            <w:tcBorders>
              <w:top w:val="single" w:sz="8" w:space="0" w:color="FFFFFF"/>
              <w:left w:val="nil"/>
              <w:bottom w:val="single" w:sz="12" w:space="0" w:color="auto"/>
              <w:right w:val="single" w:sz="8" w:space="0" w:color="FFFFFF"/>
            </w:tcBorders>
            <w:shd w:val="clear" w:color="000000" w:fill="FFFFFF"/>
            <w:vAlign w:val="center"/>
            <w:hideMark/>
          </w:tcPr>
          <w:p w14:paraId="7013C4C9"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 ± 0 </w:t>
            </w:r>
          </w:p>
          <w:p w14:paraId="41714164"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(0–0)</w:t>
            </w:r>
          </w:p>
        </w:tc>
      </w:tr>
      <w:tr w:rsidR="00DA0DA2" w:rsidRPr="00D95A45" w14:paraId="4805F2D9" w14:textId="77777777" w:rsidTr="003E0C34">
        <w:trPr>
          <w:trHeight w:val="260"/>
        </w:trPr>
        <w:tc>
          <w:tcPr>
            <w:tcW w:w="587" w:type="dxa"/>
            <w:vMerge w:val="restart"/>
            <w:tcBorders>
              <w:top w:val="nil"/>
              <w:left w:val="single" w:sz="8" w:space="0" w:color="FFFFFF"/>
              <w:bottom w:val="single" w:sz="12" w:space="0" w:color="000000"/>
              <w:right w:val="single" w:sz="8" w:space="0" w:color="FFFFFF"/>
            </w:tcBorders>
            <w:shd w:val="clear" w:color="000000" w:fill="FFFFFF"/>
            <w:textDirection w:val="btLr"/>
            <w:vAlign w:val="center"/>
            <w:hideMark/>
          </w:tcPr>
          <w:p w14:paraId="11536786" w14:textId="77777777" w:rsidR="00DA0DA2" w:rsidRPr="002907C0" w:rsidRDefault="00DA0DA2" w:rsidP="003E0C34">
            <w:pPr>
              <w:spacing w:after="0" w:line="240" w:lineRule="auto"/>
              <w:ind w:left="113" w:right="113"/>
              <w:jc w:val="center"/>
              <w:rPr>
                <w:rFonts w:eastAsia="Times New Roman" w:cs="Times New Roman"/>
                <w:sz w:val="20"/>
                <w:szCs w:val="20"/>
              </w:rPr>
            </w:pPr>
            <w:r w:rsidRPr="002907C0">
              <w:rPr>
                <w:rFonts w:eastAsia="Times New Roman" w:cs="Times New Roman"/>
                <w:sz w:val="20"/>
                <w:szCs w:val="20"/>
              </w:rPr>
              <w:t>Pre-fire</w:t>
            </w:r>
          </w:p>
        </w:tc>
        <w:tc>
          <w:tcPr>
            <w:tcW w:w="1590" w:type="dxa"/>
            <w:tcBorders>
              <w:top w:val="single" w:sz="12" w:space="0" w:color="auto"/>
              <w:left w:val="nil"/>
              <w:bottom w:val="single" w:sz="8" w:space="0" w:color="FFFFFF"/>
              <w:right w:val="single" w:sz="8" w:space="0" w:color="FFFFFF"/>
            </w:tcBorders>
            <w:shd w:val="clear" w:color="000000" w:fill="FFFFFF"/>
            <w:vAlign w:val="center"/>
            <w:hideMark/>
          </w:tcPr>
          <w:p w14:paraId="47B73D58" w14:textId="77777777" w:rsidR="00DA0DA2" w:rsidRPr="00D95A45"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 xml:space="preserve">Stand age </w:t>
            </w:r>
          </w:p>
          <w:p w14:paraId="5BB9459D" w14:textId="77777777" w:rsidR="00DA0DA2" w:rsidRPr="002907C0"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(years)</w:t>
            </w:r>
          </w:p>
        </w:tc>
        <w:tc>
          <w:tcPr>
            <w:tcW w:w="1849" w:type="dxa"/>
            <w:tcBorders>
              <w:top w:val="single" w:sz="12" w:space="0" w:color="auto"/>
              <w:left w:val="nil"/>
              <w:bottom w:val="single" w:sz="8" w:space="0" w:color="FFFFFF"/>
              <w:right w:val="single" w:sz="8" w:space="0" w:color="FFFFFF"/>
            </w:tcBorders>
            <w:shd w:val="clear" w:color="000000" w:fill="FFFFFF"/>
            <w:vAlign w:val="center"/>
            <w:hideMark/>
          </w:tcPr>
          <w:p w14:paraId="6DB08068"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102.56 ± 3.58 </w:t>
            </w:r>
          </w:p>
          <w:p w14:paraId="273B16F6"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(71-254)</w:t>
            </w:r>
          </w:p>
        </w:tc>
        <w:tc>
          <w:tcPr>
            <w:tcW w:w="1676" w:type="dxa"/>
            <w:tcBorders>
              <w:top w:val="single" w:sz="12" w:space="0" w:color="auto"/>
              <w:left w:val="nil"/>
              <w:bottom w:val="single" w:sz="8" w:space="0" w:color="FFFFFF"/>
              <w:right w:val="single" w:sz="8" w:space="0" w:color="FFFFFF"/>
            </w:tcBorders>
            <w:shd w:val="clear" w:color="000000" w:fill="FFFFFF"/>
            <w:vAlign w:val="center"/>
            <w:hideMark/>
          </w:tcPr>
          <w:p w14:paraId="20EC948A"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45.73 ± 1.43 </w:t>
            </w:r>
          </w:p>
          <w:p w14:paraId="2F0B3C50"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(32–70)</w:t>
            </w:r>
          </w:p>
        </w:tc>
        <w:tc>
          <w:tcPr>
            <w:tcW w:w="1676" w:type="dxa"/>
            <w:tcBorders>
              <w:top w:val="single" w:sz="12" w:space="0" w:color="auto"/>
              <w:left w:val="nil"/>
              <w:bottom w:val="single" w:sz="8" w:space="0" w:color="FFFFFF"/>
              <w:right w:val="single" w:sz="8" w:space="0" w:color="FFFFFF"/>
            </w:tcBorders>
            <w:shd w:val="clear" w:color="000000" w:fill="FFFFFF"/>
            <w:vAlign w:val="center"/>
            <w:hideMark/>
          </w:tcPr>
          <w:p w14:paraId="5D159C28"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15.90 ± 0.54 </w:t>
            </w:r>
          </w:p>
          <w:p w14:paraId="2114953B"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(11–24)</w:t>
            </w:r>
          </w:p>
        </w:tc>
        <w:tc>
          <w:tcPr>
            <w:tcW w:w="1576" w:type="dxa"/>
            <w:tcBorders>
              <w:top w:val="single" w:sz="12" w:space="0" w:color="auto"/>
              <w:left w:val="nil"/>
              <w:bottom w:val="single" w:sz="8" w:space="0" w:color="FFFFFF"/>
              <w:right w:val="single" w:sz="8" w:space="0" w:color="FFFFFF"/>
            </w:tcBorders>
            <w:shd w:val="clear" w:color="000000" w:fill="FFFFFF"/>
            <w:vAlign w:val="center"/>
            <w:hideMark/>
          </w:tcPr>
          <w:p w14:paraId="2DADC516"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39.45 ± 2.51 </w:t>
            </w:r>
          </w:p>
          <w:p w14:paraId="7E6EAFDC"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(32–62)</w:t>
            </w:r>
          </w:p>
        </w:tc>
        <w:tc>
          <w:tcPr>
            <w:tcW w:w="2016" w:type="dxa"/>
            <w:tcBorders>
              <w:top w:val="single" w:sz="12" w:space="0" w:color="auto"/>
              <w:left w:val="nil"/>
              <w:bottom w:val="single" w:sz="8" w:space="0" w:color="FFFFFF"/>
              <w:right w:val="single" w:sz="8" w:space="0" w:color="FFFFFF"/>
            </w:tcBorders>
            <w:shd w:val="clear" w:color="000000" w:fill="FFFFFF"/>
            <w:vAlign w:val="center"/>
            <w:hideMark/>
          </w:tcPr>
          <w:p w14:paraId="775D8713"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21 ± 0.97 </w:t>
            </w:r>
          </w:p>
          <w:p w14:paraId="5A13E35B"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(17–26)</w:t>
            </w:r>
          </w:p>
        </w:tc>
      </w:tr>
      <w:tr w:rsidR="00DA0DA2" w:rsidRPr="00D95A45" w14:paraId="23B8E729" w14:textId="77777777" w:rsidTr="003E0C34">
        <w:trPr>
          <w:trHeight w:val="260"/>
        </w:trPr>
        <w:tc>
          <w:tcPr>
            <w:tcW w:w="587" w:type="dxa"/>
            <w:vMerge/>
            <w:tcBorders>
              <w:top w:val="nil"/>
              <w:left w:val="single" w:sz="8" w:space="0" w:color="FFFFFF"/>
              <w:bottom w:val="single" w:sz="12" w:space="0" w:color="000000"/>
              <w:right w:val="single" w:sz="8" w:space="0" w:color="FFFFFF"/>
            </w:tcBorders>
            <w:vAlign w:val="center"/>
            <w:hideMark/>
          </w:tcPr>
          <w:p w14:paraId="2742520A" w14:textId="77777777" w:rsidR="00DA0DA2" w:rsidRPr="002907C0" w:rsidRDefault="00DA0DA2" w:rsidP="003E0C34">
            <w:pPr>
              <w:spacing w:after="0" w:line="240" w:lineRule="auto"/>
              <w:rPr>
                <w:rFonts w:eastAsia="Times New Roman" w:cs="Times New Roman"/>
                <w:sz w:val="20"/>
                <w:szCs w:val="20"/>
              </w:rPr>
            </w:pPr>
          </w:p>
        </w:tc>
        <w:tc>
          <w:tcPr>
            <w:tcW w:w="1590" w:type="dxa"/>
            <w:tcBorders>
              <w:top w:val="nil"/>
              <w:left w:val="nil"/>
              <w:bottom w:val="single" w:sz="8" w:space="0" w:color="FFFFFF"/>
              <w:right w:val="single" w:sz="8" w:space="0" w:color="FFFFFF"/>
            </w:tcBorders>
            <w:shd w:val="clear" w:color="000000" w:fill="FFFFFF"/>
            <w:vAlign w:val="center"/>
            <w:hideMark/>
          </w:tcPr>
          <w:p w14:paraId="36520FFE" w14:textId="77777777" w:rsidR="00DA0DA2" w:rsidRPr="00D95A45"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 xml:space="preserve">SOL depth </w:t>
            </w:r>
          </w:p>
          <w:p w14:paraId="053C4C42" w14:textId="77777777" w:rsidR="00DA0DA2" w:rsidRPr="002907C0"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(cm)</w:t>
            </w:r>
          </w:p>
        </w:tc>
        <w:tc>
          <w:tcPr>
            <w:tcW w:w="1849" w:type="dxa"/>
            <w:tcBorders>
              <w:top w:val="nil"/>
              <w:left w:val="nil"/>
              <w:bottom w:val="single" w:sz="8" w:space="0" w:color="FFFFFF"/>
              <w:right w:val="single" w:sz="8" w:space="0" w:color="FFFFFF"/>
            </w:tcBorders>
            <w:shd w:val="clear" w:color="000000" w:fill="FFFFFF"/>
            <w:vAlign w:val="center"/>
            <w:hideMark/>
          </w:tcPr>
          <w:p w14:paraId="7546304D"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27.17 ± 1.37 </w:t>
            </w:r>
          </w:p>
          <w:p w14:paraId="20B8003F"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(7.12–71.74)</w:t>
            </w:r>
          </w:p>
        </w:tc>
        <w:tc>
          <w:tcPr>
            <w:tcW w:w="1676" w:type="dxa"/>
            <w:tcBorders>
              <w:top w:val="nil"/>
              <w:left w:val="nil"/>
              <w:bottom w:val="single" w:sz="8" w:space="0" w:color="FFFFFF"/>
              <w:right w:val="single" w:sz="8" w:space="0" w:color="FFFFFF"/>
            </w:tcBorders>
            <w:shd w:val="clear" w:color="000000" w:fill="FFFFFF"/>
            <w:vAlign w:val="center"/>
            <w:hideMark/>
          </w:tcPr>
          <w:p w14:paraId="4DEE378B"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19.78 ± 1.38 </w:t>
            </w:r>
          </w:p>
          <w:p w14:paraId="46D5B459"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(6.58–43.03)</w:t>
            </w:r>
          </w:p>
        </w:tc>
        <w:tc>
          <w:tcPr>
            <w:tcW w:w="1676" w:type="dxa"/>
            <w:tcBorders>
              <w:top w:val="nil"/>
              <w:left w:val="nil"/>
              <w:bottom w:val="single" w:sz="8" w:space="0" w:color="FFFFFF"/>
              <w:right w:val="single" w:sz="8" w:space="0" w:color="FFFFFF"/>
            </w:tcBorders>
            <w:shd w:val="clear" w:color="000000" w:fill="FFFFFF"/>
            <w:vAlign w:val="center"/>
            <w:hideMark/>
          </w:tcPr>
          <w:p w14:paraId="0F74A6E8"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12.80 ± 1.15 </w:t>
            </w:r>
          </w:p>
          <w:p w14:paraId="0933CD54"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(4.85–35.08)</w:t>
            </w:r>
          </w:p>
        </w:tc>
        <w:tc>
          <w:tcPr>
            <w:tcW w:w="1576" w:type="dxa"/>
            <w:tcBorders>
              <w:top w:val="nil"/>
              <w:left w:val="nil"/>
              <w:bottom w:val="single" w:sz="8" w:space="0" w:color="FFFFFF"/>
              <w:right w:val="single" w:sz="8" w:space="0" w:color="FFFFFF"/>
            </w:tcBorders>
            <w:shd w:val="clear" w:color="000000" w:fill="FFFFFF"/>
            <w:vAlign w:val="center"/>
            <w:hideMark/>
          </w:tcPr>
          <w:p w14:paraId="2358C817"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19.13 ± 3.24 </w:t>
            </w:r>
          </w:p>
          <w:p w14:paraId="2000D327"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(7.61–41.41)</w:t>
            </w:r>
          </w:p>
        </w:tc>
        <w:tc>
          <w:tcPr>
            <w:tcW w:w="2016" w:type="dxa"/>
            <w:tcBorders>
              <w:top w:val="nil"/>
              <w:left w:val="nil"/>
              <w:bottom w:val="single" w:sz="8" w:space="0" w:color="FFFFFF"/>
              <w:right w:val="single" w:sz="8" w:space="0" w:color="FFFFFF"/>
            </w:tcBorders>
            <w:shd w:val="clear" w:color="000000" w:fill="FFFFFF"/>
            <w:vAlign w:val="center"/>
            <w:hideMark/>
          </w:tcPr>
          <w:p w14:paraId="5AB14CDE"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14.60 ± 2.50 </w:t>
            </w:r>
          </w:p>
          <w:p w14:paraId="5EDEC859"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(6.03–39.08)</w:t>
            </w:r>
          </w:p>
        </w:tc>
      </w:tr>
      <w:tr w:rsidR="00DA0DA2" w:rsidRPr="00D95A45" w14:paraId="63918050" w14:textId="77777777" w:rsidTr="003E0C34">
        <w:trPr>
          <w:trHeight w:val="260"/>
        </w:trPr>
        <w:tc>
          <w:tcPr>
            <w:tcW w:w="587" w:type="dxa"/>
            <w:vMerge/>
            <w:tcBorders>
              <w:top w:val="nil"/>
              <w:left w:val="single" w:sz="8" w:space="0" w:color="FFFFFF"/>
              <w:bottom w:val="single" w:sz="12" w:space="0" w:color="000000"/>
              <w:right w:val="single" w:sz="8" w:space="0" w:color="FFFFFF"/>
            </w:tcBorders>
            <w:vAlign w:val="center"/>
            <w:hideMark/>
          </w:tcPr>
          <w:p w14:paraId="0788C7CB" w14:textId="77777777" w:rsidR="00DA0DA2" w:rsidRPr="002907C0" w:rsidRDefault="00DA0DA2" w:rsidP="003E0C34">
            <w:pPr>
              <w:spacing w:after="0" w:line="240" w:lineRule="auto"/>
              <w:rPr>
                <w:rFonts w:eastAsia="Times New Roman" w:cs="Times New Roman"/>
                <w:sz w:val="20"/>
                <w:szCs w:val="20"/>
              </w:rPr>
            </w:pPr>
          </w:p>
        </w:tc>
        <w:tc>
          <w:tcPr>
            <w:tcW w:w="1590" w:type="dxa"/>
            <w:tcBorders>
              <w:top w:val="nil"/>
              <w:left w:val="nil"/>
              <w:bottom w:val="single" w:sz="8" w:space="0" w:color="FFFFFF"/>
              <w:right w:val="single" w:sz="8" w:space="0" w:color="FFFFFF"/>
            </w:tcBorders>
            <w:shd w:val="clear" w:color="000000" w:fill="FFFFFF"/>
            <w:vAlign w:val="center"/>
            <w:hideMark/>
          </w:tcPr>
          <w:p w14:paraId="25657D8E" w14:textId="77777777" w:rsidR="00DA0DA2" w:rsidRPr="00D95A45" w:rsidRDefault="00DA0DA2" w:rsidP="003E0C34">
            <w:pPr>
              <w:spacing w:after="0" w:line="240" w:lineRule="auto"/>
              <w:rPr>
                <w:rFonts w:eastAsia="Times New Roman" w:cs="Times New Roman"/>
                <w:sz w:val="20"/>
                <w:szCs w:val="20"/>
              </w:rPr>
            </w:pPr>
            <w:r w:rsidRPr="00D95A45">
              <w:rPr>
                <w:rFonts w:eastAsia="Times New Roman" w:cs="Times New Roman"/>
                <w:sz w:val="20"/>
                <w:szCs w:val="20"/>
              </w:rPr>
              <w:t>T</w:t>
            </w:r>
            <w:r w:rsidRPr="002907C0">
              <w:rPr>
                <w:rFonts w:eastAsia="Times New Roman" w:cs="Times New Roman"/>
                <w:sz w:val="20"/>
                <w:szCs w:val="20"/>
              </w:rPr>
              <w:t xml:space="preserve">ree density </w:t>
            </w:r>
          </w:p>
          <w:p w14:paraId="418E7D03" w14:textId="77777777" w:rsidR="00DA0DA2" w:rsidRPr="002907C0"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(stems m</w:t>
            </w:r>
            <w:r w:rsidRPr="002907C0">
              <w:rPr>
                <w:rFonts w:eastAsia="Times New Roman" w:cs="Times New Roman"/>
                <w:sz w:val="20"/>
                <w:szCs w:val="20"/>
                <w:vertAlign w:val="superscript"/>
              </w:rPr>
              <w:t>-2</w:t>
            </w:r>
            <w:r w:rsidRPr="002907C0">
              <w:rPr>
                <w:rFonts w:eastAsia="Times New Roman" w:cs="Times New Roman"/>
                <w:sz w:val="20"/>
                <w:szCs w:val="20"/>
              </w:rPr>
              <w:t>)</w:t>
            </w:r>
          </w:p>
        </w:tc>
        <w:tc>
          <w:tcPr>
            <w:tcW w:w="1849" w:type="dxa"/>
            <w:tcBorders>
              <w:top w:val="nil"/>
              <w:left w:val="nil"/>
              <w:bottom w:val="single" w:sz="8" w:space="0" w:color="FFFFFF"/>
              <w:right w:val="single" w:sz="8" w:space="0" w:color="FFFFFF"/>
            </w:tcBorders>
            <w:shd w:val="clear" w:color="000000" w:fill="FFFFFF"/>
            <w:vAlign w:val="center"/>
            <w:hideMark/>
          </w:tcPr>
          <w:p w14:paraId="125EC06C"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0.97 ± 0.10 </w:t>
            </w:r>
          </w:p>
          <w:p w14:paraId="5808AB07"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(0.10–3.73)</w:t>
            </w:r>
          </w:p>
        </w:tc>
        <w:tc>
          <w:tcPr>
            <w:tcW w:w="1676" w:type="dxa"/>
            <w:tcBorders>
              <w:top w:val="nil"/>
              <w:left w:val="nil"/>
              <w:bottom w:val="single" w:sz="8" w:space="0" w:color="FFFFFF"/>
              <w:right w:val="single" w:sz="8" w:space="0" w:color="FFFFFF"/>
            </w:tcBorders>
            <w:shd w:val="clear" w:color="000000" w:fill="FFFFFF"/>
            <w:vAlign w:val="center"/>
            <w:hideMark/>
          </w:tcPr>
          <w:p w14:paraId="5F96036F"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1.24 ± 0.23 </w:t>
            </w:r>
          </w:p>
          <w:p w14:paraId="190E95A3"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(0–9.40)</w:t>
            </w:r>
          </w:p>
        </w:tc>
        <w:tc>
          <w:tcPr>
            <w:tcW w:w="1676" w:type="dxa"/>
            <w:tcBorders>
              <w:top w:val="nil"/>
              <w:left w:val="nil"/>
              <w:bottom w:val="single" w:sz="8" w:space="0" w:color="FFFFFF"/>
              <w:right w:val="single" w:sz="8" w:space="0" w:color="FFFFFF"/>
            </w:tcBorders>
            <w:shd w:val="clear" w:color="000000" w:fill="FFFFFF"/>
            <w:vAlign w:val="center"/>
            <w:hideMark/>
          </w:tcPr>
          <w:p w14:paraId="5F8F5FA9"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0.55 ± 0.15 </w:t>
            </w:r>
          </w:p>
          <w:p w14:paraId="1A55C13F"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(0–6.15)</w:t>
            </w:r>
          </w:p>
        </w:tc>
        <w:tc>
          <w:tcPr>
            <w:tcW w:w="1576" w:type="dxa"/>
            <w:tcBorders>
              <w:top w:val="nil"/>
              <w:left w:val="nil"/>
              <w:bottom w:val="single" w:sz="8" w:space="0" w:color="FFFFFF"/>
              <w:right w:val="single" w:sz="8" w:space="0" w:color="FFFFFF"/>
            </w:tcBorders>
            <w:shd w:val="clear" w:color="000000" w:fill="FFFFFF"/>
            <w:vAlign w:val="center"/>
            <w:hideMark/>
          </w:tcPr>
          <w:p w14:paraId="66E3421C"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0.62 ± 0.24 </w:t>
            </w:r>
          </w:p>
          <w:p w14:paraId="376C1D2A"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(0–2.58)</w:t>
            </w:r>
          </w:p>
        </w:tc>
        <w:tc>
          <w:tcPr>
            <w:tcW w:w="2016" w:type="dxa"/>
            <w:tcBorders>
              <w:top w:val="nil"/>
              <w:left w:val="nil"/>
              <w:bottom w:val="single" w:sz="8" w:space="0" w:color="FFFFFF"/>
              <w:right w:val="single" w:sz="8" w:space="0" w:color="FFFFFF"/>
            </w:tcBorders>
            <w:shd w:val="clear" w:color="000000" w:fill="FFFFFF"/>
            <w:vAlign w:val="center"/>
            <w:hideMark/>
          </w:tcPr>
          <w:p w14:paraId="49A7AACD"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1.44 ± 0.46 </w:t>
            </w:r>
          </w:p>
          <w:p w14:paraId="40504C72"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(0–5.68)</w:t>
            </w:r>
          </w:p>
        </w:tc>
      </w:tr>
      <w:tr w:rsidR="00DA0DA2" w:rsidRPr="00D95A45" w14:paraId="5F49BD53" w14:textId="77777777" w:rsidTr="003E0C34">
        <w:trPr>
          <w:trHeight w:val="260"/>
        </w:trPr>
        <w:tc>
          <w:tcPr>
            <w:tcW w:w="587" w:type="dxa"/>
            <w:vMerge/>
            <w:tcBorders>
              <w:top w:val="nil"/>
              <w:left w:val="single" w:sz="8" w:space="0" w:color="FFFFFF"/>
              <w:bottom w:val="single" w:sz="12" w:space="0" w:color="000000"/>
              <w:right w:val="single" w:sz="8" w:space="0" w:color="FFFFFF"/>
            </w:tcBorders>
            <w:vAlign w:val="center"/>
            <w:hideMark/>
          </w:tcPr>
          <w:p w14:paraId="5FF4612A" w14:textId="77777777" w:rsidR="00DA0DA2" w:rsidRPr="002907C0" w:rsidRDefault="00DA0DA2" w:rsidP="003E0C34">
            <w:pPr>
              <w:spacing w:after="0" w:line="240" w:lineRule="auto"/>
              <w:rPr>
                <w:rFonts w:eastAsia="Times New Roman" w:cs="Times New Roman"/>
                <w:sz w:val="20"/>
                <w:szCs w:val="20"/>
              </w:rPr>
            </w:pPr>
          </w:p>
        </w:tc>
        <w:tc>
          <w:tcPr>
            <w:tcW w:w="1590" w:type="dxa"/>
            <w:tcBorders>
              <w:top w:val="nil"/>
              <w:left w:val="nil"/>
              <w:bottom w:val="single" w:sz="8" w:space="0" w:color="FFFFFF"/>
              <w:right w:val="single" w:sz="8" w:space="0" w:color="FFFFFF"/>
            </w:tcBorders>
            <w:shd w:val="clear" w:color="000000" w:fill="FFFFFF"/>
            <w:vAlign w:val="center"/>
            <w:hideMark/>
          </w:tcPr>
          <w:p w14:paraId="3D407BDF" w14:textId="77777777" w:rsidR="00DA0DA2" w:rsidRPr="00D95A45" w:rsidRDefault="00DA0DA2" w:rsidP="003E0C34">
            <w:pPr>
              <w:spacing w:after="0" w:line="240" w:lineRule="auto"/>
              <w:rPr>
                <w:rFonts w:eastAsia="Times New Roman" w:cs="Times New Roman"/>
                <w:sz w:val="20"/>
                <w:szCs w:val="20"/>
              </w:rPr>
            </w:pPr>
            <w:r w:rsidRPr="00D95A45">
              <w:rPr>
                <w:rFonts w:eastAsia="Times New Roman" w:cs="Times New Roman"/>
                <w:sz w:val="20"/>
                <w:szCs w:val="20"/>
              </w:rPr>
              <w:t>T</w:t>
            </w:r>
            <w:r w:rsidRPr="002907C0">
              <w:rPr>
                <w:rFonts w:eastAsia="Times New Roman" w:cs="Times New Roman"/>
                <w:sz w:val="20"/>
                <w:szCs w:val="20"/>
              </w:rPr>
              <w:t xml:space="preserve">ree basal area </w:t>
            </w:r>
          </w:p>
          <w:p w14:paraId="6DDCFE43" w14:textId="77777777" w:rsidR="00DA0DA2" w:rsidRPr="002907C0"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(cm</w:t>
            </w:r>
            <w:r w:rsidRPr="002907C0">
              <w:rPr>
                <w:rFonts w:eastAsia="Times New Roman" w:cs="Times New Roman"/>
                <w:sz w:val="20"/>
                <w:szCs w:val="20"/>
                <w:vertAlign w:val="superscript"/>
              </w:rPr>
              <w:t>2</w:t>
            </w:r>
            <w:r w:rsidRPr="002907C0">
              <w:rPr>
                <w:rFonts w:eastAsia="Times New Roman" w:cs="Times New Roman"/>
                <w:sz w:val="20"/>
                <w:szCs w:val="20"/>
              </w:rPr>
              <w:t xml:space="preserve"> m</w:t>
            </w:r>
            <w:r w:rsidRPr="002907C0">
              <w:rPr>
                <w:rFonts w:eastAsia="Times New Roman" w:cs="Times New Roman"/>
                <w:sz w:val="20"/>
                <w:szCs w:val="20"/>
                <w:vertAlign w:val="superscript"/>
              </w:rPr>
              <w:t>-2</w:t>
            </w:r>
            <w:r w:rsidRPr="002907C0">
              <w:rPr>
                <w:rFonts w:eastAsia="Times New Roman" w:cs="Times New Roman"/>
                <w:sz w:val="20"/>
                <w:szCs w:val="20"/>
              </w:rPr>
              <w:t>)</w:t>
            </w:r>
          </w:p>
        </w:tc>
        <w:tc>
          <w:tcPr>
            <w:tcW w:w="1849" w:type="dxa"/>
            <w:tcBorders>
              <w:top w:val="nil"/>
              <w:left w:val="nil"/>
              <w:bottom w:val="single" w:sz="8" w:space="0" w:color="FFFFFF"/>
              <w:right w:val="single" w:sz="8" w:space="0" w:color="FFFFFF"/>
            </w:tcBorders>
            <w:shd w:val="clear" w:color="000000" w:fill="FFFFFF"/>
            <w:vAlign w:val="center"/>
            <w:hideMark/>
          </w:tcPr>
          <w:p w14:paraId="521351E4"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3417.78 ± 479.09 </w:t>
            </w:r>
          </w:p>
          <w:p w14:paraId="4A3973EA"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(180.56–26108.56)</w:t>
            </w:r>
          </w:p>
        </w:tc>
        <w:tc>
          <w:tcPr>
            <w:tcW w:w="1676" w:type="dxa"/>
            <w:tcBorders>
              <w:top w:val="nil"/>
              <w:left w:val="nil"/>
              <w:bottom w:val="single" w:sz="8" w:space="0" w:color="FFFFFF"/>
              <w:right w:val="single" w:sz="8" w:space="0" w:color="FFFFFF"/>
            </w:tcBorders>
            <w:shd w:val="clear" w:color="000000" w:fill="FFFFFF"/>
            <w:vAlign w:val="center"/>
            <w:hideMark/>
          </w:tcPr>
          <w:p w14:paraId="1920BAEA"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2985.15 ± 885.79 </w:t>
            </w:r>
          </w:p>
          <w:p w14:paraId="17AF73DC"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(0–41387.69)</w:t>
            </w:r>
          </w:p>
        </w:tc>
        <w:tc>
          <w:tcPr>
            <w:tcW w:w="1676" w:type="dxa"/>
            <w:tcBorders>
              <w:top w:val="nil"/>
              <w:left w:val="nil"/>
              <w:bottom w:val="single" w:sz="8" w:space="0" w:color="FFFFFF"/>
              <w:right w:val="single" w:sz="8" w:space="0" w:color="FFFFFF"/>
            </w:tcBorders>
            <w:shd w:val="clear" w:color="000000" w:fill="FFFFFF"/>
            <w:vAlign w:val="center"/>
            <w:hideMark/>
          </w:tcPr>
          <w:p w14:paraId="40FC7206"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1101.89 ± 374.89 </w:t>
            </w:r>
          </w:p>
          <w:p w14:paraId="2FAF2560"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(0–15618.54)</w:t>
            </w:r>
          </w:p>
        </w:tc>
        <w:tc>
          <w:tcPr>
            <w:tcW w:w="1576" w:type="dxa"/>
            <w:tcBorders>
              <w:top w:val="nil"/>
              <w:left w:val="nil"/>
              <w:bottom w:val="single" w:sz="8" w:space="0" w:color="FFFFFF"/>
              <w:right w:val="single" w:sz="8" w:space="0" w:color="FFFFFF"/>
            </w:tcBorders>
            <w:shd w:val="clear" w:color="000000" w:fill="FFFFFF"/>
            <w:vAlign w:val="center"/>
            <w:hideMark/>
          </w:tcPr>
          <w:p w14:paraId="6D399B81"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827.33 ± 423.40 </w:t>
            </w:r>
          </w:p>
          <w:p w14:paraId="560F9694"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(0–5679.04)</w:t>
            </w:r>
          </w:p>
        </w:tc>
        <w:tc>
          <w:tcPr>
            <w:tcW w:w="2016" w:type="dxa"/>
            <w:tcBorders>
              <w:top w:val="nil"/>
              <w:left w:val="nil"/>
              <w:bottom w:val="single" w:sz="8" w:space="0" w:color="FFFFFF"/>
              <w:right w:val="single" w:sz="8" w:space="0" w:color="FFFFFF"/>
            </w:tcBorders>
            <w:shd w:val="clear" w:color="000000" w:fill="FFFFFF"/>
            <w:vAlign w:val="center"/>
            <w:hideMark/>
          </w:tcPr>
          <w:p w14:paraId="2F108934"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618.29 ± 225.90 </w:t>
            </w:r>
          </w:p>
          <w:p w14:paraId="286C56C6"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(0–2957.87)</w:t>
            </w:r>
          </w:p>
        </w:tc>
      </w:tr>
      <w:tr w:rsidR="00DA0DA2" w:rsidRPr="00D95A45" w14:paraId="2383CC11" w14:textId="77777777" w:rsidTr="003E0C34">
        <w:trPr>
          <w:trHeight w:val="260"/>
        </w:trPr>
        <w:tc>
          <w:tcPr>
            <w:tcW w:w="587" w:type="dxa"/>
            <w:vMerge/>
            <w:tcBorders>
              <w:top w:val="nil"/>
              <w:left w:val="single" w:sz="8" w:space="0" w:color="FFFFFF"/>
              <w:bottom w:val="single" w:sz="12" w:space="0" w:color="000000"/>
              <w:right w:val="single" w:sz="8" w:space="0" w:color="FFFFFF"/>
            </w:tcBorders>
            <w:vAlign w:val="center"/>
            <w:hideMark/>
          </w:tcPr>
          <w:p w14:paraId="2AF0F95D" w14:textId="77777777" w:rsidR="00DA0DA2" w:rsidRPr="002907C0" w:rsidRDefault="00DA0DA2" w:rsidP="003E0C34">
            <w:pPr>
              <w:spacing w:after="0" w:line="240" w:lineRule="auto"/>
              <w:rPr>
                <w:rFonts w:eastAsia="Times New Roman" w:cs="Times New Roman"/>
                <w:sz w:val="20"/>
                <w:szCs w:val="20"/>
              </w:rPr>
            </w:pPr>
          </w:p>
        </w:tc>
        <w:tc>
          <w:tcPr>
            <w:tcW w:w="1590" w:type="dxa"/>
            <w:tcBorders>
              <w:top w:val="nil"/>
              <w:left w:val="nil"/>
              <w:bottom w:val="single" w:sz="12" w:space="0" w:color="auto"/>
              <w:right w:val="single" w:sz="8" w:space="0" w:color="FFFFFF"/>
            </w:tcBorders>
            <w:shd w:val="clear" w:color="000000" w:fill="FFFFFF"/>
            <w:vAlign w:val="center"/>
            <w:hideMark/>
          </w:tcPr>
          <w:p w14:paraId="799B20F3" w14:textId="77777777" w:rsidR="00DA0DA2" w:rsidRPr="002907C0" w:rsidRDefault="00DA0DA2" w:rsidP="003E0C34">
            <w:pPr>
              <w:spacing w:after="0" w:line="240" w:lineRule="auto"/>
              <w:rPr>
                <w:rFonts w:eastAsia="Times New Roman" w:cs="Times New Roman"/>
                <w:sz w:val="20"/>
                <w:szCs w:val="20"/>
              </w:rPr>
            </w:pPr>
            <w:r w:rsidRPr="002907C0">
              <w:rPr>
                <w:rFonts w:eastAsia="Times New Roman" w:cs="Times New Roman"/>
                <w:sz w:val="20"/>
                <w:szCs w:val="20"/>
              </w:rPr>
              <w:t>Proportion black spruce (0-1)</w:t>
            </w:r>
          </w:p>
        </w:tc>
        <w:tc>
          <w:tcPr>
            <w:tcW w:w="1849" w:type="dxa"/>
            <w:tcBorders>
              <w:top w:val="nil"/>
              <w:left w:val="nil"/>
              <w:bottom w:val="single" w:sz="12" w:space="0" w:color="auto"/>
              <w:right w:val="single" w:sz="8" w:space="0" w:color="FFFFFF"/>
            </w:tcBorders>
            <w:shd w:val="clear" w:color="000000" w:fill="FFFFFF"/>
            <w:vAlign w:val="center"/>
            <w:hideMark/>
          </w:tcPr>
          <w:p w14:paraId="4F4C0502"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 xml:space="preserve">0.88 ± 0.03 </w:t>
            </w:r>
          </w:p>
          <w:p w14:paraId="32690BF2"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(0–1)</w:t>
            </w:r>
          </w:p>
        </w:tc>
        <w:tc>
          <w:tcPr>
            <w:tcW w:w="1676" w:type="dxa"/>
            <w:tcBorders>
              <w:top w:val="nil"/>
              <w:left w:val="nil"/>
              <w:bottom w:val="single" w:sz="12" w:space="0" w:color="auto"/>
              <w:right w:val="single" w:sz="8" w:space="0" w:color="FFFFFF"/>
            </w:tcBorders>
            <w:shd w:val="clear" w:color="000000" w:fill="FFFFFF"/>
            <w:vAlign w:val="center"/>
            <w:hideMark/>
          </w:tcPr>
          <w:p w14:paraId="02FC242D"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 xml:space="preserve">0.88 ± 0.03 </w:t>
            </w:r>
          </w:p>
          <w:p w14:paraId="1E047CFC"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(0.03–1)</w:t>
            </w:r>
          </w:p>
        </w:tc>
        <w:tc>
          <w:tcPr>
            <w:tcW w:w="1676" w:type="dxa"/>
            <w:tcBorders>
              <w:top w:val="nil"/>
              <w:left w:val="nil"/>
              <w:bottom w:val="single" w:sz="12" w:space="0" w:color="auto"/>
              <w:right w:val="single" w:sz="8" w:space="0" w:color="FFFFFF"/>
            </w:tcBorders>
            <w:shd w:val="clear" w:color="000000" w:fill="FFFFFF"/>
            <w:vAlign w:val="center"/>
            <w:hideMark/>
          </w:tcPr>
          <w:p w14:paraId="2D3B9097"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 xml:space="preserve">0.36 ± 0.06 </w:t>
            </w:r>
          </w:p>
          <w:p w14:paraId="6126AE72"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(0–1)</w:t>
            </w:r>
          </w:p>
        </w:tc>
        <w:tc>
          <w:tcPr>
            <w:tcW w:w="1576" w:type="dxa"/>
            <w:tcBorders>
              <w:top w:val="nil"/>
              <w:left w:val="nil"/>
              <w:bottom w:val="single" w:sz="12" w:space="0" w:color="auto"/>
              <w:right w:val="single" w:sz="8" w:space="0" w:color="FFFFFF"/>
            </w:tcBorders>
            <w:shd w:val="clear" w:color="000000" w:fill="FFFFFF"/>
            <w:vAlign w:val="center"/>
            <w:hideMark/>
          </w:tcPr>
          <w:p w14:paraId="23FF3118"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 xml:space="preserve">0.59 ± 0.14 </w:t>
            </w:r>
          </w:p>
          <w:p w14:paraId="100B2BDB"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(0–1)</w:t>
            </w:r>
          </w:p>
        </w:tc>
        <w:tc>
          <w:tcPr>
            <w:tcW w:w="2016" w:type="dxa"/>
            <w:tcBorders>
              <w:top w:val="nil"/>
              <w:left w:val="nil"/>
              <w:bottom w:val="single" w:sz="12" w:space="0" w:color="auto"/>
              <w:right w:val="single" w:sz="8" w:space="0" w:color="FFFFFF"/>
            </w:tcBorders>
            <w:shd w:val="clear" w:color="000000" w:fill="FFFFFF"/>
            <w:vAlign w:val="center"/>
            <w:hideMark/>
          </w:tcPr>
          <w:p w14:paraId="179E24A3" w14:textId="77777777" w:rsidR="00DA0DA2" w:rsidRPr="00D95A45"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 xml:space="preserve">0.78 ± 0.09 </w:t>
            </w:r>
          </w:p>
          <w:p w14:paraId="28F03DE9" w14:textId="77777777" w:rsidR="00DA0DA2" w:rsidRPr="002907C0" w:rsidRDefault="00DA0DA2" w:rsidP="003E0C34">
            <w:pPr>
              <w:spacing w:after="0" w:line="240" w:lineRule="auto"/>
              <w:jc w:val="center"/>
              <w:rPr>
                <w:rFonts w:eastAsia="Times New Roman" w:cs="Times New Roman"/>
                <w:sz w:val="20"/>
                <w:szCs w:val="20"/>
              </w:rPr>
            </w:pPr>
            <w:r w:rsidRPr="002907C0">
              <w:rPr>
                <w:rFonts w:eastAsia="Times New Roman" w:cs="Times New Roman"/>
                <w:sz w:val="20"/>
                <w:szCs w:val="20"/>
              </w:rPr>
              <w:t>(0–1)</w:t>
            </w:r>
          </w:p>
        </w:tc>
      </w:tr>
    </w:tbl>
    <w:p w14:paraId="79C48A19" w14:textId="77777777" w:rsidR="00DA0DA2" w:rsidRDefault="00DA0DA2" w:rsidP="00622D01">
      <w:pPr>
        <w:tabs>
          <w:tab w:val="left" w:pos="0"/>
        </w:tabs>
        <w:spacing w:after="0" w:line="480" w:lineRule="auto"/>
        <w:jc w:val="both"/>
        <w:rPr>
          <w:rFonts w:cs="Times New Roman"/>
        </w:rPr>
        <w:sectPr w:rsidR="00DA0DA2" w:rsidSect="00995725">
          <w:pgSz w:w="12240" w:h="15840"/>
          <w:pgMar w:top="1440" w:right="1440" w:bottom="1440" w:left="1440" w:header="720" w:footer="720" w:gutter="0"/>
          <w:lnNumType w:countBy="1" w:restart="continuous"/>
          <w:cols w:space="720"/>
          <w:docGrid w:linePitch="360"/>
        </w:sectPr>
      </w:pPr>
    </w:p>
    <w:p w14:paraId="2CFBE2E8" w14:textId="011D2411" w:rsidR="00AF5B64" w:rsidRDefault="00AF5B64" w:rsidP="00AF5B64">
      <w:pPr>
        <w:rPr>
          <w:rFonts w:cs="Times New Roman"/>
        </w:rPr>
      </w:pPr>
      <w:r w:rsidRPr="00D95A45">
        <w:rPr>
          <w:rFonts w:cs="Times New Roman"/>
        </w:rPr>
        <w:lastRenderedPageBreak/>
        <w:t>Table 2. Estimates of</w:t>
      </w:r>
      <w:r>
        <w:rPr>
          <w:rFonts w:cs="Times New Roman"/>
        </w:rPr>
        <w:t xml:space="preserve"> </w:t>
      </w:r>
      <w:r w:rsidRPr="007C6DE1">
        <w:rPr>
          <w:rFonts w:cs="Times New Roman"/>
        </w:rPr>
        <w:t>belowground</w:t>
      </w:r>
      <w:r>
        <w:rPr>
          <w:rFonts w:cs="Times New Roman"/>
        </w:rPr>
        <w:t xml:space="preserve">, </w:t>
      </w:r>
      <w:r w:rsidRPr="007C6DE1">
        <w:rPr>
          <w:rFonts w:cs="Times New Roman"/>
        </w:rPr>
        <w:t>aboveground</w:t>
      </w:r>
      <w:r>
        <w:rPr>
          <w:rFonts w:cs="Times New Roman"/>
        </w:rPr>
        <w:t xml:space="preserve">, and total </w:t>
      </w:r>
      <w:r w:rsidRPr="007C6DE1">
        <w:rPr>
          <w:rFonts w:cs="Times New Roman"/>
        </w:rPr>
        <w:t>legacy C combusted—C that escaped combustion in one or more previous fires—for each of the reburned FRI classes</w:t>
      </w:r>
      <w:r>
        <w:rPr>
          <w:rFonts w:cs="Times New Roman"/>
        </w:rPr>
        <w:t>. L</w:t>
      </w:r>
      <w:r w:rsidRPr="00B937C2">
        <w:rPr>
          <w:rFonts w:cs="Times New Roman"/>
        </w:rPr>
        <w:t>egacy C combustion was calculated as the difference between the C pool accumulated during the fire-free interval and C lost in the most recent fire. Carbon accumulation for the mid and short FRIs was estimated as the difference between the</w:t>
      </w:r>
      <w:r>
        <w:rPr>
          <w:rFonts w:cs="Times New Roman"/>
        </w:rPr>
        <w:t>ir</w:t>
      </w:r>
      <w:r w:rsidRPr="00B937C2">
        <w:rPr>
          <w:rFonts w:cs="Times New Roman"/>
        </w:rPr>
        <w:t xml:space="preserve"> pre-fire C pool</w:t>
      </w:r>
      <w:r>
        <w:rPr>
          <w:rFonts w:cs="Times New Roman"/>
        </w:rPr>
        <w:t>s</w:t>
      </w:r>
      <w:r w:rsidRPr="00B937C2">
        <w:rPr>
          <w:rFonts w:cs="Times New Roman"/>
        </w:rPr>
        <w:t xml:space="preserve"> and the mean post-fire C pools of long FRIs. </w:t>
      </w:r>
      <w:r w:rsidRPr="00D95A45">
        <w:rPr>
          <w:rFonts w:cs="Times New Roman"/>
        </w:rPr>
        <w:t>For triple burns, we used the post-fire C pools of the mid FRI</w:t>
      </w:r>
      <w:r>
        <w:rPr>
          <w:rFonts w:cs="Times New Roman"/>
        </w:rPr>
        <w:t>s</w:t>
      </w:r>
      <w:r w:rsidRPr="00D95A45">
        <w:rPr>
          <w:rFonts w:cs="Times New Roman"/>
        </w:rPr>
        <w:t xml:space="preserve">. </w:t>
      </w:r>
      <w:r>
        <w:rPr>
          <w:rFonts w:cs="Times New Roman"/>
        </w:rPr>
        <w:t>Note that legacy C combustion cannot be estimated for the long FRIs. T</w:t>
      </w:r>
      <w:r w:rsidRPr="00D95A45">
        <w:rPr>
          <w:rFonts w:cs="Times New Roman"/>
        </w:rPr>
        <w:t xml:space="preserve">he amount of legacy C lost or accumulated </w:t>
      </w:r>
      <w:r>
        <w:rPr>
          <w:rFonts w:cs="Times New Roman"/>
        </w:rPr>
        <w:t>i</w:t>
      </w:r>
      <w:r w:rsidRPr="00D95A45">
        <w:rPr>
          <w:rFonts w:cs="Times New Roman"/>
        </w:rPr>
        <w:t>s the difference between the accumulated C pool and C loss. The percent of C combustion attributed to legacy C (% Legacy C loss) is equivalent to legacy C lost divided by total C loss</w:t>
      </w:r>
      <w:r>
        <w:rPr>
          <w:rFonts w:cs="Times New Roman"/>
        </w:rPr>
        <w:t xml:space="preserve"> multiplied by -100</w:t>
      </w:r>
      <w:r w:rsidRPr="00D95A45">
        <w:rPr>
          <w:rFonts w:cs="Times New Roman"/>
        </w:rPr>
        <w:t xml:space="preserve">. </w:t>
      </w:r>
    </w:p>
    <w:tbl>
      <w:tblPr>
        <w:tblpPr w:leftFromText="180" w:rightFromText="180" w:vertAnchor="page" w:horzAnchor="margin" w:tblpY="4651"/>
        <w:tblW w:w="8640" w:type="dxa"/>
        <w:tblLook w:val="04A0" w:firstRow="1" w:lastRow="0" w:firstColumn="1" w:lastColumn="0" w:noHBand="0" w:noVBand="1"/>
      </w:tblPr>
      <w:tblGrid>
        <w:gridCol w:w="498"/>
        <w:gridCol w:w="3642"/>
        <w:gridCol w:w="783"/>
        <w:gridCol w:w="927"/>
        <w:gridCol w:w="900"/>
        <w:gridCol w:w="900"/>
        <w:gridCol w:w="990"/>
      </w:tblGrid>
      <w:tr w:rsidR="00AF5B64" w:rsidRPr="00E928EF" w14:paraId="24F4DC60" w14:textId="77777777" w:rsidTr="00AF5B64">
        <w:trPr>
          <w:trHeight w:val="300"/>
        </w:trPr>
        <w:tc>
          <w:tcPr>
            <w:tcW w:w="498" w:type="dxa"/>
            <w:tcBorders>
              <w:top w:val="nil"/>
              <w:left w:val="nil"/>
              <w:bottom w:val="nil"/>
              <w:right w:val="nil"/>
            </w:tcBorders>
            <w:shd w:val="clear" w:color="auto" w:fill="auto"/>
            <w:noWrap/>
            <w:vAlign w:val="bottom"/>
            <w:hideMark/>
          </w:tcPr>
          <w:p w14:paraId="563CAC5B" w14:textId="77777777" w:rsidR="00AF5B64" w:rsidRPr="00E928EF" w:rsidRDefault="00AF5B64" w:rsidP="00AF5B64">
            <w:pPr>
              <w:spacing w:after="0" w:line="240" w:lineRule="auto"/>
              <w:rPr>
                <w:rFonts w:eastAsia="Times New Roman" w:cs="Times New Roman"/>
              </w:rPr>
            </w:pPr>
          </w:p>
        </w:tc>
        <w:tc>
          <w:tcPr>
            <w:tcW w:w="3642" w:type="dxa"/>
            <w:tcBorders>
              <w:top w:val="nil"/>
              <w:left w:val="nil"/>
              <w:bottom w:val="nil"/>
              <w:right w:val="nil"/>
            </w:tcBorders>
            <w:shd w:val="clear" w:color="auto" w:fill="auto"/>
            <w:noWrap/>
            <w:vAlign w:val="bottom"/>
            <w:hideMark/>
          </w:tcPr>
          <w:p w14:paraId="70AD033C" w14:textId="77777777" w:rsidR="00AF5B64" w:rsidRPr="00E928EF" w:rsidRDefault="00AF5B64" w:rsidP="00AF5B64">
            <w:pPr>
              <w:spacing w:after="0" w:line="240" w:lineRule="auto"/>
              <w:rPr>
                <w:rFonts w:eastAsia="Times New Roman" w:cs="Times New Roman"/>
                <w:sz w:val="20"/>
                <w:szCs w:val="20"/>
              </w:rPr>
            </w:pPr>
          </w:p>
        </w:tc>
        <w:tc>
          <w:tcPr>
            <w:tcW w:w="4500" w:type="dxa"/>
            <w:gridSpan w:val="5"/>
            <w:tcBorders>
              <w:top w:val="nil"/>
              <w:left w:val="nil"/>
              <w:bottom w:val="single" w:sz="12" w:space="0" w:color="auto"/>
              <w:right w:val="nil"/>
            </w:tcBorders>
            <w:shd w:val="clear" w:color="auto" w:fill="auto"/>
            <w:noWrap/>
            <w:vAlign w:val="bottom"/>
            <w:hideMark/>
          </w:tcPr>
          <w:p w14:paraId="38620F61" w14:textId="77777777" w:rsidR="00AF5B64" w:rsidRPr="00E928EF" w:rsidRDefault="00AF5B64" w:rsidP="00AF5B64">
            <w:pPr>
              <w:spacing w:after="0" w:line="240" w:lineRule="auto"/>
              <w:jc w:val="center"/>
              <w:rPr>
                <w:rFonts w:eastAsia="Times New Roman" w:cs="Times New Roman"/>
                <w:color w:val="000000"/>
                <w:sz w:val="20"/>
                <w:szCs w:val="20"/>
              </w:rPr>
            </w:pPr>
            <w:r w:rsidRPr="00E928EF">
              <w:rPr>
                <w:rFonts w:eastAsia="Times New Roman" w:cs="Times New Roman"/>
                <w:color w:val="000000"/>
                <w:sz w:val="20"/>
                <w:szCs w:val="20"/>
              </w:rPr>
              <w:t xml:space="preserve">Fire Return Interval </w:t>
            </w:r>
          </w:p>
        </w:tc>
      </w:tr>
      <w:tr w:rsidR="00AF5B64" w:rsidRPr="00D95A45" w14:paraId="1815AE06" w14:textId="77777777" w:rsidTr="00AF5B64">
        <w:trPr>
          <w:trHeight w:val="309"/>
        </w:trPr>
        <w:tc>
          <w:tcPr>
            <w:tcW w:w="498" w:type="dxa"/>
            <w:tcBorders>
              <w:top w:val="nil"/>
              <w:left w:val="nil"/>
              <w:bottom w:val="single" w:sz="12" w:space="0" w:color="auto"/>
              <w:right w:val="nil"/>
            </w:tcBorders>
            <w:shd w:val="clear" w:color="auto" w:fill="auto"/>
            <w:noWrap/>
            <w:vAlign w:val="bottom"/>
            <w:hideMark/>
          </w:tcPr>
          <w:p w14:paraId="60B70413" w14:textId="77777777" w:rsidR="00AF5B64" w:rsidRPr="00E928EF" w:rsidRDefault="00AF5B64" w:rsidP="00AF5B64">
            <w:pPr>
              <w:spacing w:after="0" w:line="240" w:lineRule="auto"/>
              <w:rPr>
                <w:rFonts w:eastAsia="Times New Roman" w:cs="Times New Roman"/>
                <w:color w:val="000000"/>
              </w:rPr>
            </w:pPr>
            <w:r w:rsidRPr="00E928EF">
              <w:rPr>
                <w:rFonts w:eastAsia="Times New Roman" w:cs="Times New Roman"/>
                <w:color w:val="000000"/>
              </w:rPr>
              <w:t> </w:t>
            </w:r>
          </w:p>
        </w:tc>
        <w:tc>
          <w:tcPr>
            <w:tcW w:w="3642" w:type="dxa"/>
            <w:tcBorders>
              <w:top w:val="nil"/>
              <w:left w:val="nil"/>
              <w:bottom w:val="single" w:sz="12" w:space="0" w:color="auto"/>
              <w:right w:val="nil"/>
            </w:tcBorders>
            <w:shd w:val="clear" w:color="auto" w:fill="auto"/>
            <w:noWrap/>
            <w:vAlign w:val="bottom"/>
            <w:hideMark/>
          </w:tcPr>
          <w:p w14:paraId="68242564"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 </w:t>
            </w:r>
          </w:p>
        </w:tc>
        <w:tc>
          <w:tcPr>
            <w:tcW w:w="783" w:type="dxa"/>
            <w:tcBorders>
              <w:top w:val="nil"/>
              <w:left w:val="nil"/>
              <w:bottom w:val="single" w:sz="12" w:space="0" w:color="auto"/>
              <w:right w:val="nil"/>
            </w:tcBorders>
            <w:shd w:val="clear" w:color="auto" w:fill="auto"/>
            <w:noWrap/>
            <w:vAlign w:val="bottom"/>
            <w:hideMark/>
          </w:tcPr>
          <w:p w14:paraId="4DBB5B06" w14:textId="77777777" w:rsidR="00AF5B64" w:rsidRPr="00E928EF" w:rsidRDefault="00AF5B64" w:rsidP="00AF5B64">
            <w:pPr>
              <w:spacing w:after="0" w:line="240" w:lineRule="auto"/>
              <w:jc w:val="center"/>
              <w:rPr>
                <w:rFonts w:eastAsia="Times New Roman" w:cs="Times New Roman"/>
                <w:color w:val="000000"/>
                <w:sz w:val="20"/>
                <w:szCs w:val="20"/>
              </w:rPr>
            </w:pPr>
            <w:r w:rsidRPr="00E928EF">
              <w:rPr>
                <w:rFonts w:eastAsia="Times New Roman" w:cs="Times New Roman"/>
                <w:color w:val="000000"/>
                <w:sz w:val="20"/>
                <w:szCs w:val="20"/>
              </w:rPr>
              <w:t>Long</w:t>
            </w:r>
          </w:p>
        </w:tc>
        <w:tc>
          <w:tcPr>
            <w:tcW w:w="927" w:type="dxa"/>
            <w:tcBorders>
              <w:top w:val="nil"/>
              <w:left w:val="nil"/>
              <w:bottom w:val="single" w:sz="12" w:space="0" w:color="auto"/>
              <w:right w:val="nil"/>
            </w:tcBorders>
            <w:shd w:val="clear" w:color="auto" w:fill="auto"/>
            <w:noWrap/>
            <w:vAlign w:val="bottom"/>
            <w:hideMark/>
          </w:tcPr>
          <w:p w14:paraId="279FCC06" w14:textId="77777777" w:rsidR="00AF5B64" w:rsidRPr="00E928EF" w:rsidRDefault="00AF5B64" w:rsidP="00AF5B64">
            <w:pPr>
              <w:spacing w:after="0" w:line="240" w:lineRule="auto"/>
              <w:jc w:val="center"/>
              <w:rPr>
                <w:rFonts w:eastAsia="Times New Roman" w:cs="Times New Roman"/>
                <w:color w:val="000000"/>
                <w:sz w:val="20"/>
                <w:szCs w:val="20"/>
              </w:rPr>
            </w:pPr>
            <w:r w:rsidRPr="00E928EF">
              <w:rPr>
                <w:rFonts w:eastAsia="Times New Roman" w:cs="Times New Roman"/>
                <w:color w:val="000000"/>
                <w:sz w:val="20"/>
                <w:szCs w:val="20"/>
              </w:rPr>
              <w:t>Mid</w:t>
            </w:r>
          </w:p>
        </w:tc>
        <w:tc>
          <w:tcPr>
            <w:tcW w:w="900" w:type="dxa"/>
            <w:tcBorders>
              <w:top w:val="nil"/>
              <w:left w:val="nil"/>
              <w:bottom w:val="single" w:sz="12" w:space="0" w:color="auto"/>
              <w:right w:val="nil"/>
            </w:tcBorders>
            <w:shd w:val="clear" w:color="auto" w:fill="auto"/>
            <w:noWrap/>
            <w:vAlign w:val="bottom"/>
            <w:hideMark/>
          </w:tcPr>
          <w:p w14:paraId="3862C9A9" w14:textId="77777777" w:rsidR="00AF5B64" w:rsidRPr="00E928EF" w:rsidRDefault="00AF5B64" w:rsidP="00AF5B64">
            <w:pPr>
              <w:spacing w:after="0" w:line="240" w:lineRule="auto"/>
              <w:jc w:val="center"/>
              <w:rPr>
                <w:rFonts w:eastAsia="Times New Roman" w:cs="Times New Roman"/>
                <w:color w:val="000000"/>
                <w:sz w:val="20"/>
                <w:szCs w:val="20"/>
              </w:rPr>
            </w:pPr>
            <w:r w:rsidRPr="00E928EF">
              <w:rPr>
                <w:rFonts w:eastAsia="Times New Roman" w:cs="Times New Roman"/>
                <w:color w:val="000000"/>
                <w:sz w:val="20"/>
                <w:szCs w:val="20"/>
              </w:rPr>
              <w:t>Short</w:t>
            </w:r>
          </w:p>
        </w:tc>
        <w:tc>
          <w:tcPr>
            <w:tcW w:w="900" w:type="dxa"/>
            <w:tcBorders>
              <w:top w:val="nil"/>
              <w:left w:val="nil"/>
              <w:bottom w:val="single" w:sz="12" w:space="0" w:color="auto"/>
              <w:right w:val="nil"/>
            </w:tcBorders>
            <w:shd w:val="clear" w:color="auto" w:fill="auto"/>
            <w:noWrap/>
            <w:vAlign w:val="bottom"/>
            <w:hideMark/>
          </w:tcPr>
          <w:p w14:paraId="40DF3D2C" w14:textId="77777777" w:rsidR="00AF5B64" w:rsidRPr="00E928EF" w:rsidRDefault="00AF5B64" w:rsidP="00AF5B64">
            <w:pPr>
              <w:spacing w:after="0" w:line="240" w:lineRule="auto"/>
              <w:jc w:val="center"/>
              <w:rPr>
                <w:rFonts w:eastAsia="Times New Roman" w:cs="Times New Roman"/>
                <w:color w:val="000000"/>
                <w:sz w:val="20"/>
                <w:szCs w:val="20"/>
              </w:rPr>
            </w:pPr>
            <w:r w:rsidRPr="00E928EF">
              <w:rPr>
                <w:rFonts w:eastAsia="Times New Roman" w:cs="Times New Roman"/>
                <w:color w:val="000000"/>
                <w:sz w:val="20"/>
                <w:szCs w:val="20"/>
              </w:rPr>
              <w:t>Triple-Mid</w:t>
            </w:r>
          </w:p>
        </w:tc>
        <w:tc>
          <w:tcPr>
            <w:tcW w:w="990" w:type="dxa"/>
            <w:tcBorders>
              <w:top w:val="nil"/>
              <w:left w:val="nil"/>
              <w:bottom w:val="single" w:sz="12" w:space="0" w:color="auto"/>
              <w:right w:val="nil"/>
            </w:tcBorders>
            <w:shd w:val="clear" w:color="auto" w:fill="auto"/>
            <w:noWrap/>
            <w:vAlign w:val="bottom"/>
            <w:hideMark/>
          </w:tcPr>
          <w:p w14:paraId="4F3AA696" w14:textId="77777777" w:rsidR="00AF5B64" w:rsidRPr="00E928EF" w:rsidRDefault="00AF5B64" w:rsidP="00AF5B64">
            <w:pPr>
              <w:spacing w:after="0" w:line="240" w:lineRule="auto"/>
              <w:jc w:val="center"/>
              <w:rPr>
                <w:rFonts w:eastAsia="Times New Roman" w:cs="Times New Roman"/>
                <w:color w:val="000000"/>
                <w:sz w:val="20"/>
                <w:szCs w:val="20"/>
              </w:rPr>
            </w:pPr>
            <w:r w:rsidRPr="00E928EF">
              <w:rPr>
                <w:rFonts w:eastAsia="Times New Roman" w:cs="Times New Roman"/>
                <w:color w:val="000000"/>
                <w:sz w:val="20"/>
                <w:szCs w:val="20"/>
              </w:rPr>
              <w:t>Triple-</w:t>
            </w:r>
            <w:r>
              <w:rPr>
                <w:rFonts w:eastAsia="Times New Roman" w:cs="Times New Roman"/>
                <w:color w:val="000000"/>
                <w:sz w:val="20"/>
                <w:szCs w:val="20"/>
              </w:rPr>
              <w:t>S</w:t>
            </w:r>
            <w:r w:rsidRPr="00E928EF">
              <w:rPr>
                <w:rFonts w:eastAsia="Times New Roman" w:cs="Times New Roman"/>
                <w:color w:val="000000"/>
                <w:sz w:val="20"/>
                <w:szCs w:val="20"/>
              </w:rPr>
              <w:t>hort</w:t>
            </w:r>
          </w:p>
        </w:tc>
      </w:tr>
      <w:tr w:rsidR="00AF5B64" w:rsidRPr="00D95A45" w14:paraId="5959566F" w14:textId="77777777" w:rsidTr="00AF5B64">
        <w:trPr>
          <w:trHeight w:val="300"/>
        </w:trPr>
        <w:tc>
          <w:tcPr>
            <w:tcW w:w="498" w:type="dxa"/>
            <w:vMerge w:val="restart"/>
            <w:tcBorders>
              <w:top w:val="nil"/>
              <w:left w:val="nil"/>
              <w:bottom w:val="single" w:sz="12" w:space="0" w:color="000000"/>
              <w:right w:val="nil"/>
            </w:tcBorders>
            <w:shd w:val="clear" w:color="auto" w:fill="auto"/>
            <w:noWrap/>
            <w:textDirection w:val="btLr"/>
            <w:vAlign w:val="center"/>
            <w:hideMark/>
          </w:tcPr>
          <w:p w14:paraId="12C1D461" w14:textId="77777777" w:rsidR="00AF5B64" w:rsidRPr="00E928EF" w:rsidRDefault="00AF5B64" w:rsidP="00AF5B64">
            <w:pPr>
              <w:spacing w:after="0" w:line="240" w:lineRule="auto"/>
              <w:jc w:val="center"/>
              <w:rPr>
                <w:rFonts w:eastAsia="Times New Roman" w:cs="Times New Roman"/>
                <w:color w:val="000000"/>
                <w:sz w:val="20"/>
                <w:szCs w:val="20"/>
              </w:rPr>
            </w:pPr>
            <w:r w:rsidRPr="00E928EF">
              <w:rPr>
                <w:rFonts w:eastAsia="Times New Roman" w:cs="Times New Roman"/>
                <w:color w:val="000000"/>
                <w:sz w:val="20"/>
                <w:szCs w:val="20"/>
              </w:rPr>
              <w:t>Belowground</w:t>
            </w:r>
          </w:p>
        </w:tc>
        <w:tc>
          <w:tcPr>
            <w:tcW w:w="3642" w:type="dxa"/>
            <w:tcBorders>
              <w:top w:val="nil"/>
              <w:left w:val="nil"/>
              <w:bottom w:val="nil"/>
              <w:right w:val="nil"/>
            </w:tcBorders>
            <w:shd w:val="clear" w:color="auto" w:fill="auto"/>
            <w:noWrap/>
            <w:vAlign w:val="bottom"/>
            <w:hideMark/>
          </w:tcPr>
          <w:p w14:paraId="30FD498F"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 xml:space="preserve">Postfire Residual C pool </w:t>
            </w:r>
          </w:p>
        </w:tc>
        <w:tc>
          <w:tcPr>
            <w:tcW w:w="783" w:type="dxa"/>
            <w:tcBorders>
              <w:top w:val="nil"/>
              <w:left w:val="nil"/>
              <w:bottom w:val="nil"/>
              <w:right w:val="nil"/>
            </w:tcBorders>
            <w:shd w:val="clear" w:color="auto" w:fill="auto"/>
            <w:noWrap/>
            <w:vAlign w:val="bottom"/>
            <w:hideMark/>
          </w:tcPr>
          <w:p w14:paraId="7FFBAEE3"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5083</w:t>
            </w:r>
          </w:p>
        </w:tc>
        <w:tc>
          <w:tcPr>
            <w:tcW w:w="927" w:type="dxa"/>
            <w:tcBorders>
              <w:top w:val="nil"/>
              <w:left w:val="nil"/>
              <w:bottom w:val="nil"/>
              <w:right w:val="nil"/>
            </w:tcBorders>
            <w:shd w:val="clear" w:color="auto" w:fill="auto"/>
            <w:noWrap/>
            <w:vAlign w:val="bottom"/>
            <w:hideMark/>
          </w:tcPr>
          <w:p w14:paraId="757146A7"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5083</w:t>
            </w:r>
          </w:p>
        </w:tc>
        <w:tc>
          <w:tcPr>
            <w:tcW w:w="900" w:type="dxa"/>
            <w:tcBorders>
              <w:top w:val="nil"/>
              <w:left w:val="nil"/>
              <w:bottom w:val="nil"/>
              <w:right w:val="nil"/>
            </w:tcBorders>
            <w:shd w:val="clear" w:color="auto" w:fill="auto"/>
            <w:noWrap/>
            <w:vAlign w:val="bottom"/>
            <w:hideMark/>
          </w:tcPr>
          <w:p w14:paraId="15B06F2E"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5083</w:t>
            </w:r>
          </w:p>
        </w:tc>
        <w:tc>
          <w:tcPr>
            <w:tcW w:w="900" w:type="dxa"/>
            <w:tcBorders>
              <w:top w:val="nil"/>
              <w:left w:val="nil"/>
              <w:bottom w:val="nil"/>
              <w:right w:val="nil"/>
            </w:tcBorders>
            <w:shd w:val="clear" w:color="auto" w:fill="auto"/>
            <w:noWrap/>
            <w:vAlign w:val="bottom"/>
            <w:hideMark/>
          </w:tcPr>
          <w:p w14:paraId="2CA5EA97"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3350</w:t>
            </w:r>
          </w:p>
        </w:tc>
        <w:tc>
          <w:tcPr>
            <w:tcW w:w="990" w:type="dxa"/>
            <w:tcBorders>
              <w:top w:val="nil"/>
              <w:left w:val="nil"/>
              <w:bottom w:val="nil"/>
              <w:right w:val="nil"/>
            </w:tcBorders>
            <w:shd w:val="clear" w:color="auto" w:fill="auto"/>
            <w:noWrap/>
            <w:vAlign w:val="bottom"/>
            <w:hideMark/>
          </w:tcPr>
          <w:p w14:paraId="74256324"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3350</w:t>
            </w:r>
          </w:p>
        </w:tc>
      </w:tr>
      <w:tr w:rsidR="00AF5B64" w:rsidRPr="00D95A45" w14:paraId="1F2AA04A" w14:textId="77777777" w:rsidTr="00AF5B64">
        <w:trPr>
          <w:trHeight w:val="292"/>
        </w:trPr>
        <w:tc>
          <w:tcPr>
            <w:tcW w:w="498" w:type="dxa"/>
            <w:vMerge/>
            <w:tcBorders>
              <w:top w:val="nil"/>
              <w:left w:val="nil"/>
              <w:bottom w:val="single" w:sz="12" w:space="0" w:color="000000"/>
              <w:right w:val="nil"/>
            </w:tcBorders>
            <w:vAlign w:val="center"/>
            <w:hideMark/>
          </w:tcPr>
          <w:p w14:paraId="5355D1FD" w14:textId="77777777" w:rsidR="00AF5B64" w:rsidRPr="00E928EF" w:rsidRDefault="00AF5B64" w:rsidP="00AF5B64">
            <w:pPr>
              <w:spacing w:after="0" w:line="240" w:lineRule="auto"/>
              <w:rPr>
                <w:rFonts w:eastAsia="Times New Roman" w:cs="Times New Roman"/>
                <w:color w:val="000000"/>
                <w:sz w:val="20"/>
                <w:szCs w:val="20"/>
              </w:rPr>
            </w:pPr>
          </w:p>
        </w:tc>
        <w:tc>
          <w:tcPr>
            <w:tcW w:w="3642" w:type="dxa"/>
            <w:tcBorders>
              <w:top w:val="nil"/>
              <w:left w:val="nil"/>
              <w:bottom w:val="nil"/>
              <w:right w:val="nil"/>
            </w:tcBorders>
            <w:shd w:val="clear" w:color="auto" w:fill="auto"/>
            <w:noWrap/>
            <w:vAlign w:val="bottom"/>
            <w:hideMark/>
          </w:tcPr>
          <w:p w14:paraId="1E65C5CE"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Prefire C pool</w:t>
            </w:r>
          </w:p>
        </w:tc>
        <w:tc>
          <w:tcPr>
            <w:tcW w:w="783" w:type="dxa"/>
            <w:tcBorders>
              <w:top w:val="nil"/>
              <w:left w:val="nil"/>
              <w:bottom w:val="nil"/>
              <w:right w:val="nil"/>
            </w:tcBorders>
            <w:shd w:val="clear" w:color="auto" w:fill="auto"/>
            <w:noWrap/>
            <w:vAlign w:val="bottom"/>
            <w:hideMark/>
          </w:tcPr>
          <w:p w14:paraId="41624315"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8240</w:t>
            </w:r>
          </w:p>
        </w:tc>
        <w:tc>
          <w:tcPr>
            <w:tcW w:w="927" w:type="dxa"/>
            <w:tcBorders>
              <w:top w:val="nil"/>
              <w:left w:val="nil"/>
              <w:bottom w:val="nil"/>
              <w:right w:val="nil"/>
            </w:tcBorders>
            <w:shd w:val="clear" w:color="auto" w:fill="auto"/>
            <w:noWrap/>
            <w:vAlign w:val="bottom"/>
            <w:hideMark/>
          </w:tcPr>
          <w:p w14:paraId="71B44EE6"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6039</w:t>
            </w:r>
          </w:p>
        </w:tc>
        <w:tc>
          <w:tcPr>
            <w:tcW w:w="900" w:type="dxa"/>
            <w:tcBorders>
              <w:top w:val="nil"/>
              <w:left w:val="nil"/>
              <w:bottom w:val="nil"/>
              <w:right w:val="nil"/>
            </w:tcBorders>
            <w:shd w:val="clear" w:color="auto" w:fill="auto"/>
            <w:noWrap/>
            <w:vAlign w:val="bottom"/>
            <w:hideMark/>
          </w:tcPr>
          <w:p w14:paraId="2D43B854"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4566</w:t>
            </w:r>
          </w:p>
        </w:tc>
        <w:tc>
          <w:tcPr>
            <w:tcW w:w="900" w:type="dxa"/>
            <w:tcBorders>
              <w:top w:val="nil"/>
              <w:left w:val="nil"/>
              <w:bottom w:val="nil"/>
              <w:right w:val="nil"/>
            </w:tcBorders>
            <w:shd w:val="clear" w:color="auto" w:fill="auto"/>
            <w:noWrap/>
            <w:vAlign w:val="bottom"/>
            <w:hideMark/>
          </w:tcPr>
          <w:p w14:paraId="1A034237"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6260</w:t>
            </w:r>
          </w:p>
        </w:tc>
        <w:tc>
          <w:tcPr>
            <w:tcW w:w="990" w:type="dxa"/>
            <w:tcBorders>
              <w:top w:val="nil"/>
              <w:left w:val="nil"/>
              <w:bottom w:val="nil"/>
              <w:right w:val="nil"/>
            </w:tcBorders>
            <w:shd w:val="clear" w:color="auto" w:fill="auto"/>
            <w:noWrap/>
            <w:vAlign w:val="bottom"/>
            <w:hideMark/>
          </w:tcPr>
          <w:p w14:paraId="0A0FE757"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5822</w:t>
            </w:r>
          </w:p>
        </w:tc>
      </w:tr>
      <w:tr w:rsidR="00AF5B64" w:rsidRPr="00D95A45" w14:paraId="1D8C26F0" w14:textId="77777777" w:rsidTr="00AF5B64">
        <w:trPr>
          <w:trHeight w:val="292"/>
        </w:trPr>
        <w:tc>
          <w:tcPr>
            <w:tcW w:w="498" w:type="dxa"/>
            <w:vMerge/>
            <w:tcBorders>
              <w:top w:val="nil"/>
              <w:left w:val="nil"/>
              <w:bottom w:val="single" w:sz="12" w:space="0" w:color="000000"/>
              <w:right w:val="nil"/>
            </w:tcBorders>
            <w:vAlign w:val="center"/>
            <w:hideMark/>
          </w:tcPr>
          <w:p w14:paraId="41540CC0" w14:textId="77777777" w:rsidR="00AF5B64" w:rsidRPr="00E928EF" w:rsidRDefault="00AF5B64" w:rsidP="00AF5B64">
            <w:pPr>
              <w:spacing w:after="0" w:line="240" w:lineRule="auto"/>
              <w:rPr>
                <w:rFonts w:eastAsia="Times New Roman" w:cs="Times New Roman"/>
                <w:color w:val="000000"/>
                <w:sz w:val="20"/>
                <w:szCs w:val="20"/>
              </w:rPr>
            </w:pPr>
          </w:p>
        </w:tc>
        <w:tc>
          <w:tcPr>
            <w:tcW w:w="3642" w:type="dxa"/>
            <w:tcBorders>
              <w:top w:val="nil"/>
              <w:left w:val="nil"/>
              <w:bottom w:val="nil"/>
              <w:right w:val="nil"/>
            </w:tcBorders>
            <w:shd w:val="clear" w:color="auto" w:fill="auto"/>
            <w:noWrap/>
            <w:vAlign w:val="bottom"/>
            <w:hideMark/>
          </w:tcPr>
          <w:p w14:paraId="507A01BC"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Net C pool change in the fire free interval</w:t>
            </w:r>
          </w:p>
        </w:tc>
        <w:tc>
          <w:tcPr>
            <w:tcW w:w="783" w:type="dxa"/>
            <w:tcBorders>
              <w:top w:val="nil"/>
              <w:left w:val="nil"/>
              <w:bottom w:val="nil"/>
              <w:right w:val="nil"/>
            </w:tcBorders>
            <w:shd w:val="clear" w:color="auto" w:fill="auto"/>
            <w:noWrap/>
            <w:vAlign w:val="bottom"/>
            <w:hideMark/>
          </w:tcPr>
          <w:p w14:paraId="73A156EB"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3157</w:t>
            </w:r>
          </w:p>
        </w:tc>
        <w:tc>
          <w:tcPr>
            <w:tcW w:w="927" w:type="dxa"/>
            <w:tcBorders>
              <w:top w:val="nil"/>
              <w:left w:val="nil"/>
              <w:bottom w:val="nil"/>
              <w:right w:val="nil"/>
            </w:tcBorders>
            <w:shd w:val="clear" w:color="auto" w:fill="auto"/>
            <w:noWrap/>
            <w:vAlign w:val="bottom"/>
            <w:hideMark/>
          </w:tcPr>
          <w:p w14:paraId="0F907C78"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956</w:t>
            </w:r>
          </w:p>
        </w:tc>
        <w:tc>
          <w:tcPr>
            <w:tcW w:w="900" w:type="dxa"/>
            <w:tcBorders>
              <w:top w:val="nil"/>
              <w:left w:val="nil"/>
              <w:bottom w:val="nil"/>
              <w:right w:val="nil"/>
            </w:tcBorders>
            <w:shd w:val="clear" w:color="auto" w:fill="auto"/>
            <w:noWrap/>
            <w:vAlign w:val="bottom"/>
            <w:hideMark/>
          </w:tcPr>
          <w:p w14:paraId="3503CE41"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-517</w:t>
            </w:r>
          </w:p>
        </w:tc>
        <w:tc>
          <w:tcPr>
            <w:tcW w:w="900" w:type="dxa"/>
            <w:tcBorders>
              <w:top w:val="nil"/>
              <w:left w:val="nil"/>
              <w:bottom w:val="nil"/>
              <w:right w:val="nil"/>
            </w:tcBorders>
            <w:shd w:val="clear" w:color="auto" w:fill="auto"/>
            <w:noWrap/>
            <w:vAlign w:val="bottom"/>
            <w:hideMark/>
          </w:tcPr>
          <w:p w14:paraId="6E0C521A"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2910</w:t>
            </w:r>
          </w:p>
        </w:tc>
        <w:tc>
          <w:tcPr>
            <w:tcW w:w="990" w:type="dxa"/>
            <w:tcBorders>
              <w:top w:val="nil"/>
              <w:left w:val="nil"/>
              <w:bottom w:val="nil"/>
              <w:right w:val="nil"/>
            </w:tcBorders>
            <w:shd w:val="clear" w:color="auto" w:fill="auto"/>
            <w:noWrap/>
            <w:vAlign w:val="bottom"/>
            <w:hideMark/>
          </w:tcPr>
          <w:p w14:paraId="69B69C04"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2472</w:t>
            </w:r>
          </w:p>
        </w:tc>
      </w:tr>
      <w:tr w:rsidR="00AF5B64" w:rsidRPr="00D95A45" w14:paraId="50BD9351" w14:textId="77777777" w:rsidTr="00AF5B64">
        <w:trPr>
          <w:trHeight w:val="292"/>
        </w:trPr>
        <w:tc>
          <w:tcPr>
            <w:tcW w:w="498" w:type="dxa"/>
            <w:vMerge/>
            <w:tcBorders>
              <w:top w:val="nil"/>
              <w:left w:val="nil"/>
              <w:bottom w:val="single" w:sz="12" w:space="0" w:color="000000"/>
              <w:right w:val="nil"/>
            </w:tcBorders>
            <w:vAlign w:val="center"/>
            <w:hideMark/>
          </w:tcPr>
          <w:p w14:paraId="24BE84BB" w14:textId="77777777" w:rsidR="00AF5B64" w:rsidRPr="00E928EF" w:rsidRDefault="00AF5B64" w:rsidP="00AF5B64">
            <w:pPr>
              <w:spacing w:after="0" w:line="240" w:lineRule="auto"/>
              <w:rPr>
                <w:rFonts w:eastAsia="Times New Roman" w:cs="Times New Roman"/>
                <w:color w:val="000000"/>
                <w:sz w:val="20"/>
                <w:szCs w:val="20"/>
              </w:rPr>
            </w:pPr>
          </w:p>
        </w:tc>
        <w:tc>
          <w:tcPr>
            <w:tcW w:w="3642" w:type="dxa"/>
            <w:tcBorders>
              <w:top w:val="nil"/>
              <w:left w:val="nil"/>
              <w:bottom w:val="nil"/>
              <w:right w:val="nil"/>
            </w:tcBorders>
            <w:shd w:val="clear" w:color="auto" w:fill="auto"/>
            <w:noWrap/>
            <w:vAlign w:val="bottom"/>
            <w:hideMark/>
          </w:tcPr>
          <w:p w14:paraId="3BF6AE9C"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Annual rate of accumulation</w:t>
            </w:r>
          </w:p>
        </w:tc>
        <w:tc>
          <w:tcPr>
            <w:tcW w:w="783" w:type="dxa"/>
            <w:tcBorders>
              <w:top w:val="nil"/>
              <w:left w:val="nil"/>
              <w:bottom w:val="nil"/>
              <w:right w:val="nil"/>
            </w:tcBorders>
            <w:shd w:val="clear" w:color="auto" w:fill="auto"/>
            <w:noWrap/>
            <w:vAlign w:val="bottom"/>
            <w:hideMark/>
          </w:tcPr>
          <w:p w14:paraId="019564C0"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30.95</w:t>
            </w:r>
          </w:p>
        </w:tc>
        <w:tc>
          <w:tcPr>
            <w:tcW w:w="927" w:type="dxa"/>
            <w:tcBorders>
              <w:top w:val="nil"/>
              <w:left w:val="nil"/>
              <w:bottom w:val="nil"/>
              <w:right w:val="nil"/>
            </w:tcBorders>
            <w:shd w:val="clear" w:color="auto" w:fill="auto"/>
            <w:noWrap/>
            <w:vAlign w:val="bottom"/>
            <w:hideMark/>
          </w:tcPr>
          <w:p w14:paraId="5B46D791"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21.24</w:t>
            </w:r>
          </w:p>
        </w:tc>
        <w:tc>
          <w:tcPr>
            <w:tcW w:w="900" w:type="dxa"/>
            <w:tcBorders>
              <w:top w:val="nil"/>
              <w:left w:val="nil"/>
              <w:bottom w:val="nil"/>
              <w:right w:val="nil"/>
            </w:tcBorders>
            <w:shd w:val="clear" w:color="auto" w:fill="auto"/>
            <w:noWrap/>
            <w:vAlign w:val="bottom"/>
            <w:hideMark/>
          </w:tcPr>
          <w:p w14:paraId="47C8A9E5"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-32.31</w:t>
            </w:r>
          </w:p>
        </w:tc>
        <w:tc>
          <w:tcPr>
            <w:tcW w:w="900" w:type="dxa"/>
            <w:tcBorders>
              <w:top w:val="nil"/>
              <w:left w:val="nil"/>
              <w:bottom w:val="nil"/>
              <w:right w:val="nil"/>
            </w:tcBorders>
            <w:shd w:val="clear" w:color="auto" w:fill="auto"/>
            <w:noWrap/>
            <w:vAlign w:val="bottom"/>
            <w:hideMark/>
          </w:tcPr>
          <w:p w14:paraId="782AA1C9"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74.62</w:t>
            </w:r>
          </w:p>
        </w:tc>
        <w:tc>
          <w:tcPr>
            <w:tcW w:w="990" w:type="dxa"/>
            <w:tcBorders>
              <w:top w:val="nil"/>
              <w:left w:val="nil"/>
              <w:bottom w:val="nil"/>
              <w:right w:val="nil"/>
            </w:tcBorders>
            <w:shd w:val="clear" w:color="auto" w:fill="auto"/>
            <w:noWrap/>
            <w:vAlign w:val="bottom"/>
            <w:hideMark/>
          </w:tcPr>
          <w:p w14:paraId="168D95EE"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117.71</w:t>
            </w:r>
          </w:p>
        </w:tc>
      </w:tr>
      <w:tr w:rsidR="00AF5B64" w:rsidRPr="00D95A45" w14:paraId="2C76425F" w14:textId="77777777" w:rsidTr="00AF5B64">
        <w:trPr>
          <w:trHeight w:val="292"/>
        </w:trPr>
        <w:tc>
          <w:tcPr>
            <w:tcW w:w="498" w:type="dxa"/>
            <w:vMerge/>
            <w:tcBorders>
              <w:top w:val="nil"/>
              <w:left w:val="nil"/>
              <w:bottom w:val="single" w:sz="12" w:space="0" w:color="000000"/>
              <w:right w:val="nil"/>
            </w:tcBorders>
            <w:vAlign w:val="center"/>
            <w:hideMark/>
          </w:tcPr>
          <w:p w14:paraId="13C96BB0" w14:textId="77777777" w:rsidR="00AF5B64" w:rsidRPr="00E928EF" w:rsidRDefault="00AF5B64" w:rsidP="00AF5B64">
            <w:pPr>
              <w:spacing w:after="0" w:line="240" w:lineRule="auto"/>
              <w:rPr>
                <w:rFonts w:eastAsia="Times New Roman" w:cs="Times New Roman"/>
                <w:color w:val="000000"/>
                <w:sz w:val="20"/>
                <w:szCs w:val="20"/>
              </w:rPr>
            </w:pPr>
          </w:p>
        </w:tc>
        <w:tc>
          <w:tcPr>
            <w:tcW w:w="3642" w:type="dxa"/>
            <w:tcBorders>
              <w:top w:val="nil"/>
              <w:left w:val="nil"/>
              <w:bottom w:val="nil"/>
              <w:right w:val="nil"/>
            </w:tcBorders>
            <w:shd w:val="clear" w:color="auto" w:fill="auto"/>
            <w:noWrap/>
            <w:vAlign w:val="bottom"/>
            <w:hideMark/>
          </w:tcPr>
          <w:p w14:paraId="3134E993"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C loss in most recent fire</w:t>
            </w:r>
          </w:p>
        </w:tc>
        <w:tc>
          <w:tcPr>
            <w:tcW w:w="783" w:type="dxa"/>
            <w:tcBorders>
              <w:top w:val="nil"/>
              <w:left w:val="nil"/>
              <w:bottom w:val="nil"/>
              <w:right w:val="nil"/>
            </w:tcBorders>
            <w:shd w:val="clear" w:color="auto" w:fill="auto"/>
            <w:noWrap/>
            <w:vAlign w:val="bottom"/>
            <w:hideMark/>
          </w:tcPr>
          <w:p w14:paraId="55F16D70"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3157</w:t>
            </w:r>
          </w:p>
        </w:tc>
        <w:tc>
          <w:tcPr>
            <w:tcW w:w="927" w:type="dxa"/>
            <w:tcBorders>
              <w:top w:val="nil"/>
              <w:left w:val="nil"/>
              <w:bottom w:val="nil"/>
              <w:right w:val="nil"/>
            </w:tcBorders>
            <w:shd w:val="clear" w:color="auto" w:fill="auto"/>
            <w:noWrap/>
            <w:vAlign w:val="bottom"/>
            <w:hideMark/>
          </w:tcPr>
          <w:p w14:paraId="2A005501"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2689</w:t>
            </w:r>
          </w:p>
        </w:tc>
        <w:tc>
          <w:tcPr>
            <w:tcW w:w="900" w:type="dxa"/>
            <w:tcBorders>
              <w:top w:val="nil"/>
              <w:left w:val="nil"/>
              <w:bottom w:val="nil"/>
              <w:right w:val="nil"/>
            </w:tcBorders>
            <w:shd w:val="clear" w:color="auto" w:fill="auto"/>
            <w:noWrap/>
            <w:vAlign w:val="bottom"/>
            <w:hideMark/>
          </w:tcPr>
          <w:p w14:paraId="69C9CFBE"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2525</w:t>
            </w:r>
          </w:p>
        </w:tc>
        <w:tc>
          <w:tcPr>
            <w:tcW w:w="900" w:type="dxa"/>
            <w:tcBorders>
              <w:top w:val="nil"/>
              <w:left w:val="nil"/>
              <w:bottom w:val="nil"/>
              <w:right w:val="nil"/>
            </w:tcBorders>
            <w:shd w:val="clear" w:color="auto" w:fill="auto"/>
            <w:noWrap/>
            <w:vAlign w:val="bottom"/>
            <w:hideMark/>
          </w:tcPr>
          <w:p w14:paraId="7E3397B1"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2149</w:t>
            </w:r>
          </w:p>
        </w:tc>
        <w:tc>
          <w:tcPr>
            <w:tcW w:w="990" w:type="dxa"/>
            <w:tcBorders>
              <w:top w:val="nil"/>
              <w:left w:val="nil"/>
              <w:bottom w:val="nil"/>
              <w:right w:val="nil"/>
            </w:tcBorders>
            <w:shd w:val="clear" w:color="auto" w:fill="auto"/>
            <w:noWrap/>
            <w:vAlign w:val="bottom"/>
            <w:hideMark/>
          </w:tcPr>
          <w:p w14:paraId="1C4F622E"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2553</w:t>
            </w:r>
          </w:p>
        </w:tc>
      </w:tr>
      <w:tr w:rsidR="00AF5B64" w:rsidRPr="00D95A45" w14:paraId="615D7309" w14:textId="77777777" w:rsidTr="00AF5B64">
        <w:trPr>
          <w:trHeight w:val="292"/>
        </w:trPr>
        <w:tc>
          <w:tcPr>
            <w:tcW w:w="498" w:type="dxa"/>
            <w:vMerge/>
            <w:tcBorders>
              <w:top w:val="nil"/>
              <w:left w:val="nil"/>
              <w:bottom w:val="single" w:sz="12" w:space="0" w:color="000000"/>
              <w:right w:val="nil"/>
            </w:tcBorders>
            <w:vAlign w:val="center"/>
            <w:hideMark/>
          </w:tcPr>
          <w:p w14:paraId="4FDD112D" w14:textId="77777777" w:rsidR="00AF5B64" w:rsidRPr="00E928EF" w:rsidRDefault="00AF5B64" w:rsidP="00AF5B64">
            <w:pPr>
              <w:spacing w:after="0" w:line="240" w:lineRule="auto"/>
              <w:rPr>
                <w:rFonts w:eastAsia="Times New Roman" w:cs="Times New Roman"/>
                <w:color w:val="000000"/>
                <w:sz w:val="20"/>
                <w:szCs w:val="20"/>
              </w:rPr>
            </w:pPr>
          </w:p>
        </w:tc>
        <w:tc>
          <w:tcPr>
            <w:tcW w:w="3642" w:type="dxa"/>
            <w:tcBorders>
              <w:top w:val="nil"/>
              <w:left w:val="nil"/>
              <w:bottom w:val="nil"/>
              <w:right w:val="nil"/>
            </w:tcBorders>
            <w:shd w:val="clear" w:color="auto" w:fill="auto"/>
            <w:noWrap/>
            <w:vAlign w:val="bottom"/>
            <w:hideMark/>
          </w:tcPr>
          <w:p w14:paraId="6EE8BCF1"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Legacy C lost (neg) in most recent fire</w:t>
            </w:r>
          </w:p>
        </w:tc>
        <w:tc>
          <w:tcPr>
            <w:tcW w:w="783" w:type="dxa"/>
            <w:tcBorders>
              <w:top w:val="nil"/>
              <w:left w:val="nil"/>
              <w:bottom w:val="nil"/>
              <w:right w:val="nil"/>
            </w:tcBorders>
            <w:shd w:val="clear" w:color="auto" w:fill="auto"/>
            <w:noWrap/>
            <w:vAlign w:val="bottom"/>
            <w:hideMark/>
          </w:tcPr>
          <w:p w14:paraId="71A56255"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0</w:t>
            </w:r>
          </w:p>
        </w:tc>
        <w:tc>
          <w:tcPr>
            <w:tcW w:w="927" w:type="dxa"/>
            <w:tcBorders>
              <w:top w:val="nil"/>
              <w:left w:val="nil"/>
              <w:bottom w:val="nil"/>
              <w:right w:val="nil"/>
            </w:tcBorders>
            <w:shd w:val="clear" w:color="auto" w:fill="auto"/>
            <w:noWrap/>
            <w:vAlign w:val="bottom"/>
            <w:hideMark/>
          </w:tcPr>
          <w:p w14:paraId="70BA4F96"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-1733</w:t>
            </w:r>
          </w:p>
        </w:tc>
        <w:tc>
          <w:tcPr>
            <w:tcW w:w="900" w:type="dxa"/>
            <w:tcBorders>
              <w:top w:val="nil"/>
              <w:left w:val="nil"/>
              <w:bottom w:val="nil"/>
              <w:right w:val="nil"/>
            </w:tcBorders>
            <w:shd w:val="clear" w:color="auto" w:fill="auto"/>
            <w:noWrap/>
            <w:vAlign w:val="bottom"/>
            <w:hideMark/>
          </w:tcPr>
          <w:p w14:paraId="368C1F4F"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-3042</w:t>
            </w:r>
          </w:p>
        </w:tc>
        <w:tc>
          <w:tcPr>
            <w:tcW w:w="900" w:type="dxa"/>
            <w:tcBorders>
              <w:top w:val="nil"/>
              <w:left w:val="nil"/>
              <w:bottom w:val="nil"/>
              <w:right w:val="nil"/>
            </w:tcBorders>
            <w:shd w:val="clear" w:color="auto" w:fill="auto"/>
            <w:noWrap/>
            <w:vAlign w:val="bottom"/>
            <w:hideMark/>
          </w:tcPr>
          <w:p w14:paraId="3899F03E"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761</w:t>
            </w:r>
          </w:p>
        </w:tc>
        <w:tc>
          <w:tcPr>
            <w:tcW w:w="990" w:type="dxa"/>
            <w:tcBorders>
              <w:top w:val="nil"/>
              <w:left w:val="nil"/>
              <w:bottom w:val="nil"/>
              <w:right w:val="nil"/>
            </w:tcBorders>
            <w:shd w:val="clear" w:color="auto" w:fill="auto"/>
            <w:noWrap/>
            <w:vAlign w:val="bottom"/>
            <w:hideMark/>
          </w:tcPr>
          <w:p w14:paraId="04A24C80"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-81</w:t>
            </w:r>
          </w:p>
        </w:tc>
      </w:tr>
      <w:tr w:rsidR="00AF5B64" w:rsidRPr="00D95A45" w14:paraId="3C5D305F" w14:textId="77777777" w:rsidTr="00AF5B64">
        <w:trPr>
          <w:trHeight w:val="300"/>
        </w:trPr>
        <w:tc>
          <w:tcPr>
            <w:tcW w:w="498" w:type="dxa"/>
            <w:vMerge/>
            <w:tcBorders>
              <w:top w:val="nil"/>
              <w:left w:val="nil"/>
              <w:bottom w:val="single" w:sz="12" w:space="0" w:color="000000"/>
              <w:right w:val="nil"/>
            </w:tcBorders>
            <w:vAlign w:val="center"/>
            <w:hideMark/>
          </w:tcPr>
          <w:p w14:paraId="5913045F" w14:textId="77777777" w:rsidR="00AF5B64" w:rsidRPr="00E928EF" w:rsidRDefault="00AF5B64" w:rsidP="00AF5B64">
            <w:pPr>
              <w:spacing w:after="0" w:line="240" w:lineRule="auto"/>
              <w:rPr>
                <w:rFonts w:eastAsia="Times New Roman" w:cs="Times New Roman"/>
                <w:color w:val="000000"/>
                <w:sz w:val="20"/>
                <w:szCs w:val="20"/>
              </w:rPr>
            </w:pPr>
          </w:p>
        </w:tc>
        <w:tc>
          <w:tcPr>
            <w:tcW w:w="3642" w:type="dxa"/>
            <w:tcBorders>
              <w:top w:val="nil"/>
              <w:left w:val="nil"/>
              <w:bottom w:val="single" w:sz="12" w:space="0" w:color="auto"/>
              <w:right w:val="nil"/>
            </w:tcBorders>
            <w:shd w:val="clear" w:color="auto" w:fill="auto"/>
            <w:noWrap/>
            <w:vAlign w:val="bottom"/>
            <w:hideMark/>
          </w:tcPr>
          <w:p w14:paraId="499BA420"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 Legacy C</w:t>
            </w:r>
            <w:r w:rsidRPr="00D95A45">
              <w:rPr>
                <w:rFonts w:eastAsia="Times New Roman" w:cs="Times New Roman"/>
                <w:color w:val="000000"/>
                <w:sz w:val="20"/>
                <w:szCs w:val="20"/>
              </w:rPr>
              <w:t xml:space="preserve"> loss</w:t>
            </w:r>
          </w:p>
        </w:tc>
        <w:tc>
          <w:tcPr>
            <w:tcW w:w="783" w:type="dxa"/>
            <w:tcBorders>
              <w:top w:val="nil"/>
              <w:left w:val="nil"/>
              <w:bottom w:val="single" w:sz="12" w:space="0" w:color="auto"/>
              <w:right w:val="nil"/>
            </w:tcBorders>
            <w:shd w:val="clear" w:color="auto" w:fill="auto"/>
            <w:noWrap/>
            <w:vAlign w:val="bottom"/>
            <w:hideMark/>
          </w:tcPr>
          <w:p w14:paraId="72F443E0"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0.00</w:t>
            </w:r>
          </w:p>
        </w:tc>
        <w:tc>
          <w:tcPr>
            <w:tcW w:w="927" w:type="dxa"/>
            <w:tcBorders>
              <w:top w:val="nil"/>
              <w:left w:val="nil"/>
              <w:bottom w:val="single" w:sz="12" w:space="0" w:color="auto"/>
              <w:right w:val="nil"/>
            </w:tcBorders>
            <w:shd w:val="clear" w:color="auto" w:fill="auto"/>
            <w:noWrap/>
            <w:vAlign w:val="bottom"/>
            <w:hideMark/>
          </w:tcPr>
          <w:p w14:paraId="1FDCE9EE"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64.45</w:t>
            </w:r>
          </w:p>
        </w:tc>
        <w:tc>
          <w:tcPr>
            <w:tcW w:w="900" w:type="dxa"/>
            <w:tcBorders>
              <w:top w:val="nil"/>
              <w:left w:val="nil"/>
              <w:bottom w:val="single" w:sz="12" w:space="0" w:color="auto"/>
              <w:right w:val="nil"/>
            </w:tcBorders>
            <w:shd w:val="clear" w:color="auto" w:fill="auto"/>
            <w:noWrap/>
            <w:vAlign w:val="bottom"/>
            <w:hideMark/>
          </w:tcPr>
          <w:p w14:paraId="7907052E"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120.48</w:t>
            </w:r>
          </w:p>
        </w:tc>
        <w:tc>
          <w:tcPr>
            <w:tcW w:w="900" w:type="dxa"/>
            <w:tcBorders>
              <w:top w:val="nil"/>
              <w:left w:val="nil"/>
              <w:bottom w:val="single" w:sz="12" w:space="0" w:color="auto"/>
              <w:right w:val="nil"/>
            </w:tcBorders>
            <w:shd w:val="clear" w:color="auto" w:fill="auto"/>
            <w:noWrap/>
            <w:vAlign w:val="bottom"/>
            <w:hideMark/>
          </w:tcPr>
          <w:p w14:paraId="1D5EBEFB"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-35.41</w:t>
            </w:r>
          </w:p>
        </w:tc>
        <w:tc>
          <w:tcPr>
            <w:tcW w:w="990" w:type="dxa"/>
            <w:tcBorders>
              <w:top w:val="nil"/>
              <w:left w:val="nil"/>
              <w:bottom w:val="single" w:sz="12" w:space="0" w:color="auto"/>
              <w:right w:val="nil"/>
            </w:tcBorders>
            <w:shd w:val="clear" w:color="auto" w:fill="auto"/>
            <w:noWrap/>
            <w:vAlign w:val="bottom"/>
            <w:hideMark/>
          </w:tcPr>
          <w:p w14:paraId="56D17408"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3.17</w:t>
            </w:r>
          </w:p>
        </w:tc>
      </w:tr>
      <w:tr w:rsidR="00AF5B64" w:rsidRPr="00D95A45" w14:paraId="25FEEEED" w14:textId="77777777" w:rsidTr="00AF5B64">
        <w:trPr>
          <w:trHeight w:val="300"/>
        </w:trPr>
        <w:tc>
          <w:tcPr>
            <w:tcW w:w="498" w:type="dxa"/>
            <w:vMerge w:val="restart"/>
            <w:tcBorders>
              <w:top w:val="nil"/>
              <w:left w:val="nil"/>
              <w:bottom w:val="single" w:sz="12" w:space="0" w:color="000000"/>
              <w:right w:val="nil"/>
            </w:tcBorders>
            <w:shd w:val="clear" w:color="auto" w:fill="auto"/>
            <w:noWrap/>
            <w:textDirection w:val="btLr"/>
            <w:vAlign w:val="center"/>
            <w:hideMark/>
          </w:tcPr>
          <w:p w14:paraId="5E1581B4" w14:textId="77777777" w:rsidR="00AF5B64" w:rsidRPr="00E928EF" w:rsidRDefault="00AF5B64" w:rsidP="00AF5B64">
            <w:pPr>
              <w:spacing w:after="0" w:line="240" w:lineRule="auto"/>
              <w:jc w:val="center"/>
              <w:rPr>
                <w:rFonts w:eastAsia="Times New Roman" w:cs="Times New Roman"/>
                <w:color w:val="000000"/>
                <w:sz w:val="20"/>
                <w:szCs w:val="20"/>
              </w:rPr>
            </w:pPr>
            <w:r w:rsidRPr="00E928EF">
              <w:rPr>
                <w:rFonts w:eastAsia="Times New Roman" w:cs="Times New Roman"/>
                <w:color w:val="000000"/>
                <w:sz w:val="20"/>
                <w:szCs w:val="20"/>
              </w:rPr>
              <w:t>Aboveground</w:t>
            </w:r>
          </w:p>
        </w:tc>
        <w:tc>
          <w:tcPr>
            <w:tcW w:w="3642" w:type="dxa"/>
            <w:tcBorders>
              <w:top w:val="nil"/>
              <w:left w:val="nil"/>
              <w:bottom w:val="nil"/>
              <w:right w:val="nil"/>
            </w:tcBorders>
            <w:shd w:val="clear" w:color="auto" w:fill="auto"/>
            <w:noWrap/>
            <w:vAlign w:val="bottom"/>
            <w:hideMark/>
          </w:tcPr>
          <w:p w14:paraId="7A1DC462"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 xml:space="preserve">Postfire Residual C pool </w:t>
            </w:r>
          </w:p>
        </w:tc>
        <w:tc>
          <w:tcPr>
            <w:tcW w:w="783" w:type="dxa"/>
            <w:tcBorders>
              <w:top w:val="nil"/>
              <w:left w:val="nil"/>
              <w:bottom w:val="nil"/>
              <w:right w:val="nil"/>
            </w:tcBorders>
            <w:shd w:val="clear" w:color="auto" w:fill="auto"/>
            <w:noWrap/>
            <w:vAlign w:val="bottom"/>
            <w:hideMark/>
          </w:tcPr>
          <w:p w14:paraId="6303D651"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1501</w:t>
            </w:r>
          </w:p>
        </w:tc>
        <w:tc>
          <w:tcPr>
            <w:tcW w:w="927" w:type="dxa"/>
            <w:tcBorders>
              <w:top w:val="nil"/>
              <w:left w:val="nil"/>
              <w:bottom w:val="nil"/>
              <w:right w:val="nil"/>
            </w:tcBorders>
            <w:shd w:val="clear" w:color="auto" w:fill="auto"/>
            <w:noWrap/>
            <w:vAlign w:val="bottom"/>
            <w:hideMark/>
          </w:tcPr>
          <w:p w14:paraId="2541BEDD"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1501</w:t>
            </w:r>
          </w:p>
        </w:tc>
        <w:tc>
          <w:tcPr>
            <w:tcW w:w="900" w:type="dxa"/>
            <w:tcBorders>
              <w:top w:val="nil"/>
              <w:left w:val="nil"/>
              <w:bottom w:val="nil"/>
              <w:right w:val="nil"/>
            </w:tcBorders>
            <w:shd w:val="clear" w:color="auto" w:fill="auto"/>
            <w:noWrap/>
            <w:vAlign w:val="bottom"/>
            <w:hideMark/>
          </w:tcPr>
          <w:p w14:paraId="6643EB2A"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1501</w:t>
            </w:r>
          </w:p>
        </w:tc>
        <w:tc>
          <w:tcPr>
            <w:tcW w:w="900" w:type="dxa"/>
            <w:tcBorders>
              <w:top w:val="nil"/>
              <w:left w:val="nil"/>
              <w:bottom w:val="nil"/>
              <w:right w:val="nil"/>
            </w:tcBorders>
            <w:shd w:val="clear" w:color="auto" w:fill="auto"/>
            <w:noWrap/>
            <w:vAlign w:val="bottom"/>
            <w:hideMark/>
          </w:tcPr>
          <w:p w14:paraId="56A1A404"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1377</w:t>
            </w:r>
          </w:p>
        </w:tc>
        <w:tc>
          <w:tcPr>
            <w:tcW w:w="990" w:type="dxa"/>
            <w:tcBorders>
              <w:top w:val="nil"/>
              <w:left w:val="nil"/>
              <w:bottom w:val="nil"/>
              <w:right w:val="nil"/>
            </w:tcBorders>
            <w:shd w:val="clear" w:color="auto" w:fill="auto"/>
            <w:noWrap/>
            <w:vAlign w:val="bottom"/>
            <w:hideMark/>
          </w:tcPr>
          <w:p w14:paraId="121E0DAA"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1377</w:t>
            </w:r>
          </w:p>
        </w:tc>
      </w:tr>
      <w:tr w:rsidR="00AF5B64" w:rsidRPr="00D95A45" w14:paraId="3E9050B5" w14:textId="77777777" w:rsidTr="00AF5B64">
        <w:trPr>
          <w:trHeight w:val="292"/>
        </w:trPr>
        <w:tc>
          <w:tcPr>
            <w:tcW w:w="498" w:type="dxa"/>
            <w:vMerge/>
            <w:tcBorders>
              <w:top w:val="nil"/>
              <w:left w:val="nil"/>
              <w:bottom w:val="single" w:sz="12" w:space="0" w:color="000000"/>
              <w:right w:val="nil"/>
            </w:tcBorders>
            <w:vAlign w:val="center"/>
            <w:hideMark/>
          </w:tcPr>
          <w:p w14:paraId="4020CE78" w14:textId="77777777" w:rsidR="00AF5B64" w:rsidRPr="00E928EF" w:rsidRDefault="00AF5B64" w:rsidP="00AF5B64">
            <w:pPr>
              <w:spacing w:after="0" w:line="240" w:lineRule="auto"/>
              <w:rPr>
                <w:rFonts w:eastAsia="Times New Roman" w:cs="Times New Roman"/>
                <w:color w:val="000000"/>
                <w:sz w:val="20"/>
                <w:szCs w:val="20"/>
              </w:rPr>
            </w:pPr>
          </w:p>
        </w:tc>
        <w:tc>
          <w:tcPr>
            <w:tcW w:w="3642" w:type="dxa"/>
            <w:tcBorders>
              <w:top w:val="nil"/>
              <w:left w:val="nil"/>
              <w:bottom w:val="nil"/>
              <w:right w:val="nil"/>
            </w:tcBorders>
            <w:shd w:val="clear" w:color="auto" w:fill="auto"/>
            <w:noWrap/>
            <w:vAlign w:val="bottom"/>
            <w:hideMark/>
          </w:tcPr>
          <w:p w14:paraId="459D994D"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Pre</w:t>
            </w:r>
            <w:r>
              <w:rPr>
                <w:rFonts w:eastAsia="Times New Roman" w:cs="Times New Roman"/>
                <w:color w:val="000000"/>
                <w:sz w:val="20"/>
                <w:szCs w:val="20"/>
              </w:rPr>
              <w:t>-</w:t>
            </w:r>
            <w:r w:rsidRPr="00E928EF">
              <w:rPr>
                <w:rFonts w:eastAsia="Times New Roman" w:cs="Times New Roman"/>
                <w:color w:val="000000"/>
                <w:sz w:val="20"/>
                <w:szCs w:val="20"/>
              </w:rPr>
              <w:t>fire C pool</w:t>
            </w:r>
          </w:p>
        </w:tc>
        <w:tc>
          <w:tcPr>
            <w:tcW w:w="783" w:type="dxa"/>
            <w:tcBorders>
              <w:top w:val="nil"/>
              <w:left w:val="nil"/>
              <w:bottom w:val="nil"/>
              <w:right w:val="nil"/>
            </w:tcBorders>
            <w:shd w:val="clear" w:color="auto" w:fill="auto"/>
            <w:noWrap/>
            <w:vAlign w:val="bottom"/>
            <w:hideMark/>
          </w:tcPr>
          <w:p w14:paraId="4A0EF24B"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1919</w:t>
            </w:r>
          </w:p>
        </w:tc>
        <w:tc>
          <w:tcPr>
            <w:tcW w:w="927" w:type="dxa"/>
            <w:tcBorders>
              <w:top w:val="nil"/>
              <w:left w:val="nil"/>
              <w:bottom w:val="nil"/>
              <w:right w:val="nil"/>
            </w:tcBorders>
            <w:shd w:val="clear" w:color="auto" w:fill="auto"/>
            <w:noWrap/>
            <w:vAlign w:val="bottom"/>
            <w:hideMark/>
          </w:tcPr>
          <w:p w14:paraId="3A72007D"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1931</w:t>
            </w:r>
          </w:p>
        </w:tc>
        <w:tc>
          <w:tcPr>
            <w:tcW w:w="900" w:type="dxa"/>
            <w:tcBorders>
              <w:top w:val="nil"/>
              <w:left w:val="nil"/>
              <w:bottom w:val="nil"/>
              <w:right w:val="nil"/>
            </w:tcBorders>
            <w:shd w:val="clear" w:color="auto" w:fill="auto"/>
            <w:noWrap/>
            <w:vAlign w:val="bottom"/>
            <w:hideMark/>
          </w:tcPr>
          <w:p w14:paraId="42897BB3"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1873</w:t>
            </w:r>
          </w:p>
        </w:tc>
        <w:tc>
          <w:tcPr>
            <w:tcW w:w="900" w:type="dxa"/>
            <w:tcBorders>
              <w:top w:val="nil"/>
              <w:left w:val="nil"/>
              <w:bottom w:val="nil"/>
              <w:right w:val="nil"/>
            </w:tcBorders>
            <w:shd w:val="clear" w:color="auto" w:fill="auto"/>
            <w:noWrap/>
            <w:vAlign w:val="bottom"/>
            <w:hideMark/>
          </w:tcPr>
          <w:p w14:paraId="2F5B5606"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901</w:t>
            </w:r>
          </w:p>
        </w:tc>
        <w:tc>
          <w:tcPr>
            <w:tcW w:w="990" w:type="dxa"/>
            <w:tcBorders>
              <w:top w:val="nil"/>
              <w:left w:val="nil"/>
              <w:bottom w:val="nil"/>
              <w:right w:val="nil"/>
            </w:tcBorders>
            <w:shd w:val="clear" w:color="auto" w:fill="auto"/>
            <w:noWrap/>
            <w:vAlign w:val="bottom"/>
            <w:hideMark/>
          </w:tcPr>
          <w:p w14:paraId="5DFFEF68"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720</w:t>
            </w:r>
          </w:p>
        </w:tc>
      </w:tr>
      <w:tr w:rsidR="00AF5B64" w:rsidRPr="00D95A45" w14:paraId="4D7A9469" w14:textId="77777777" w:rsidTr="00AF5B64">
        <w:trPr>
          <w:trHeight w:val="292"/>
        </w:trPr>
        <w:tc>
          <w:tcPr>
            <w:tcW w:w="498" w:type="dxa"/>
            <w:vMerge/>
            <w:tcBorders>
              <w:top w:val="nil"/>
              <w:left w:val="nil"/>
              <w:bottom w:val="single" w:sz="12" w:space="0" w:color="000000"/>
              <w:right w:val="nil"/>
            </w:tcBorders>
            <w:vAlign w:val="center"/>
            <w:hideMark/>
          </w:tcPr>
          <w:p w14:paraId="4175071F" w14:textId="77777777" w:rsidR="00AF5B64" w:rsidRPr="00E928EF" w:rsidRDefault="00AF5B64" w:rsidP="00AF5B64">
            <w:pPr>
              <w:spacing w:after="0" w:line="240" w:lineRule="auto"/>
              <w:rPr>
                <w:rFonts w:eastAsia="Times New Roman" w:cs="Times New Roman"/>
                <w:color w:val="000000"/>
                <w:sz w:val="20"/>
                <w:szCs w:val="20"/>
              </w:rPr>
            </w:pPr>
          </w:p>
        </w:tc>
        <w:tc>
          <w:tcPr>
            <w:tcW w:w="3642" w:type="dxa"/>
            <w:tcBorders>
              <w:top w:val="nil"/>
              <w:left w:val="nil"/>
              <w:bottom w:val="nil"/>
              <w:right w:val="nil"/>
            </w:tcBorders>
            <w:shd w:val="clear" w:color="auto" w:fill="auto"/>
            <w:noWrap/>
            <w:vAlign w:val="bottom"/>
            <w:hideMark/>
          </w:tcPr>
          <w:p w14:paraId="419F0229"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Net C pool change in the fire free interval</w:t>
            </w:r>
          </w:p>
        </w:tc>
        <w:tc>
          <w:tcPr>
            <w:tcW w:w="783" w:type="dxa"/>
            <w:tcBorders>
              <w:top w:val="nil"/>
              <w:left w:val="nil"/>
              <w:bottom w:val="nil"/>
              <w:right w:val="nil"/>
            </w:tcBorders>
            <w:shd w:val="clear" w:color="auto" w:fill="auto"/>
            <w:noWrap/>
            <w:vAlign w:val="bottom"/>
            <w:hideMark/>
          </w:tcPr>
          <w:p w14:paraId="0C22A6D4"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418</w:t>
            </w:r>
          </w:p>
        </w:tc>
        <w:tc>
          <w:tcPr>
            <w:tcW w:w="927" w:type="dxa"/>
            <w:tcBorders>
              <w:top w:val="nil"/>
              <w:left w:val="nil"/>
              <w:bottom w:val="nil"/>
              <w:right w:val="nil"/>
            </w:tcBorders>
            <w:shd w:val="clear" w:color="auto" w:fill="auto"/>
            <w:noWrap/>
            <w:vAlign w:val="bottom"/>
            <w:hideMark/>
          </w:tcPr>
          <w:p w14:paraId="2866D4E1"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430</w:t>
            </w:r>
          </w:p>
        </w:tc>
        <w:tc>
          <w:tcPr>
            <w:tcW w:w="900" w:type="dxa"/>
            <w:tcBorders>
              <w:top w:val="nil"/>
              <w:left w:val="nil"/>
              <w:bottom w:val="nil"/>
              <w:right w:val="nil"/>
            </w:tcBorders>
            <w:shd w:val="clear" w:color="auto" w:fill="auto"/>
            <w:noWrap/>
            <w:vAlign w:val="bottom"/>
            <w:hideMark/>
          </w:tcPr>
          <w:p w14:paraId="0C01889E"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372</w:t>
            </w:r>
          </w:p>
        </w:tc>
        <w:tc>
          <w:tcPr>
            <w:tcW w:w="900" w:type="dxa"/>
            <w:tcBorders>
              <w:top w:val="nil"/>
              <w:left w:val="nil"/>
              <w:bottom w:val="nil"/>
              <w:right w:val="nil"/>
            </w:tcBorders>
            <w:shd w:val="clear" w:color="auto" w:fill="auto"/>
            <w:noWrap/>
            <w:vAlign w:val="bottom"/>
            <w:hideMark/>
          </w:tcPr>
          <w:p w14:paraId="31E2D6D0"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-476</w:t>
            </w:r>
          </w:p>
        </w:tc>
        <w:tc>
          <w:tcPr>
            <w:tcW w:w="990" w:type="dxa"/>
            <w:tcBorders>
              <w:top w:val="nil"/>
              <w:left w:val="nil"/>
              <w:bottom w:val="nil"/>
              <w:right w:val="nil"/>
            </w:tcBorders>
            <w:shd w:val="clear" w:color="auto" w:fill="auto"/>
            <w:noWrap/>
            <w:vAlign w:val="bottom"/>
            <w:hideMark/>
          </w:tcPr>
          <w:p w14:paraId="6657B2FD"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-657</w:t>
            </w:r>
          </w:p>
        </w:tc>
      </w:tr>
      <w:tr w:rsidR="00AF5B64" w:rsidRPr="00D95A45" w14:paraId="46AA1421" w14:textId="77777777" w:rsidTr="00AF5B64">
        <w:trPr>
          <w:trHeight w:val="292"/>
        </w:trPr>
        <w:tc>
          <w:tcPr>
            <w:tcW w:w="498" w:type="dxa"/>
            <w:vMerge/>
            <w:tcBorders>
              <w:top w:val="nil"/>
              <w:left w:val="nil"/>
              <w:bottom w:val="single" w:sz="12" w:space="0" w:color="000000"/>
              <w:right w:val="nil"/>
            </w:tcBorders>
            <w:vAlign w:val="center"/>
            <w:hideMark/>
          </w:tcPr>
          <w:p w14:paraId="729C6DB0" w14:textId="77777777" w:rsidR="00AF5B64" w:rsidRPr="00E928EF" w:rsidRDefault="00AF5B64" w:rsidP="00AF5B64">
            <w:pPr>
              <w:spacing w:after="0" w:line="240" w:lineRule="auto"/>
              <w:rPr>
                <w:rFonts w:eastAsia="Times New Roman" w:cs="Times New Roman"/>
                <w:color w:val="000000"/>
                <w:sz w:val="20"/>
                <w:szCs w:val="20"/>
              </w:rPr>
            </w:pPr>
          </w:p>
        </w:tc>
        <w:tc>
          <w:tcPr>
            <w:tcW w:w="3642" w:type="dxa"/>
            <w:tcBorders>
              <w:top w:val="nil"/>
              <w:left w:val="nil"/>
              <w:bottom w:val="nil"/>
              <w:right w:val="nil"/>
            </w:tcBorders>
            <w:shd w:val="clear" w:color="auto" w:fill="auto"/>
            <w:noWrap/>
            <w:vAlign w:val="bottom"/>
            <w:hideMark/>
          </w:tcPr>
          <w:p w14:paraId="7628E834"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Annual rate of accumulation</w:t>
            </w:r>
          </w:p>
        </w:tc>
        <w:tc>
          <w:tcPr>
            <w:tcW w:w="783" w:type="dxa"/>
            <w:tcBorders>
              <w:top w:val="nil"/>
              <w:left w:val="nil"/>
              <w:bottom w:val="nil"/>
              <w:right w:val="nil"/>
            </w:tcBorders>
            <w:shd w:val="clear" w:color="auto" w:fill="auto"/>
            <w:noWrap/>
            <w:vAlign w:val="bottom"/>
            <w:hideMark/>
          </w:tcPr>
          <w:p w14:paraId="1A61090E"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4.10</w:t>
            </w:r>
          </w:p>
        </w:tc>
        <w:tc>
          <w:tcPr>
            <w:tcW w:w="927" w:type="dxa"/>
            <w:tcBorders>
              <w:top w:val="nil"/>
              <w:left w:val="nil"/>
              <w:bottom w:val="nil"/>
              <w:right w:val="nil"/>
            </w:tcBorders>
            <w:shd w:val="clear" w:color="auto" w:fill="auto"/>
            <w:noWrap/>
            <w:vAlign w:val="bottom"/>
            <w:hideMark/>
          </w:tcPr>
          <w:p w14:paraId="17A522CC"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9.56</w:t>
            </w:r>
          </w:p>
        </w:tc>
        <w:tc>
          <w:tcPr>
            <w:tcW w:w="900" w:type="dxa"/>
            <w:tcBorders>
              <w:top w:val="nil"/>
              <w:left w:val="nil"/>
              <w:bottom w:val="nil"/>
              <w:right w:val="nil"/>
            </w:tcBorders>
            <w:shd w:val="clear" w:color="auto" w:fill="auto"/>
            <w:noWrap/>
            <w:vAlign w:val="bottom"/>
            <w:hideMark/>
          </w:tcPr>
          <w:p w14:paraId="3534B53E"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23.25</w:t>
            </w:r>
          </w:p>
        </w:tc>
        <w:tc>
          <w:tcPr>
            <w:tcW w:w="900" w:type="dxa"/>
            <w:tcBorders>
              <w:top w:val="nil"/>
              <w:left w:val="nil"/>
              <w:bottom w:val="nil"/>
              <w:right w:val="nil"/>
            </w:tcBorders>
            <w:shd w:val="clear" w:color="auto" w:fill="auto"/>
            <w:noWrap/>
            <w:vAlign w:val="bottom"/>
            <w:hideMark/>
          </w:tcPr>
          <w:p w14:paraId="4219C9CA"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-12.21</w:t>
            </w:r>
          </w:p>
        </w:tc>
        <w:tc>
          <w:tcPr>
            <w:tcW w:w="990" w:type="dxa"/>
            <w:tcBorders>
              <w:top w:val="nil"/>
              <w:left w:val="nil"/>
              <w:bottom w:val="nil"/>
              <w:right w:val="nil"/>
            </w:tcBorders>
            <w:shd w:val="clear" w:color="auto" w:fill="auto"/>
            <w:noWrap/>
            <w:vAlign w:val="bottom"/>
            <w:hideMark/>
          </w:tcPr>
          <w:p w14:paraId="725F220C"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-31.29</w:t>
            </w:r>
          </w:p>
        </w:tc>
      </w:tr>
      <w:tr w:rsidR="00AF5B64" w:rsidRPr="00D95A45" w14:paraId="300FBFCB" w14:textId="77777777" w:rsidTr="00AF5B64">
        <w:trPr>
          <w:trHeight w:val="292"/>
        </w:trPr>
        <w:tc>
          <w:tcPr>
            <w:tcW w:w="498" w:type="dxa"/>
            <w:vMerge/>
            <w:tcBorders>
              <w:top w:val="nil"/>
              <w:left w:val="nil"/>
              <w:bottom w:val="single" w:sz="12" w:space="0" w:color="000000"/>
              <w:right w:val="nil"/>
            </w:tcBorders>
            <w:vAlign w:val="center"/>
            <w:hideMark/>
          </w:tcPr>
          <w:p w14:paraId="05D313E1" w14:textId="77777777" w:rsidR="00AF5B64" w:rsidRPr="00E928EF" w:rsidRDefault="00AF5B64" w:rsidP="00AF5B64">
            <w:pPr>
              <w:spacing w:after="0" w:line="240" w:lineRule="auto"/>
              <w:rPr>
                <w:rFonts w:eastAsia="Times New Roman" w:cs="Times New Roman"/>
                <w:color w:val="000000"/>
                <w:sz w:val="20"/>
                <w:szCs w:val="20"/>
              </w:rPr>
            </w:pPr>
          </w:p>
        </w:tc>
        <w:tc>
          <w:tcPr>
            <w:tcW w:w="3642" w:type="dxa"/>
            <w:tcBorders>
              <w:top w:val="nil"/>
              <w:left w:val="nil"/>
              <w:bottom w:val="nil"/>
              <w:right w:val="nil"/>
            </w:tcBorders>
            <w:shd w:val="clear" w:color="auto" w:fill="auto"/>
            <w:noWrap/>
            <w:vAlign w:val="bottom"/>
            <w:hideMark/>
          </w:tcPr>
          <w:p w14:paraId="0DAE42B5"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C loss in most recent fire</w:t>
            </w:r>
          </w:p>
        </w:tc>
        <w:tc>
          <w:tcPr>
            <w:tcW w:w="783" w:type="dxa"/>
            <w:tcBorders>
              <w:top w:val="nil"/>
              <w:left w:val="nil"/>
              <w:bottom w:val="nil"/>
              <w:right w:val="nil"/>
            </w:tcBorders>
            <w:shd w:val="clear" w:color="auto" w:fill="auto"/>
            <w:noWrap/>
            <w:vAlign w:val="bottom"/>
            <w:hideMark/>
          </w:tcPr>
          <w:p w14:paraId="7141D46C"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418</w:t>
            </w:r>
          </w:p>
        </w:tc>
        <w:tc>
          <w:tcPr>
            <w:tcW w:w="927" w:type="dxa"/>
            <w:tcBorders>
              <w:top w:val="nil"/>
              <w:left w:val="nil"/>
              <w:bottom w:val="nil"/>
              <w:right w:val="nil"/>
            </w:tcBorders>
            <w:shd w:val="clear" w:color="auto" w:fill="auto"/>
            <w:noWrap/>
            <w:vAlign w:val="bottom"/>
            <w:hideMark/>
          </w:tcPr>
          <w:p w14:paraId="057F15B2"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554</w:t>
            </w:r>
          </w:p>
        </w:tc>
        <w:tc>
          <w:tcPr>
            <w:tcW w:w="900" w:type="dxa"/>
            <w:tcBorders>
              <w:top w:val="nil"/>
              <w:left w:val="nil"/>
              <w:bottom w:val="nil"/>
              <w:right w:val="nil"/>
            </w:tcBorders>
            <w:shd w:val="clear" w:color="auto" w:fill="auto"/>
            <w:noWrap/>
            <w:vAlign w:val="bottom"/>
            <w:hideMark/>
          </w:tcPr>
          <w:p w14:paraId="776FF4D9"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652</w:t>
            </w:r>
          </w:p>
        </w:tc>
        <w:tc>
          <w:tcPr>
            <w:tcW w:w="900" w:type="dxa"/>
            <w:tcBorders>
              <w:top w:val="nil"/>
              <w:left w:val="nil"/>
              <w:bottom w:val="nil"/>
              <w:right w:val="nil"/>
            </w:tcBorders>
            <w:shd w:val="clear" w:color="auto" w:fill="auto"/>
            <w:noWrap/>
            <w:vAlign w:val="bottom"/>
            <w:hideMark/>
          </w:tcPr>
          <w:p w14:paraId="1D1128F6"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357</w:t>
            </w:r>
          </w:p>
        </w:tc>
        <w:tc>
          <w:tcPr>
            <w:tcW w:w="990" w:type="dxa"/>
            <w:tcBorders>
              <w:top w:val="nil"/>
              <w:left w:val="nil"/>
              <w:bottom w:val="nil"/>
              <w:right w:val="nil"/>
            </w:tcBorders>
            <w:shd w:val="clear" w:color="auto" w:fill="auto"/>
            <w:noWrap/>
            <w:vAlign w:val="bottom"/>
            <w:hideMark/>
          </w:tcPr>
          <w:p w14:paraId="365D3039"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186</w:t>
            </w:r>
          </w:p>
        </w:tc>
      </w:tr>
      <w:tr w:rsidR="00AF5B64" w:rsidRPr="00D95A45" w14:paraId="7F7CEA78" w14:textId="77777777" w:rsidTr="00AF5B64">
        <w:trPr>
          <w:trHeight w:val="292"/>
        </w:trPr>
        <w:tc>
          <w:tcPr>
            <w:tcW w:w="498" w:type="dxa"/>
            <w:vMerge/>
            <w:tcBorders>
              <w:top w:val="nil"/>
              <w:left w:val="nil"/>
              <w:bottom w:val="single" w:sz="12" w:space="0" w:color="000000"/>
              <w:right w:val="nil"/>
            </w:tcBorders>
            <w:vAlign w:val="center"/>
            <w:hideMark/>
          </w:tcPr>
          <w:p w14:paraId="673D945A" w14:textId="77777777" w:rsidR="00AF5B64" w:rsidRPr="00E928EF" w:rsidRDefault="00AF5B64" w:rsidP="00AF5B64">
            <w:pPr>
              <w:spacing w:after="0" w:line="240" w:lineRule="auto"/>
              <w:rPr>
                <w:rFonts w:eastAsia="Times New Roman" w:cs="Times New Roman"/>
                <w:color w:val="000000"/>
                <w:sz w:val="20"/>
                <w:szCs w:val="20"/>
              </w:rPr>
            </w:pPr>
          </w:p>
        </w:tc>
        <w:tc>
          <w:tcPr>
            <w:tcW w:w="3642" w:type="dxa"/>
            <w:tcBorders>
              <w:top w:val="nil"/>
              <w:left w:val="nil"/>
              <w:bottom w:val="nil"/>
              <w:right w:val="nil"/>
            </w:tcBorders>
            <w:shd w:val="clear" w:color="auto" w:fill="auto"/>
            <w:noWrap/>
            <w:vAlign w:val="bottom"/>
            <w:hideMark/>
          </w:tcPr>
          <w:p w14:paraId="40713715"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Legacy C lost (neg) in most recent fire</w:t>
            </w:r>
          </w:p>
        </w:tc>
        <w:tc>
          <w:tcPr>
            <w:tcW w:w="783" w:type="dxa"/>
            <w:tcBorders>
              <w:top w:val="nil"/>
              <w:left w:val="nil"/>
              <w:bottom w:val="nil"/>
              <w:right w:val="nil"/>
            </w:tcBorders>
            <w:shd w:val="clear" w:color="auto" w:fill="auto"/>
            <w:noWrap/>
            <w:vAlign w:val="bottom"/>
            <w:hideMark/>
          </w:tcPr>
          <w:p w14:paraId="525AFA2B"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0</w:t>
            </w:r>
          </w:p>
        </w:tc>
        <w:tc>
          <w:tcPr>
            <w:tcW w:w="927" w:type="dxa"/>
            <w:tcBorders>
              <w:top w:val="nil"/>
              <w:left w:val="nil"/>
              <w:bottom w:val="nil"/>
              <w:right w:val="nil"/>
            </w:tcBorders>
            <w:shd w:val="clear" w:color="auto" w:fill="auto"/>
            <w:noWrap/>
            <w:vAlign w:val="bottom"/>
            <w:hideMark/>
          </w:tcPr>
          <w:p w14:paraId="073C1FC9"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-124</w:t>
            </w:r>
          </w:p>
        </w:tc>
        <w:tc>
          <w:tcPr>
            <w:tcW w:w="900" w:type="dxa"/>
            <w:tcBorders>
              <w:top w:val="nil"/>
              <w:left w:val="nil"/>
              <w:bottom w:val="nil"/>
              <w:right w:val="nil"/>
            </w:tcBorders>
            <w:shd w:val="clear" w:color="auto" w:fill="auto"/>
            <w:noWrap/>
            <w:vAlign w:val="bottom"/>
            <w:hideMark/>
          </w:tcPr>
          <w:p w14:paraId="289C2588"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-280</w:t>
            </w:r>
          </w:p>
        </w:tc>
        <w:tc>
          <w:tcPr>
            <w:tcW w:w="900" w:type="dxa"/>
            <w:tcBorders>
              <w:top w:val="nil"/>
              <w:left w:val="nil"/>
              <w:bottom w:val="nil"/>
              <w:right w:val="nil"/>
            </w:tcBorders>
            <w:shd w:val="clear" w:color="auto" w:fill="auto"/>
            <w:noWrap/>
            <w:vAlign w:val="bottom"/>
            <w:hideMark/>
          </w:tcPr>
          <w:p w14:paraId="09589F23"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-833</w:t>
            </w:r>
          </w:p>
        </w:tc>
        <w:tc>
          <w:tcPr>
            <w:tcW w:w="990" w:type="dxa"/>
            <w:tcBorders>
              <w:top w:val="nil"/>
              <w:left w:val="nil"/>
              <w:bottom w:val="nil"/>
              <w:right w:val="nil"/>
            </w:tcBorders>
            <w:shd w:val="clear" w:color="auto" w:fill="auto"/>
            <w:noWrap/>
            <w:vAlign w:val="bottom"/>
            <w:hideMark/>
          </w:tcPr>
          <w:p w14:paraId="27DDB531"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-843</w:t>
            </w:r>
          </w:p>
        </w:tc>
      </w:tr>
      <w:tr w:rsidR="00AF5B64" w:rsidRPr="00D95A45" w14:paraId="29EBC02F" w14:textId="77777777" w:rsidTr="00AF5B64">
        <w:trPr>
          <w:trHeight w:val="300"/>
        </w:trPr>
        <w:tc>
          <w:tcPr>
            <w:tcW w:w="498" w:type="dxa"/>
            <w:vMerge/>
            <w:tcBorders>
              <w:top w:val="nil"/>
              <w:left w:val="nil"/>
              <w:bottom w:val="single" w:sz="12" w:space="0" w:color="000000"/>
              <w:right w:val="nil"/>
            </w:tcBorders>
            <w:vAlign w:val="center"/>
            <w:hideMark/>
          </w:tcPr>
          <w:p w14:paraId="763BFD58" w14:textId="77777777" w:rsidR="00AF5B64" w:rsidRPr="00E928EF" w:rsidRDefault="00AF5B64" w:rsidP="00AF5B64">
            <w:pPr>
              <w:spacing w:after="0" w:line="240" w:lineRule="auto"/>
              <w:rPr>
                <w:rFonts w:eastAsia="Times New Roman" w:cs="Times New Roman"/>
                <w:color w:val="000000"/>
                <w:sz w:val="20"/>
                <w:szCs w:val="20"/>
              </w:rPr>
            </w:pPr>
          </w:p>
        </w:tc>
        <w:tc>
          <w:tcPr>
            <w:tcW w:w="3642" w:type="dxa"/>
            <w:tcBorders>
              <w:top w:val="nil"/>
              <w:left w:val="nil"/>
              <w:bottom w:val="single" w:sz="12" w:space="0" w:color="auto"/>
              <w:right w:val="nil"/>
            </w:tcBorders>
            <w:shd w:val="clear" w:color="auto" w:fill="auto"/>
            <w:noWrap/>
            <w:vAlign w:val="bottom"/>
            <w:hideMark/>
          </w:tcPr>
          <w:p w14:paraId="76730DA1"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 Legacy C</w:t>
            </w:r>
            <w:r w:rsidRPr="00D95A45">
              <w:rPr>
                <w:rFonts w:eastAsia="Times New Roman" w:cs="Times New Roman"/>
                <w:color w:val="000000"/>
                <w:sz w:val="20"/>
                <w:szCs w:val="20"/>
              </w:rPr>
              <w:t xml:space="preserve"> loss</w:t>
            </w:r>
          </w:p>
        </w:tc>
        <w:tc>
          <w:tcPr>
            <w:tcW w:w="783" w:type="dxa"/>
            <w:tcBorders>
              <w:top w:val="nil"/>
              <w:left w:val="nil"/>
              <w:bottom w:val="single" w:sz="12" w:space="0" w:color="auto"/>
              <w:right w:val="nil"/>
            </w:tcBorders>
            <w:shd w:val="clear" w:color="auto" w:fill="auto"/>
            <w:noWrap/>
            <w:vAlign w:val="bottom"/>
            <w:hideMark/>
          </w:tcPr>
          <w:p w14:paraId="36DED2A6"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0.00</w:t>
            </w:r>
          </w:p>
        </w:tc>
        <w:tc>
          <w:tcPr>
            <w:tcW w:w="927" w:type="dxa"/>
            <w:tcBorders>
              <w:top w:val="nil"/>
              <w:left w:val="nil"/>
              <w:bottom w:val="single" w:sz="12" w:space="0" w:color="auto"/>
              <w:right w:val="nil"/>
            </w:tcBorders>
            <w:shd w:val="clear" w:color="auto" w:fill="auto"/>
            <w:noWrap/>
            <w:vAlign w:val="bottom"/>
            <w:hideMark/>
          </w:tcPr>
          <w:p w14:paraId="1D43F935"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22.38</w:t>
            </w:r>
          </w:p>
        </w:tc>
        <w:tc>
          <w:tcPr>
            <w:tcW w:w="900" w:type="dxa"/>
            <w:tcBorders>
              <w:top w:val="nil"/>
              <w:left w:val="nil"/>
              <w:bottom w:val="single" w:sz="12" w:space="0" w:color="auto"/>
              <w:right w:val="nil"/>
            </w:tcBorders>
            <w:shd w:val="clear" w:color="auto" w:fill="auto"/>
            <w:noWrap/>
            <w:vAlign w:val="bottom"/>
            <w:hideMark/>
          </w:tcPr>
          <w:p w14:paraId="53BC23FE"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42.94</w:t>
            </w:r>
          </w:p>
        </w:tc>
        <w:tc>
          <w:tcPr>
            <w:tcW w:w="900" w:type="dxa"/>
            <w:tcBorders>
              <w:top w:val="nil"/>
              <w:left w:val="nil"/>
              <w:bottom w:val="single" w:sz="12" w:space="0" w:color="auto"/>
              <w:right w:val="nil"/>
            </w:tcBorders>
            <w:shd w:val="clear" w:color="auto" w:fill="auto"/>
            <w:noWrap/>
            <w:vAlign w:val="bottom"/>
            <w:hideMark/>
          </w:tcPr>
          <w:p w14:paraId="73BDBAE3"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233.33</w:t>
            </w:r>
          </w:p>
        </w:tc>
        <w:tc>
          <w:tcPr>
            <w:tcW w:w="990" w:type="dxa"/>
            <w:tcBorders>
              <w:top w:val="nil"/>
              <w:left w:val="nil"/>
              <w:bottom w:val="single" w:sz="12" w:space="0" w:color="auto"/>
              <w:right w:val="nil"/>
            </w:tcBorders>
            <w:shd w:val="clear" w:color="auto" w:fill="auto"/>
            <w:noWrap/>
            <w:vAlign w:val="bottom"/>
            <w:hideMark/>
          </w:tcPr>
          <w:p w14:paraId="50B77AB8"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453.23</w:t>
            </w:r>
          </w:p>
        </w:tc>
      </w:tr>
      <w:tr w:rsidR="00AF5B64" w:rsidRPr="00D95A45" w14:paraId="1A9C5C76" w14:textId="77777777" w:rsidTr="00AF5B64">
        <w:trPr>
          <w:trHeight w:val="300"/>
        </w:trPr>
        <w:tc>
          <w:tcPr>
            <w:tcW w:w="498" w:type="dxa"/>
            <w:vMerge w:val="restart"/>
            <w:tcBorders>
              <w:top w:val="nil"/>
              <w:left w:val="nil"/>
              <w:bottom w:val="single" w:sz="12" w:space="0" w:color="000000"/>
              <w:right w:val="nil"/>
            </w:tcBorders>
            <w:shd w:val="clear" w:color="auto" w:fill="auto"/>
            <w:noWrap/>
            <w:textDirection w:val="btLr"/>
            <w:vAlign w:val="center"/>
            <w:hideMark/>
          </w:tcPr>
          <w:p w14:paraId="54388EA9" w14:textId="77777777" w:rsidR="00AF5B64" w:rsidRPr="00E928EF" w:rsidRDefault="00AF5B64" w:rsidP="00AF5B64">
            <w:pPr>
              <w:spacing w:after="0" w:line="240" w:lineRule="auto"/>
              <w:jc w:val="center"/>
              <w:rPr>
                <w:rFonts w:eastAsia="Times New Roman" w:cs="Times New Roman"/>
                <w:color w:val="000000"/>
                <w:sz w:val="20"/>
                <w:szCs w:val="20"/>
              </w:rPr>
            </w:pPr>
            <w:r w:rsidRPr="00E928EF">
              <w:rPr>
                <w:rFonts w:eastAsia="Times New Roman" w:cs="Times New Roman"/>
                <w:color w:val="000000"/>
                <w:sz w:val="20"/>
                <w:szCs w:val="20"/>
              </w:rPr>
              <w:t xml:space="preserve">Total </w:t>
            </w:r>
          </w:p>
        </w:tc>
        <w:tc>
          <w:tcPr>
            <w:tcW w:w="3642" w:type="dxa"/>
            <w:tcBorders>
              <w:top w:val="nil"/>
              <w:left w:val="nil"/>
              <w:bottom w:val="nil"/>
              <w:right w:val="nil"/>
            </w:tcBorders>
            <w:shd w:val="clear" w:color="auto" w:fill="auto"/>
            <w:noWrap/>
            <w:vAlign w:val="bottom"/>
            <w:hideMark/>
          </w:tcPr>
          <w:p w14:paraId="18C5BD18" w14:textId="77777777" w:rsidR="00AF5B64" w:rsidRPr="00E928EF" w:rsidRDefault="00AF5B64" w:rsidP="00AF5B64">
            <w:pPr>
              <w:spacing w:after="0" w:line="240" w:lineRule="auto"/>
              <w:rPr>
                <w:rFonts w:eastAsia="Times New Roman" w:cs="Times New Roman"/>
                <w:b/>
                <w:bCs/>
                <w:color w:val="000000"/>
                <w:sz w:val="20"/>
                <w:szCs w:val="20"/>
              </w:rPr>
            </w:pPr>
            <w:r w:rsidRPr="00E928EF">
              <w:rPr>
                <w:rFonts w:eastAsia="Times New Roman" w:cs="Times New Roman"/>
                <w:color w:val="000000"/>
                <w:sz w:val="20"/>
                <w:szCs w:val="20"/>
              </w:rPr>
              <w:t xml:space="preserve">Postfire Residual C pool </w:t>
            </w:r>
          </w:p>
        </w:tc>
        <w:tc>
          <w:tcPr>
            <w:tcW w:w="783" w:type="dxa"/>
            <w:tcBorders>
              <w:top w:val="nil"/>
              <w:left w:val="nil"/>
              <w:bottom w:val="nil"/>
              <w:right w:val="nil"/>
            </w:tcBorders>
            <w:shd w:val="clear" w:color="auto" w:fill="auto"/>
            <w:noWrap/>
            <w:vAlign w:val="bottom"/>
            <w:hideMark/>
          </w:tcPr>
          <w:p w14:paraId="74F3F112"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6584</w:t>
            </w:r>
          </w:p>
        </w:tc>
        <w:tc>
          <w:tcPr>
            <w:tcW w:w="927" w:type="dxa"/>
            <w:tcBorders>
              <w:top w:val="nil"/>
              <w:left w:val="nil"/>
              <w:bottom w:val="nil"/>
              <w:right w:val="nil"/>
            </w:tcBorders>
            <w:shd w:val="clear" w:color="auto" w:fill="auto"/>
            <w:noWrap/>
            <w:vAlign w:val="bottom"/>
            <w:hideMark/>
          </w:tcPr>
          <w:p w14:paraId="4D7437F3"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6584</w:t>
            </w:r>
          </w:p>
        </w:tc>
        <w:tc>
          <w:tcPr>
            <w:tcW w:w="900" w:type="dxa"/>
            <w:tcBorders>
              <w:top w:val="nil"/>
              <w:left w:val="nil"/>
              <w:bottom w:val="nil"/>
              <w:right w:val="nil"/>
            </w:tcBorders>
            <w:shd w:val="clear" w:color="auto" w:fill="auto"/>
            <w:noWrap/>
            <w:vAlign w:val="bottom"/>
            <w:hideMark/>
          </w:tcPr>
          <w:p w14:paraId="7E933B37"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6584</w:t>
            </w:r>
          </w:p>
        </w:tc>
        <w:tc>
          <w:tcPr>
            <w:tcW w:w="900" w:type="dxa"/>
            <w:tcBorders>
              <w:top w:val="nil"/>
              <w:left w:val="nil"/>
              <w:bottom w:val="nil"/>
              <w:right w:val="nil"/>
            </w:tcBorders>
            <w:shd w:val="clear" w:color="auto" w:fill="auto"/>
            <w:noWrap/>
            <w:vAlign w:val="bottom"/>
            <w:hideMark/>
          </w:tcPr>
          <w:p w14:paraId="7153BA4B"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4727</w:t>
            </w:r>
          </w:p>
        </w:tc>
        <w:tc>
          <w:tcPr>
            <w:tcW w:w="990" w:type="dxa"/>
            <w:tcBorders>
              <w:top w:val="nil"/>
              <w:left w:val="nil"/>
              <w:bottom w:val="nil"/>
              <w:right w:val="nil"/>
            </w:tcBorders>
            <w:shd w:val="clear" w:color="auto" w:fill="auto"/>
            <w:noWrap/>
            <w:vAlign w:val="bottom"/>
            <w:hideMark/>
          </w:tcPr>
          <w:p w14:paraId="341EBF44"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4727</w:t>
            </w:r>
          </w:p>
        </w:tc>
      </w:tr>
      <w:tr w:rsidR="00AF5B64" w:rsidRPr="00D95A45" w14:paraId="30C2B16B" w14:textId="77777777" w:rsidTr="00AF5B64">
        <w:trPr>
          <w:trHeight w:val="292"/>
        </w:trPr>
        <w:tc>
          <w:tcPr>
            <w:tcW w:w="498" w:type="dxa"/>
            <w:vMerge/>
            <w:tcBorders>
              <w:top w:val="nil"/>
              <w:left w:val="nil"/>
              <w:bottom w:val="single" w:sz="12" w:space="0" w:color="000000"/>
              <w:right w:val="nil"/>
            </w:tcBorders>
            <w:vAlign w:val="center"/>
            <w:hideMark/>
          </w:tcPr>
          <w:p w14:paraId="7B93DCA7" w14:textId="77777777" w:rsidR="00AF5B64" w:rsidRPr="00E928EF" w:rsidRDefault="00AF5B64" w:rsidP="00AF5B64">
            <w:pPr>
              <w:spacing w:after="0" w:line="240" w:lineRule="auto"/>
              <w:rPr>
                <w:rFonts w:eastAsia="Times New Roman" w:cs="Times New Roman"/>
                <w:color w:val="000000"/>
              </w:rPr>
            </w:pPr>
          </w:p>
        </w:tc>
        <w:tc>
          <w:tcPr>
            <w:tcW w:w="3642" w:type="dxa"/>
            <w:tcBorders>
              <w:top w:val="nil"/>
              <w:left w:val="nil"/>
              <w:bottom w:val="nil"/>
              <w:right w:val="nil"/>
            </w:tcBorders>
            <w:shd w:val="clear" w:color="auto" w:fill="auto"/>
            <w:noWrap/>
            <w:vAlign w:val="bottom"/>
            <w:hideMark/>
          </w:tcPr>
          <w:p w14:paraId="7284DEF0"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Pre</w:t>
            </w:r>
            <w:r>
              <w:rPr>
                <w:rFonts w:eastAsia="Times New Roman" w:cs="Times New Roman"/>
                <w:color w:val="000000"/>
                <w:sz w:val="20"/>
                <w:szCs w:val="20"/>
              </w:rPr>
              <w:t>-</w:t>
            </w:r>
            <w:r w:rsidRPr="00E928EF">
              <w:rPr>
                <w:rFonts w:eastAsia="Times New Roman" w:cs="Times New Roman"/>
                <w:color w:val="000000"/>
                <w:sz w:val="20"/>
                <w:szCs w:val="20"/>
              </w:rPr>
              <w:t>fire C pool</w:t>
            </w:r>
          </w:p>
        </w:tc>
        <w:tc>
          <w:tcPr>
            <w:tcW w:w="783" w:type="dxa"/>
            <w:tcBorders>
              <w:top w:val="nil"/>
              <w:left w:val="nil"/>
              <w:bottom w:val="nil"/>
              <w:right w:val="nil"/>
            </w:tcBorders>
            <w:shd w:val="clear" w:color="auto" w:fill="auto"/>
            <w:noWrap/>
            <w:vAlign w:val="bottom"/>
            <w:hideMark/>
          </w:tcPr>
          <w:p w14:paraId="6E698928"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10159</w:t>
            </w:r>
          </w:p>
        </w:tc>
        <w:tc>
          <w:tcPr>
            <w:tcW w:w="927" w:type="dxa"/>
            <w:tcBorders>
              <w:top w:val="nil"/>
              <w:left w:val="nil"/>
              <w:bottom w:val="nil"/>
              <w:right w:val="nil"/>
            </w:tcBorders>
            <w:shd w:val="clear" w:color="auto" w:fill="auto"/>
            <w:noWrap/>
            <w:vAlign w:val="bottom"/>
            <w:hideMark/>
          </w:tcPr>
          <w:p w14:paraId="61BFB9FE"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7970</w:t>
            </w:r>
          </w:p>
        </w:tc>
        <w:tc>
          <w:tcPr>
            <w:tcW w:w="900" w:type="dxa"/>
            <w:tcBorders>
              <w:top w:val="nil"/>
              <w:left w:val="nil"/>
              <w:bottom w:val="nil"/>
              <w:right w:val="nil"/>
            </w:tcBorders>
            <w:shd w:val="clear" w:color="auto" w:fill="auto"/>
            <w:noWrap/>
            <w:vAlign w:val="bottom"/>
            <w:hideMark/>
          </w:tcPr>
          <w:p w14:paraId="134F25DC"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6440</w:t>
            </w:r>
          </w:p>
        </w:tc>
        <w:tc>
          <w:tcPr>
            <w:tcW w:w="900" w:type="dxa"/>
            <w:tcBorders>
              <w:top w:val="nil"/>
              <w:left w:val="nil"/>
              <w:bottom w:val="nil"/>
              <w:right w:val="nil"/>
            </w:tcBorders>
            <w:shd w:val="clear" w:color="auto" w:fill="auto"/>
            <w:noWrap/>
            <w:vAlign w:val="bottom"/>
            <w:hideMark/>
          </w:tcPr>
          <w:p w14:paraId="5E6C2191"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7161</w:t>
            </w:r>
          </w:p>
        </w:tc>
        <w:tc>
          <w:tcPr>
            <w:tcW w:w="990" w:type="dxa"/>
            <w:tcBorders>
              <w:top w:val="nil"/>
              <w:left w:val="nil"/>
              <w:bottom w:val="nil"/>
              <w:right w:val="nil"/>
            </w:tcBorders>
            <w:shd w:val="clear" w:color="auto" w:fill="auto"/>
            <w:noWrap/>
            <w:vAlign w:val="bottom"/>
            <w:hideMark/>
          </w:tcPr>
          <w:p w14:paraId="75509DCD"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6543</w:t>
            </w:r>
          </w:p>
        </w:tc>
      </w:tr>
      <w:tr w:rsidR="00AF5B64" w:rsidRPr="00D95A45" w14:paraId="11BC83D6" w14:textId="77777777" w:rsidTr="00AF5B64">
        <w:trPr>
          <w:trHeight w:val="292"/>
        </w:trPr>
        <w:tc>
          <w:tcPr>
            <w:tcW w:w="498" w:type="dxa"/>
            <w:vMerge/>
            <w:tcBorders>
              <w:top w:val="nil"/>
              <w:left w:val="nil"/>
              <w:bottom w:val="single" w:sz="12" w:space="0" w:color="000000"/>
              <w:right w:val="nil"/>
            </w:tcBorders>
            <w:vAlign w:val="center"/>
            <w:hideMark/>
          </w:tcPr>
          <w:p w14:paraId="381D17BC" w14:textId="77777777" w:rsidR="00AF5B64" w:rsidRPr="00E928EF" w:rsidRDefault="00AF5B64" w:rsidP="00AF5B64">
            <w:pPr>
              <w:spacing w:after="0" w:line="240" w:lineRule="auto"/>
              <w:rPr>
                <w:rFonts w:eastAsia="Times New Roman" w:cs="Times New Roman"/>
                <w:color w:val="000000"/>
              </w:rPr>
            </w:pPr>
          </w:p>
        </w:tc>
        <w:tc>
          <w:tcPr>
            <w:tcW w:w="3642" w:type="dxa"/>
            <w:tcBorders>
              <w:top w:val="nil"/>
              <w:left w:val="nil"/>
              <w:bottom w:val="nil"/>
              <w:right w:val="nil"/>
            </w:tcBorders>
            <w:shd w:val="clear" w:color="auto" w:fill="auto"/>
            <w:noWrap/>
            <w:vAlign w:val="bottom"/>
            <w:hideMark/>
          </w:tcPr>
          <w:p w14:paraId="4F24542C"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Net C pool change in the fire free interval</w:t>
            </w:r>
          </w:p>
        </w:tc>
        <w:tc>
          <w:tcPr>
            <w:tcW w:w="783" w:type="dxa"/>
            <w:tcBorders>
              <w:top w:val="nil"/>
              <w:left w:val="nil"/>
              <w:bottom w:val="nil"/>
              <w:right w:val="nil"/>
            </w:tcBorders>
            <w:shd w:val="clear" w:color="auto" w:fill="auto"/>
            <w:noWrap/>
            <w:vAlign w:val="bottom"/>
            <w:hideMark/>
          </w:tcPr>
          <w:p w14:paraId="3FBE03C3"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3575</w:t>
            </w:r>
          </w:p>
        </w:tc>
        <w:tc>
          <w:tcPr>
            <w:tcW w:w="927" w:type="dxa"/>
            <w:tcBorders>
              <w:top w:val="nil"/>
              <w:left w:val="nil"/>
              <w:bottom w:val="nil"/>
              <w:right w:val="nil"/>
            </w:tcBorders>
            <w:shd w:val="clear" w:color="auto" w:fill="auto"/>
            <w:noWrap/>
            <w:vAlign w:val="bottom"/>
            <w:hideMark/>
          </w:tcPr>
          <w:p w14:paraId="77A31944"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1386</w:t>
            </w:r>
          </w:p>
        </w:tc>
        <w:tc>
          <w:tcPr>
            <w:tcW w:w="900" w:type="dxa"/>
            <w:tcBorders>
              <w:top w:val="nil"/>
              <w:left w:val="nil"/>
              <w:bottom w:val="nil"/>
              <w:right w:val="nil"/>
            </w:tcBorders>
            <w:shd w:val="clear" w:color="auto" w:fill="auto"/>
            <w:noWrap/>
            <w:vAlign w:val="bottom"/>
            <w:hideMark/>
          </w:tcPr>
          <w:p w14:paraId="470D4634"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-144</w:t>
            </w:r>
          </w:p>
        </w:tc>
        <w:tc>
          <w:tcPr>
            <w:tcW w:w="900" w:type="dxa"/>
            <w:tcBorders>
              <w:top w:val="nil"/>
              <w:left w:val="nil"/>
              <w:bottom w:val="nil"/>
              <w:right w:val="nil"/>
            </w:tcBorders>
            <w:shd w:val="clear" w:color="auto" w:fill="auto"/>
            <w:noWrap/>
            <w:vAlign w:val="bottom"/>
            <w:hideMark/>
          </w:tcPr>
          <w:p w14:paraId="634B2682"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2434</w:t>
            </w:r>
          </w:p>
        </w:tc>
        <w:tc>
          <w:tcPr>
            <w:tcW w:w="990" w:type="dxa"/>
            <w:tcBorders>
              <w:top w:val="nil"/>
              <w:left w:val="nil"/>
              <w:bottom w:val="nil"/>
              <w:right w:val="nil"/>
            </w:tcBorders>
            <w:shd w:val="clear" w:color="auto" w:fill="auto"/>
            <w:noWrap/>
            <w:vAlign w:val="bottom"/>
            <w:hideMark/>
          </w:tcPr>
          <w:p w14:paraId="55113F76"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1816</w:t>
            </w:r>
          </w:p>
        </w:tc>
      </w:tr>
      <w:tr w:rsidR="00AF5B64" w:rsidRPr="00D95A45" w14:paraId="1F72F2E6" w14:textId="77777777" w:rsidTr="00AF5B64">
        <w:trPr>
          <w:trHeight w:val="292"/>
        </w:trPr>
        <w:tc>
          <w:tcPr>
            <w:tcW w:w="498" w:type="dxa"/>
            <w:vMerge/>
            <w:tcBorders>
              <w:top w:val="nil"/>
              <w:left w:val="nil"/>
              <w:bottom w:val="single" w:sz="12" w:space="0" w:color="000000"/>
              <w:right w:val="nil"/>
            </w:tcBorders>
            <w:vAlign w:val="center"/>
            <w:hideMark/>
          </w:tcPr>
          <w:p w14:paraId="081A66C9" w14:textId="77777777" w:rsidR="00AF5B64" w:rsidRPr="00E928EF" w:rsidRDefault="00AF5B64" w:rsidP="00AF5B64">
            <w:pPr>
              <w:spacing w:after="0" w:line="240" w:lineRule="auto"/>
              <w:rPr>
                <w:rFonts w:eastAsia="Times New Roman" w:cs="Times New Roman"/>
                <w:color w:val="000000"/>
              </w:rPr>
            </w:pPr>
          </w:p>
        </w:tc>
        <w:tc>
          <w:tcPr>
            <w:tcW w:w="3642" w:type="dxa"/>
            <w:tcBorders>
              <w:top w:val="nil"/>
              <w:left w:val="nil"/>
              <w:bottom w:val="nil"/>
              <w:right w:val="nil"/>
            </w:tcBorders>
            <w:shd w:val="clear" w:color="auto" w:fill="auto"/>
            <w:noWrap/>
            <w:vAlign w:val="bottom"/>
            <w:hideMark/>
          </w:tcPr>
          <w:p w14:paraId="77E5EFC7"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Annual rate of accumulation</w:t>
            </w:r>
          </w:p>
        </w:tc>
        <w:tc>
          <w:tcPr>
            <w:tcW w:w="783" w:type="dxa"/>
            <w:tcBorders>
              <w:top w:val="nil"/>
              <w:left w:val="nil"/>
              <w:bottom w:val="nil"/>
              <w:right w:val="nil"/>
            </w:tcBorders>
            <w:shd w:val="clear" w:color="auto" w:fill="auto"/>
            <w:noWrap/>
            <w:vAlign w:val="bottom"/>
            <w:hideMark/>
          </w:tcPr>
          <w:p w14:paraId="4B2C9F6D"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35.05</w:t>
            </w:r>
          </w:p>
        </w:tc>
        <w:tc>
          <w:tcPr>
            <w:tcW w:w="927" w:type="dxa"/>
            <w:tcBorders>
              <w:top w:val="nil"/>
              <w:left w:val="nil"/>
              <w:bottom w:val="nil"/>
              <w:right w:val="nil"/>
            </w:tcBorders>
            <w:shd w:val="clear" w:color="auto" w:fill="auto"/>
            <w:noWrap/>
            <w:vAlign w:val="bottom"/>
            <w:hideMark/>
          </w:tcPr>
          <w:p w14:paraId="09ECF570"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30.80</w:t>
            </w:r>
          </w:p>
        </w:tc>
        <w:tc>
          <w:tcPr>
            <w:tcW w:w="900" w:type="dxa"/>
            <w:tcBorders>
              <w:top w:val="nil"/>
              <w:left w:val="nil"/>
              <w:bottom w:val="nil"/>
              <w:right w:val="nil"/>
            </w:tcBorders>
            <w:shd w:val="clear" w:color="auto" w:fill="auto"/>
            <w:noWrap/>
            <w:vAlign w:val="bottom"/>
            <w:hideMark/>
          </w:tcPr>
          <w:p w14:paraId="62907F2F"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-9.00</w:t>
            </w:r>
          </w:p>
        </w:tc>
        <w:tc>
          <w:tcPr>
            <w:tcW w:w="900" w:type="dxa"/>
            <w:tcBorders>
              <w:top w:val="nil"/>
              <w:left w:val="nil"/>
              <w:bottom w:val="nil"/>
              <w:right w:val="nil"/>
            </w:tcBorders>
            <w:shd w:val="clear" w:color="auto" w:fill="auto"/>
            <w:noWrap/>
            <w:vAlign w:val="bottom"/>
            <w:hideMark/>
          </w:tcPr>
          <w:p w14:paraId="5C6C2270"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62.41</w:t>
            </w:r>
          </w:p>
        </w:tc>
        <w:tc>
          <w:tcPr>
            <w:tcW w:w="990" w:type="dxa"/>
            <w:tcBorders>
              <w:top w:val="nil"/>
              <w:left w:val="nil"/>
              <w:bottom w:val="nil"/>
              <w:right w:val="nil"/>
            </w:tcBorders>
            <w:shd w:val="clear" w:color="auto" w:fill="auto"/>
            <w:noWrap/>
            <w:vAlign w:val="bottom"/>
            <w:hideMark/>
          </w:tcPr>
          <w:p w14:paraId="3B71FFE6"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86.48</w:t>
            </w:r>
          </w:p>
        </w:tc>
      </w:tr>
      <w:tr w:rsidR="00AF5B64" w:rsidRPr="00D95A45" w14:paraId="7E699BEE" w14:textId="77777777" w:rsidTr="00AF5B64">
        <w:trPr>
          <w:trHeight w:val="292"/>
        </w:trPr>
        <w:tc>
          <w:tcPr>
            <w:tcW w:w="498" w:type="dxa"/>
            <w:vMerge/>
            <w:tcBorders>
              <w:top w:val="nil"/>
              <w:left w:val="nil"/>
              <w:bottom w:val="single" w:sz="12" w:space="0" w:color="000000"/>
              <w:right w:val="nil"/>
            </w:tcBorders>
            <w:vAlign w:val="center"/>
            <w:hideMark/>
          </w:tcPr>
          <w:p w14:paraId="17DD1AF4" w14:textId="77777777" w:rsidR="00AF5B64" w:rsidRPr="00E928EF" w:rsidRDefault="00AF5B64" w:rsidP="00AF5B64">
            <w:pPr>
              <w:spacing w:after="0" w:line="240" w:lineRule="auto"/>
              <w:rPr>
                <w:rFonts w:eastAsia="Times New Roman" w:cs="Times New Roman"/>
                <w:color w:val="000000"/>
              </w:rPr>
            </w:pPr>
          </w:p>
        </w:tc>
        <w:tc>
          <w:tcPr>
            <w:tcW w:w="3642" w:type="dxa"/>
            <w:tcBorders>
              <w:top w:val="nil"/>
              <w:left w:val="nil"/>
              <w:bottom w:val="nil"/>
              <w:right w:val="nil"/>
            </w:tcBorders>
            <w:shd w:val="clear" w:color="auto" w:fill="auto"/>
            <w:noWrap/>
            <w:vAlign w:val="bottom"/>
            <w:hideMark/>
          </w:tcPr>
          <w:p w14:paraId="185FBB5D"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C loss in most recent fire</w:t>
            </w:r>
          </w:p>
        </w:tc>
        <w:tc>
          <w:tcPr>
            <w:tcW w:w="783" w:type="dxa"/>
            <w:tcBorders>
              <w:top w:val="nil"/>
              <w:left w:val="nil"/>
              <w:bottom w:val="nil"/>
              <w:right w:val="nil"/>
            </w:tcBorders>
            <w:shd w:val="clear" w:color="auto" w:fill="auto"/>
            <w:noWrap/>
            <w:vAlign w:val="bottom"/>
            <w:hideMark/>
          </w:tcPr>
          <w:p w14:paraId="2BA3A585"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3575</w:t>
            </w:r>
          </w:p>
        </w:tc>
        <w:tc>
          <w:tcPr>
            <w:tcW w:w="927" w:type="dxa"/>
            <w:tcBorders>
              <w:top w:val="nil"/>
              <w:left w:val="nil"/>
              <w:bottom w:val="nil"/>
              <w:right w:val="nil"/>
            </w:tcBorders>
            <w:shd w:val="clear" w:color="auto" w:fill="auto"/>
            <w:noWrap/>
            <w:vAlign w:val="bottom"/>
            <w:hideMark/>
          </w:tcPr>
          <w:p w14:paraId="4011A4C6"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3243</w:t>
            </w:r>
          </w:p>
        </w:tc>
        <w:tc>
          <w:tcPr>
            <w:tcW w:w="900" w:type="dxa"/>
            <w:tcBorders>
              <w:top w:val="nil"/>
              <w:left w:val="nil"/>
              <w:bottom w:val="nil"/>
              <w:right w:val="nil"/>
            </w:tcBorders>
            <w:shd w:val="clear" w:color="auto" w:fill="auto"/>
            <w:noWrap/>
            <w:vAlign w:val="bottom"/>
            <w:hideMark/>
          </w:tcPr>
          <w:p w14:paraId="7FEB2860"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3177</w:t>
            </w:r>
          </w:p>
        </w:tc>
        <w:tc>
          <w:tcPr>
            <w:tcW w:w="900" w:type="dxa"/>
            <w:tcBorders>
              <w:top w:val="nil"/>
              <w:left w:val="nil"/>
              <w:bottom w:val="nil"/>
              <w:right w:val="nil"/>
            </w:tcBorders>
            <w:shd w:val="clear" w:color="auto" w:fill="auto"/>
            <w:noWrap/>
            <w:vAlign w:val="bottom"/>
            <w:hideMark/>
          </w:tcPr>
          <w:p w14:paraId="7B78F304"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2506</w:t>
            </w:r>
          </w:p>
        </w:tc>
        <w:tc>
          <w:tcPr>
            <w:tcW w:w="990" w:type="dxa"/>
            <w:tcBorders>
              <w:top w:val="nil"/>
              <w:left w:val="nil"/>
              <w:bottom w:val="nil"/>
              <w:right w:val="nil"/>
            </w:tcBorders>
            <w:shd w:val="clear" w:color="auto" w:fill="auto"/>
            <w:noWrap/>
            <w:vAlign w:val="bottom"/>
            <w:hideMark/>
          </w:tcPr>
          <w:p w14:paraId="6A0FE24D"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2739</w:t>
            </w:r>
          </w:p>
        </w:tc>
      </w:tr>
      <w:tr w:rsidR="00AF5B64" w:rsidRPr="00D95A45" w14:paraId="1FBB3EF7" w14:textId="77777777" w:rsidTr="00AF5B64">
        <w:trPr>
          <w:trHeight w:val="292"/>
        </w:trPr>
        <w:tc>
          <w:tcPr>
            <w:tcW w:w="498" w:type="dxa"/>
            <w:vMerge/>
            <w:tcBorders>
              <w:top w:val="nil"/>
              <w:left w:val="nil"/>
              <w:bottom w:val="single" w:sz="12" w:space="0" w:color="000000"/>
              <w:right w:val="nil"/>
            </w:tcBorders>
            <w:vAlign w:val="center"/>
            <w:hideMark/>
          </w:tcPr>
          <w:p w14:paraId="348FF23F" w14:textId="77777777" w:rsidR="00AF5B64" w:rsidRPr="00E928EF" w:rsidRDefault="00AF5B64" w:rsidP="00AF5B64">
            <w:pPr>
              <w:spacing w:after="0" w:line="240" w:lineRule="auto"/>
              <w:rPr>
                <w:rFonts w:eastAsia="Times New Roman" w:cs="Times New Roman"/>
                <w:color w:val="000000"/>
              </w:rPr>
            </w:pPr>
          </w:p>
        </w:tc>
        <w:tc>
          <w:tcPr>
            <w:tcW w:w="3642" w:type="dxa"/>
            <w:tcBorders>
              <w:top w:val="nil"/>
              <w:left w:val="nil"/>
              <w:bottom w:val="nil"/>
              <w:right w:val="nil"/>
            </w:tcBorders>
            <w:shd w:val="clear" w:color="auto" w:fill="auto"/>
            <w:noWrap/>
            <w:vAlign w:val="bottom"/>
            <w:hideMark/>
          </w:tcPr>
          <w:p w14:paraId="114D2D3C"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Legacy C lost (neg) in most recent fire</w:t>
            </w:r>
          </w:p>
        </w:tc>
        <w:tc>
          <w:tcPr>
            <w:tcW w:w="783" w:type="dxa"/>
            <w:tcBorders>
              <w:top w:val="nil"/>
              <w:left w:val="nil"/>
              <w:bottom w:val="nil"/>
              <w:right w:val="nil"/>
            </w:tcBorders>
            <w:shd w:val="clear" w:color="auto" w:fill="auto"/>
            <w:noWrap/>
            <w:vAlign w:val="bottom"/>
            <w:hideMark/>
          </w:tcPr>
          <w:p w14:paraId="58CD222C"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0</w:t>
            </w:r>
          </w:p>
        </w:tc>
        <w:tc>
          <w:tcPr>
            <w:tcW w:w="927" w:type="dxa"/>
            <w:tcBorders>
              <w:top w:val="nil"/>
              <w:left w:val="nil"/>
              <w:bottom w:val="nil"/>
              <w:right w:val="nil"/>
            </w:tcBorders>
            <w:shd w:val="clear" w:color="auto" w:fill="auto"/>
            <w:noWrap/>
            <w:vAlign w:val="bottom"/>
            <w:hideMark/>
          </w:tcPr>
          <w:p w14:paraId="50A4E7D9"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-1857</w:t>
            </w:r>
          </w:p>
        </w:tc>
        <w:tc>
          <w:tcPr>
            <w:tcW w:w="900" w:type="dxa"/>
            <w:tcBorders>
              <w:top w:val="nil"/>
              <w:left w:val="nil"/>
              <w:bottom w:val="nil"/>
              <w:right w:val="nil"/>
            </w:tcBorders>
            <w:shd w:val="clear" w:color="auto" w:fill="auto"/>
            <w:noWrap/>
            <w:vAlign w:val="bottom"/>
            <w:hideMark/>
          </w:tcPr>
          <w:p w14:paraId="615F3EF4"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-3321</w:t>
            </w:r>
          </w:p>
        </w:tc>
        <w:tc>
          <w:tcPr>
            <w:tcW w:w="900" w:type="dxa"/>
            <w:tcBorders>
              <w:top w:val="nil"/>
              <w:left w:val="nil"/>
              <w:bottom w:val="nil"/>
              <w:right w:val="nil"/>
            </w:tcBorders>
            <w:shd w:val="clear" w:color="auto" w:fill="auto"/>
            <w:noWrap/>
            <w:vAlign w:val="bottom"/>
            <w:hideMark/>
          </w:tcPr>
          <w:p w14:paraId="1DFF0FA7"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-72</w:t>
            </w:r>
          </w:p>
        </w:tc>
        <w:tc>
          <w:tcPr>
            <w:tcW w:w="990" w:type="dxa"/>
            <w:tcBorders>
              <w:top w:val="nil"/>
              <w:left w:val="nil"/>
              <w:bottom w:val="nil"/>
              <w:right w:val="nil"/>
            </w:tcBorders>
            <w:shd w:val="clear" w:color="auto" w:fill="auto"/>
            <w:noWrap/>
            <w:vAlign w:val="bottom"/>
            <w:hideMark/>
          </w:tcPr>
          <w:p w14:paraId="5D083A8E"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-923</w:t>
            </w:r>
          </w:p>
        </w:tc>
      </w:tr>
      <w:tr w:rsidR="00AF5B64" w:rsidRPr="00D95A45" w14:paraId="5A5793BF" w14:textId="77777777" w:rsidTr="00AF5B64">
        <w:trPr>
          <w:trHeight w:val="300"/>
        </w:trPr>
        <w:tc>
          <w:tcPr>
            <w:tcW w:w="498" w:type="dxa"/>
            <w:vMerge/>
            <w:tcBorders>
              <w:top w:val="nil"/>
              <w:left w:val="nil"/>
              <w:bottom w:val="single" w:sz="12" w:space="0" w:color="000000"/>
              <w:right w:val="nil"/>
            </w:tcBorders>
            <w:vAlign w:val="center"/>
            <w:hideMark/>
          </w:tcPr>
          <w:p w14:paraId="6D6B5A5A" w14:textId="77777777" w:rsidR="00AF5B64" w:rsidRPr="00E928EF" w:rsidRDefault="00AF5B64" w:rsidP="00AF5B64">
            <w:pPr>
              <w:spacing w:after="0" w:line="240" w:lineRule="auto"/>
              <w:rPr>
                <w:rFonts w:eastAsia="Times New Roman" w:cs="Times New Roman"/>
                <w:color w:val="000000"/>
              </w:rPr>
            </w:pPr>
          </w:p>
        </w:tc>
        <w:tc>
          <w:tcPr>
            <w:tcW w:w="3642" w:type="dxa"/>
            <w:tcBorders>
              <w:top w:val="nil"/>
              <w:left w:val="nil"/>
              <w:bottom w:val="single" w:sz="12" w:space="0" w:color="auto"/>
              <w:right w:val="nil"/>
            </w:tcBorders>
            <w:shd w:val="clear" w:color="auto" w:fill="auto"/>
            <w:noWrap/>
            <w:vAlign w:val="bottom"/>
            <w:hideMark/>
          </w:tcPr>
          <w:p w14:paraId="4A76199E" w14:textId="77777777" w:rsidR="00AF5B64" w:rsidRPr="00E928EF" w:rsidRDefault="00AF5B64" w:rsidP="00AF5B64">
            <w:pPr>
              <w:spacing w:after="0" w:line="240" w:lineRule="auto"/>
              <w:rPr>
                <w:rFonts w:eastAsia="Times New Roman" w:cs="Times New Roman"/>
                <w:color w:val="000000"/>
                <w:sz w:val="20"/>
                <w:szCs w:val="20"/>
              </w:rPr>
            </w:pPr>
            <w:r w:rsidRPr="00E928EF">
              <w:rPr>
                <w:rFonts w:eastAsia="Times New Roman" w:cs="Times New Roman"/>
                <w:color w:val="000000"/>
                <w:sz w:val="20"/>
                <w:szCs w:val="20"/>
              </w:rPr>
              <w:t>% Legacy C</w:t>
            </w:r>
            <w:r w:rsidRPr="00D95A45">
              <w:rPr>
                <w:rFonts w:eastAsia="Times New Roman" w:cs="Times New Roman"/>
                <w:color w:val="000000"/>
                <w:sz w:val="20"/>
                <w:szCs w:val="20"/>
              </w:rPr>
              <w:t xml:space="preserve"> loss</w:t>
            </w:r>
          </w:p>
        </w:tc>
        <w:tc>
          <w:tcPr>
            <w:tcW w:w="783" w:type="dxa"/>
            <w:tcBorders>
              <w:top w:val="nil"/>
              <w:left w:val="nil"/>
              <w:bottom w:val="single" w:sz="12" w:space="0" w:color="auto"/>
              <w:right w:val="nil"/>
            </w:tcBorders>
            <w:shd w:val="clear" w:color="auto" w:fill="auto"/>
            <w:noWrap/>
            <w:vAlign w:val="bottom"/>
            <w:hideMark/>
          </w:tcPr>
          <w:p w14:paraId="2FC1A408"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0.00</w:t>
            </w:r>
          </w:p>
        </w:tc>
        <w:tc>
          <w:tcPr>
            <w:tcW w:w="927" w:type="dxa"/>
            <w:tcBorders>
              <w:top w:val="nil"/>
              <w:left w:val="nil"/>
              <w:bottom w:val="single" w:sz="12" w:space="0" w:color="auto"/>
              <w:right w:val="nil"/>
            </w:tcBorders>
            <w:shd w:val="clear" w:color="auto" w:fill="auto"/>
            <w:noWrap/>
            <w:vAlign w:val="bottom"/>
            <w:hideMark/>
          </w:tcPr>
          <w:p w14:paraId="32BE9462"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57.26</w:t>
            </w:r>
          </w:p>
        </w:tc>
        <w:tc>
          <w:tcPr>
            <w:tcW w:w="900" w:type="dxa"/>
            <w:tcBorders>
              <w:top w:val="nil"/>
              <w:left w:val="nil"/>
              <w:bottom w:val="single" w:sz="12" w:space="0" w:color="auto"/>
              <w:right w:val="nil"/>
            </w:tcBorders>
            <w:shd w:val="clear" w:color="auto" w:fill="auto"/>
            <w:noWrap/>
            <w:vAlign w:val="bottom"/>
            <w:hideMark/>
          </w:tcPr>
          <w:p w14:paraId="544F4665"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104.53</w:t>
            </w:r>
          </w:p>
        </w:tc>
        <w:tc>
          <w:tcPr>
            <w:tcW w:w="900" w:type="dxa"/>
            <w:tcBorders>
              <w:top w:val="nil"/>
              <w:left w:val="nil"/>
              <w:bottom w:val="single" w:sz="12" w:space="0" w:color="auto"/>
              <w:right w:val="nil"/>
            </w:tcBorders>
            <w:shd w:val="clear" w:color="auto" w:fill="auto"/>
            <w:noWrap/>
            <w:vAlign w:val="bottom"/>
            <w:hideMark/>
          </w:tcPr>
          <w:p w14:paraId="004C85E2"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2.87</w:t>
            </w:r>
          </w:p>
        </w:tc>
        <w:tc>
          <w:tcPr>
            <w:tcW w:w="990" w:type="dxa"/>
            <w:tcBorders>
              <w:top w:val="nil"/>
              <w:left w:val="nil"/>
              <w:bottom w:val="single" w:sz="12" w:space="0" w:color="auto"/>
              <w:right w:val="nil"/>
            </w:tcBorders>
            <w:shd w:val="clear" w:color="auto" w:fill="auto"/>
            <w:noWrap/>
            <w:vAlign w:val="bottom"/>
            <w:hideMark/>
          </w:tcPr>
          <w:p w14:paraId="12B8E5E1" w14:textId="77777777" w:rsidR="00AF5B64" w:rsidRPr="00125EE8" w:rsidRDefault="00AF5B64" w:rsidP="00AF5B64">
            <w:pPr>
              <w:spacing w:after="0" w:line="240" w:lineRule="auto"/>
              <w:jc w:val="right"/>
              <w:rPr>
                <w:rFonts w:eastAsia="Times New Roman" w:cs="Times New Roman"/>
                <w:color w:val="000000"/>
                <w:sz w:val="20"/>
                <w:szCs w:val="20"/>
              </w:rPr>
            </w:pPr>
            <w:r w:rsidRPr="00125EE8">
              <w:rPr>
                <w:rFonts w:cs="Times New Roman"/>
                <w:color w:val="000000"/>
                <w:sz w:val="20"/>
                <w:szCs w:val="20"/>
              </w:rPr>
              <w:t>33.70</w:t>
            </w:r>
          </w:p>
        </w:tc>
      </w:tr>
    </w:tbl>
    <w:p w14:paraId="7A19EFF4" w14:textId="1A9BDCE7" w:rsidR="00AF5B64" w:rsidRDefault="00AF5B64" w:rsidP="00622D01">
      <w:pPr>
        <w:tabs>
          <w:tab w:val="left" w:pos="0"/>
        </w:tabs>
        <w:spacing w:after="0" w:line="480" w:lineRule="auto"/>
        <w:jc w:val="both"/>
        <w:rPr>
          <w:rFonts w:cs="Times New Roman"/>
        </w:rPr>
      </w:pPr>
      <w:r>
        <w:rPr>
          <w:rFonts w:cs="Times New Roman"/>
        </w:rPr>
        <w:br w:type="page"/>
      </w:r>
    </w:p>
    <w:p w14:paraId="1B59C299" w14:textId="3BEA3DCF" w:rsidR="0041399E" w:rsidRDefault="0041399E" w:rsidP="0041399E">
      <w:pPr>
        <w:rPr>
          <w:rFonts w:cs="Times New Roman"/>
        </w:rPr>
      </w:pPr>
      <w:r w:rsidRPr="00D95A45">
        <w:rPr>
          <w:rFonts w:cs="Times New Roman"/>
          <w:b/>
          <w:bCs/>
        </w:rPr>
        <w:lastRenderedPageBreak/>
        <w:t>Figure 1</w:t>
      </w:r>
      <w:r w:rsidR="00A71328">
        <w:rPr>
          <w:rFonts w:cs="Times New Roman"/>
          <w:b/>
          <w:bCs/>
        </w:rPr>
        <w:t>.</w:t>
      </w:r>
      <w:r w:rsidRPr="00D95A45">
        <w:rPr>
          <w:rFonts w:cs="Times New Roman"/>
        </w:rPr>
        <w:t xml:space="preserve"> Locations of sites and fire scars colored by burn year.</w:t>
      </w:r>
    </w:p>
    <w:p w14:paraId="183DCE6A" w14:textId="77777777" w:rsidR="00CB1C21" w:rsidRDefault="00CB1C21" w:rsidP="00622D01">
      <w:pPr>
        <w:tabs>
          <w:tab w:val="left" w:pos="0"/>
        </w:tabs>
        <w:spacing w:after="0" w:line="480" w:lineRule="auto"/>
        <w:jc w:val="both"/>
        <w:rPr>
          <w:rFonts w:cs="Times New Roman"/>
          <w:b/>
          <w:bCs/>
        </w:rPr>
      </w:pPr>
    </w:p>
    <w:p w14:paraId="687650CC" w14:textId="7361BF48" w:rsidR="00330532" w:rsidRDefault="00CB1C21" w:rsidP="00622D01">
      <w:pPr>
        <w:tabs>
          <w:tab w:val="left" w:pos="0"/>
        </w:tabs>
        <w:spacing w:after="0" w:line="480" w:lineRule="auto"/>
        <w:jc w:val="both"/>
        <w:rPr>
          <w:rFonts w:cs="Times New Roman"/>
        </w:rPr>
      </w:pPr>
      <w:r w:rsidRPr="00CB1C21">
        <w:rPr>
          <w:rFonts w:cs="Times New Roman"/>
          <w:b/>
          <w:bCs/>
        </w:rPr>
        <w:t>Figure 2</w:t>
      </w:r>
      <w:r w:rsidR="00A71328">
        <w:rPr>
          <w:rFonts w:cs="Times New Roman"/>
          <w:b/>
          <w:bCs/>
        </w:rPr>
        <w:t xml:space="preserve">. </w:t>
      </w:r>
      <w:r w:rsidRPr="00CB1C21">
        <w:rPr>
          <w:rFonts w:cs="Times New Roman"/>
        </w:rPr>
        <w:t xml:space="preserve">Percent of sites distributed among different pre-fire tree species composition classes for each fire return interval (long &gt;70 years, mid &gt;30-70 years, short &lt;30 years, triple-mid: three fires in &lt;70 years, with the most recent interval of 30-70 years, and triple-short: three fires in &lt;70 years, with the most recent interval of &lt;30 years). Colors represent pre-fire tree species composition based on a deciduous fraction index (DI=relative density plus relative biomass of deciduous trees divided by two and multiplied by 100). When DI was ≤33.33%, plots were classified as Spruce (blue). Plots were classified as Mixed (green) if DI was &gt;33.33% and &lt;66.66%, and as Deciduous (yellow) if DI was ≥66.66%. Plots were classified as Open (red) if there were no trees measured within the site. See Table S1 for results of chi-square test of independence between FRI and pre-fire tree species composition classes.  </w:t>
      </w:r>
    </w:p>
    <w:p w14:paraId="5D26890C" w14:textId="77777777" w:rsidR="00E657F5" w:rsidRDefault="00E657F5" w:rsidP="00622D01">
      <w:pPr>
        <w:tabs>
          <w:tab w:val="left" w:pos="0"/>
        </w:tabs>
        <w:spacing w:after="0" w:line="480" w:lineRule="auto"/>
        <w:jc w:val="both"/>
        <w:rPr>
          <w:rFonts w:cs="Times New Roman"/>
        </w:rPr>
      </w:pPr>
    </w:p>
    <w:p w14:paraId="68F75DD5" w14:textId="43BEC307" w:rsidR="00E657F5" w:rsidRDefault="00E657F5" w:rsidP="00622D01">
      <w:pPr>
        <w:tabs>
          <w:tab w:val="left" w:pos="0"/>
        </w:tabs>
        <w:spacing w:after="0" w:line="480" w:lineRule="auto"/>
        <w:jc w:val="both"/>
        <w:rPr>
          <w:rFonts w:cs="Times New Roman"/>
        </w:rPr>
      </w:pPr>
      <w:r w:rsidRPr="00577E9F">
        <w:rPr>
          <w:rFonts w:cs="Times New Roman"/>
          <w:b/>
          <w:bCs/>
        </w:rPr>
        <w:t>Figure 3.</w:t>
      </w:r>
      <w:r w:rsidRPr="00D95A45">
        <w:rPr>
          <w:rFonts w:cs="Times New Roman"/>
        </w:rPr>
        <w:t xml:space="preserve"> Pre-fire, post-fire, and fire losses of above- and belowground carbon (C) pools across fire return intervals (FRI; long &gt;70 years, mid &gt;30</w:t>
      </w:r>
      <w:r>
        <w:rPr>
          <w:rFonts w:cs="Times New Roman"/>
        </w:rPr>
        <w:t>-</w:t>
      </w:r>
      <w:r w:rsidRPr="00D95A45">
        <w:rPr>
          <w:rFonts w:cs="Times New Roman"/>
        </w:rPr>
        <w:t xml:space="preserve">70 years, short &lt;30 years, triple-mid: three fires in &lt;70 years, with the most recent interval of 30-70 years, and triple-short: three fires in &lt;70 years, with the most recent interval of &lt;30 years). Bars represent averaged pools for the below (dark) and aboveground (light) C pools, and error bars are </w:t>
      </w:r>
      <w:r>
        <w:rPr>
          <w:rFonts w:cs="Times New Roman"/>
        </w:rPr>
        <w:t xml:space="preserve">the </w:t>
      </w:r>
      <w:r w:rsidRPr="00D95A45">
        <w:rPr>
          <w:rFonts w:cs="Times New Roman"/>
        </w:rPr>
        <w:t xml:space="preserve">standard error of the mean. Letters represent significant differences (P &lt; 0.05) among FRIs within the aboveground, belowground, and total (bottom) C pools based on generalized linear mixed models, </w:t>
      </w:r>
      <w:r w:rsidRPr="0090516A">
        <w:rPr>
          <w:rFonts w:cs="Times New Roman"/>
        </w:rPr>
        <w:t xml:space="preserve">with site as a random intercept and post-hoc tests with a false discovery rate adjustment for multiple comparisons. </w:t>
      </w:r>
      <w:r w:rsidRPr="00D95A45">
        <w:rPr>
          <w:rFonts w:cs="Times New Roman"/>
        </w:rPr>
        <w:t>See Table S2 for model estimated means</w:t>
      </w:r>
      <w:r>
        <w:rPr>
          <w:rFonts w:cs="Times New Roman"/>
        </w:rPr>
        <w:t>.</w:t>
      </w:r>
    </w:p>
    <w:p w14:paraId="1E2228D9" w14:textId="77777777" w:rsidR="0008467B" w:rsidRDefault="0008467B" w:rsidP="00622D01">
      <w:pPr>
        <w:tabs>
          <w:tab w:val="left" w:pos="0"/>
        </w:tabs>
        <w:spacing w:after="0" w:line="480" w:lineRule="auto"/>
        <w:jc w:val="both"/>
        <w:rPr>
          <w:rFonts w:cs="Times New Roman"/>
        </w:rPr>
      </w:pPr>
    </w:p>
    <w:p w14:paraId="4BF5D120" w14:textId="77777777" w:rsidR="00880E1C" w:rsidRDefault="0008467B" w:rsidP="00880E1C">
      <w:pPr>
        <w:tabs>
          <w:tab w:val="left" w:pos="0"/>
        </w:tabs>
        <w:spacing w:after="0" w:line="480" w:lineRule="auto"/>
        <w:jc w:val="both"/>
        <w:rPr>
          <w:rFonts w:cs="Times New Roman"/>
        </w:rPr>
      </w:pPr>
      <w:r w:rsidRPr="0008467B">
        <w:rPr>
          <w:rFonts w:cs="Times New Roman"/>
          <w:b/>
          <w:bCs/>
        </w:rPr>
        <w:lastRenderedPageBreak/>
        <w:t>Figure 4.</w:t>
      </w:r>
      <w:r w:rsidRPr="0008467B">
        <w:rPr>
          <w:rFonts w:cs="Times New Roman"/>
        </w:rPr>
        <w:t xml:space="preserve"> Pre-fire, post-fire, and fire losses of different aboveground carbon (C) pools across fire return intervals (FRI; long &gt;70 years, mid &gt;30-70 years, short &lt;30 years, triple-mid: three fires in &lt;70 years, with the most recent interval of 30-70 years, and triple-short: three fires in &lt;70 years, with the most recent interval of &lt;30 years). Bars represent averaged pools for each aboveground C pool (trees, shrubs, snags and coarse woody debris), and error bars are the standard error of the mean for total aboveground C pool. Letters represent significant differences (P &lt; 0.05) among FRIs for total aboveground C pools, based on generalized linear mixed models, with site as a random intercept and post-hoc tests with a false discovery rate adjustment for multiple comparisons. See Table S2 for model estimated means of total aboveground C pools. See Table S3 for model estimated means and statistical differences among FRIs for each aboveground component. </w:t>
      </w:r>
    </w:p>
    <w:p w14:paraId="1E8A22F0" w14:textId="77777777" w:rsidR="00880E1C" w:rsidRDefault="00880E1C" w:rsidP="00880E1C">
      <w:pPr>
        <w:tabs>
          <w:tab w:val="left" w:pos="0"/>
        </w:tabs>
        <w:spacing w:after="0" w:line="480" w:lineRule="auto"/>
        <w:jc w:val="both"/>
        <w:rPr>
          <w:rFonts w:cs="Times New Roman"/>
        </w:rPr>
      </w:pPr>
    </w:p>
    <w:p w14:paraId="29A2CD48" w14:textId="77777777" w:rsidR="009F305C" w:rsidRDefault="00880E1C" w:rsidP="009F305C">
      <w:pPr>
        <w:tabs>
          <w:tab w:val="left" w:pos="0"/>
        </w:tabs>
        <w:spacing w:after="0" w:line="480" w:lineRule="auto"/>
        <w:jc w:val="both"/>
        <w:rPr>
          <w:rFonts w:cs="Times New Roman"/>
        </w:rPr>
      </w:pPr>
      <w:r w:rsidRPr="00577E9F">
        <w:rPr>
          <w:rFonts w:cs="Times New Roman"/>
          <w:b/>
          <w:bCs/>
        </w:rPr>
        <w:t>Figure 5.</w:t>
      </w:r>
      <w:r w:rsidRPr="00D95A45">
        <w:rPr>
          <w:rFonts w:cs="Times New Roman"/>
        </w:rPr>
        <w:t xml:space="preserve"> Percent of A) all sites and B) black spruce sites in each fire return interval (FRI; long &gt;70 years, mid &gt;30</w:t>
      </w:r>
      <w:r>
        <w:rPr>
          <w:rFonts w:cs="Times New Roman"/>
        </w:rPr>
        <w:t>-</w:t>
      </w:r>
      <w:r w:rsidRPr="00D95A45">
        <w:rPr>
          <w:rFonts w:cs="Times New Roman"/>
        </w:rPr>
        <w:t>70 years, short &lt;30 years, triple-mid: three fires in &lt;70 years, with the most recent interval of 30-70 years, and triple-short: three fires in &lt;70 years, with the most recent interval of &lt;30 years) that exhibited post-fire regeneration failure (red), deciduous dominance (</w:t>
      </w:r>
      <w:r>
        <w:rPr>
          <w:rFonts w:cs="Times New Roman"/>
        </w:rPr>
        <w:t>yellow</w:t>
      </w:r>
      <w:r w:rsidRPr="00D95A45">
        <w:rPr>
          <w:rFonts w:cs="Times New Roman"/>
        </w:rPr>
        <w:t xml:space="preserve">), mixed spruce-deciduous dominance (green), or spruce dominance (blue). See Table S2 for </w:t>
      </w:r>
      <w:r>
        <w:rPr>
          <w:rFonts w:cs="Times New Roman"/>
        </w:rPr>
        <w:t xml:space="preserve">the </w:t>
      </w:r>
      <w:r w:rsidRPr="00D95A45">
        <w:rPr>
          <w:rFonts w:cs="Times New Roman"/>
        </w:rPr>
        <w:t>results of chi-square tests of independence between FRI and post-fire tree species composition classes.</w:t>
      </w:r>
    </w:p>
    <w:p w14:paraId="647D1751" w14:textId="77777777" w:rsidR="009F305C" w:rsidRDefault="009F305C" w:rsidP="009F305C">
      <w:pPr>
        <w:tabs>
          <w:tab w:val="left" w:pos="0"/>
        </w:tabs>
        <w:spacing w:after="0" w:line="480" w:lineRule="auto"/>
        <w:jc w:val="both"/>
        <w:rPr>
          <w:rFonts w:cs="Times New Roman"/>
        </w:rPr>
      </w:pPr>
    </w:p>
    <w:p w14:paraId="47403806" w14:textId="77777777" w:rsidR="009F305C" w:rsidRDefault="009F305C" w:rsidP="009F305C">
      <w:pPr>
        <w:tabs>
          <w:tab w:val="left" w:pos="0"/>
        </w:tabs>
        <w:spacing w:after="0" w:line="480" w:lineRule="auto"/>
        <w:jc w:val="both"/>
        <w:rPr>
          <w:rFonts w:cs="Times New Roman"/>
        </w:rPr>
      </w:pPr>
    </w:p>
    <w:p w14:paraId="62D4815A" w14:textId="77777777" w:rsidR="009F305C" w:rsidRDefault="009F305C" w:rsidP="009F305C">
      <w:pPr>
        <w:tabs>
          <w:tab w:val="left" w:pos="0"/>
        </w:tabs>
        <w:spacing w:after="0" w:line="480" w:lineRule="auto"/>
        <w:jc w:val="both"/>
        <w:rPr>
          <w:rFonts w:cs="Times New Roman"/>
        </w:rPr>
      </w:pPr>
    </w:p>
    <w:p w14:paraId="58C3FDC0" w14:textId="77777777" w:rsidR="009F305C" w:rsidRDefault="009F305C" w:rsidP="009F305C">
      <w:pPr>
        <w:tabs>
          <w:tab w:val="left" w:pos="0"/>
        </w:tabs>
        <w:spacing w:after="0" w:line="480" w:lineRule="auto"/>
        <w:jc w:val="both"/>
        <w:rPr>
          <w:rFonts w:cs="Times New Roman"/>
        </w:rPr>
      </w:pPr>
    </w:p>
    <w:p w14:paraId="6FFC3CA6" w14:textId="3BD97799" w:rsidR="009F305C" w:rsidRPr="00D95A45" w:rsidRDefault="009F305C" w:rsidP="009F305C">
      <w:pPr>
        <w:tabs>
          <w:tab w:val="left" w:pos="0"/>
        </w:tabs>
        <w:spacing w:after="0" w:line="480" w:lineRule="auto"/>
        <w:jc w:val="both"/>
        <w:rPr>
          <w:rFonts w:cs="Times New Roman"/>
        </w:rPr>
      </w:pPr>
      <w:r w:rsidRPr="00577E9F">
        <w:rPr>
          <w:rFonts w:cs="Times New Roman"/>
          <w:b/>
          <w:bCs/>
        </w:rPr>
        <w:lastRenderedPageBreak/>
        <w:t>Figure 6.</w:t>
      </w:r>
      <w:r w:rsidR="00A71328">
        <w:rPr>
          <w:rFonts w:cs="Times New Roman"/>
          <w:b/>
          <w:bCs/>
        </w:rPr>
        <w:t xml:space="preserve"> </w:t>
      </w:r>
      <w:r w:rsidRPr="00D95A45">
        <w:rPr>
          <w:rFonts w:cs="Times New Roman"/>
        </w:rPr>
        <w:t>Post-fire conifer (A,C) and deciduous (B,D) seedling density in each in each fire return interval (FRI; long &gt;70 years, mid &gt;30&amp;70 years, short &lt;30 years, triple-mid: three fires in &lt;70 years, with the most recent interval of 30-70 years, and triple-short: three fires in &lt;70 years, with the most recent interval of &lt;30 years), for all sites (A,B), and for pre-fire spruce dominated sites (C, D).</w:t>
      </w:r>
      <w:r>
        <w:rPr>
          <w:rFonts w:cs="Times New Roman"/>
        </w:rPr>
        <w:t xml:space="preserve"> Larger points represent the </w:t>
      </w:r>
      <w:r w:rsidR="0067284C">
        <w:rPr>
          <w:rFonts w:cs="Times New Roman"/>
        </w:rPr>
        <w:t xml:space="preserve">model estimated </w:t>
      </w:r>
      <w:r>
        <w:rPr>
          <w:rFonts w:cs="Times New Roman"/>
        </w:rPr>
        <w:t xml:space="preserve">mean. </w:t>
      </w:r>
      <w:r w:rsidR="003C0650">
        <w:rPr>
          <w:rFonts w:cs="Times New Roman"/>
        </w:rPr>
        <w:t>Boxplots and m</w:t>
      </w:r>
      <w:r>
        <w:rPr>
          <w:rFonts w:cs="Times New Roman"/>
        </w:rPr>
        <w:t xml:space="preserve">ore minor points are </w:t>
      </w:r>
      <w:r w:rsidR="003C0650">
        <w:rPr>
          <w:rFonts w:cs="Times New Roman"/>
        </w:rPr>
        <w:t xml:space="preserve">based on </w:t>
      </w:r>
      <w:r>
        <w:rPr>
          <w:rFonts w:cs="Times New Roman"/>
        </w:rPr>
        <w:t xml:space="preserve">raw data. </w:t>
      </w:r>
      <w:r w:rsidRPr="00D95A45">
        <w:rPr>
          <w:rFonts w:cs="Times New Roman"/>
        </w:rPr>
        <w:t>Letters represent significant differences (P &lt; 0.05) among FRIs</w:t>
      </w:r>
      <w:r>
        <w:rPr>
          <w:rFonts w:cs="Times New Roman"/>
        </w:rPr>
        <w:t xml:space="preserve"> based on </w:t>
      </w:r>
      <w:r w:rsidRPr="00521764">
        <w:rPr>
          <w:rFonts w:cs="Times New Roman"/>
        </w:rPr>
        <w:t>generalized linear models</w:t>
      </w:r>
      <w:r>
        <w:rPr>
          <w:rFonts w:cs="Times New Roman"/>
        </w:rPr>
        <w:t xml:space="preserve"> </w:t>
      </w:r>
      <w:r w:rsidRPr="00521764">
        <w:rPr>
          <w:rFonts w:cs="Times New Roman"/>
        </w:rPr>
        <w:t>and post-hoc tests with a false discovery rate adjustment for multiple comparisons. See Table S</w:t>
      </w:r>
      <w:r>
        <w:rPr>
          <w:rFonts w:cs="Times New Roman"/>
        </w:rPr>
        <w:t>5</w:t>
      </w:r>
      <w:r w:rsidRPr="00521764">
        <w:rPr>
          <w:rFonts w:cs="Times New Roman"/>
        </w:rPr>
        <w:t xml:space="preserve">. </w:t>
      </w:r>
    </w:p>
    <w:p w14:paraId="064A942D" w14:textId="77777777" w:rsidR="00880E1C" w:rsidRDefault="00880E1C" w:rsidP="009F305C">
      <w:pPr>
        <w:tabs>
          <w:tab w:val="left" w:pos="0"/>
        </w:tabs>
        <w:spacing w:after="0" w:line="480" w:lineRule="auto"/>
        <w:jc w:val="both"/>
        <w:rPr>
          <w:rFonts w:cs="Times New Roman"/>
        </w:rPr>
      </w:pPr>
    </w:p>
    <w:sectPr w:rsidR="00880E1C" w:rsidSect="00995725">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0747"/>
    <w:multiLevelType w:val="hybridMultilevel"/>
    <w:tmpl w:val="D436ADAA"/>
    <w:lvl w:ilvl="0" w:tplc="6304EA3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327FB"/>
    <w:multiLevelType w:val="hybridMultilevel"/>
    <w:tmpl w:val="FE7C5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E3872"/>
    <w:multiLevelType w:val="hybridMultilevel"/>
    <w:tmpl w:val="52363D00"/>
    <w:lvl w:ilvl="0" w:tplc="990E2290">
      <w:start w:val="1"/>
      <w:numFmt w:val="decimal"/>
      <w:lvlText w:val="%1)"/>
      <w:lvlJc w:val="left"/>
      <w:pPr>
        <w:ind w:left="1080" w:hanging="360"/>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C214A8"/>
    <w:multiLevelType w:val="hybridMultilevel"/>
    <w:tmpl w:val="4C12D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11C7C"/>
    <w:multiLevelType w:val="hybridMultilevel"/>
    <w:tmpl w:val="06D8CFF0"/>
    <w:lvl w:ilvl="0" w:tplc="10563816">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4858A7"/>
    <w:multiLevelType w:val="multilevel"/>
    <w:tmpl w:val="A8FC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F2689"/>
    <w:multiLevelType w:val="hybridMultilevel"/>
    <w:tmpl w:val="C65C481E"/>
    <w:lvl w:ilvl="0" w:tplc="F1CA5F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A24E65"/>
    <w:multiLevelType w:val="multilevel"/>
    <w:tmpl w:val="60E8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254CC"/>
    <w:multiLevelType w:val="multilevel"/>
    <w:tmpl w:val="9B38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072B8"/>
    <w:multiLevelType w:val="multilevel"/>
    <w:tmpl w:val="7C10F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36F0C"/>
    <w:multiLevelType w:val="hybridMultilevel"/>
    <w:tmpl w:val="6C8EE3BC"/>
    <w:lvl w:ilvl="0" w:tplc="94AAB47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7273B66"/>
    <w:multiLevelType w:val="multilevel"/>
    <w:tmpl w:val="D82C8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E0087"/>
    <w:multiLevelType w:val="multilevel"/>
    <w:tmpl w:val="E1DA2E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5E330E94"/>
    <w:multiLevelType w:val="multilevel"/>
    <w:tmpl w:val="DC7C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CE185F"/>
    <w:multiLevelType w:val="multilevel"/>
    <w:tmpl w:val="7010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08438A"/>
    <w:multiLevelType w:val="hybridMultilevel"/>
    <w:tmpl w:val="9868510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362367"/>
    <w:multiLevelType w:val="hybridMultilevel"/>
    <w:tmpl w:val="52363D00"/>
    <w:lvl w:ilvl="0" w:tplc="FFFFFFFF">
      <w:start w:val="1"/>
      <w:numFmt w:val="decimal"/>
      <w:lvlText w:val="%1)"/>
      <w:lvlJc w:val="left"/>
      <w:pPr>
        <w:ind w:left="1080" w:hanging="360"/>
      </w:pPr>
      <w:rPr>
        <w:rFonts w:eastAsiaTheme="minorHAns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8D5085E"/>
    <w:multiLevelType w:val="hybridMultilevel"/>
    <w:tmpl w:val="604E0BCC"/>
    <w:lvl w:ilvl="0" w:tplc="C544685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522D32"/>
    <w:multiLevelType w:val="hybridMultilevel"/>
    <w:tmpl w:val="2E246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AB398D"/>
    <w:multiLevelType w:val="multilevel"/>
    <w:tmpl w:val="44282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6968C2"/>
    <w:multiLevelType w:val="multilevel"/>
    <w:tmpl w:val="75F24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219CE"/>
    <w:multiLevelType w:val="hybridMultilevel"/>
    <w:tmpl w:val="76D89A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D01E6B"/>
    <w:multiLevelType w:val="hybridMultilevel"/>
    <w:tmpl w:val="90EE7B4A"/>
    <w:lvl w:ilvl="0" w:tplc="F57C38F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2437941">
    <w:abstractNumId w:val="4"/>
  </w:num>
  <w:num w:numId="2" w16cid:durableId="1128551732">
    <w:abstractNumId w:val="6"/>
  </w:num>
  <w:num w:numId="3" w16cid:durableId="696467441">
    <w:abstractNumId w:val="15"/>
  </w:num>
  <w:num w:numId="4" w16cid:durableId="153566860">
    <w:abstractNumId w:val="2"/>
  </w:num>
  <w:num w:numId="5" w16cid:durableId="1450665481">
    <w:abstractNumId w:val="16"/>
  </w:num>
  <w:num w:numId="6" w16cid:durableId="758647769">
    <w:abstractNumId w:val="0"/>
  </w:num>
  <w:num w:numId="7" w16cid:durableId="229003451">
    <w:abstractNumId w:val="10"/>
  </w:num>
  <w:num w:numId="8" w16cid:durableId="1176463185">
    <w:abstractNumId w:val="17"/>
  </w:num>
  <w:num w:numId="9" w16cid:durableId="533276460">
    <w:abstractNumId w:val="22"/>
  </w:num>
  <w:num w:numId="10" w16cid:durableId="1842546850">
    <w:abstractNumId w:val="13"/>
  </w:num>
  <w:num w:numId="11" w16cid:durableId="844326601">
    <w:abstractNumId w:val="12"/>
  </w:num>
  <w:num w:numId="12" w16cid:durableId="108739180">
    <w:abstractNumId w:val="20"/>
  </w:num>
  <w:num w:numId="13" w16cid:durableId="1383138327">
    <w:abstractNumId w:val="19"/>
  </w:num>
  <w:num w:numId="14" w16cid:durableId="971011231">
    <w:abstractNumId w:val="5"/>
  </w:num>
  <w:num w:numId="15" w16cid:durableId="938952769">
    <w:abstractNumId w:val="11"/>
  </w:num>
  <w:num w:numId="16" w16cid:durableId="1546721865">
    <w:abstractNumId w:val="1"/>
  </w:num>
  <w:num w:numId="17" w16cid:durableId="364017541">
    <w:abstractNumId w:val="9"/>
  </w:num>
  <w:num w:numId="18" w16cid:durableId="341204713">
    <w:abstractNumId w:val="7"/>
  </w:num>
  <w:num w:numId="19" w16cid:durableId="529151535">
    <w:abstractNumId w:val="8"/>
  </w:num>
  <w:num w:numId="20" w16cid:durableId="1532259137">
    <w:abstractNumId w:val="21"/>
  </w:num>
  <w:num w:numId="21" w16cid:durableId="1734768928">
    <w:abstractNumId w:val="18"/>
  </w:num>
  <w:num w:numId="22" w16cid:durableId="237402770">
    <w:abstractNumId w:val="3"/>
  </w:num>
  <w:num w:numId="23" w16cid:durableId="9504737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Q2MjY3sDQ2NTQyMLBQ0lEKTi0uzszPAykwqQUAJLOqTSwAAAA="/>
  </w:docVars>
  <w:rsids>
    <w:rsidRoot w:val="004161B9"/>
    <w:rsid w:val="00000F0F"/>
    <w:rsid w:val="00000F75"/>
    <w:rsid w:val="000013CB"/>
    <w:rsid w:val="00002BBC"/>
    <w:rsid w:val="00003499"/>
    <w:rsid w:val="000035AF"/>
    <w:rsid w:val="000037FF"/>
    <w:rsid w:val="00003C36"/>
    <w:rsid w:val="000048CC"/>
    <w:rsid w:val="00005363"/>
    <w:rsid w:val="000058F8"/>
    <w:rsid w:val="00005EBE"/>
    <w:rsid w:val="00006AAA"/>
    <w:rsid w:val="00006EE2"/>
    <w:rsid w:val="000074B4"/>
    <w:rsid w:val="00010AAC"/>
    <w:rsid w:val="000120FD"/>
    <w:rsid w:val="00012492"/>
    <w:rsid w:val="00012919"/>
    <w:rsid w:val="00013C2F"/>
    <w:rsid w:val="00013FDD"/>
    <w:rsid w:val="000141CC"/>
    <w:rsid w:val="00014900"/>
    <w:rsid w:val="0001648D"/>
    <w:rsid w:val="00017A45"/>
    <w:rsid w:val="000207F6"/>
    <w:rsid w:val="00020AC4"/>
    <w:rsid w:val="00022592"/>
    <w:rsid w:val="000225AE"/>
    <w:rsid w:val="00023737"/>
    <w:rsid w:val="00023F75"/>
    <w:rsid w:val="0002405C"/>
    <w:rsid w:val="00024AC9"/>
    <w:rsid w:val="0002534C"/>
    <w:rsid w:val="0002578B"/>
    <w:rsid w:val="000259FB"/>
    <w:rsid w:val="000269E0"/>
    <w:rsid w:val="00027730"/>
    <w:rsid w:val="00027C8D"/>
    <w:rsid w:val="00030970"/>
    <w:rsid w:val="000309E7"/>
    <w:rsid w:val="00030FC2"/>
    <w:rsid w:val="000328F9"/>
    <w:rsid w:val="0003350E"/>
    <w:rsid w:val="00033D47"/>
    <w:rsid w:val="00033DCA"/>
    <w:rsid w:val="00034FD6"/>
    <w:rsid w:val="00035246"/>
    <w:rsid w:val="000355BC"/>
    <w:rsid w:val="0003563A"/>
    <w:rsid w:val="00035E8F"/>
    <w:rsid w:val="00035F5A"/>
    <w:rsid w:val="00036065"/>
    <w:rsid w:val="0003661D"/>
    <w:rsid w:val="00036890"/>
    <w:rsid w:val="00036A9D"/>
    <w:rsid w:val="00037D2A"/>
    <w:rsid w:val="00040387"/>
    <w:rsid w:val="00040C8A"/>
    <w:rsid w:val="00043192"/>
    <w:rsid w:val="00043F20"/>
    <w:rsid w:val="000450DC"/>
    <w:rsid w:val="00045557"/>
    <w:rsid w:val="000455A7"/>
    <w:rsid w:val="00046B22"/>
    <w:rsid w:val="0005056A"/>
    <w:rsid w:val="00050E47"/>
    <w:rsid w:val="000512D6"/>
    <w:rsid w:val="000521BE"/>
    <w:rsid w:val="00052860"/>
    <w:rsid w:val="000540D6"/>
    <w:rsid w:val="00054A44"/>
    <w:rsid w:val="00054C14"/>
    <w:rsid w:val="00054CC0"/>
    <w:rsid w:val="00055BEB"/>
    <w:rsid w:val="000569F0"/>
    <w:rsid w:val="0005745A"/>
    <w:rsid w:val="00057F26"/>
    <w:rsid w:val="000609EE"/>
    <w:rsid w:val="00060BFA"/>
    <w:rsid w:val="00061E1C"/>
    <w:rsid w:val="00061EA3"/>
    <w:rsid w:val="00062575"/>
    <w:rsid w:val="00063D4F"/>
    <w:rsid w:val="00064151"/>
    <w:rsid w:val="00065C5B"/>
    <w:rsid w:val="00066A30"/>
    <w:rsid w:val="00066EA9"/>
    <w:rsid w:val="00067CCD"/>
    <w:rsid w:val="00067D63"/>
    <w:rsid w:val="00070026"/>
    <w:rsid w:val="00070ACC"/>
    <w:rsid w:val="00070CA0"/>
    <w:rsid w:val="00071415"/>
    <w:rsid w:val="00071D3F"/>
    <w:rsid w:val="00071E51"/>
    <w:rsid w:val="00071E7E"/>
    <w:rsid w:val="000734A5"/>
    <w:rsid w:val="00074321"/>
    <w:rsid w:val="00074766"/>
    <w:rsid w:val="00074B4F"/>
    <w:rsid w:val="00075B6B"/>
    <w:rsid w:val="00076C5F"/>
    <w:rsid w:val="00076EE7"/>
    <w:rsid w:val="000773CE"/>
    <w:rsid w:val="0007771F"/>
    <w:rsid w:val="00077F7C"/>
    <w:rsid w:val="00080B78"/>
    <w:rsid w:val="00080D75"/>
    <w:rsid w:val="00080FCB"/>
    <w:rsid w:val="00081429"/>
    <w:rsid w:val="00081648"/>
    <w:rsid w:val="00082E21"/>
    <w:rsid w:val="00083A98"/>
    <w:rsid w:val="0008467B"/>
    <w:rsid w:val="0008533B"/>
    <w:rsid w:val="00085B18"/>
    <w:rsid w:val="00085EFC"/>
    <w:rsid w:val="00086BE1"/>
    <w:rsid w:val="00086E38"/>
    <w:rsid w:val="00087332"/>
    <w:rsid w:val="000903D3"/>
    <w:rsid w:val="00090978"/>
    <w:rsid w:val="000913F1"/>
    <w:rsid w:val="00092237"/>
    <w:rsid w:val="00092A82"/>
    <w:rsid w:val="00092C15"/>
    <w:rsid w:val="00093342"/>
    <w:rsid w:val="00093C71"/>
    <w:rsid w:val="00094B38"/>
    <w:rsid w:val="00094B81"/>
    <w:rsid w:val="00095768"/>
    <w:rsid w:val="0009612F"/>
    <w:rsid w:val="0009644F"/>
    <w:rsid w:val="00096978"/>
    <w:rsid w:val="00096BD3"/>
    <w:rsid w:val="00097014"/>
    <w:rsid w:val="000977A0"/>
    <w:rsid w:val="000A0870"/>
    <w:rsid w:val="000A0D3D"/>
    <w:rsid w:val="000A1176"/>
    <w:rsid w:val="000A2825"/>
    <w:rsid w:val="000A3ECF"/>
    <w:rsid w:val="000A41BE"/>
    <w:rsid w:val="000A485B"/>
    <w:rsid w:val="000A4C38"/>
    <w:rsid w:val="000A4F41"/>
    <w:rsid w:val="000A5273"/>
    <w:rsid w:val="000A6DAD"/>
    <w:rsid w:val="000A790E"/>
    <w:rsid w:val="000B0A5D"/>
    <w:rsid w:val="000B0F94"/>
    <w:rsid w:val="000B23A0"/>
    <w:rsid w:val="000B264F"/>
    <w:rsid w:val="000B399C"/>
    <w:rsid w:val="000B4214"/>
    <w:rsid w:val="000B4AE7"/>
    <w:rsid w:val="000B534A"/>
    <w:rsid w:val="000B5AF4"/>
    <w:rsid w:val="000B68C7"/>
    <w:rsid w:val="000B6DB9"/>
    <w:rsid w:val="000B6DDF"/>
    <w:rsid w:val="000C026B"/>
    <w:rsid w:val="000C07AE"/>
    <w:rsid w:val="000C11EC"/>
    <w:rsid w:val="000C2A00"/>
    <w:rsid w:val="000C330D"/>
    <w:rsid w:val="000C3794"/>
    <w:rsid w:val="000C3871"/>
    <w:rsid w:val="000C3D21"/>
    <w:rsid w:val="000C4965"/>
    <w:rsid w:val="000C4C3D"/>
    <w:rsid w:val="000C5ACB"/>
    <w:rsid w:val="000C6468"/>
    <w:rsid w:val="000C690E"/>
    <w:rsid w:val="000C6E78"/>
    <w:rsid w:val="000C716E"/>
    <w:rsid w:val="000C76C4"/>
    <w:rsid w:val="000C7C34"/>
    <w:rsid w:val="000D0597"/>
    <w:rsid w:val="000D194E"/>
    <w:rsid w:val="000D25CB"/>
    <w:rsid w:val="000D27D8"/>
    <w:rsid w:val="000D3263"/>
    <w:rsid w:val="000D3D85"/>
    <w:rsid w:val="000D3EFB"/>
    <w:rsid w:val="000D411C"/>
    <w:rsid w:val="000E0458"/>
    <w:rsid w:val="000E08EC"/>
    <w:rsid w:val="000E1289"/>
    <w:rsid w:val="000E12FE"/>
    <w:rsid w:val="000E164B"/>
    <w:rsid w:val="000E2DAD"/>
    <w:rsid w:val="000E4CFB"/>
    <w:rsid w:val="000E58AF"/>
    <w:rsid w:val="000E64AE"/>
    <w:rsid w:val="000F02B7"/>
    <w:rsid w:val="000F33AB"/>
    <w:rsid w:val="000F4342"/>
    <w:rsid w:val="000F47B8"/>
    <w:rsid w:val="000F4991"/>
    <w:rsid w:val="000F5D3D"/>
    <w:rsid w:val="000F6CEB"/>
    <w:rsid w:val="000F7658"/>
    <w:rsid w:val="001003D7"/>
    <w:rsid w:val="0010080A"/>
    <w:rsid w:val="0010117C"/>
    <w:rsid w:val="00101811"/>
    <w:rsid w:val="00101891"/>
    <w:rsid w:val="00101E43"/>
    <w:rsid w:val="00101F51"/>
    <w:rsid w:val="00103451"/>
    <w:rsid w:val="00103D1D"/>
    <w:rsid w:val="001044E0"/>
    <w:rsid w:val="001052BB"/>
    <w:rsid w:val="0010696D"/>
    <w:rsid w:val="0010781C"/>
    <w:rsid w:val="00107AE2"/>
    <w:rsid w:val="00110AB5"/>
    <w:rsid w:val="00110DDE"/>
    <w:rsid w:val="00110F71"/>
    <w:rsid w:val="00113909"/>
    <w:rsid w:val="00113B0D"/>
    <w:rsid w:val="00114681"/>
    <w:rsid w:val="0011493A"/>
    <w:rsid w:val="001154E6"/>
    <w:rsid w:val="00115BDD"/>
    <w:rsid w:val="00115F63"/>
    <w:rsid w:val="00116316"/>
    <w:rsid w:val="00116953"/>
    <w:rsid w:val="00116DCE"/>
    <w:rsid w:val="00121528"/>
    <w:rsid w:val="001220F2"/>
    <w:rsid w:val="001223A7"/>
    <w:rsid w:val="00122C14"/>
    <w:rsid w:val="00122D89"/>
    <w:rsid w:val="00122F00"/>
    <w:rsid w:val="00123C27"/>
    <w:rsid w:val="00124128"/>
    <w:rsid w:val="001244C8"/>
    <w:rsid w:val="001249B9"/>
    <w:rsid w:val="00125EA0"/>
    <w:rsid w:val="0012618E"/>
    <w:rsid w:val="00126270"/>
    <w:rsid w:val="00126DA7"/>
    <w:rsid w:val="00127A23"/>
    <w:rsid w:val="00127DC3"/>
    <w:rsid w:val="00130754"/>
    <w:rsid w:val="00131E2D"/>
    <w:rsid w:val="0013299D"/>
    <w:rsid w:val="00133642"/>
    <w:rsid w:val="00133EB1"/>
    <w:rsid w:val="00134073"/>
    <w:rsid w:val="001341EA"/>
    <w:rsid w:val="00134225"/>
    <w:rsid w:val="001348BC"/>
    <w:rsid w:val="001359AB"/>
    <w:rsid w:val="00140CB5"/>
    <w:rsid w:val="00145C35"/>
    <w:rsid w:val="001466A4"/>
    <w:rsid w:val="00147A94"/>
    <w:rsid w:val="00151B36"/>
    <w:rsid w:val="0015201B"/>
    <w:rsid w:val="00152392"/>
    <w:rsid w:val="00152BA5"/>
    <w:rsid w:val="00153F81"/>
    <w:rsid w:val="001545E4"/>
    <w:rsid w:val="00154B4A"/>
    <w:rsid w:val="00154E1A"/>
    <w:rsid w:val="0015526D"/>
    <w:rsid w:val="00155769"/>
    <w:rsid w:val="00155EAB"/>
    <w:rsid w:val="001566D1"/>
    <w:rsid w:val="001574D8"/>
    <w:rsid w:val="00160754"/>
    <w:rsid w:val="00160EF5"/>
    <w:rsid w:val="001613B4"/>
    <w:rsid w:val="00163427"/>
    <w:rsid w:val="00163935"/>
    <w:rsid w:val="00164042"/>
    <w:rsid w:val="0016503B"/>
    <w:rsid w:val="001652F3"/>
    <w:rsid w:val="001653AC"/>
    <w:rsid w:val="00165625"/>
    <w:rsid w:val="00165EEF"/>
    <w:rsid w:val="001660BA"/>
    <w:rsid w:val="001665BD"/>
    <w:rsid w:val="001675F4"/>
    <w:rsid w:val="00167747"/>
    <w:rsid w:val="0017085B"/>
    <w:rsid w:val="00170A2E"/>
    <w:rsid w:val="00170CAB"/>
    <w:rsid w:val="001723C6"/>
    <w:rsid w:val="001727FD"/>
    <w:rsid w:val="00174E2E"/>
    <w:rsid w:val="00175C71"/>
    <w:rsid w:val="0017667A"/>
    <w:rsid w:val="0017668B"/>
    <w:rsid w:val="00177308"/>
    <w:rsid w:val="00177607"/>
    <w:rsid w:val="00177860"/>
    <w:rsid w:val="00181FD7"/>
    <w:rsid w:val="00182AB4"/>
    <w:rsid w:val="00183915"/>
    <w:rsid w:val="00183B21"/>
    <w:rsid w:val="00184466"/>
    <w:rsid w:val="00185426"/>
    <w:rsid w:val="00185513"/>
    <w:rsid w:val="0018564A"/>
    <w:rsid w:val="001865ED"/>
    <w:rsid w:val="00186B2F"/>
    <w:rsid w:val="00186F63"/>
    <w:rsid w:val="001877AF"/>
    <w:rsid w:val="00187865"/>
    <w:rsid w:val="00187A67"/>
    <w:rsid w:val="00190074"/>
    <w:rsid w:val="00190160"/>
    <w:rsid w:val="00190FCF"/>
    <w:rsid w:val="00191A15"/>
    <w:rsid w:val="00192776"/>
    <w:rsid w:val="00193056"/>
    <w:rsid w:val="001933A8"/>
    <w:rsid w:val="00194EF5"/>
    <w:rsid w:val="00194FA7"/>
    <w:rsid w:val="00195077"/>
    <w:rsid w:val="00195607"/>
    <w:rsid w:val="001961D7"/>
    <w:rsid w:val="00196DAB"/>
    <w:rsid w:val="001A04F0"/>
    <w:rsid w:val="001A0553"/>
    <w:rsid w:val="001A1DF7"/>
    <w:rsid w:val="001A2901"/>
    <w:rsid w:val="001A3F1C"/>
    <w:rsid w:val="001A438D"/>
    <w:rsid w:val="001A519A"/>
    <w:rsid w:val="001A56EB"/>
    <w:rsid w:val="001A5C67"/>
    <w:rsid w:val="001A716F"/>
    <w:rsid w:val="001B0BC7"/>
    <w:rsid w:val="001B1C97"/>
    <w:rsid w:val="001B223F"/>
    <w:rsid w:val="001B2848"/>
    <w:rsid w:val="001B2AE4"/>
    <w:rsid w:val="001B4DE1"/>
    <w:rsid w:val="001B4FD5"/>
    <w:rsid w:val="001B5BFC"/>
    <w:rsid w:val="001B5CC9"/>
    <w:rsid w:val="001B6224"/>
    <w:rsid w:val="001B78A0"/>
    <w:rsid w:val="001C0112"/>
    <w:rsid w:val="001C0DEE"/>
    <w:rsid w:val="001C17F7"/>
    <w:rsid w:val="001C210B"/>
    <w:rsid w:val="001C2F4A"/>
    <w:rsid w:val="001C3102"/>
    <w:rsid w:val="001C31BB"/>
    <w:rsid w:val="001C3EDA"/>
    <w:rsid w:val="001C5B3E"/>
    <w:rsid w:val="001C5C68"/>
    <w:rsid w:val="001C61F2"/>
    <w:rsid w:val="001C6799"/>
    <w:rsid w:val="001C68DC"/>
    <w:rsid w:val="001C6AD7"/>
    <w:rsid w:val="001C7A35"/>
    <w:rsid w:val="001C7DA4"/>
    <w:rsid w:val="001C7EA2"/>
    <w:rsid w:val="001D1573"/>
    <w:rsid w:val="001D1F9A"/>
    <w:rsid w:val="001D3B66"/>
    <w:rsid w:val="001D45D8"/>
    <w:rsid w:val="001D49E7"/>
    <w:rsid w:val="001D4A15"/>
    <w:rsid w:val="001D5026"/>
    <w:rsid w:val="001D55C9"/>
    <w:rsid w:val="001D7CF7"/>
    <w:rsid w:val="001E0D3C"/>
    <w:rsid w:val="001E1979"/>
    <w:rsid w:val="001E19C3"/>
    <w:rsid w:val="001E3AE4"/>
    <w:rsid w:val="001E3D58"/>
    <w:rsid w:val="001E57D3"/>
    <w:rsid w:val="001E5DC4"/>
    <w:rsid w:val="001E691C"/>
    <w:rsid w:val="001E6D45"/>
    <w:rsid w:val="001E7470"/>
    <w:rsid w:val="001E762B"/>
    <w:rsid w:val="001F1178"/>
    <w:rsid w:val="001F13D6"/>
    <w:rsid w:val="001F141A"/>
    <w:rsid w:val="001F1586"/>
    <w:rsid w:val="001F1810"/>
    <w:rsid w:val="001F1C0E"/>
    <w:rsid w:val="001F2C36"/>
    <w:rsid w:val="001F2FA6"/>
    <w:rsid w:val="001F3696"/>
    <w:rsid w:val="001F3D5C"/>
    <w:rsid w:val="001F5219"/>
    <w:rsid w:val="001F52C0"/>
    <w:rsid w:val="001F67CF"/>
    <w:rsid w:val="0020027F"/>
    <w:rsid w:val="00200CDF"/>
    <w:rsid w:val="00201125"/>
    <w:rsid w:val="00201B51"/>
    <w:rsid w:val="00201FCD"/>
    <w:rsid w:val="002023F5"/>
    <w:rsid w:val="00202F79"/>
    <w:rsid w:val="00206938"/>
    <w:rsid w:val="0021053F"/>
    <w:rsid w:val="00211059"/>
    <w:rsid w:val="0021170C"/>
    <w:rsid w:val="00212080"/>
    <w:rsid w:val="00212980"/>
    <w:rsid w:val="00212A1F"/>
    <w:rsid w:val="00212C21"/>
    <w:rsid w:val="00213E56"/>
    <w:rsid w:val="00214011"/>
    <w:rsid w:val="00214809"/>
    <w:rsid w:val="00214EB2"/>
    <w:rsid w:val="0021586C"/>
    <w:rsid w:val="00215CCB"/>
    <w:rsid w:val="00215D94"/>
    <w:rsid w:val="00216290"/>
    <w:rsid w:val="00216347"/>
    <w:rsid w:val="002165A1"/>
    <w:rsid w:val="00216CF3"/>
    <w:rsid w:val="00217B1D"/>
    <w:rsid w:val="00221F5D"/>
    <w:rsid w:val="002223FF"/>
    <w:rsid w:val="002226C0"/>
    <w:rsid w:val="00222744"/>
    <w:rsid w:val="00222955"/>
    <w:rsid w:val="00224548"/>
    <w:rsid w:val="00225940"/>
    <w:rsid w:val="002269C9"/>
    <w:rsid w:val="00226ACC"/>
    <w:rsid w:val="00227BBA"/>
    <w:rsid w:val="002316C4"/>
    <w:rsid w:val="00231FDE"/>
    <w:rsid w:val="00232ADD"/>
    <w:rsid w:val="00232DB6"/>
    <w:rsid w:val="0023316E"/>
    <w:rsid w:val="0023356C"/>
    <w:rsid w:val="00234D07"/>
    <w:rsid w:val="00234F6A"/>
    <w:rsid w:val="002350CC"/>
    <w:rsid w:val="00235313"/>
    <w:rsid w:val="002353BB"/>
    <w:rsid w:val="002358D8"/>
    <w:rsid w:val="00235A70"/>
    <w:rsid w:val="0023687D"/>
    <w:rsid w:val="002373D6"/>
    <w:rsid w:val="002379E9"/>
    <w:rsid w:val="00237E71"/>
    <w:rsid w:val="00240A28"/>
    <w:rsid w:val="00240A5B"/>
    <w:rsid w:val="002415D2"/>
    <w:rsid w:val="00242B43"/>
    <w:rsid w:val="0024428E"/>
    <w:rsid w:val="00244449"/>
    <w:rsid w:val="00244BA1"/>
    <w:rsid w:val="002469D2"/>
    <w:rsid w:val="00246A18"/>
    <w:rsid w:val="0024788D"/>
    <w:rsid w:val="002478B6"/>
    <w:rsid w:val="00250488"/>
    <w:rsid w:val="00250EB5"/>
    <w:rsid w:val="00251B9A"/>
    <w:rsid w:val="002530AC"/>
    <w:rsid w:val="002533E1"/>
    <w:rsid w:val="00253594"/>
    <w:rsid w:val="00253652"/>
    <w:rsid w:val="00254542"/>
    <w:rsid w:val="002558B7"/>
    <w:rsid w:val="00257390"/>
    <w:rsid w:val="00257441"/>
    <w:rsid w:val="00257857"/>
    <w:rsid w:val="00257BB2"/>
    <w:rsid w:val="002609B1"/>
    <w:rsid w:val="00260B94"/>
    <w:rsid w:val="00260BD4"/>
    <w:rsid w:val="00261408"/>
    <w:rsid w:val="002614B9"/>
    <w:rsid w:val="00261754"/>
    <w:rsid w:val="0026197B"/>
    <w:rsid w:val="00261AF6"/>
    <w:rsid w:val="00262A3F"/>
    <w:rsid w:val="00262C5A"/>
    <w:rsid w:val="002647E2"/>
    <w:rsid w:val="00264D1B"/>
    <w:rsid w:val="00264D43"/>
    <w:rsid w:val="00264E77"/>
    <w:rsid w:val="00266080"/>
    <w:rsid w:val="00266877"/>
    <w:rsid w:val="00267F45"/>
    <w:rsid w:val="00271851"/>
    <w:rsid w:val="00272000"/>
    <w:rsid w:val="00272CBE"/>
    <w:rsid w:val="00272D0D"/>
    <w:rsid w:val="002732D8"/>
    <w:rsid w:val="00276B00"/>
    <w:rsid w:val="00276B6B"/>
    <w:rsid w:val="00276DC6"/>
    <w:rsid w:val="00277AC2"/>
    <w:rsid w:val="002800E8"/>
    <w:rsid w:val="002804F8"/>
    <w:rsid w:val="002810D2"/>
    <w:rsid w:val="0028115B"/>
    <w:rsid w:val="00282307"/>
    <w:rsid w:val="00282453"/>
    <w:rsid w:val="0028279C"/>
    <w:rsid w:val="002828D7"/>
    <w:rsid w:val="00282C70"/>
    <w:rsid w:val="0028307D"/>
    <w:rsid w:val="0028451C"/>
    <w:rsid w:val="00285A21"/>
    <w:rsid w:val="002876B3"/>
    <w:rsid w:val="00290245"/>
    <w:rsid w:val="0029041F"/>
    <w:rsid w:val="00290724"/>
    <w:rsid w:val="00290975"/>
    <w:rsid w:val="00290BA1"/>
    <w:rsid w:val="002912F4"/>
    <w:rsid w:val="00291E83"/>
    <w:rsid w:val="00293D75"/>
    <w:rsid w:val="00293DAA"/>
    <w:rsid w:val="00295EBA"/>
    <w:rsid w:val="00295F2F"/>
    <w:rsid w:val="002960D6"/>
    <w:rsid w:val="002967E8"/>
    <w:rsid w:val="00297150"/>
    <w:rsid w:val="002A00E7"/>
    <w:rsid w:val="002A10C9"/>
    <w:rsid w:val="002A2AE3"/>
    <w:rsid w:val="002A2F34"/>
    <w:rsid w:val="002A2FB2"/>
    <w:rsid w:val="002A336F"/>
    <w:rsid w:val="002A3963"/>
    <w:rsid w:val="002A40BC"/>
    <w:rsid w:val="002A50D1"/>
    <w:rsid w:val="002A525D"/>
    <w:rsid w:val="002A5282"/>
    <w:rsid w:val="002A6052"/>
    <w:rsid w:val="002A6ADA"/>
    <w:rsid w:val="002A6F42"/>
    <w:rsid w:val="002A7920"/>
    <w:rsid w:val="002B0775"/>
    <w:rsid w:val="002B0F87"/>
    <w:rsid w:val="002B1F4F"/>
    <w:rsid w:val="002B273A"/>
    <w:rsid w:val="002B2768"/>
    <w:rsid w:val="002B3973"/>
    <w:rsid w:val="002B3EF7"/>
    <w:rsid w:val="002B6353"/>
    <w:rsid w:val="002B63FB"/>
    <w:rsid w:val="002B6C88"/>
    <w:rsid w:val="002C02F7"/>
    <w:rsid w:val="002C0D6C"/>
    <w:rsid w:val="002C16AA"/>
    <w:rsid w:val="002C1AB9"/>
    <w:rsid w:val="002C1C69"/>
    <w:rsid w:val="002C209D"/>
    <w:rsid w:val="002C298F"/>
    <w:rsid w:val="002C2FB3"/>
    <w:rsid w:val="002C3060"/>
    <w:rsid w:val="002C4345"/>
    <w:rsid w:val="002C5033"/>
    <w:rsid w:val="002C54B0"/>
    <w:rsid w:val="002C571E"/>
    <w:rsid w:val="002C6616"/>
    <w:rsid w:val="002C6BD0"/>
    <w:rsid w:val="002D044A"/>
    <w:rsid w:val="002D07A2"/>
    <w:rsid w:val="002D097C"/>
    <w:rsid w:val="002D0EA9"/>
    <w:rsid w:val="002D2956"/>
    <w:rsid w:val="002D2EC0"/>
    <w:rsid w:val="002D333D"/>
    <w:rsid w:val="002D33D3"/>
    <w:rsid w:val="002D374C"/>
    <w:rsid w:val="002D3878"/>
    <w:rsid w:val="002D40DF"/>
    <w:rsid w:val="002D4154"/>
    <w:rsid w:val="002D5916"/>
    <w:rsid w:val="002D5CF6"/>
    <w:rsid w:val="002D60FC"/>
    <w:rsid w:val="002D682F"/>
    <w:rsid w:val="002D69C6"/>
    <w:rsid w:val="002D7F24"/>
    <w:rsid w:val="002E0387"/>
    <w:rsid w:val="002E09ED"/>
    <w:rsid w:val="002E0B31"/>
    <w:rsid w:val="002E0D2B"/>
    <w:rsid w:val="002E1665"/>
    <w:rsid w:val="002E1BC2"/>
    <w:rsid w:val="002E274D"/>
    <w:rsid w:val="002E2BCF"/>
    <w:rsid w:val="002E310B"/>
    <w:rsid w:val="002E5176"/>
    <w:rsid w:val="002E5484"/>
    <w:rsid w:val="002E5A56"/>
    <w:rsid w:val="002E5C09"/>
    <w:rsid w:val="002E6856"/>
    <w:rsid w:val="002E7BCC"/>
    <w:rsid w:val="002F0325"/>
    <w:rsid w:val="002F0C2A"/>
    <w:rsid w:val="002F0C7B"/>
    <w:rsid w:val="002F1DAB"/>
    <w:rsid w:val="002F266A"/>
    <w:rsid w:val="002F33E9"/>
    <w:rsid w:val="002F4027"/>
    <w:rsid w:val="002F4647"/>
    <w:rsid w:val="002F478E"/>
    <w:rsid w:val="002F5533"/>
    <w:rsid w:val="002F576B"/>
    <w:rsid w:val="002F5B78"/>
    <w:rsid w:val="002F5EB6"/>
    <w:rsid w:val="002F6683"/>
    <w:rsid w:val="002F673B"/>
    <w:rsid w:val="002F6C30"/>
    <w:rsid w:val="002F7006"/>
    <w:rsid w:val="0030022C"/>
    <w:rsid w:val="00300C0C"/>
    <w:rsid w:val="00302239"/>
    <w:rsid w:val="00302E20"/>
    <w:rsid w:val="00303A45"/>
    <w:rsid w:val="00304404"/>
    <w:rsid w:val="0030577B"/>
    <w:rsid w:val="00305C07"/>
    <w:rsid w:val="003065E4"/>
    <w:rsid w:val="00307BFE"/>
    <w:rsid w:val="00310BBD"/>
    <w:rsid w:val="00310D1B"/>
    <w:rsid w:val="00311DA9"/>
    <w:rsid w:val="00312594"/>
    <w:rsid w:val="00312C2B"/>
    <w:rsid w:val="00313A68"/>
    <w:rsid w:val="00313F1D"/>
    <w:rsid w:val="00313F9F"/>
    <w:rsid w:val="00314422"/>
    <w:rsid w:val="00315426"/>
    <w:rsid w:val="00315FDD"/>
    <w:rsid w:val="00316564"/>
    <w:rsid w:val="003175E6"/>
    <w:rsid w:val="003178A0"/>
    <w:rsid w:val="0032018A"/>
    <w:rsid w:val="00321506"/>
    <w:rsid w:val="00324308"/>
    <w:rsid w:val="0032445D"/>
    <w:rsid w:val="00324897"/>
    <w:rsid w:val="003250BB"/>
    <w:rsid w:val="00325279"/>
    <w:rsid w:val="003256C4"/>
    <w:rsid w:val="003257F7"/>
    <w:rsid w:val="00325894"/>
    <w:rsid w:val="00325A6B"/>
    <w:rsid w:val="00327155"/>
    <w:rsid w:val="00330532"/>
    <w:rsid w:val="003318BC"/>
    <w:rsid w:val="00331925"/>
    <w:rsid w:val="00333594"/>
    <w:rsid w:val="00333A8A"/>
    <w:rsid w:val="00334DF9"/>
    <w:rsid w:val="00335005"/>
    <w:rsid w:val="003350BB"/>
    <w:rsid w:val="00340E9D"/>
    <w:rsid w:val="00341003"/>
    <w:rsid w:val="00341C7C"/>
    <w:rsid w:val="003420D9"/>
    <w:rsid w:val="00342661"/>
    <w:rsid w:val="00342FCE"/>
    <w:rsid w:val="003450EB"/>
    <w:rsid w:val="00345C7E"/>
    <w:rsid w:val="00345E43"/>
    <w:rsid w:val="00347385"/>
    <w:rsid w:val="0034769F"/>
    <w:rsid w:val="00347DA8"/>
    <w:rsid w:val="00350A48"/>
    <w:rsid w:val="00350B86"/>
    <w:rsid w:val="00351C4B"/>
    <w:rsid w:val="00351EEB"/>
    <w:rsid w:val="00353715"/>
    <w:rsid w:val="003548DF"/>
    <w:rsid w:val="003550A5"/>
    <w:rsid w:val="003565A6"/>
    <w:rsid w:val="00360136"/>
    <w:rsid w:val="00362B1F"/>
    <w:rsid w:val="00362F73"/>
    <w:rsid w:val="0036326A"/>
    <w:rsid w:val="00364FF0"/>
    <w:rsid w:val="003656CA"/>
    <w:rsid w:val="0036609D"/>
    <w:rsid w:val="0036622C"/>
    <w:rsid w:val="003663C6"/>
    <w:rsid w:val="00367D67"/>
    <w:rsid w:val="00370235"/>
    <w:rsid w:val="003711BF"/>
    <w:rsid w:val="00371462"/>
    <w:rsid w:val="00372326"/>
    <w:rsid w:val="00372E41"/>
    <w:rsid w:val="003739DC"/>
    <w:rsid w:val="00373ED1"/>
    <w:rsid w:val="00374479"/>
    <w:rsid w:val="00375007"/>
    <w:rsid w:val="00375C71"/>
    <w:rsid w:val="003773EF"/>
    <w:rsid w:val="003776D8"/>
    <w:rsid w:val="003804C2"/>
    <w:rsid w:val="00380FD0"/>
    <w:rsid w:val="00381005"/>
    <w:rsid w:val="0038111C"/>
    <w:rsid w:val="00383DCD"/>
    <w:rsid w:val="003840F7"/>
    <w:rsid w:val="00384683"/>
    <w:rsid w:val="00384C99"/>
    <w:rsid w:val="00384CF9"/>
    <w:rsid w:val="00384E5E"/>
    <w:rsid w:val="00384E7E"/>
    <w:rsid w:val="00385B0F"/>
    <w:rsid w:val="0038635C"/>
    <w:rsid w:val="00386429"/>
    <w:rsid w:val="00387B8B"/>
    <w:rsid w:val="00390771"/>
    <w:rsid w:val="00390FCC"/>
    <w:rsid w:val="00391035"/>
    <w:rsid w:val="003912AC"/>
    <w:rsid w:val="0039153F"/>
    <w:rsid w:val="003918E4"/>
    <w:rsid w:val="00393C90"/>
    <w:rsid w:val="00393CD3"/>
    <w:rsid w:val="00395EBA"/>
    <w:rsid w:val="00396527"/>
    <w:rsid w:val="003A0023"/>
    <w:rsid w:val="003A0708"/>
    <w:rsid w:val="003A1536"/>
    <w:rsid w:val="003A167A"/>
    <w:rsid w:val="003A2A11"/>
    <w:rsid w:val="003A2E0C"/>
    <w:rsid w:val="003A39B1"/>
    <w:rsid w:val="003A3C58"/>
    <w:rsid w:val="003A4AA3"/>
    <w:rsid w:val="003A4FC2"/>
    <w:rsid w:val="003A67EB"/>
    <w:rsid w:val="003A690B"/>
    <w:rsid w:val="003A6D40"/>
    <w:rsid w:val="003A6FF2"/>
    <w:rsid w:val="003A71B6"/>
    <w:rsid w:val="003A73A5"/>
    <w:rsid w:val="003A78B5"/>
    <w:rsid w:val="003B07C2"/>
    <w:rsid w:val="003B0F71"/>
    <w:rsid w:val="003B1E6E"/>
    <w:rsid w:val="003B1FC1"/>
    <w:rsid w:val="003B2E97"/>
    <w:rsid w:val="003B307C"/>
    <w:rsid w:val="003B3658"/>
    <w:rsid w:val="003B3A8A"/>
    <w:rsid w:val="003B70A4"/>
    <w:rsid w:val="003B79AF"/>
    <w:rsid w:val="003B7C30"/>
    <w:rsid w:val="003C0650"/>
    <w:rsid w:val="003C2F12"/>
    <w:rsid w:val="003C32B9"/>
    <w:rsid w:val="003C3C07"/>
    <w:rsid w:val="003C449B"/>
    <w:rsid w:val="003C4CAE"/>
    <w:rsid w:val="003C4FBB"/>
    <w:rsid w:val="003C5746"/>
    <w:rsid w:val="003C60C9"/>
    <w:rsid w:val="003C67F4"/>
    <w:rsid w:val="003C763A"/>
    <w:rsid w:val="003C7ABA"/>
    <w:rsid w:val="003D00CA"/>
    <w:rsid w:val="003D049E"/>
    <w:rsid w:val="003D079F"/>
    <w:rsid w:val="003D07A0"/>
    <w:rsid w:val="003D24B9"/>
    <w:rsid w:val="003D28C1"/>
    <w:rsid w:val="003D32B8"/>
    <w:rsid w:val="003D378D"/>
    <w:rsid w:val="003D3BF1"/>
    <w:rsid w:val="003D57DD"/>
    <w:rsid w:val="003D5A61"/>
    <w:rsid w:val="003D5AF6"/>
    <w:rsid w:val="003D5F3D"/>
    <w:rsid w:val="003D6AB2"/>
    <w:rsid w:val="003D72BF"/>
    <w:rsid w:val="003D750D"/>
    <w:rsid w:val="003E1823"/>
    <w:rsid w:val="003E3403"/>
    <w:rsid w:val="003E356F"/>
    <w:rsid w:val="003E3FAC"/>
    <w:rsid w:val="003E4194"/>
    <w:rsid w:val="003E4F8C"/>
    <w:rsid w:val="003E5052"/>
    <w:rsid w:val="003E53AC"/>
    <w:rsid w:val="003E62F7"/>
    <w:rsid w:val="003E7124"/>
    <w:rsid w:val="003E7664"/>
    <w:rsid w:val="003E7CA9"/>
    <w:rsid w:val="003E7DF5"/>
    <w:rsid w:val="003E7F64"/>
    <w:rsid w:val="003F0506"/>
    <w:rsid w:val="003F0581"/>
    <w:rsid w:val="003F05B8"/>
    <w:rsid w:val="003F0AFB"/>
    <w:rsid w:val="003F0F46"/>
    <w:rsid w:val="003F1718"/>
    <w:rsid w:val="003F2266"/>
    <w:rsid w:val="003F270C"/>
    <w:rsid w:val="003F2B9A"/>
    <w:rsid w:val="003F3018"/>
    <w:rsid w:val="003F3D05"/>
    <w:rsid w:val="003F3DBE"/>
    <w:rsid w:val="003F40ED"/>
    <w:rsid w:val="003F41B0"/>
    <w:rsid w:val="003F4B74"/>
    <w:rsid w:val="003F4EF6"/>
    <w:rsid w:val="003F5E54"/>
    <w:rsid w:val="003F60AE"/>
    <w:rsid w:val="003F65CA"/>
    <w:rsid w:val="0040071C"/>
    <w:rsid w:val="004008B7"/>
    <w:rsid w:val="00401416"/>
    <w:rsid w:val="0040190D"/>
    <w:rsid w:val="0040207E"/>
    <w:rsid w:val="0040246E"/>
    <w:rsid w:val="0040273F"/>
    <w:rsid w:val="00402A87"/>
    <w:rsid w:val="00403050"/>
    <w:rsid w:val="0040360B"/>
    <w:rsid w:val="004052DC"/>
    <w:rsid w:val="00405A7E"/>
    <w:rsid w:val="00406A91"/>
    <w:rsid w:val="00407881"/>
    <w:rsid w:val="00407889"/>
    <w:rsid w:val="004078AC"/>
    <w:rsid w:val="00410BC4"/>
    <w:rsid w:val="004126BB"/>
    <w:rsid w:val="004128DC"/>
    <w:rsid w:val="0041323C"/>
    <w:rsid w:val="004135D4"/>
    <w:rsid w:val="00413693"/>
    <w:rsid w:val="004137D2"/>
    <w:rsid w:val="0041399E"/>
    <w:rsid w:val="00413F27"/>
    <w:rsid w:val="0041435B"/>
    <w:rsid w:val="00415483"/>
    <w:rsid w:val="00415A64"/>
    <w:rsid w:val="004161B9"/>
    <w:rsid w:val="0041658D"/>
    <w:rsid w:val="004165CE"/>
    <w:rsid w:val="00416BD6"/>
    <w:rsid w:val="00416E19"/>
    <w:rsid w:val="00417001"/>
    <w:rsid w:val="004174E2"/>
    <w:rsid w:val="0041791E"/>
    <w:rsid w:val="0042007B"/>
    <w:rsid w:val="00420E52"/>
    <w:rsid w:val="004216D3"/>
    <w:rsid w:val="00421D69"/>
    <w:rsid w:val="00422335"/>
    <w:rsid w:val="0042239B"/>
    <w:rsid w:val="00423F81"/>
    <w:rsid w:val="00424144"/>
    <w:rsid w:val="0042522A"/>
    <w:rsid w:val="004254CA"/>
    <w:rsid w:val="00425C09"/>
    <w:rsid w:val="0042642F"/>
    <w:rsid w:val="00426CB7"/>
    <w:rsid w:val="004271EC"/>
    <w:rsid w:val="00427200"/>
    <w:rsid w:val="00427383"/>
    <w:rsid w:val="00427D49"/>
    <w:rsid w:val="00427F52"/>
    <w:rsid w:val="0043051C"/>
    <w:rsid w:val="00431488"/>
    <w:rsid w:val="00431F68"/>
    <w:rsid w:val="00432B75"/>
    <w:rsid w:val="00433376"/>
    <w:rsid w:val="0043348C"/>
    <w:rsid w:val="0043351D"/>
    <w:rsid w:val="00433FF7"/>
    <w:rsid w:val="0043428A"/>
    <w:rsid w:val="00435B92"/>
    <w:rsid w:val="00435EB4"/>
    <w:rsid w:val="00436D10"/>
    <w:rsid w:val="00436FAF"/>
    <w:rsid w:val="0044024C"/>
    <w:rsid w:val="0044042B"/>
    <w:rsid w:val="00440D58"/>
    <w:rsid w:val="00441050"/>
    <w:rsid w:val="0044127C"/>
    <w:rsid w:val="0044215D"/>
    <w:rsid w:val="00442243"/>
    <w:rsid w:val="004423F2"/>
    <w:rsid w:val="00443FC2"/>
    <w:rsid w:val="004448A0"/>
    <w:rsid w:val="00444A11"/>
    <w:rsid w:val="00444DE9"/>
    <w:rsid w:val="00445A01"/>
    <w:rsid w:val="00445BD9"/>
    <w:rsid w:val="00446263"/>
    <w:rsid w:val="0044729A"/>
    <w:rsid w:val="004476D7"/>
    <w:rsid w:val="00447D82"/>
    <w:rsid w:val="00447DAA"/>
    <w:rsid w:val="00450A79"/>
    <w:rsid w:val="004518BA"/>
    <w:rsid w:val="00453249"/>
    <w:rsid w:val="0045346C"/>
    <w:rsid w:val="0045362E"/>
    <w:rsid w:val="004542A0"/>
    <w:rsid w:val="00454A3E"/>
    <w:rsid w:val="00454C43"/>
    <w:rsid w:val="00455910"/>
    <w:rsid w:val="00456442"/>
    <w:rsid w:val="004565D4"/>
    <w:rsid w:val="00456B37"/>
    <w:rsid w:val="004574E7"/>
    <w:rsid w:val="00457759"/>
    <w:rsid w:val="00457AB0"/>
    <w:rsid w:val="004609A4"/>
    <w:rsid w:val="00460D8C"/>
    <w:rsid w:val="00462B74"/>
    <w:rsid w:val="00462F43"/>
    <w:rsid w:val="004632A0"/>
    <w:rsid w:val="004647BB"/>
    <w:rsid w:val="00465311"/>
    <w:rsid w:val="00465CE6"/>
    <w:rsid w:val="0046609B"/>
    <w:rsid w:val="00466351"/>
    <w:rsid w:val="004707D7"/>
    <w:rsid w:val="0047163B"/>
    <w:rsid w:val="0047192D"/>
    <w:rsid w:val="00471E16"/>
    <w:rsid w:val="00472439"/>
    <w:rsid w:val="004726FA"/>
    <w:rsid w:val="00472AD2"/>
    <w:rsid w:val="004757C8"/>
    <w:rsid w:val="00476269"/>
    <w:rsid w:val="004766D6"/>
    <w:rsid w:val="004769AA"/>
    <w:rsid w:val="00476B16"/>
    <w:rsid w:val="0047754B"/>
    <w:rsid w:val="00481256"/>
    <w:rsid w:val="004814F6"/>
    <w:rsid w:val="00481852"/>
    <w:rsid w:val="00482060"/>
    <w:rsid w:val="00484842"/>
    <w:rsid w:val="00484C3C"/>
    <w:rsid w:val="00485F1A"/>
    <w:rsid w:val="00487A18"/>
    <w:rsid w:val="00487A20"/>
    <w:rsid w:val="00490948"/>
    <w:rsid w:val="00491525"/>
    <w:rsid w:val="00491812"/>
    <w:rsid w:val="00491F91"/>
    <w:rsid w:val="0049256F"/>
    <w:rsid w:val="00492B9C"/>
    <w:rsid w:val="004942DD"/>
    <w:rsid w:val="0049592D"/>
    <w:rsid w:val="00495B76"/>
    <w:rsid w:val="00496958"/>
    <w:rsid w:val="00496FAA"/>
    <w:rsid w:val="00497AAC"/>
    <w:rsid w:val="004A1120"/>
    <w:rsid w:val="004A11AF"/>
    <w:rsid w:val="004A13B0"/>
    <w:rsid w:val="004A1DD1"/>
    <w:rsid w:val="004A2E4F"/>
    <w:rsid w:val="004A2E88"/>
    <w:rsid w:val="004A316E"/>
    <w:rsid w:val="004A34DD"/>
    <w:rsid w:val="004A3873"/>
    <w:rsid w:val="004A4C2D"/>
    <w:rsid w:val="004A5034"/>
    <w:rsid w:val="004A54C7"/>
    <w:rsid w:val="004B0448"/>
    <w:rsid w:val="004B0F88"/>
    <w:rsid w:val="004B11FB"/>
    <w:rsid w:val="004B1876"/>
    <w:rsid w:val="004B19D1"/>
    <w:rsid w:val="004B1E85"/>
    <w:rsid w:val="004B282D"/>
    <w:rsid w:val="004B2FBA"/>
    <w:rsid w:val="004B3139"/>
    <w:rsid w:val="004B3285"/>
    <w:rsid w:val="004B43BE"/>
    <w:rsid w:val="004B6779"/>
    <w:rsid w:val="004B6C1F"/>
    <w:rsid w:val="004B7955"/>
    <w:rsid w:val="004B7E69"/>
    <w:rsid w:val="004C029C"/>
    <w:rsid w:val="004C0602"/>
    <w:rsid w:val="004C1B81"/>
    <w:rsid w:val="004C2356"/>
    <w:rsid w:val="004C3E5F"/>
    <w:rsid w:val="004C4AF4"/>
    <w:rsid w:val="004C520D"/>
    <w:rsid w:val="004C70B9"/>
    <w:rsid w:val="004C79BD"/>
    <w:rsid w:val="004D0079"/>
    <w:rsid w:val="004D05E6"/>
    <w:rsid w:val="004D1C9E"/>
    <w:rsid w:val="004D23C9"/>
    <w:rsid w:val="004D2B51"/>
    <w:rsid w:val="004D3942"/>
    <w:rsid w:val="004D5AAB"/>
    <w:rsid w:val="004D5D75"/>
    <w:rsid w:val="004D5F04"/>
    <w:rsid w:val="004D657B"/>
    <w:rsid w:val="004D6EFA"/>
    <w:rsid w:val="004D770A"/>
    <w:rsid w:val="004D7BBD"/>
    <w:rsid w:val="004D7C88"/>
    <w:rsid w:val="004D7D27"/>
    <w:rsid w:val="004E005D"/>
    <w:rsid w:val="004E0B67"/>
    <w:rsid w:val="004E0E25"/>
    <w:rsid w:val="004E17D9"/>
    <w:rsid w:val="004E1E7F"/>
    <w:rsid w:val="004E262D"/>
    <w:rsid w:val="004E2BB6"/>
    <w:rsid w:val="004E324D"/>
    <w:rsid w:val="004E3D01"/>
    <w:rsid w:val="004E4171"/>
    <w:rsid w:val="004E4366"/>
    <w:rsid w:val="004E5528"/>
    <w:rsid w:val="004E6122"/>
    <w:rsid w:val="004E637B"/>
    <w:rsid w:val="004E6A25"/>
    <w:rsid w:val="004E6FDD"/>
    <w:rsid w:val="004F0966"/>
    <w:rsid w:val="004F0E40"/>
    <w:rsid w:val="004F0EA1"/>
    <w:rsid w:val="004F17BB"/>
    <w:rsid w:val="004F2240"/>
    <w:rsid w:val="004F22CD"/>
    <w:rsid w:val="004F2938"/>
    <w:rsid w:val="004F3CFC"/>
    <w:rsid w:val="004F4492"/>
    <w:rsid w:val="004F4BF8"/>
    <w:rsid w:val="004F6050"/>
    <w:rsid w:val="004F628B"/>
    <w:rsid w:val="004F724C"/>
    <w:rsid w:val="004F7550"/>
    <w:rsid w:val="004F7777"/>
    <w:rsid w:val="004F7B4B"/>
    <w:rsid w:val="00500FF3"/>
    <w:rsid w:val="00503412"/>
    <w:rsid w:val="00503D51"/>
    <w:rsid w:val="00503FDF"/>
    <w:rsid w:val="0050430F"/>
    <w:rsid w:val="00505465"/>
    <w:rsid w:val="005059D5"/>
    <w:rsid w:val="00505B17"/>
    <w:rsid w:val="00506F06"/>
    <w:rsid w:val="00506F31"/>
    <w:rsid w:val="00510229"/>
    <w:rsid w:val="0051133B"/>
    <w:rsid w:val="0051192F"/>
    <w:rsid w:val="00511DA0"/>
    <w:rsid w:val="00511EC6"/>
    <w:rsid w:val="005129C1"/>
    <w:rsid w:val="005129DE"/>
    <w:rsid w:val="0051488A"/>
    <w:rsid w:val="00514DB0"/>
    <w:rsid w:val="005153ED"/>
    <w:rsid w:val="005160D8"/>
    <w:rsid w:val="005162F9"/>
    <w:rsid w:val="005163DF"/>
    <w:rsid w:val="0051674F"/>
    <w:rsid w:val="00520131"/>
    <w:rsid w:val="0052013E"/>
    <w:rsid w:val="005223F8"/>
    <w:rsid w:val="0052262C"/>
    <w:rsid w:val="005236BC"/>
    <w:rsid w:val="00523CF3"/>
    <w:rsid w:val="00525950"/>
    <w:rsid w:val="00525CE6"/>
    <w:rsid w:val="0052685C"/>
    <w:rsid w:val="005273F1"/>
    <w:rsid w:val="0053004E"/>
    <w:rsid w:val="0053038F"/>
    <w:rsid w:val="00530A06"/>
    <w:rsid w:val="00530B66"/>
    <w:rsid w:val="00532F99"/>
    <w:rsid w:val="00533633"/>
    <w:rsid w:val="0053456A"/>
    <w:rsid w:val="00534B7A"/>
    <w:rsid w:val="00534F5F"/>
    <w:rsid w:val="00535408"/>
    <w:rsid w:val="005371D9"/>
    <w:rsid w:val="00540959"/>
    <w:rsid w:val="00541217"/>
    <w:rsid w:val="005412C8"/>
    <w:rsid w:val="005413BB"/>
    <w:rsid w:val="00541721"/>
    <w:rsid w:val="00541E46"/>
    <w:rsid w:val="005420A7"/>
    <w:rsid w:val="005428C3"/>
    <w:rsid w:val="0054388D"/>
    <w:rsid w:val="00544C12"/>
    <w:rsid w:val="005457CA"/>
    <w:rsid w:val="0054597C"/>
    <w:rsid w:val="00546DC9"/>
    <w:rsid w:val="00546E56"/>
    <w:rsid w:val="00551501"/>
    <w:rsid w:val="0055254F"/>
    <w:rsid w:val="00552DC5"/>
    <w:rsid w:val="00553B57"/>
    <w:rsid w:val="00554E15"/>
    <w:rsid w:val="0055555A"/>
    <w:rsid w:val="00555983"/>
    <w:rsid w:val="00555AD7"/>
    <w:rsid w:val="00555CEB"/>
    <w:rsid w:val="005561CF"/>
    <w:rsid w:val="0055645B"/>
    <w:rsid w:val="00556721"/>
    <w:rsid w:val="00556954"/>
    <w:rsid w:val="00557466"/>
    <w:rsid w:val="00557EFD"/>
    <w:rsid w:val="00560081"/>
    <w:rsid w:val="005636C1"/>
    <w:rsid w:val="00563ACA"/>
    <w:rsid w:val="005648F6"/>
    <w:rsid w:val="00564928"/>
    <w:rsid w:val="00564DA4"/>
    <w:rsid w:val="00565FA7"/>
    <w:rsid w:val="005660E6"/>
    <w:rsid w:val="005661D0"/>
    <w:rsid w:val="00567343"/>
    <w:rsid w:val="005677AC"/>
    <w:rsid w:val="0057028B"/>
    <w:rsid w:val="005705F6"/>
    <w:rsid w:val="0057293F"/>
    <w:rsid w:val="00572BC1"/>
    <w:rsid w:val="00574AA4"/>
    <w:rsid w:val="0057513D"/>
    <w:rsid w:val="00575B76"/>
    <w:rsid w:val="00576818"/>
    <w:rsid w:val="00576A8C"/>
    <w:rsid w:val="0057707D"/>
    <w:rsid w:val="005775F3"/>
    <w:rsid w:val="00577E2E"/>
    <w:rsid w:val="0058014F"/>
    <w:rsid w:val="005807AD"/>
    <w:rsid w:val="0058153E"/>
    <w:rsid w:val="00581D4D"/>
    <w:rsid w:val="005821AF"/>
    <w:rsid w:val="00583D3F"/>
    <w:rsid w:val="00583FDF"/>
    <w:rsid w:val="00584E8B"/>
    <w:rsid w:val="005858BE"/>
    <w:rsid w:val="005863DC"/>
    <w:rsid w:val="00586E87"/>
    <w:rsid w:val="00587173"/>
    <w:rsid w:val="00587BC5"/>
    <w:rsid w:val="0059044A"/>
    <w:rsid w:val="005918A8"/>
    <w:rsid w:val="0059227B"/>
    <w:rsid w:val="005925A1"/>
    <w:rsid w:val="00592874"/>
    <w:rsid w:val="00592B5C"/>
    <w:rsid w:val="0059320E"/>
    <w:rsid w:val="00594029"/>
    <w:rsid w:val="005948A8"/>
    <w:rsid w:val="005950EE"/>
    <w:rsid w:val="00596796"/>
    <w:rsid w:val="00597C41"/>
    <w:rsid w:val="005A000A"/>
    <w:rsid w:val="005A0051"/>
    <w:rsid w:val="005A0D2E"/>
    <w:rsid w:val="005A0E5C"/>
    <w:rsid w:val="005A2856"/>
    <w:rsid w:val="005A35C4"/>
    <w:rsid w:val="005A3C2F"/>
    <w:rsid w:val="005A3F75"/>
    <w:rsid w:val="005A4469"/>
    <w:rsid w:val="005A456C"/>
    <w:rsid w:val="005A4A82"/>
    <w:rsid w:val="005A4C96"/>
    <w:rsid w:val="005A6BBA"/>
    <w:rsid w:val="005A7CA8"/>
    <w:rsid w:val="005B001D"/>
    <w:rsid w:val="005B02D9"/>
    <w:rsid w:val="005B0A7E"/>
    <w:rsid w:val="005B1C12"/>
    <w:rsid w:val="005B1C22"/>
    <w:rsid w:val="005B1D3A"/>
    <w:rsid w:val="005B1DA4"/>
    <w:rsid w:val="005B2627"/>
    <w:rsid w:val="005B2DFB"/>
    <w:rsid w:val="005B3165"/>
    <w:rsid w:val="005B33AB"/>
    <w:rsid w:val="005B3441"/>
    <w:rsid w:val="005B35DB"/>
    <w:rsid w:val="005B517C"/>
    <w:rsid w:val="005B54EB"/>
    <w:rsid w:val="005B7000"/>
    <w:rsid w:val="005B7085"/>
    <w:rsid w:val="005B72BC"/>
    <w:rsid w:val="005B794B"/>
    <w:rsid w:val="005C3764"/>
    <w:rsid w:val="005C4554"/>
    <w:rsid w:val="005C4CA1"/>
    <w:rsid w:val="005C549B"/>
    <w:rsid w:val="005C59D7"/>
    <w:rsid w:val="005C6602"/>
    <w:rsid w:val="005C678C"/>
    <w:rsid w:val="005C6EE0"/>
    <w:rsid w:val="005C7F11"/>
    <w:rsid w:val="005D0A00"/>
    <w:rsid w:val="005D102D"/>
    <w:rsid w:val="005D13F8"/>
    <w:rsid w:val="005D2A4B"/>
    <w:rsid w:val="005D3379"/>
    <w:rsid w:val="005D3D79"/>
    <w:rsid w:val="005D4340"/>
    <w:rsid w:val="005D52F0"/>
    <w:rsid w:val="005D65FD"/>
    <w:rsid w:val="005D7818"/>
    <w:rsid w:val="005E0D53"/>
    <w:rsid w:val="005E1401"/>
    <w:rsid w:val="005E1C5C"/>
    <w:rsid w:val="005E26CE"/>
    <w:rsid w:val="005E38E8"/>
    <w:rsid w:val="005E394B"/>
    <w:rsid w:val="005E3ACA"/>
    <w:rsid w:val="005E3F43"/>
    <w:rsid w:val="005E4B59"/>
    <w:rsid w:val="005E51E6"/>
    <w:rsid w:val="005E570A"/>
    <w:rsid w:val="005E5CE8"/>
    <w:rsid w:val="005E6E81"/>
    <w:rsid w:val="005E6FC1"/>
    <w:rsid w:val="005E73EB"/>
    <w:rsid w:val="005E7439"/>
    <w:rsid w:val="005E779E"/>
    <w:rsid w:val="005E78A4"/>
    <w:rsid w:val="005F0619"/>
    <w:rsid w:val="005F069A"/>
    <w:rsid w:val="005F0DF6"/>
    <w:rsid w:val="005F10C7"/>
    <w:rsid w:val="005F201D"/>
    <w:rsid w:val="005F2404"/>
    <w:rsid w:val="005F2502"/>
    <w:rsid w:val="005F2539"/>
    <w:rsid w:val="005F27EB"/>
    <w:rsid w:val="005F3037"/>
    <w:rsid w:val="005F35CE"/>
    <w:rsid w:val="005F38EF"/>
    <w:rsid w:val="005F392E"/>
    <w:rsid w:val="005F48E5"/>
    <w:rsid w:val="005F5153"/>
    <w:rsid w:val="005F5829"/>
    <w:rsid w:val="005F5C65"/>
    <w:rsid w:val="005F5D23"/>
    <w:rsid w:val="005F61E8"/>
    <w:rsid w:val="005F644E"/>
    <w:rsid w:val="005F7043"/>
    <w:rsid w:val="005F7822"/>
    <w:rsid w:val="005F7945"/>
    <w:rsid w:val="005F7B4D"/>
    <w:rsid w:val="00600089"/>
    <w:rsid w:val="00600194"/>
    <w:rsid w:val="0060028C"/>
    <w:rsid w:val="0060099C"/>
    <w:rsid w:val="00601096"/>
    <w:rsid w:val="00601EEF"/>
    <w:rsid w:val="006020FE"/>
    <w:rsid w:val="00602BC4"/>
    <w:rsid w:val="006036A1"/>
    <w:rsid w:val="00603C77"/>
    <w:rsid w:val="00603D71"/>
    <w:rsid w:val="00604117"/>
    <w:rsid w:val="00604401"/>
    <w:rsid w:val="0060486E"/>
    <w:rsid w:val="00604CB4"/>
    <w:rsid w:val="006056DD"/>
    <w:rsid w:val="00605D9A"/>
    <w:rsid w:val="00606F01"/>
    <w:rsid w:val="006109AE"/>
    <w:rsid w:val="00610CA8"/>
    <w:rsid w:val="00610ED1"/>
    <w:rsid w:val="006127E4"/>
    <w:rsid w:val="0061401F"/>
    <w:rsid w:val="00615318"/>
    <w:rsid w:val="006166E6"/>
    <w:rsid w:val="00620F86"/>
    <w:rsid w:val="00621424"/>
    <w:rsid w:val="006215D4"/>
    <w:rsid w:val="00622052"/>
    <w:rsid w:val="0062261E"/>
    <w:rsid w:val="00622D01"/>
    <w:rsid w:val="00623F3E"/>
    <w:rsid w:val="006242B4"/>
    <w:rsid w:val="00625E76"/>
    <w:rsid w:val="00627109"/>
    <w:rsid w:val="006278FF"/>
    <w:rsid w:val="00627E0F"/>
    <w:rsid w:val="0063088C"/>
    <w:rsid w:val="00630E28"/>
    <w:rsid w:val="00632147"/>
    <w:rsid w:val="0063227A"/>
    <w:rsid w:val="006329FB"/>
    <w:rsid w:val="00633F52"/>
    <w:rsid w:val="0063516A"/>
    <w:rsid w:val="0063582C"/>
    <w:rsid w:val="00635A60"/>
    <w:rsid w:val="00635D77"/>
    <w:rsid w:val="00635DA7"/>
    <w:rsid w:val="00636D8F"/>
    <w:rsid w:val="00640536"/>
    <w:rsid w:val="0064093F"/>
    <w:rsid w:val="00640E9A"/>
    <w:rsid w:val="006417CD"/>
    <w:rsid w:val="00642820"/>
    <w:rsid w:val="006434C0"/>
    <w:rsid w:val="00644503"/>
    <w:rsid w:val="00644F72"/>
    <w:rsid w:val="006466C3"/>
    <w:rsid w:val="00651066"/>
    <w:rsid w:val="00651088"/>
    <w:rsid w:val="00651CBF"/>
    <w:rsid w:val="006529C5"/>
    <w:rsid w:val="00653DAF"/>
    <w:rsid w:val="006549D1"/>
    <w:rsid w:val="006549D8"/>
    <w:rsid w:val="00655B0E"/>
    <w:rsid w:val="006566C7"/>
    <w:rsid w:val="006567E7"/>
    <w:rsid w:val="00656932"/>
    <w:rsid w:val="00657EDC"/>
    <w:rsid w:val="00657F59"/>
    <w:rsid w:val="00662F9A"/>
    <w:rsid w:val="00663215"/>
    <w:rsid w:val="00664485"/>
    <w:rsid w:val="0066467A"/>
    <w:rsid w:val="00664A6F"/>
    <w:rsid w:val="006661C8"/>
    <w:rsid w:val="006666E7"/>
    <w:rsid w:val="006667CD"/>
    <w:rsid w:val="0066726E"/>
    <w:rsid w:val="00667D11"/>
    <w:rsid w:val="006708ED"/>
    <w:rsid w:val="00671D5E"/>
    <w:rsid w:val="00671EA7"/>
    <w:rsid w:val="0067284C"/>
    <w:rsid w:val="00672CD7"/>
    <w:rsid w:val="00672EB9"/>
    <w:rsid w:val="00673CDA"/>
    <w:rsid w:val="00673D6F"/>
    <w:rsid w:val="00674414"/>
    <w:rsid w:val="00675884"/>
    <w:rsid w:val="006758D2"/>
    <w:rsid w:val="006765B8"/>
    <w:rsid w:val="00680C1F"/>
    <w:rsid w:val="006835AA"/>
    <w:rsid w:val="00683AE9"/>
    <w:rsid w:val="00683BCA"/>
    <w:rsid w:val="006846DD"/>
    <w:rsid w:val="0068559A"/>
    <w:rsid w:val="00685BE4"/>
    <w:rsid w:val="00687361"/>
    <w:rsid w:val="00687E3B"/>
    <w:rsid w:val="0069048E"/>
    <w:rsid w:val="0069182C"/>
    <w:rsid w:val="00693C56"/>
    <w:rsid w:val="00693E7A"/>
    <w:rsid w:val="006942CB"/>
    <w:rsid w:val="0069500B"/>
    <w:rsid w:val="00695374"/>
    <w:rsid w:val="006953A5"/>
    <w:rsid w:val="006958B8"/>
    <w:rsid w:val="006965EA"/>
    <w:rsid w:val="006A06ED"/>
    <w:rsid w:val="006A0D58"/>
    <w:rsid w:val="006A1AC5"/>
    <w:rsid w:val="006A1C5E"/>
    <w:rsid w:val="006A232D"/>
    <w:rsid w:val="006A42D5"/>
    <w:rsid w:val="006A51D7"/>
    <w:rsid w:val="006A5BFF"/>
    <w:rsid w:val="006A61E8"/>
    <w:rsid w:val="006A6230"/>
    <w:rsid w:val="006A6350"/>
    <w:rsid w:val="006A6843"/>
    <w:rsid w:val="006A7D8F"/>
    <w:rsid w:val="006B00CE"/>
    <w:rsid w:val="006B092E"/>
    <w:rsid w:val="006B1046"/>
    <w:rsid w:val="006B294C"/>
    <w:rsid w:val="006B2E44"/>
    <w:rsid w:val="006B356B"/>
    <w:rsid w:val="006B5C6F"/>
    <w:rsid w:val="006B7A4D"/>
    <w:rsid w:val="006C0929"/>
    <w:rsid w:val="006C1DD4"/>
    <w:rsid w:val="006C2494"/>
    <w:rsid w:val="006C3364"/>
    <w:rsid w:val="006C35A8"/>
    <w:rsid w:val="006C4B3D"/>
    <w:rsid w:val="006C4B68"/>
    <w:rsid w:val="006C4EBC"/>
    <w:rsid w:val="006C5234"/>
    <w:rsid w:val="006C610F"/>
    <w:rsid w:val="006C6378"/>
    <w:rsid w:val="006D1500"/>
    <w:rsid w:val="006D15DE"/>
    <w:rsid w:val="006D1810"/>
    <w:rsid w:val="006D23E0"/>
    <w:rsid w:val="006D36B5"/>
    <w:rsid w:val="006D3E17"/>
    <w:rsid w:val="006D4799"/>
    <w:rsid w:val="006D5DCF"/>
    <w:rsid w:val="006D5F5B"/>
    <w:rsid w:val="006D6352"/>
    <w:rsid w:val="006D6E1E"/>
    <w:rsid w:val="006D7871"/>
    <w:rsid w:val="006E1DFF"/>
    <w:rsid w:val="006E39F7"/>
    <w:rsid w:val="006E3B84"/>
    <w:rsid w:val="006E4452"/>
    <w:rsid w:val="006E51AE"/>
    <w:rsid w:val="006E54AF"/>
    <w:rsid w:val="006E5C03"/>
    <w:rsid w:val="006E60EE"/>
    <w:rsid w:val="006E65CE"/>
    <w:rsid w:val="006E6EEB"/>
    <w:rsid w:val="006E7391"/>
    <w:rsid w:val="006F20D2"/>
    <w:rsid w:val="006F2116"/>
    <w:rsid w:val="006F2C11"/>
    <w:rsid w:val="006F3F36"/>
    <w:rsid w:val="006F4383"/>
    <w:rsid w:val="006F4CD3"/>
    <w:rsid w:val="006F5207"/>
    <w:rsid w:val="006F59FA"/>
    <w:rsid w:val="006F614F"/>
    <w:rsid w:val="006F726A"/>
    <w:rsid w:val="006F7328"/>
    <w:rsid w:val="006F7616"/>
    <w:rsid w:val="006F7751"/>
    <w:rsid w:val="006F776E"/>
    <w:rsid w:val="00700290"/>
    <w:rsid w:val="00700710"/>
    <w:rsid w:val="0070136A"/>
    <w:rsid w:val="007014CD"/>
    <w:rsid w:val="00701879"/>
    <w:rsid w:val="00701CAE"/>
    <w:rsid w:val="0070349B"/>
    <w:rsid w:val="0070388A"/>
    <w:rsid w:val="00704769"/>
    <w:rsid w:val="00704E5E"/>
    <w:rsid w:val="00705573"/>
    <w:rsid w:val="00705ACC"/>
    <w:rsid w:val="0070662F"/>
    <w:rsid w:val="00706D6C"/>
    <w:rsid w:val="007070FE"/>
    <w:rsid w:val="007075C1"/>
    <w:rsid w:val="007105ED"/>
    <w:rsid w:val="00710682"/>
    <w:rsid w:val="007121E4"/>
    <w:rsid w:val="00712624"/>
    <w:rsid w:val="00712CEB"/>
    <w:rsid w:val="00713406"/>
    <w:rsid w:val="00713F05"/>
    <w:rsid w:val="00714D2D"/>
    <w:rsid w:val="007157C2"/>
    <w:rsid w:val="00715AFB"/>
    <w:rsid w:val="0071609A"/>
    <w:rsid w:val="007170B7"/>
    <w:rsid w:val="00717E99"/>
    <w:rsid w:val="00717F6D"/>
    <w:rsid w:val="00720FA0"/>
    <w:rsid w:val="00721A49"/>
    <w:rsid w:val="00722E82"/>
    <w:rsid w:val="00723E0C"/>
    <w:rsid w:val="00724A8B"/>
    <w:rsid w:val="00724C44"/>
    <w:rsid w:val="00724D72"/>
    <w:rsid w:val="00724F1D"/>
    <w:rsid w:val="00725A24"/>
    <w:rsid w:val="00726135"/>
    <w:rsid w:val="007269F4"/>
    <w:rsid w:val="00730BF0"/>
    <w:rsid w:val="00730C62"/>
    <w:rsid w:val="0073129E"/>
    <w:rsid w:val="007318F5"/>
    <w:rsid w:val="00731A93"/>
    <w:rsid w:val="00732E46"/>
    <w:rsid w:val="00732F41"/>
    <w:rsid w:val="007331A3"/>
    <w:rsid w:val="0073351B"/>
    <w:rsid w:val="00734467"/>
    <w:rsid w:val="00735A69"/>
    <w:rsid w:val="00735A71"/>
    <w:rsid w:val="00735C9F"/>
    <w:rsid w:val="007401E0"/>
    <w:rsid w:val="00741B1D"/>
    <w:rsid w:val="00741DFD"/>
    <w:rsid w:val="00741E21"/>
    <w:rsid w:val="00743520"/>
    <w:rsid w:val="0074443B"/>
    <w:rsid w:val="007447E2"/>
    <w:rsid w:val="007453E7"/>
    <w:rsid w:val="00745F5B"/>
    <w:rsid w:val="00746331"/>
    <w:rsid w:val="0074640F"/>
    <w:rsid w:val="007470EC"/>
    <w:rsid w:val="007472BC"/>
    <w:rsid w:val="00750E6C"/>
    <w:rsid w:val="00752E10"/>
    <w:rsid w:val="0075300B"/>
    <w:rsid w:val="007530E3"/>
    <w:rsid w:val="007540C2"/>
    <w:rsid w:val="007552FC"/>
    <w:rsid w:val="00755A1D"/>
    <w:rsid w:val="007560A6"/>
    <w:rsid w:val="00756364"/>
    <w:rsid w:val="00757123"/>
    <w:rsid w:val="007571DC"/>
    <w:rsid w:val="007578EE"/>
    <w:rsid w:val="00757979"/>
    <w:rsid w:val="00757ECB"/>
    <w:rsid w:val="00760CE8"/>
    <w:rsid w:val="00761115"/>
    <w:rsid w:val="00761628"/>
    <w:rsid w:val="00761BC9"/>
    <w:rsid w:val="007620AA"/>
    <w:rsid w:val="00762295"/>
    <w:rsid w:val="00762B71"/>
    <w:rsid w:val="00763062"/>
    <w:rsid w:val="00763290"/>
    <w:rsid w:val="00764402"/>
    <w:rsid w:val="00764ACF"/>
    <w:rsid w:val="00765061"/>
    <w:rsid w:val="0076516D"/>
    <w:rsid w:val="00765D3D"/>
    <w:rsid w:val="007663EC"/>
    <w:rsid w:val="00766B0B"/>
    <w:rsid w:val="00767341"/>
    <w:rsid w:val="0076768C"/>
    <w:rsid w:val="00767A5D"/>
    <w:rsid w:val="00767DC6"/>
    <w:rsid w:val="007702B0"/>
    <w:rsid w:val="00770FCE"/>
    <w:rsid w:val="00771276"/>
    <w:rsid w:val="007715E9"/>
    <w:rsid w:val="007718FF"/>
    <w:rsid w:val="00772553"/>
    <w:rsid w:val="00773077"/>
    <w:rsid w:val="00773A5E"/>
    <w:rsid w:val="00773D32"/>
    <w:rsid w:val="007740B4"/>
    <w:rsid w:val="00774381"/>
    <w:rsid w:val="00774C58"/>
    <w:rsid w:val="00776041"/>
    <w:rsid w:val="00776096"/>
    <w:rsid w:val="00777C0B"/>
    <w:rsid w:val="007804F8"/>
    <w:rsid w:val="00780B09"/>
    <w:rsid w:val="00780F79"/>
    <w:rsid w:val="00780FD5"/>
    <w:rsid w:val="007820A3"/>
    <w:rsid w:val="00782913"/>
    <w:rsid w:val="00783228"/>
    <w:rsid w:val="007837E2"/>
    <w:rsid w:val="00783A6C"/>
    <w:rsid w:val="00783A96"/>
    <w:rsid w:val="0078449F"/>
    <w:rsid w:val="007852AD"/>
    <w:rsid w:val="00785BEF"/>
    <w:rsid w:val="0078696C"/>
    <w:rsid w:val="00786D55"/>
    <w:rsid w:val="00787968"/>
    <w:rsid w:val="00787DD4"/>
    <w:rsid w:val="0079046C"/>
    <w:rsid w:val="0079067C"/>
    <w:rsid w:val="007918CA"/>
    <w:rsid w:val="00791942"/>
    <w:rsid w:val="00794317"/>
    <w:rsid w:val="00794A55"/>
    <w:rsid w:val="00794DC4"/>
    <w:rsid w:val="0079503E"/>
    <w:rsid w:val="007953BA"/>
    <w:rsid w:val="007975D7"/>
    <w:rsid w:val="00797B90"/>
    <w:rsid w:val="007A03E2"/>
    <w:rsid w:val="007A0F14"/>
    <w:rsid w:val="007A2168"/>
    <w:rsid w:val="007A2F47"/>
    <w:rsid w:val="007A3319"/>
    <w:rsid w:val="007A39D7"/>
    <w:rsid w:val="007A4013"/>
    <w:rsid w:val="007A4405"/>
    <w:rsid w:val="007A548B"/>
    <w:rsid w:val="007A57F5"/>
    <w:rsid w:val="007A5D86"/>
    <w:rsid w:val="007A5EFB"/>
    <w:rsid w:val="007A6F0E"/>
    <w:rsid w:val="007A729A"/>
    <w:rsid w:val="007A74D1"/>
    <w:rsid w:val="007A7902"/>
    <w:rsid w:val="007A7F64"/>
    <w:rsid w:val="007B0ABE"/>
    <w:rsid w:val="007B0C05"/>
    <w:rsid w:val="007B1916"/>
    <w:rsid w:val="007B2256"/>
    <w:rsid w:val="007B2973"/>
    <w:rsid w:val="007B2A8C"/>
    <w:rsid w:val="007B40B7"/>
    <w:rsid w:val="007B4147"/>
    <w:rsid w:val="007B4530"/>
    <w:rsid w:val="007B4E66"/>
    <w:rsid w:val="007B5E14"/>
    <w:rsid w:val="007B675A"/>
    <w:rsid w:val="007B6AFC"/>
    <w:rsid w:val="007B6B1E"/>
    <w:rsid w:val="007C0541"/>
    <w:rsid w:val="007C0BA9"/>
    <w:rsid w:val="007C0CEA"/>
    <w:rsid w:val="007C0F56"/>
    <w:rsid w:val="007C0F78"/>
    <w:rsid w:val="007C176C"/>
    <w:rsid w:val="007C1804"/>
    <w:rsid w:val="007C23F6"/>
    <w:rsid w:val="007C2874"/>
    <w:rsid w:val="007C3B93"/>
    <w:rsid w:val="007C4158"/>
    <w:rsid w:val="007C48D9"/>
    <w:rsid w:val="007C514E"/>
    <w:rsid w:val="007C668A"/>
    <w:rsid w:val="007C69FF"/>
    <w:rsid w:val="007D055F"/>
    <w:rsid w:val="007D0C94"/>
    <w:rsid w:val="007D14B4"/>
    <w:rsid w:val="007D208B"/>
    <w:rsid w:val="007D208F"/>
    <w:rsid w:val="007D259C"/>
    <w:rsid w:val="007D39B7"/>
    <w:rsid w:val="007D446B"/>
    <w:rsid w:val="007D56F0"/>
    <w:rsid w:val="007D6717"/>
    <w:rsid w:val="007D678D"/>
    <w:rsid w:val="007D6811"/>
    <w:rsid w:val="007D6991"/>
    <w:rsid w:val="007D736C"/>
    <w:rsid w:val="007E07E3"/>
    <w:rsid w:val="007E086A"/>
    <w:rsid w:val="007E0A4B"/>
    <w:rsid w:val="007E2937"/>
    <w:rsid w:val="007E2A93"/>
    <w:rsid w:val="007E34E0"/>
    <w:rsid w:val="007E3B46"/>
    <w:rsid w:val="007E3F6E"/>
    <w:rsid w:val="007E46AC"/>
    <w:rsid w:val="007E6153"/>
    <w:rsid w:val="007E61B8"/>
    <w:rsid w:val="007E6307"/>
    <w:rsid w:val="007E63C0"/>
    <w:rsid w:val="007E6B54"/>
    <w:rsid w:val="007E71E5"/>
    <w:rsid w:val="007F19D4"/>
    <w:rsid w:val="007F200E"/>
    <w:rsid w:val="007F204E"/>
    <w:rsid w:val="007F4C67"/>
    <w:rsid w:val="007F4D5D"/>
    <w:rsid w:val="007F6CB6"/>
    <w:rsid w:val="007F74DB"/>
    <w:rsid w:val="0080074A"/>
    <w:rsid w:val="00800AF4"/>
    <w:rsid w:val="00800C50"/>
    <w:rsid w:val="00800E19"/>
    <w:rsid w:val="00802047"/>
    <w:rsid w:val="008032DE"/>
    <w:rsid w:val="008040EE"/>
    <w:rsid w:val="008044BD"/>
    <w:rsid w:val="00804AB4"/>
    <w:rsid w:val="00804B3A"/>
    <w:rsid w:val="00804CEB"/>
    <w:rsid w:val="00805351"/>
    <w:rsid w:val="00805D35"/>
    <w:rsid w:val="00807C76"/>
    <w:rsid w:val="008117F7"/>
    <w:rsid w:val="008125C9"/>
    <w:rsid w:val="00812762"/>
    <w:rsid w:val="0081305D"/>
    <w:rsid w:val="00813A3E"/>
    <w:rsid w:val="00814967"/>
    <w:rsid w:val="00814B58"/>
    <w:rsid w:val="00814F35"/>
    <w:rsid w:val="00815231"/>
    <w:rsid w:val="00815528"/>
    <w:rsid w:val="0081656E"/>
    <w:rsid w:val="0081660D"/>
    <w:rsid w:val="0081755E"/>
    <w:rsid w:val="00817566"/>
    <w:rsid w:val="00817746"/>
    <w:rsid w:val="00817985"/>
    <w:rsid w:val="00820DCE"/>
    <w:rsid w:val="008210E4"/>
    <w:rsid w:val="00821D6B"/>
    <w:rsid w:val="008223EC"/>
    <w:rsid w:val="00822AB1"/>
    <w:rsid w:val="008241FF"/>
    <w:rsid w:val="0082438F"/>
    <w:rsid w:val="008244CD"/>
    <w:rsid w:val="0082482E"/>
    <w:rsid w:val="00825755"/>
    <w:rsid w:val="00825804"/>
    <w:rsid w:val="00825BB6"/>
    <w:rsid w:val="0082640E"/>
    <w:rsid w:val="00826A2B"/>
    <w:rsid w:val="0082731B"/>
    <w:rsid w:val="008273E2"/>
    <w:rsid w:val="008274D4"/>
    <w:rsid w:val="0083054C"/>
    <w:rsid w:val="008340C8"/>
    <w:rsid w:val="008343C3"/>
    <w:rsid w:val="008353B6"/>
    <w:rsid w:val="00835B2B"/>
    <w:rsid w:val="008366D7"/>
    <w:rsid w:val="00840F21"/>
    <w:rsid w:val="00842309"/>
    <w:rsid w:val="008434CD"/>
    <w:rsid w:val="00844AAE"/>
    <w:rsid w:val="00844AE0"/>
    <w:rsid w:val="00844F1E"/>
    <w:rsid w:val="0084665D"/>
    <w:rsid w:val="00846AA7"/>
    <w:rsid w:val="00846C5A"/>
    <w:rsid w:val="00847AB4"/>
    <w:rsid w:val="00847DB4"/>
    <w:rsid w:val="00850D37"/>
    <w:rsid w:val="008521E6"/>
    <w:rsid w:val="00852568"/>
    <w:rsid w:val="0085296D"/>
    <w:rsid w:val="00852D2E"/>
    <w:rsid w:val="0085313D"/>
    <w:rsid w:val="008535FC"/>
    <w:rsid w:val="00853E2F"/>
    <w:rsid w:val="00854BE0"/>
    <w:rsid w:val="0085682E"/>
    <w:rsid w:val="0085695A"/>
    <w:rsid w:val="008579E2"/>
    <w:rsid w:val="008609CF"/>
    <w:rsid w:val="00860D61"/>
    <w:rsid w:val="008618B9"/>
    <w:rsid w:val="00862E2A"/>
    <w:rsid w:val="00863BAA"/>
    <w:rsid w:val="0086424F"/>
    <w:rsid w:val="00866ED0"/>
    <w:rsid w:val="00866FEC"/>
    <w:rsid w:val="00867170"/>
    <w:rsid w:val="008700C6"/>
    <w:rsid w:val="00871101"/>
    <w:rsid w:val="0087229B"/>
    <w:rsid w:val="008727D5"/>
    <w:rsid w:val="00874920"/>
    <w:rsid w:val="00874CBB"/>
    <w:rsid w:val="008757B0"/>
    <w:rsid w:val="00875C77"/>
    <w:rsid w:val="00875CDB"/>
    <w:rsid w:val="008778CF"/>
    <w:rsid w:val="00877C7C"/>
    <w:rsid w:val="00877DE9"/>
    <w:rsid w:val="00880A82"/>
    <w:rsid w:val="00880E1C"/>
    <w:rsid w:val="0088111C"/>
    <w:rsid w:val="008821E2"/>
    <w:rsid w:val="00883CF8"/>
    <w:rsid w:val="0088410F"/>
    <w:rsid w:val="00885582"/>
    <w:rsid w:val="00885D45"/>
    <w:rsid w:val="008869A7"/>
    <w:rsid w:val="00891492"/>
    <w:rsid w:val="008916C3"/>
    <w:rsid w:val="00891ECD"/>
    <w:rsid w:val="00891F69"/>
    <w:rsid w:val="00892723"/>
    <w:rsid w:val="00892EB8"/>
    <w:rsid w:val="008941B8"/>
    <w:rsid w:val="008942AB"/>
    <w:rsid w:val="008942D2"/>
    <w:rsid w:val="00894AF3"/>
    <w:rsid w:val="008963EC"/>
    <w:rsid w:val="00897A1B"/>
    <w:rsid w:val="00897B33"/>
    <w:rsid w:val="00897F05"/>
    <w:rsid w:val="00897F46"/>
    <w:rsid w:val="008A022D"/>
    <w:rsid w:val="008A19F1"/>
    <w:rsid w:val="008A1DBD"/>
    <w:rsid w:val="008A2F03"/>
    <w:rsid w:val="008A2F89"/>
    <w:rsid w:val="008A381B"/>
    <w:rsid w:val="008A398F"/>
    <w:rsid w:val="008A5EE4"/>
    <w:rsid w:val="008A7143"/>
    <w:rsid w:val="008A7C5C"/>
    <w:rsid w:val="008A7C95"/>
    <w:rsid w:val="008B00EF"/>
    <w:rsid w:val="008B015D"/>
    <w:rsid w:val="008B0AD5"/>
    <w:rsid w:val="008B10D4"/>
    <w:rsid w:val="008B231D"/>
    <w:rsid w:val="008B377C"/>
    <w:rsid w:val="008B4630"/>
    <w:rsid w:val="008B51B2"/>
    <w:rsid w:val="008B5B86"/>
    <w:rsid w:val="008B7AEC"/>
    <w:rsid w:val="008C0064"/>
    <w:rsid w:val="008C058A"/>
    <w:rsid w:val="008C08A2"/>
    <w:rsid w:val="008C1030"/>
    <w:rsid w:val="008C10FB"/>
    <w:rsid w:val="008C1123"/>
    <w:rsid w:val="008C1ACD"/>
    <w:rsid w:val="008C1C23"/>
    <w:rsid w:val="008C1E85"/>
    <w:rsid w:val="008C23FC"/>
    <w:rsid w:val="008C2EED"/>
    <w:rsid w:val="008C386C"/>
    <w:rsid w:val="008C38C9"/>
    <w:rsid w:val="008C3BEA"/>
    <w:rsid w:val="008C51C9"/>
    <w:rsid w:val="008C60C1"/>
    <w:rsid w:val="008C71D9"/>
    <w:rsid w:val="008C76AC"/>
    <w:rsid w:val="008D0BB3"/>
    <w:rsid w:val="008D167B"/>
    <w:rsid w:val="008D1BC2"/>
    <w:rsid w:val="008D1CCD"/>
    <w:rsid w:val="008D2E82"/>
    <w:rsid w:val="008D4988"/>
    <w:rsid w:val="008D4EE7"/>
    <w:rsid w:val="008D4F14"/>
    <w:rsid w:val="008D54B6"/>
    <w:rsid w:val="008D6C8C"/>
    <w:rsid w:val="008D7E98"/>
    <w:rsid w:val="008E0E23"/>
    <w:rsid w:val="008E269B"/>
    <w:rsid w:val="008E33C0"/>
    <w:rsid w:val="008E3743"/>
    <w:rsid w:val="008E3AB1"/>
    <w:rsid w:val="008E3DC3"/>
    <w:rsid w:val="008E47AD"/>
    <w:rsid w:val="008E53FE"/>
    <w:rsid w:val="008E584A"/>
    <w:rsid w:val="008E5CFB"/>
    <w:rsid w:val="008E7920"/>
    <w:rsid w:val="008E7B8C"/>
    <w:rsid w:val="008E7EF7"/>
    <w:rsid w:val="008F0408"/>
    <w:rsid w:val="008F09C1"/>
    <w:rsid w:val="008F1C95"/>
    <w:rsid w:val="008F27C1"/>
    <w:rsid w:val="008F2818"/>
    <w:rsid w:val="008F2DE8"/>
    <w:rsid w:val="008F4CDF"/>
    <w:rsid w:val="008F4CE4"/>
    <w:rsid w:val="008F4DF0"/>
    <w:rsid w:val="008F57E5"/>
    <w:rsid w:val="008F5D48"/>
    <w:rsid w:val="008F6C3D"/>
    <w:rsid w:val="008F7044"/>
    <w:rsid w:val="00900053"/>
    <w:rsid w:val="00900ABC"/>
    <w:rsid w:val="00902352"/>
    <w:rsid w:val="00903000"/>
    <w:rsid w:val="009033A9"/>
    <w:rsid w:val="009034C3"/>
    <w:rsid w:val="00903711"/>
    <w:rsid w:val="00903CC8"/>
    <w:rsid w:val="00903E46"/>
    <w:rsid w:val="00904B3B"/>
    <w:rsid w:val="00904C92"/>
    <w:rsid w:val="00905413"/>
    <w:rsid w:val="009059B9"/>
    <w:rsid w:val="00907B71"/>
    <w:rsid w:val="0091000C"/>
    <w:rsid w:val="00911135"/>
    <w:rsid w:val="00912221"/>
    <w:rsid w:val="009122D9"/>
    <w:rsid w:val="00912335"/>
    <w:rsid w:val="00912526"/>
    <w:rsid w:val="00912536"/>
    <w:rsid w:val="00912DFB"/>
    <w:rsid w:val="0091339C"/>
    <w:rsid w:val="00915F48"/>
    <w:rsid w:val="009169C8"/>
    <w:rsid w:val="009172F7"/>
    <w:rsid w:val="00921B10"/>
    <w:rsid w:val="00921E61"/>
    <w:rsid w:val="00923334"/>
    <w:rsid w:val="009235BE"/>
    <w:rsid w:val="00925322"/>
    <w:rsid w:val="009263E1"/>
    <w:rsid w:val="0092663B"/>
    <w:rsid w:val="0092726B"/>
    <w:rsid w:val="00930665"/>
    <w:rsid w:val="00930A0B"/>
    <w:rsid w:val="00930BC8"/>
    <w:rsid w:val="009312D7"/>
    <w:rsid w:val="009314DF"/>
    <w:rsid w:val="0093166E"/>
    <w:rsid w:val="00931979"/>
    <w:rsid w:val="00933058"/>
    <w:rsid w:val="00933F64"/>
    <w:rsid w:val="00934D68"/>
    <w:rsid w:val="00934FFD"/>
    <w:rsid w:val="009354C4"/>
    <w:rsid w:val="009358A9"/>
    <w:rsid w:val="00935F7D"/>
    <w:rsid w:val="00936446"/>
    <w:rsid w:val="00937053"/>
    <w:rsid w:val="009374BF"/>
    <w:rsid w:val="009411F0"/>
    <w:rsid w:val="009435BE"/>
    <w:rsid w:val="00943B60"/>
    <w:rsid w:val="00943E02"/>
    <w:rsid w:val="009441BC"/>
    <w:rsid w:val="00944234"/>
    <w:rsid w:val="0094503F"/>
    <w:rsid w:val="0094536A"/>
    <w:rsid w:val="00945CA9"/>
    <w:rsid w:val="00946E6D"/>
    <w:rsid w:val="00947545"/>
    <w:rsid w:val="00947A25"/>
    <w:rsid w:val="00950308"/>
    <w:rsid w:val="00951C56"/>
    <w:rsid w:val="00951CB2"/>
    <w:rsid w:val="00952016"/>
    <w:rsid w:val="0095284E"/>
    <w:rsid w:val="0095347E"/>
    <w:rsid w:val="00954D56"/>
    <w:rsid w:val="00955A19"/>
    <w:rsid w:val="00955CB8"/>
    <w:rsid w:val="00955F00"/>
    <w:rsid w:val="0095634B"/>
    <w:rsid w:val="0095680E"/>
    <w:rsid w:val="00956829"/>
    <w:rsid w:val="009579BD"/>
    <w:rsid w:val="00960EB7"/>
    <w:rsid w:val="00962490"/>
    <w:rsid w:val="009625EE"/>
    <w:rsid w:val="00962B08"/>
    <w:rsid w:val="009657A6"/>
    <w:rsid w:val="00965A56"/>
    <w:rsid w:val="00966063"/>
    <w:rsid w:val="00966B11"/>
    <w:rsid w:val="0096799C"/>
    <w:rsid w:val="00967CCB"/>
    <w:rsid w:val="00967DEE"/>
    <w:rsid w:val="009703F8"/>
    <w:rsid w:val="009706CB"/>
    <w:rsid w:val="00970A51"/>
    <w:rsid w:val="00970E05"/>
    <w:rsid w:val="00970FBC"/>
    <w:rsid w:val="00971238"/>
    <w:rsid w:val="00971499"/>
    <w:rsid w:val="009726BB"/>
    <w:rsid w:val="00972E2E"/>
    <w:rsid w:val="00972E8C"/>
    <w:rsid w:val="00973DE8"/>
    <w:rsid w:val="00975009"/>
    <w:rsid w:val="009763C3"/>
    <w:rsid w:val="009766AF"/>
    <w:rsid w:val="00977BC8"/>
    <w:rsid w:val="00980D3B"/>
    <w:rsid w:val="0098203D"/>
    <w:rsid w:val="009839E1"/>
    <w:rsid w:val="00983F26"/>
    <w:rsid w:val="00986D1C"/>
    <w:rsid w:val="00987489"/>
    <w:rsid w:val="00987B84"/>
    <w:rsid w:val="00990023"/>
    <w:rsid w:val="0099177C"/>
    <w:rsid w:val="009930BF"/>
    <w:rsid w:val="009932AE"/>
    <w:rsid w:val="00993BC6"/>
    <w:rsid w:val="00994358"/>
    <w:rsid w:val="0099476C"/>
    <w:rsid w:val="00994F6A"/>
    <w:rsid w:val="00995725"/>
    <w:rsid w:val="009962B8"/>
    <w:rsid w:val="00996975"/>
    <w:rsid w:val="00996C1E"/>
    <w:rsid w:val="0099725F"/>
    <w:rsid w:val="00997467"/>
    <w:rsid w:val="009A001D"/>
    <w:rsid w:val="009A0851"/>
    <w:rsid w:val="009A0B4F"/>
    <w:rsid w:val="009A13ED"/>
    <w:rsid w:val="009A2335"/>
    <w:rsid w:val="009A41D8"/>
    <w:rsid w:val="009A4A64"/>
    <w:rsid w:val="009A4D96"/>
    <w:rsid w:val="009A5175"/>
    <w:rsid w:val="009A5A13"/>
    <w:rsid w:val="009A60C3"/>
    <w:rsid w:val="009A61D9"/>
    <w:rsid w:val="009A6321"/>
    <w:rsid w:val="009A6A32"/>
    <w:rsid w:val="009A73ED"/>
    <w:rsid w:val="009A7680"/>
    <w:rsid w:val="009B0069"/>
    <w:rsid w:val="009B1446"/>
    <w:rsid w:val="009B1E08"/>
    <w:rsid w:val="009B2545"/>
    <w:rsid w:val="009B2C1C"/>
    <w:rsid w:val="009B3550"/>
    <w:rsid w:val="009B37FC"/>
    <w:rsid w:val="009B3D1B"/>
    <w:rsid w:val="009B5CA8"/>
    <w:rsid w:val="009B65C6"/>
    <w:rsid w:val="009B6A42"/>
    <w:rsid w:val="009C0A03"/>
    <w:rsid w:val="009C0CDE"/>
    <w:rsid w:val="009C2AE9"/>
    <w:rsid w:val="009C3CAC"/>
    <w:rsid w:val="009C401B"/>
    <w:rsid w:val="009C46CD"/>
    <w:rsid w:val="009C4BC7"/>
    <w:rsid w:val="009C6915"/>
    <w:rsid w:val="009C7813"/>
    <w:rsid w:val="009C7A1B"/>
    <w:rsid w:val="009C7D9E"/>
    <w:rsid w:val="009D09D7"/>
    <w:rsid w:val="009D15A6"/>
    <w:rsid w:val="009D1B5D"/>
    <w:rsid w:val="009D1F2D"/>
    <w:rsid w:val="009D2700"/>
    <w:rsid w:val="009D2857"/>
    <w:rsid w:val="009D2908"/>
    <w:rsid w:val="009D2CB4"/>
    <w:rsid w:val="009D3093"/>
    <w:rsid w:val="009D324B"/>
    <w:rsid w:val="009D3CFD"/>
    <w:rsid w:val="009D4EA6"/>
    <w:rsid w:val="009D5310"/>
    <w:rsid w:val="009D6B33"/>
    <w:rsid w:val="009D6BEF"/>
    <w:rsid w:val="009D6C60"/>
    <w:rsid w:val="009D7542"/>
    <w:rsid w:val="009D77CF"/>
    <w:rsid w:val="009D798B"/>
    <w:rsid w:val="009E0197"/>
    <w:rsid w:val="009E0BB8"/>
    <w:rsid w:val="009E0EE9"/>
    <w:rsid w:val="009E0F6C"/>
    <w:rsid w:val="009E12C4"/>
    <w:rsid w:val="009E1DDF"/>
    <w:rsid w:val="009E2D0C"/>
    <w:rsid w:val="009E3D78"/>
    <w:rsid w:val="009E470D"/>
    <w:rsid w:val="009E477C"/>
    <w:rsid w:val="009E5261"/>
    <w:rsid w:val="009E5B72"/>
    <w:rsid w:val="009E6098"/>
    <w:rsid w:val="009E62DD"/>
    <w:rsid w:val="009E6A27"/>
    <w:rsid w:val="009E7337"/>
    <w:rsid w:val="009F037B"/>
    <w:rsid w:val="009F0928"/>
    <w:rsid w:val="009F0C35"/>
    <w:rsid w:val="009F0CC2"/>
    <w:rsid w:val="009F0DE2"/>
    <w:rsid w:val="009F1A14"/>
    <w:rsid w:val="009F2531"/>
    <w:rsid w:val="009F305C"/>
    <w:rsid w:val="009F3CE8"/>
    <w:rsid w:val="009F40E8"/>
    <w:rsid w:val="009F47C9"/>
    <w:rsid w:val="009F4D20"/>
    <w:rsid w:val="009F51BF"/>
    <w:rsid w:val="009F51FA"/>
    <w:rsid w:val="009F525C"/>
    <w:rsid w:val="009F6A79"/>
    <w:rsid w:val="009F6BF2"/>
    <w:rsid w:val="009F7BC3"/>
    <w:rsid w:val="00A00DCC"/>
    <w:rsid w:val="00A014CC"/>
    <w:rsid w:val="00A015FB"/>
    <w:rsid w:val="00A01A84"/>
    <w:rsid w:val="00A025F8"/>
    <w:rsid w:val="00A027CE"/>
    <w:rsid w:val="00A04E6F"/>
    <w:rsid w:val="00A06D48"/>
    <w:rsid w:val="00A0778C"/>
    <w:rsid w:val="00A07DB4"/>
    <w:rsid w:val="00A1089B"/>
    <w:rsid w:val="00A1375F"/>
    <w:rsid w:val="00A16940"/>
    <w:rsid w:val="00A2055C"/>
    <w:rsid w:val="00A21F1F"/>
    <w:rsid w:val="00A2208B"/>
    <w:rsid w:val="00A220CB"/>
    <w:rsid w:val="00A22872"/>
    <w:rsid w:val="00A22E96"/>
    <w:rsid w:val="00A23091"/>
    <w:rsid w:val="00A24559"/>
    <w:rsid w:val="00A24D38"/>
    <w:rsid w:val="00A25300"/>
    <w:rsid w:val="00A27CFA"/>
    <w:rsid w:val="00A302E7"/>
    <w:rsid w:val="00A308A9"/>
    <w:rsid w:val="00A30A9B"/>
    <w:rsid w:val="00A31834"/>
    <w:rsid w:val="00A32744"/>
    <w:rsid w:val="00A33CE5"/>
    <w:rsid w:val="00A34601"/>
    <w:rsid w:val="00A347AE"/>
    <w:rsid w:val="00A358C6"/>
    <w:rsid w:val="00A36794"/>
    <w:rsid w:val="00A37268"/>
    <w:rsid w:val="00A37433"/>
    <w:rsid w:val="00A3755A"/>
    <w:rsid w:val="00A378CA"/>
    <w:rsid w:val="00A420E5"/>
    <w:rsid w:val="00A42276"/>
    <w:rsid w:val="00A42CFA"/>
    <w:rsid w:val="00A43076"/>
    <w:rsid w:val="00A448E6"/>
    <w:rsid w:val="00A45DB5"/>
    <w:rsid w:val="00A464A4"/>
    <w:rsid w:val="00A46DC3"/>
    <w:rsid w:val="00A47146"/>
    <w:rsid w:val="00A47E96"/>
    <w:rsid w:val="00A503CB"/>
    <w:rsid w:val="00A510A0"/>
    <w:rsid w:val="00A5132A"/>
    <w:rsid w:val="00A51832"/>
    <w:rsid w:val="00A51D55"/>
    <w:rsid w:val="00A52071"/>
    <w:rsid w:val="00A53072"/>
    <w:rsid w:val="00A56294"/>
    <w:rsid w:val="00A564C5"/>
    <w:rsid w:val="00A568AD"/>
    <w:rsid w:val="00A60274"/>
    <w:rsid w:val="00A60982"/>
    <w:rsid w:val="00A61F54"/>
    <w:rsid w:val="00A621EC"/>
    <w:rsid w:val="00A62245"/>
    <w:rsid w:val="00A62C45"/>
    <w:rsid w:val="00A62EC9"/>
    <w:rsid w:val="00A63AB6"/>
    <w:rsid w:val="00A63BF1"/>
    <w:rsid w:val="00A64B90"/>
    <w:rsid w:val="00A64FF7"/>
    <w:rsid w:val="00A6672B"/>
    <w:rsid w:val="00A67B67"/>
    <w:rsid w:val="00A67BCB"/>
    <w:rsid w:val="00A708E3"/>
    <w:rsid w:val="00A70A4E"/>
    <w:rsid w:val="00A71328"/>
    <w:rsid w:val="00A713C3"/>
    <w:rsid w:val="00A72716"/>
    <w:rsid w:val="00A72F5C"/>
    <w:rsid w:val="00A73542"/>
    <w:rsid w:val="00A73815"/>
    <w:rsid w:val="00A738D8"/>
    <w:rsid w:val="00A73A1C"/>
    <w:rsid w:val="00A74863"/>
    <w:rsid w:val="00A74E3C"/>
    <w:rsid w:val="00A755F7"/>
    <w:rsid w:val="00A76D59"/>
    <w:rsid w:val="00A77523"/>
    <w:rsid w:val="00A77720"/>
    <w:rsid w:val="00A77959"/>
    <w:rsid w:val="00A77BA9"/>
    <w:rsid w:val="00A80183"/>
    <w:rsid w:val="00A80CBD"/>
    <w:rsid w:val="00A80E55"/>
    <w:rsid w:val="00A81266"/>
    <w:rsid w:val="00A8138D"/>
    <w:rsid w:val="00A834A8"/>
    <w:rsid w:val="00A844FC"/>
    <w:rsid w:val="00A84A72"/>
    <w:rsid w:val="00A8567E"/>
    <w:rsid w:val="00A865F7"/>
    <w:rsid w:val="00A86E68"/>
    <w:rsid w:val="00A92273"/>
    <w:rsid w:val="00A92533"/>
    <w:rsid w:val="00A9261B"/>
    <w:rsid w:val="00A948C8"/>
    <w:rsid w:val="00A956E5"/>
    <w:rsid w:val="00A966D4"/>
    <w:rsid w:val="00A966DA"/>
    <w:rsid w:val="00A9733D"/>
    <w:rsid w:val="00A975A2"/>
    <w:rsid w:val="00A9792C"/>
    <w:rsid w:val="00A97F4E"/>
    <w:rsid w:val="00AA0447"/>
    <w:rsid w:val="00AA14B5"/>
    <w:rsid w:val="00AA16E2"/>
    <w:rsid w:val="00AA2945"/>
    <w:rsid w:val="00AA3127"/>
    <w:rsid w:val="00AA32D8"/>
    <w:rsid w:val="00AA33C5"/>
    <w:rsid w:val="00AA3FF3"/>
    <w:rsid w:val="00AA4A92"/>
    <w:rsid w:val="00AA509B"/>
    <w:rsid w:val="00AA51D7"/>
    <w:rsid w:val="00AA6470"/>
    <w:rsid w:val="00AA718E"/>
    <w:rsid w:val="00AB03F9"/>
    <w:rsid w:val="00AB04B6"/>
    <w:rsid w:val="00AB09F3"/>
    <w:rsid w:val="00AB0E37"/>
    <w:rsid w:val="00AB0F8B"/>
    <w:rsid w:val="00AB128B"/>
    <w:rsid w:val="00AB1693"/>
    <w:rsid w:val="00AB2194"/>
    <w:rsid w:val="00AB2D92"/>
    <w:rsid w:val="00AB3063"/>
    <w:rsid w:val="00AB34F0"/>
    <w:rsid w:val="00AB3825"/>
    <w:rsid w:val="00AB57AC"/>
    <w:rsid w:val="00AB643B"/>
    <w:rsid w:val="00AB6B40"/>
    <w:rsid w:val="00AB78CE"/>
    <w:rsid w:val="00AC05C1"/>
    <w:rsid w:val="00AC0EBB"/>
    <w:rsid w:val="00AC1046"/>
    <w:rsid w:val="00AC139C"/>
    <w:rsid w:val="00AC2184"/>
    <w:rsid w:val="00AC2F38"/>
    <w:rsid w:val="00AC3BAF"/>
    <w:rsid w:val="00AC4095"/>
    <w:rsid w:val="00AC5D4C"/>
    <w:rsid w:val="00AC63FE"/>
    <w:rsid w:val="00AC65E3"/>
    <w:rsid w:val="00AC6C3C"/>
    <w:rsid w:val="00AC6CAA"/>
    <w:rsid w:val="00AC7ECA"/>
    <w:rsid w:val="00AC7FD0"/>
    <w:rsid w:val="00AD0188"/>
    <w:rsid w:val="00AD0299"/>
    <w:rsid w:val="00AD0E43"/>
    <w:rsid w:val="00AD1749"/>
    <w:rsid w:val="00AD1834"/>
    <w:rsid w:val="00AD18FE"/>
    <w:rsid w:val="00AD1C87"/>
    <w:rsid w:val="00AD2CA3"/>
    <w:rsid w:val="00AD3244"/>
    <w:rsid w:val="00AD337C"/>
    <w:rsid w:val="00AD4681"/>
    <w:rsid w:val="00AD4C70"/>
    <w:rsid w:val="00AD4F5F"/>
    <w:rsid w:val="00AD56ED"/>
    <w:rsid w:val="00AD5C31"/>
    <w:rsid w:val="00AD6430"/>
    <w:rsid w:val="00AD6BA7"/>
    <w:rsid w:val="00AD79E6"/>
    <w:rsid w:val="00AD7C58"/>
    <w:rsid w:val="00AE02D4"/>
    <w:rsid w:val="00AE0B06"/>
    <w:rsid w:val="00AE0DAB"/>
    <w:rsid w:val="00AE1928"/>
    <w:rsid w:val="00AE1A52"/>
    <w:rsid w:val="00AE1C74"/>
    <w:rsid w:val="00AE24CE"/>
    <w:rsid w:val="00AE3728"/>
    <w:rsid w:val="00AE401B"/>
    <w:rsid w:val="00AE52F0"/>
    <w:rsid w:val="00AE57A0"/>
    <w:rsid w:val="00AE6593"/>
    <w:rsid w:val="00AE73B6"/>
    <w:rsid w:val="00AF102B"/>
    <w:rsid w:val="00AF1C7C"/>
    <w:rsid w:val="00AF296F"/>
    <w:rsid w:val="00AF3DCD"/>
    <w:rsid w:val="00AF479B"/>
    <w:rsid w:val="00AF4CF9"/>
    <w:rsid w:val="00AF5837"/>
    <w:rsid w:val="00AF58DE"/>
    <w:rsid w:val="00AF5B5A"/>
    <w:rsid w:val="00AF5B64"/>
    <w:rsid w:val="00AF5B9D"/>
    <w:rsid w:val="00AF5CC7"/>
    <w:rsid w:val="00B00236"/>
    <w:rsid w:val="00B00586"/>
    <w:rsid w:val="00B00905"/>
    <w:rsid w:val="00B01395"/>
    <w:rsid w:val="00B015E3"/>
    <w:rsid w:val="00B02033"/>
    <w:rsid w:val="00B025ED"/>
    <w:rsid w:val="00B02D38"/>
    <w:rsid w:val="00B03158"/>
    <w:rsid w:val="00B037B4"/>
    <w:rsid w:val="00B038E3"/>
    <w:rsid w:val="00B04538"/>
    <w:rsid w:val="00B04A3E"/>
    <w:rsid w:val="00B04FE5"/>
    <w:rsid w:val="00B05F5D"/>
    <w:rsid w:val="00B06CE5"/>
    <w:rsid w:val="00B06F99"/>
    <w:rsid w:val="00B10196"/>
    <w:rsid w:val="00B106FF"/>
    <w:rsid w:val="00B10FDB"/>
    <w:rsid w:val="00B1209B"/>
    <w:rsid w:val="00B1242F"/>
    <w:rsid w:val="00B12AE9"/>
    <w:rsid w:val="00B12C63"/>
    <w:rsid w:val="00B13380"/>
    <w:rsid w:val="00B13833"/>
    <w:rsid w:val="00B15180"/>
    <w:rsid w:val="00B15B40"/>
    <w:rsid w:val="00B16431"/>
    <w:rsid w:val="00B167C7"/>
    <w:rsid w:val="00B16FA8"/>
    <w:rsid w:val="00B17583"/>
    <w:rsid w:val="00B17726"/>
    <w:rsid w:val="00B201C1"/>
    <w:rsid w:val="00B2192D"/>
    <w:rsid w:val="00B21D69"/>
    <w:rsid w:val="00B22B9E"/>
    <w:rsid w:val="00B23064"/>
    <w:rsid w:val="00B23620"/>
    <w:rsid w:val="00B23CE4"/>
    <w:rsid w:val="00B2519B"/>
    <w:rsid w:val="00B25363"/>
    <w:rsid w:val="00B25625"/>
    <w:rsid w:val="00B25DDE"/>
    <w:rsid w:val="00B25F32"/>
    <w:rsid w:val="00B2654D"/>
    <w:rsid w:val="00B268F2"/>
    <w:rsid w:val="00B26BFC"/>
    <w:rsid w:val="00B2799B"/>
    <w:rsid w:val="00B279AE"/>
    <w:rsid w:val="00B301CA"/>
    <w:rsid w:val="00B30B20"/>
    <w:rsid w:val="00B30B2F"/>
    <w:rsid w:val="00B311A8"/>
    <w:rsid w:val="00B311F1"/>
    <w:rsid w:val="00B317F7"/>
    <w:rsid w:val="00B31B1D"/>
    <w:rsid w:val="00B31F79"/>
    <w:rsid w:val="00B32E84"/>
    <w:rsid w:val="00B34C31"/>
    <w:rsid w:val="00B34FF8"/>
    <w:rsid w:val="00B35DD7"/>
    <w:rsid w:val="00B35FAC"/>
    <w:rsid w:val="00B369D4"/>
    <w:rsid w:val="00B37DDD"/>
    <w:rsid w:val="00B40940"/>
    <w:rsid w:val="00B412BA"/>
    <w:rsid w:val="00B412F2"/>
    <w:rsid w:val="00B419E3"/>
    <w:rsid w:val="00B41C50"/>
    <w:rsid w:val="00B42E51"/>
    <w:rsid w:val="00B43001"/>
    <w:rsid w:val="00B45007"/>
    <w:rsid w:val="00B45771"/>
    <w:rsid w:val="00B45A56"/>
    <w:rsid w:val="00B45E34"/>
    <w:rsid w:val="00B45EC9"/>
    <w:rsid w:val="00B46858"/>
    <w:rsid w:val="00B46F23"/>
    <w:rsid w:val="00B47A43"/>
    <w:rsid w:val="00B511ED"/>
    <w:rsid w:val="00B5178B"/>
    <w:rsid w:val="00B52626"/>
    <w:rsid w:val="00B52B1D"/>
    <w:rsid w:val="00B52C1F"/>
    <w:rsid w:val="00B549B9"/>
    <w:rsid w:val="00B55E8E"/>
    <w:rsid w:val="00B568DB"/>
    <w:rsid w:val="00B60B27"/>
    <w:rsid w:val="00B61690"/>
    <w:rsid w:val="00B62E2D"/>
    <w:rsid w:val="00B63CD8"/>
    <w:rsid w:val="00B63D38"/>
    <w:rsid w:val="00B65259"/>
    <w:rsid w:val="00B6677B"/>
    <w:rsid w:val="00B66D2B"/>
    <w:rsid w:val="00B66DDE"/>
    <w:rsid w:val="00B67529"/>
    <w:rsid w:val="00B67F26"/>
    <w:rsid w:val="00B70A11"/>
    <w:rsid w:val="00B70A83"/>
    <w:rsid w:val="00B70CCF"/>
    <w:rsid w:val="00B7136B"/>
    <w:rsid w:val="00B71864"/>
    <w:rsid w:val="00B72724"/>
    <w:rsid w:val="00B72806"/>
    <w:rsid w:val="00B729BC"/>
    <w:rsid w:val="00B72AE5"/>
    <w:rsid w:val="00B7316C"/>
    <w:rsid w:val="00B7389D"/>
    <w:rsid w:val="00B74B62"/>
    <w:rsid w:val="00B74EB3"/>
    <w:rsid w:val="00B75270"/>
    <w:rsid w:val="00B7598D"/>
    <w:rsid w:val="00B76C2F"/>
    <w:rsid w:val="00B77A02"/>
    <w:rsid w:val="00B80886"/>
    <w:rsid w:val="00B810B8"/>
    <w:rsid w:val="00B81702"/>
    <w:rsid w:val="00B82D6D"/>
    <w:rsid w:val="00B83196"/>
    <w:rsid w:val="00B838C1"/>
    <w:rsid w:val="00B84471"/>
    <w:rsid w:val="00B8526F"/>
    <w:rsid w:val="00B859B9"/>
    <w:rsid w:val="00B85AF0"/>
    <w:rsid w:val="00B8603C"/>
    <w:rsid w:val="00B86698"/>
    <w:rsid w:val="00B86F41"/>
    <w:rsid w:val="00B87EC7"/>
    <w:rsid w:val="00B90104"/>
    <w:rsid w:val="00B902D8"/>
    <w:rsid w:val="00B90EAD"/>
    <w:rsid w:val="00B91072"/>
    <w:rsid w:val="00B92419"/>
    <w:rsid w:val="00B93773"/>
    <w:rsid w:val="00B940EB"/>
    <w:rsid w:val="00B94605"/>
    <w:rsid w:val="00B9477E"/>
    <w:rsid w:val="00B94C1C"/>
    <w:rsid w:val="00B9567F"/>
    <w:rsid w:val="00B958F0"/>
    <w:rsid w:val="00B95BC0"/>
    <w:rsid w:val="00B964C2"/>
    <w:rsid w:val="00B965AA"/>
    <w:rsid w:val="00B96F2B"/>
    <w:rsid w:val="00BA120E"/>
    <w:rsid w:val="00BA1368"/>
    <w:rsid w:val="00BA1FFC"/>
    <w:rsid w:val="00BA3A41"/>
    <w:rsid w:val="00BA6BA8"/>
    <w:rsid w:val="00BA6FD3"/>
    <w:rsid w:val="00BA7292"/>
    <w:rsid w:val="00BA77CC"/>
    <w:rsid w:val="00BB0068"/>
    <w:rsid w:val="00BB0476"/>
    <w:rsid w:val="00BB128D"/>
    <w:rsid w:val="00BB1965"/>
    <w:rsid w:val="00BB53E4"/>
    <w:rsid w:val="00BB5906"/>
    <w:rsid w:val="00BB6C14"/>
    <w:rsid w:val="00BB7E5F"/>
    <w:rsid w:val="00BB7F66"/>
    <w:rsid w:val="00BC06C8"/>
    <w:rsid w:val="00BC09AD"/>
    <w:rsid w:val="00BC27F2"/>
    <w:rsid w:val="00BC2B06"/>
    <w:rsid w:val="00BC2EE2"/>
    <w:rsid w:val="00BC36B7"/>
    <w:rsid w:val="00BC39EC"/>
    <w:rsid w:val="00BC3C07"/>
    <w:rsid w:val="00BC3EDC"/>
    <w:rsid w:val="00BC4B55"/>
    <w:rsid w:val="00BC548D"/>
    <w:rsid w:val="00BC5AF4"/>
    <w:rsid w:val="00BC631A"/>
    <w:rsid w:val="00BC6C86"/>
    <w:rsid w:val="00BC6E12"/>
    <w:rsid w:val="00BC72E1"/>
    <w:rsid w:val="00BC733C"/>
    <w:rsid w:val="00BD03F8"/>
    <w:rsid w:val="00BD0C87"/>
    <w:rsid w:val="00BD0E2F"/>
    <w:rsid w:val="00BD2322"/>
    <w:rsid w:val="00BD374D"/>
    <w:rsid w:val="00BD38A7"/>
    <w:rsid w:val="00BD474C"/>
    <w:rsid w:val="00BD4B3E"/>
    <w:rsid w:val="00BD4DF0"/>
    <w:rsid w:val="00BD55B7"/>
    <w:rsid w:val="00BD64C4"/>
    <w:rsid w:val="00BD6A5F"/>
    <w:rsid w:val="00BD740E"/>
    <w:rsid w:val="00BD7CC5"/>
    <w:rsid w:val="00BE0D62"/>
    <w:rsid w:val="00BE3258"/>
    <w:rsid w:val="00BE3785"/>
    <w:rsid w:val="00BE425B"/>
    <w:rsid w:val="00BE4D84"/>
    <w:rsid w:val="00BE4E2E"/>
    <w:rsid w:val="00BE5FC1"/>
    <w:rsid w:val="00BE61B0"/>
    <w:rsid w:val="00BE705D"/>
    <w:rsid w:val="00BE744C"/>
    <w:rsid w:val="00BE74C1"/>
    <w:rsid w:val="00BE74F1"/>
    <w:rsid w:val="00BE78BD"/>
    <w:rsid w:val="00BE7A77"/>
    <w:rsid w:val="00BF020B"/>
    <w:rsid w:val="00BF09A8"/>
    <w:rsid w:val="00BF126A"/>
    <w:rsid w:val="00BF1DF4"/>
    <w:rsid w:val="00BF22F6"/>
    <w:rsid w:val="00BF281E"/>
    <w:rsid w:val="00BF3211"/>
    <w:rsid w:val="00BF33BE"/>
    <w:rsid w:val="00BF3BD4"/>
    <w:rsid w:val="00BF40F5"/>
    <w:rsid w:val="00BF44F3"/>
    <w:rsid w:val="00BF56D1"/>
    <w:rsid w:val="00BF5778"/>
    <w:rsid w:val="00BF5AB4"/>
    <w:rsid w:val="00BF5D46"/>
    <w:rsid w:val="00BF5F77"/>
    <w:rsid w:val="00BF6389"/>
    <w:rsid w:val="00BF662A"/>
    <w:rsid w:val="00BF687E"/>
    <w:rsid w:val="00BF6E95"/>
    <w:rsid w:val="00BF722E"/>
    <w:rsid w:val="00BF74A1"/>
    <w:rsid w:val="00C0038E"/>
    <w:rsid w:val="00C00BC0"/>
    <w:rsid w:val="00C00E61"/>
    <w:rsid w:val="00C00EC3"/>
    <w:rsid w:val="00C01E44"/>
    <w:rsid w:val="00C02543"/>
    <w:rsid w:val="00C0287D"/>
    <w:rsid w:val="00C02C9B"/>
    <w:rsid w:val="00C02E23"/>
    <w:rsid w:val="00C0317A"/>
    <w:rsid w:val="00C031BE"/>
    <w:rsid w:val="00C0357B"/>
    <w:rsid w:val="00C03E8B"/>
    <w:rsid w:val="00C05602"/>
    <w:rsid w:val="00C05DBC"/>
    <w:rsid w:val="00C06AE5"/>
    <w:rsid w:val="00C07A7F"/>
    <w:rsid w:val="00C07B40"/>
    <w:rsid w:val="00C07D7E"/>
    <w:rsid w:val="00C101C0"/>
    <w:rsid w:val="00C110FB"/>
    <w:rsid w:val="00C12635"/>
    <w:rsid w:val="00C127F2"/>
    <w:rsid w:val="00C13717"/>
    <w:rsid w:val="00C13A70"/>
    <w:rsid w:val="00C14E26"/>
    <w:rsid w:val="00C15456"/>
    <w:rsid w:val="00C168C6"/>
    <w:rsid w:val="00C170EC"/>
    <w:rsid w:val="00C17C5C"/>
    <w:rsid w:val="00C2087B"/>
    <w:rsid w:val="00C21BC4"/>
    <w:rsid w:val="00C21BCC"/>
    <w:rsid w:val="00C22ABB"/>
    <w:rsid w:val="00C22BE5"/>
    <w:rsid w:val="00C23025"/>
    <w:rsid w:val="00C23A43"/>
    <w:rsid w:val="00C2448D"/>
    <w:rsid w:val="00C26B36"/>
    <w:rsid w:val="00C26CE2"/>
    <w:rsid w:val="00C276E5"/>
    <w:rsid w:val="00C279DD"/>
    <w:rsid w:val="00C3040E"/>
    <w:rsid w:val="00C30994"/>
    <w:rsid w:val="00C323A3"/>
    <w:rsid w:val="00C323F6"/>
    <w:rsid w:val="00C32AA3"/>
    <w:rsid w:val="00C35D22"/>
    <w:rsid w:val="00C36979"/>
    <w:rsid w:val="00C36AAE"/>
    <w:rsid w:val="00C36C53"/>
    <w:rsid w:val="00C36CFC"/>
    <w:rsid w:val="00C36EE0"/>
    <w:rsid w:val="00C373A4"/>
    <w:rsid w:val="00C37C6A"/>
    <w:rsid w:val="00C37E1E"/>
    <w:rsid w:val="00C40073"/>
    <w:rsid w:val="00C4122F"/>
    <w:rsid w:val="00C41789"/>
    <w:rsid w:val="00C439BB"/>
    <w:rsid w:val="00C43EB6"/>
    <w:rsid w:val="00C44636"/>
    <w:rsid w:val="00C447BD"/>
    <w:rsid w:val="00C44F2F"/>
    <w:rsid w:val="00C452C7"/>
    <w:rsid w:val="00C456A4"/>
    <w:rsid w:val="00C475A0"/>
    <w:rsid w:val="00C500F3"/>
    <w:rsid w:val="00C50A8B"/>
    <w:rsid w:val="00C51127"/>
    <w:rsid w:val="00C511CD"/>
    <w:rsid w:val="00C520BF"/>
    <w:rsid w:val="00C5228E"/>
    <w:rsid w:val="00C52996"/>
    <w:rsid w:val="00C53064"/>
    <w:rsid w:val="00C5393A"/>
    <w:rsid w:val="00C55139"/>
    <w:rsid w:val="00C5602F"/>
    <w:rsid w:val="00C562CA"/>
    <w:rsid w:val="00C562E0"/>
    <w:rsid w:val="00C56413"/>
    <w:rsid w:val="00C56843"/>
    <w:rsid w:val="00C56A7B"/>
    <w:rsid w:val="00C5754D"/>
    <w:rsid w:val="00C57DE0"/>
    <w:rsid w:val="00C606D0"/>
    <w:rsid w:val="00C60D67"/>
    <w:rsid w:val="00C61972"/>
    <w:rsid w:val="00C63298"/>
    <w:rsid w:val="00C6330E"/>
    <w:rsid w:val="00C633DE"/>
    <w:rsid w:val="00C63444"/>
    <w:rsid w:val="00C63BC6"/>
    <w:rsid w:val="00C63CB9"/>
    <w:rsid w:val="00C70F28"/>
    <w:rsid w:val="00C7141B"/>
    <w:rsid w:val="00C716AF"/>
    <w:rsid w:val="00C73844"/>
    <w:rsid w:val="00C7542C"/>
    <w:rsid w:val="00C75BFF"/>
    <w:rsid w:val="00C75DFE"/>
    <w:rsid w:val="00C75EC6"/>
    <w:rsid w:val="00C760E2"/>
    <w:rsid w:val="00C761A0"/>
    <w:rsid w:val="00C76BCC"/>
    <w:rsid w:val="00C76CDB"/>
    <w:rsid w:val="00C76D80"/>
    <w:rsid w:val="00C774EA"/>
    <w:rsid w:val="00C8017D"/>
    <w:rsid w:val="00C810AF"/>
    <w:rsid w:val="00C82356"/>
    <w:rsid w:val="00C82F36"/>
    <w:rsid w:val="00C83246"/>
    <w:rsid w:val="00C836EB"/>
    <w:rsid w:val="00C8477E"/>
    <w:rsid w:val="00C84CDD"/>
    <w:rsid w:val="00C85638"/>
    <w:rsid w:val="00C86B62"/>
    <w:rsid w:val="00C878DD"/>
    <w:rsid w:val="00C87948"/>
    <w:rsid w:val="00C87996"/>
    <w:rsid w:val="00C87D6A"/>
    <w:rsid w:val="00C9041E"/>
    <w:rsid w:val="00C90475"/>
    <w:rsid w:val="00C90A96"/>
    <w:rsid w:val="00C912F5"/>
    <w:rsid w:val="00C914F7"/>
    <w:rsid w:val="00C92CBB"/>
    <w:rsid w:val="00C93558"/>
    <w:rsid w:val="00C94266"/>
    <w:rsid w:val="00C9519B"/>
    <w:rsid w:val="00C95A1C"/>
    <w:rsid w:val="00C95DC8"/>
    <w:rsid w:val="00C9681B"/>
    <w:rsid w:val="00C97002"/>
    <w:rsid w:val="00C97046"/>
    <w:rsid w:val="00C97198"/>
    <w:rsid w:val="00CA0104"/>
    <w:rsid w:val="00CA01C5"/>
    <w:rsid w:val="00CA19C1"/>
    <w:rsid w:val="00CA23C3"/>
    <w:rsid w:val="00CA2805"/>
    <w:rsid w:val="00CA2EA6"/>
    <w:rsid w:val="00CA35A4"/>
    <w:rsid w:val="00CA39B0"/>
    <w:rsid w:val="00CA3B72"/>
    <w:rsid w:val="00CA3FC8"/>
    <w:rsid w:val="00CA46A1"/>
    <w:rsid w:val="00CA4F3B"/>
    <w:rsid w:val="00CA6A2E"/>
    <w:rsid w:val="00CA7375"/>
    <w:rsid w:val="00CB055A"/>
    <w:rsid w:val="00CB05B3"/>
    <w:rsid w:val="00CB115F"/>
    <w:rsid w:val="00CB13D7"/>
    <w:rsid w:val="00CB1C21"/>
    <w:rsid w:val="00CB20C6"/>
    <w:rsid w:val="00CB236F"/>
    <w:rsid w:val="00CB24C0"/>
    <w:rsid w:val="00CB2E0B"/>
    <w:rsid w:val="00CB2E65"/>
    <w:rsid w:val="00CB3372"/>
    <w:rsid w:val="00CB4D89"/>
    <w:rsid w:val="00CB5133"/>
    <w:rsid w:val="00CB5857"/>
    <w:rsid w:val="00CB5969"/>
    <w:rsid w:val="00CB6956"/>
    <w:rsid w:val="00CB6F0D"/>
    <w:rsid w:val="00CB75FB"/>
    <w:rsid w:val="00CC0C9B"/>
    <w:rsid w:val="00CC0F34"/>
    <w:rsid w:val="00CC1D84"/>
    <w:rsid w:val="00CC1DE7"/>
    <w:rsid w:val="00CC3787"/>
    <w:rsid w:val="00CC3DB1"/>
    <w:rsid w:val="00CC3E16"/>
    <w:rsid w:val="00CC434D"/>
    <w:rsid w:val="00CC44C1"/>
    <w:rsid w:val="00CC464E"/>
    <w:rsid w:val="00CC4EE5"/>
    <w:rsid w:val="00CC5259"/>
    <w:rsid w:val="00CC585F"/>
    <w:rsid w:val="00CC5C94"/>
    <w:rsid w:val="00CC6C60"/>
    <w:rsid w:val="00CC74B2"/>
    <w:rsid w:val="00CC76CA"/>
    <w:rsid w:val="00CC7BEB"/>
    <w:rsid w:val="00CC7E23"/>
    <w:rsid w:val="00CD0000"/>
    <w:rsid w:val="00CD0F00"/>
    <w:rsid w:val="00CD1FCE"/>
    <w:rsid w:val="00CD324D"/>
    <w:rsid w:val="00CD3CC5"/>
    <w:rsid w:val="00CD54F9"/>
    <w:rsid w:val="00CD5600"/>
    <w:rsid w:val="00CD64E0"/>
    <w:rsid w:val="00CD6D39"/>
    <w:rsid w:val="00CD719A"/>
    <w:rsid w:val="00CE04AE"/>
    <w:rsid w:val="00CE0A00"/>
    <w:rsid w:val="00CE2DF5"/>
    <w:rsid w:val="00CE3130"/>
    <w:rsid w:val="00CE4103"/>
    <w:rsid w:val="00CE5AA7"/>
    <w:rsid w:val="00CE5E59"/>
    <w:rsid w:val="00CE6F98"/>
    <w:rsid w:val="00CE7894"/>
    <w:rsid w:val="00CE78CF"/>
    <w:rsid w:val="00CF0856"/>
    <w:rsid w:val="00CF08DE"/>
    <w:rsid w:val="00CF19C2"/>
    <w:rsid w:val="00CF2F7A"/>
    <w:rsid w:val="00CF3E3A"/>
    <w:rsid w:val="00CF4D65"/>
    <w:rsid w:val="00CF5CBE"/>
    <w:rsid w:val="00CF5F28"/>
    <w:rsid w:val="00CF677D"/>
    <w:rsid w:val="00CF69D5"/>
    <w:rsid w:val="00CF7182"/>
    <w:rsid w:val="00D00845"/>
    <w:rsid w:val="00D01730"/>
    <w:rsid w:val="00D01A8A"/>
    <w:rsid w:val="00D02AC5"/>
    <w:rsid w:val="00D02ECC"/>
    <w:rsid w:val="00D033E9"/>
    <w:rsid w:val="00D036B7"/>
    <w:rsid w:val="00D045C7"/>
    <w:rsid w:val="00D04F55"/>
    <w:rsid w:val="00D060AE"/>
    <w:rsid w:val="00D07247"/>
    <w:rsid w:val="00D10C70"/>
    <w:rsid w:val="00D10DE4"/>
    <w:rsid w:val="00D11951"/>
    <w:rsid w:val="00D11A84"/>
    <w:rsid w:val="00D11C47"/>
    <w:rsid w:val="00D11C52"/>
    <w:rsid w:val="00D129D2"/>
    <w:rsid w:val="00D12D9D"/>
    <w:rsid w:val="00D134F2"/>
    <w:rsid w:val="00D141E0"/>
    <w:rsid w:val="00D14213"/>
    <w:rsid w:val="00D16628"/>
    <w:rsid w:val="00D17705"/>
    <w:rsid w:val="00D1775A"/>
    <w:rsid w:val="00D2091C"/>
    <w:rsid w:val="00D2102D"/>
    <w:rsid w:val="00D22A04"/>
    <w:rsid w:val="00D22E39"/>
    <w:rsid w:val="00D236AE"/>
    <w:rsid w:val="00D23CE6"/>
    <w:rsid w:val="00D244BF"/>
    <w:rsid w:val="00D244C5"/>
    <w:rsid w:val="00D24C49"/>
    <w:rsid w:val="00D25262"/>
    <w:rsid w:val="00D26C21"/>
    <w:rsid w:val="00D301D2"/>
    <w:rsid w:val="00D30834"/>
    <w:rsid w:val="00D317A7"/>
    <w:rsid w:val="00D31A41"/>
    <w:rsid w:val="00D3270F"/>
    <w:rsid w:val="00D32D43"/>
    <w:rsid w:val="00D32E2B"/>
    <w:rsid w:val="00D33AEA"/>
    <w:rsid w:val="00D37D75"/>
    <w:rsid w:val="00D37EB0"/>
    <w:rsid w:val="00D37F0C"/>
    <w:rsid w:val="00D406D9"/>
    <w:rsid w:val="00D409BE"/>
    <w:rsid w:val="00D40EAA"/>
    <w:rsid w:val="00D41E68"/>
    <w:rsid w:val="00D41F94"/>
    <w:rsid w:val="00D420A6"/>
    <w:rsid w:val="00D42BA0"/>
    <w:rsid w:val="00D4350A"/>
    <w:rsid w:val="00D44BB0"/>
    <w:rsid w:val="00D45430"/>
    <w:rsid w:val="00D45CF0"/>
    <w:rsid w:val="00D45FC0"/>
    <w:rsid w:val="00D46131"/>
    <w:rsid w:val="00D466A6"/>
    <w:rsid w:val="00D46885"/>
    <w:rsid w:val="00D5153D"/>
    <w:rsid w:val="00D51E65"/>
    <w:rsid w:val="00D52668"/>
    <w:rsid w:val="00D531F7"/>
    <w:rsid w:val="00D532BB"/>
    <w:rsid w:val="00D54750"/>
    <w:rsid w:val="00D54EFE"/>
    <w:rsid w:val="00D551CE"/>
    <w:rsid w:val="00D5525C"/>
    <w:rsid w:val="00D552CE"/>
    <w:rsid w:val="00D57504"/>
    <w:rsid w:val="00D5751A"/>
    <w:rsid w:val="00D60B04"/>
    <w:rsid w:val="00D610C1"/>
    <w:rsid w:val="00D61648"/>
    <w:rsid w:val="00D61F15"/>
    <w:rsid w:val="00D63439"/>
    <w:rsid w:val="00D63BF6"/>
    <w:rsid w:val="00D643EE"/>
    <w:rsid w:val="00D6441D"/>
    <w:rsid w:val="00D660DB"/>
    <w:rsid w:val="00D67234"/>
    <w:rsid w:val="00D674F6"/>
    <w:rsid w:val="00D675C6"/>
    <w:rsid w:val="00D70144"/>
    <w:rsid w:val="00D703A5"/>
    <w:rsid w:val="00D70DFA"/>
    <w:rsid w:val="00D71710"/>
    <w:rsid w:val="00D71BFB"/>
    <w:rsid w:val="00D72035"/>
    <w:rsid w:val="00D72E2C"/>
    <w:rsid w:val="00D746E3"/>
    <w:rsid w:val="00D748F3"/>
    <w:rsid w:val="00D74F15"/>
    <w:rsid w:val="00D7554D"/>
    <w:rsid w:val="00D75B38"/>
    <w:rsid w:val="00D75BCB"/>
    <w:rsid w:val="00D75CE9"/>
    <w:rsid w:val="00D76B41"/>
    <w:rsid w:val="00D80043"/>
    <w:rsid w:val="00D80388"/>
    <w:rsid w:val="00D80A2F"/>
    <w:rsid w:val="00D80CAD"/>
    <w:rsid w:val="00D81388"/>
    <w:rsid w:val="00D827A0"/>
    <w:rsid w:val="00D8313D"/>
    <w:rsid w:val="00D8432B"/>
    <w:rsid w:val="00D84E75"/>
    <w:rsid w:val="00D85636"/>
    <w:rsid w:val="00D85E51"/>
    <w:rsid w:val="00D872C9"/>
    <w:rsid w:val="00D87457"/>
    <w:rsid w:val="00D87C79"/>
    <w:rsid w:val="00D87F5C"/>
    <w:rsid w:val="00D91D47"/>
    <w:rsid w:val="00D93EC6"/>
    <w:rsid w:val="00D94639"/>
    <w:rsid w:val="00D94B26"/>
    <w:rsid w:val="00D94CBA"/>
    <w:rsid w:val="00D94D6E"/>
    <w:rsid w:val="00D9500F"/>
    <w:rsid w:val="00D951B3"/>
    <w:rsid w:val="00D958E9"/>
    <w:rsid w:val="00D95A3C"/>
    <w:rsid w:val="00D95F3A"/>
    <w:rsid w:val="00D96864"/>
    <w:rsid w:val="00D96F69"/>
    <w:rsid w:val="00D976D7"/>
    <w:rsid w:val="00D97756"/>
    <w:rsid w:val="00DA0646"/>
    <w:rsid w:val="00DA0DA2"/>
    <w:rsid w:val="00DA3D87"/>
    <w:rsid w:val="00DA40EC"/>
    <w:rsid w:val="00DA4F73"/>
    <w:rsid w:val="00DA6725"/>
    <w:rsid w:val="00DA696E"/>
    <w:rsid w:val="00DA6BAC"/>
    <w:rsid w:val="00DA6E81"/>
    <w:rsid w:val="00DB0032"/>
    <w:rsid w:val="00DB0F33"/>
    <w:rsid w:val="00DB196A"/>
    <w:rsid w:val="00DB3F4A"/>
    <w:rsid w:val="00DB4A63"/>
    <w:rsid w:val="00DB6138"/>
    <w:rsid w:val="00DB6A61"/>
    <w:rsid w:val="00DB6E13"/>
    <w:rsid w:val="00DB73FF"/>
    <w:rsid w:val="00DB7D6B"/>
    <w:rsid w:val="00DB7E90"/>
    <w:rsid w:val="00DC1915"/>
    <w:rsid w:val="00DC1D0C"/>
    <w:rsid w:val="00DC2CE0"/>
    <w:rsid w:val="00DC3860"/>
    <w:rsid w:val="00DC394B"/>
    <w:rsid w:val="00DC5406"/>
    <w:rsid w:val="00DC6592"/>
    <w:rsid w:val="00DC6FB0"/>
    <w:rsid w:val="00DC716B"/>
    <w:rsid w:val="00DC7BA7"/>
    <w:rsid w:val="00DD04BD"/>
    <w:rsid w:val="00DD2FFC"/>
    <w:rsid w:val="00DD38CA"/>
    <w:rsid w:val="00DD59FB"/>
    <w:rsid w:val="00DD624D"/>
    <w:rsid w:val="00DD691C"/>
    <w:rsid w:val="00DD6D26"/>
    <w:rsid w:val="00DD737F"/>
    <w:rsid w:val="00DD7510"/>
    <w:rsid w:val="00DE0A06"/>
    <w:rsid w:val="00DE25A9"/>
    <w:rsid w:val="00DE36DF"/>
    <w:rsid w:val="00DE374E"/>
    <w:rsid w:val="00DE410A"/>
    <w:rsid w:val="00DE4B32"/>
    <w:rsid w:val="00DE4F78"/>
    <w:rsid w:val="00DE563F"/>
    <w:rsid w:val="00DE570E"/>
    <w:rsid w:val="00DE5C0B"/>
    <w:rsid w:val="00DE5D25"/>
    <w:rsid w:val="00DE6205"/>
    <w:rsid w:val="00DE6A5F"/>
    <w:rsid w:val="00DE70A1"/>
    <w:rsid w:val="00DF13C4"/>
    <w:rsid w:val="00DF29EA"/>
    <w:rsid w:val="00DF3174"/>
    <w:rsid w:val="00DF40EB"/>
    <w:rsid w:val="00DF45C9"/>
    <w:rsid w:val="00DF4B04"/>
    <w:rsid w:val="00DF4D4A"/>
    <w:rsid w:val="00DF4FA1"/>
    <w:rsid w:val="00DF6525"/>
    <w:rsid w:val="00DF6A31"/>
    <w:rsid w:val="00DF6B7E"/>
    <w:rsid w:val="00DF7FC0"/>
    <w:rsid w:val="00E00707"/>
    <w:rsid w:val="00E00E6F"/>
    <w:rsid w:val="00E01B96"/>
    <w:rsid w:val="00E03033"/>
    <w:rsid w:val="00E030C6"/>
    <w:rsid w:val="00E03316"/>
    <w:rsid w:val="00E04809"/>
    <w:rsid w:val="00E0513A"/>
    <w:rsid w:val="00E05558"/>
    <w:rsid w:val="00E06104"/>
    <w:rsid w:val="00E06D1F"/>
    <w:rsid w:val="00E07C10"/>
    <w:rsid w:val="00E07C2E"/>
    <w:rsid w:val="00E07CAE"/>
    <w:rsid w:val="00E10B6F"/>
    <w:rsid w:val="00E1165C"/>
    <w:rsid w:val="00E118D3"/>
    <w:rsid w:val="00E12718"/>
    <w:rsid w:val="00E1377B"/>
    <w:rsid w:val="00E13EB9"/>
    <w:rsid w:val="00E13F31"/>
    <w:rsid w:val="00E1423E"/>
    <w:rsid w:val="00E155FE"/>
    <w:rsid w:val="00E157C0"/>
    <w:rsid w:val="00E158D9"/>
    <w:rsid w:val="00E16745"/>
    <w:rsid w:val="00E17D0D"/>
    <w:rsid w:val="00E21454"/>
    <w:rsid w:val="00E2248E"/>
    <w:rsid w:val="00E22AE6"/>
    <w:rsid w:val="00E238C6"/>
    <w:rsid w:val="00E2461E"/>
    <w:rsid w:val="00E24AD4"/>
    <w:rsid w:val="00E24F7D"/>
    <w:rsid w:val="00E26B08"/>
    <w:rsid w:val="00E26F1F"/>
    <w:rsid w:val="00E276CE"/>
    <w:rsid w:val="00E3048D"/>
    <w:rsid w:val="00E31743"/>
    <w:rsid w:val="00E325E5"/>
    <w:rsid w:val="00E32F47"/>
    <w:rsid w:val="00E32F96"/>
    <w:rsid w:val="00E330BC"/>
    <w:rsid w:val="00E33481"/>
    <w:rsid w:val="00E33D96"/>
    <w:rsid w:val="00E354F6"/>
    <w:rsid w:val="00E35CA3"/>
    <w:rsid w:val="00E372C1"/>
    <w:rsid w:val="00E37805"/>
    <w:rsid w:val="00E40E2E"/>
    <w:rsid w:val="00E42DD8"/>
    <w:rsid w:val="00E42F69"/>
    <w:rsid w:val="00E43CAA"/>
    <w:rsid w:val="00E447A1"/>
    <w:rsid w:val="00E4567D"/>
    <w:rsid w:val="00E45B73"/>
    <w:rsid w:val="00E468D3"/>
    <w:rsid w:val="00E47996"/>
    <w:rsid w:val="00E50549"/>
    <w:rsid w:val="00E507A7"/>
    <w:rsid w:val="00E50CB3"/>
    <w:rsid w:val="00E51DFC"/>
    <w:rsid w:val="00E52086"/>
    <w:rsid w:val="00E525BF"/>
    <w:rsid w:val="00E52D2B"/>
    <w:rsid w:val="00E52E63"/>
    <w:rsid w:val="00E5425A"/>
    <w:rsid w:val="00E54603"/>
    <w:rsid w:val="00E5608D"/>
    <w:rsid w:val="00E56E27"/>
    <w:rsid w:val="00E57C0A"/>
    <w:rsid w:val="00E57F16"/>
    <w:rsid w:val="00E609EC"/>
    <w:rsid w:val="00E6174B"/>
    <w:rsid w:val="00E61A26"/>
    <w:rsid w:val="00E62670"/>
    <w:rsid w:val="00E62DDE"/>
    <w:rsid w:val="00E6300E"/>
    <w:rsid w:val="00E63AC1"/>
    <w:rsid w:val="00E63BA1"/>
    <w:rsid w:val="00E645E3"/>
    <w:rsid w:val="00E657F5"/>
    <w:rsid w:val="00E65BB3"/>
    <w:rsid w:val="00E66EF7"/>
    <w:rsid w:val="00E66F15"/>
    <w:rsid w:val="00E67257"/>
    <w:rsid w:val="00E6780A"/>
    <w:rsid w:val="00E70006"/>
    <w:rsid w:val="00E70472"/>
    <w:rsid w:val="00E70E8F"/>
    <w:rsid w:val="00E7215D"/>
    <w:rsid w:val="00E72C71"/>
    <w:rsid w:val="00E72F3F"/>
    <w:rsid w:val="00E732A2"/>
    <w:rsid w:val="00E73980"/>
    <w:rsid w:val="00E73A9F"/>
    <w:rsid w:val="00E740F8"/>
    <w:rsid w:val="00E74550"/>
    <w:rsid w:val="00E74582"/>
    <w:rsid w:val="00E7490F"/>
    <w:rsid w:val="00E74B60"/>
    <w:rsid w:val="00E74DE3"/>
    <w:rsid w:val="00E7594B"/>
    <w:rsid w:val="00E766E7"/>
    <w:rsid w:val="00E76777"/>
    <w:rsid w:val="00E76B04"/>
    <w:rsid w:val="00E76FA5"/>
    <w:rsid w:val="00E77191"/>
    <w:rsid w:val="00E77973"/>
    <w:rsid w:val="00E809B9"/>
    <w:rsid w:val="00E80F0F"/>
    <w:rsid w:val="00E8233F"/>
    <w:rsid w:val="00E829E6"/>
    <w:rsid w:val="00E82F3A"/>
    <w:rsid w:val="00E83DBD"/>
    <w:rsid w:val="00E854E2"/>
    <w:rsid w:val="00E86234"/>
    <w:rsid w:val="00E86530"/>
    <w:rsid w:val="00E86BDC"/>
    <w:rsid w:val="00E8717B"/>
    <w:rsid w:val="00E87B4B"/>
    <w:rsid w:val="00E91E35"/>
    <w:rsid w:val="00E938E3"/>
    <w:rsid w:val="00E94117"/>
    <w:rsid w:val="00E941F5"/>
    <w:rsid w:val="00E94672"/>
    <w:rsid w:val="00E94902"/>
    <w:rsid w:val="00E951D1"/>
    <w:rsid w:val="00E9650C"/>
    <w:rsid w:val="00E96892"/>
    <w:rsid w:val="00E96D19"/>
    <w:rsid w:val="00EA0A98"/>
    <w:rsid w:val="00EA0E9F"/>
    <w:rsid w:val="00EA1CB0"/>
    <w:rsid w:val="00EA2867"/>
    <w:rsid w:val="00EA399C"/>
    <w:rsid w:val="00EA3D63"/>
    <w:rsid w:val="00EA4AA3"/>
    <w:rsid w:val="00EA4C20"/>
    <w:rsid w:val="00EA5248"/>
    <w:rsid w:val="00EA5306"/>
    <w:rsid w:val="00EA5B94"/>
    <w:rsid w:val="00EA6101"/>
    <w:rsid w:val="00EA6C59"/>
    <w:rsid w:val="00EA71E9"/>
    <w:rsid w:val="00EA7512"/>
    <w:rsid w:val="00EB0DAB"/>
    <w:rsid w:val="00EB1B88"/>
    <w:rsid w:val="00EB1E98"/>
    <w:rsid w:val="00EB26F8"/>
    <w:rsid w:val="00EB2D11"/>
    <w:rsid w:val="00EB36FE"/>
    <w:rsid w:val="00EB448D"/>
    <w:rsid w:val="00EB5332"/>
    <w:rsid w:val="00EB5EAD"/>
    <w:rsid w:val="00EB6043"/>
    <w:rsid w:val="00EB74A3"/>
    <w:rsid w:val="00EB7799"/>
    <w:rsid w:val="00EB7A4F"/>
    <w:rsid w:val="00EB7C8E"/>
    <w:rsid w:val="00EB7E92"/>
    <w:rsid w:val="00EC2D28"/>
    <w:rsid w:val="00EC3369"/>
    <w:rsid w:val="00EC3563"/>
    <w:rsid w:val="00EC4A04"/>
    <w:rsid w:val="00EC4E76"/>
    <w:rsid w:val="00EC582A"/>
    <w:rsid w:val="00EC5A61"/>
    <w:rsid w:val="00EC5D37"/>
    <w:rsid w:val="00EC5E17"/>
    <w:rsid w:val="00EC6C05"/>
    <w:rsid w:val="00EC70EA"/>
    <w:rsid w:val="00ED01E7"/>
    <w:rsid w:val="00ED025E"/>
    <w:rsid w:val="00ED04AF"/>
    <w:rsid w:val="00ED04DE"/>
    <w:rsid w:val="00ED0970"/>
    <w:rsid w:val="00ED1A82"/>
    <w:rsid w:val="00ED2D3D"/>
    <w:rsid w:val="00ED2E81"/>
    <w:rsid w:val="00ED43F8"/>
    <w:rsid w:val="00ED4D41"/>
    <w:rsid w:val="00ED4DFE"/>
    <w:rsid w:val="00ED514E"/>
    <w:rsid w:val="00ED5315"/>
    <w:rsid w:val="00ED6400"/>
    <w:rsid w:val="00ED6587"/>
    <w:rsid w:val="00ED7486"/>
    <w:rsid w:val="00ED790E"/>
    <w:rsid w:val="00ED7B38"/>
    <w:rsid w:val="00ED7D39"/>
    <w:rsid w:val="00ED7E20"/>
    <w:rsid w:val="00EE09AC"/>
    <w:rsid w:val="00EE0DCA"/>
    <w:rsid w:val="00EE12DF"/>
    <w:rsid w:val="00EE1487"/>
    <w:rsid w:val="00EE18CC"/>
    <w:rsid w:val="00EE214D"/>
    <w:rsid w:val="00EE3BF9"/>
    <w:rsid w:val="00EE506B"/>
    <w:rsid w:val="00EE6B10"/>
    <w:rsid w:val="00EE7F55"/>
    <w:rsid w:val="00EF0A12"/>
    <w:rsid w:val="00EF1192"/>
    <w:rsid w:val="00EF15A2"/>
    <w:rsid w:val="00EF1726"/>
    <w:rsid w:val="00EF2A4E"/>
    <w:rsid w:val="00EF322B"/>
    <w:rsid w:val="00EF3F34"/>
    <w:rsid w:val="00EF485F"/>
    <w:rsid w:val="00EF50D4"/>
    <w:rsid w:val="00EF5C1B"/>
    <w:rsid w:val="00EF5D6F"/>
    <w:rsid w:val="00EF7AEC"/>
    <w:rsid w:val="00EF7E51"/>
    <w:rsid w:val="00F00E3F"/>
    <w:rsid w:val="00F013AC"/>
    <w:rsid w:val="00F01589"/>
    <w:rsid w:val="00F01771"/>
    <w:rsid w:val="00F024E2"/>
    <w:rsid w:val="00F03454"/>
    <w:rsid w:val="00F03FC1"/>
    <w:rsid w:val="00F069B6"/>
    <w:rsid w:val="00F06B2F"/>
    <w:rsid w:val="00F06D1B"/>
    <w:rsid w:val="00F07CCE"/>
    <w:rsid w:val="00F106B6"/>
    <w:rsid w:val="00F11066"/>
    <w:rsid w:val="00F11876"/>
    <w:rsid w:val="00F12E26"/>
    <w:rsid w:val="00F1356B"/>
    <w:rsid w:val="00F139DD"/>
    <w:rsid w:val="00F1457C"/>
    <w:rsid w:val="00F1458A"/>
    <w:rsid w:val="00F14D5C"/>
    <w:rsid w:val="00F153AF"/>
    <w:rsid w:val="00F15551"/>
    <w:rsid w:val="00F1691F"/>
    <w:rsid w:val="00F16AFA"/>
    <w:rsid w:val="00F17158"/>
    <w:rsid w:val="00F211B2"/>
    <w:rsid w:val="00F21209"/>
    <w:rsid w:val="00F21B67"/>
    <w:rsid w:val="00F22076"/>
    <w:rsid w:val="00F22E82"/>
    <w:rsid w:val="00F2344B"/>
    <w:rsid w:val="00F234B8"/>
    <w:rsid w:val="00F2381D"/>
    <w:rsid w:val="00F24763"/>
    <w:rsid w:val="00F24922"/>
    <w:rsid w:val="00F25154"/>
    <w:rsid w:val="00F2573E"/>
    <w:rsid w:val="00F25A4B"/>
    <w:rsid w:val="00F25A78"/>
    <w:rsid w:val="00F268D3"/>
    <w:rsid w:val="00F26C2E"/>
    <w:rsid w:val="00F30B11"/>
    <w:rsid w:val="00F31749"/>
    <w:rsid w:val="00F31943"/>
    <w:rsid w:val="00F326D9"/>
    <w:rsid w:val="00F32E87"/>
    <w:rsid w:val="00F33BFE"/>
    <w:rsid w:val="00F3416C"/>
    <w:rsid w:val="00F34506"/>
    <w:rsid w:val="00F362D4"/>
    <w:rsid w:val="00F36AA5"/>
    <w:rsid w:val="00F371AB"/>
    <w:rsid w:val="00F37AE8"/>
    <w:rsid w:val="00F41327"/>
    <w:rsid w:val="00F418ED"/>
    <w:rsid w:val="00F41B82"/>
    <w:rsid w:val="00F422C8"/>
    <w:rsid w:val="00F427B7"/>
    <w:rsid w:val="00F42967"/>
    <w:rsid w:val="00F42B74"/>
    <w:rsid w:val="00F42C80"/>
    <w:rsid w:val="00F44BA8"/>
    <w:rsid w:val="00F46C45"/>
    <w:rsid w:val="00F46CD8"/>
    <w:rsid w:val="00F47429"/>
    <w:rsid w:val="00F5062F"/>
    <w:rsid w:val="00F50724"/>
    <w:rsid w:val="00F51C03"/>
    <w:rsid w:val="00F520B8"/>
    <w:rsid w:val="00F52210"/>
    <w:rsid w:val="00F52671"/>
    <w:rsid w:val="00F52AB3"/>
    <w:rsid w:val="00F54C85"/>
    <w:rsid w:val="00F54D2C"/>
    <w:rsid w:val="00F553BC"/>
    <w:rsid w:val="00F5661A"/>
    <w:rsid w:val="00F56EF1"/>
    <w:rsid w:val="00F5741B"/>
    <w:rsid w:val="00F5765E"/>
    <w:rsid w:val="00F57753"/>
    <w:rsid w:val="00F5791E"/>
    <w:rsid w:val="00F57ACF"/>
    <w:rsid w:val="00F60875"/>
    <w:rsid w:val="00F6151D"/>
    <w:rsid w:val="00F61992"/>
    <w:rsid w:val="00F61D19"/>
    <w:rsid w:val="00F61E1D"/>
    <w:rsid w:val="00F6259F"/>
    <w:rsid w:val="00F625D4"/>
    <w:rsid w:val="00F63494"/>
    <w:rsid w:val="00F634D5"/>
    <w:rsid w:val="00F636C1"/>
    <w:rsid w:val="00F63706"/>
    <w:rsid w:val="00F64D21"/>
    <w:rsid w:val="00F64E17"/>
    <w:rsid w:val="00F65312"/>
    <w:rsid w:val="00F65FB1"/>
    <w:rsid w:val="00F70480"/>
    <w:rsid w:val="00F7058A"/>
    <w:rsid w:val="00F7121A"/>
    <w:rsid w:val="00F71BB9"/>
    <w:rsid w:val="00F7286F"/>
    <w:rsid w:val="00F72919"/>
    <w:rsid w:val="00F73133"/>
    <w:rsid w:val="00F73802"/>
    <w:rsid w:val="00F74917"/>
    <w:rsid w:val="00F754E6"/>
    <w:rsid w:val="00F762B6"/>
    <w:rsid w:val="00F7634B"/>
    <w:rsid w:val="00F763F4"/>
    <w:rsid w:val="00F7661C"/>
    <w:rsid w:val="00F76830"/>
    <w:rsid w:val="00F76923"/>
    <w:rsid w:val="00F76A21"/>
    <w:rsid w:val="00F7749D"/>
    <w:rsid w:val="00F77AC3"/>
    <w:rsid w:val="00F805B2"/>
    <w:rsid w:val="00F80699"/>
    <w:rsid w:val="00F81900"/>
    <w:rsid w:val="00F82A75"/>
    <w:rsid w:val="00F82D62"/>
    <w:rsid w:val="00F83C42"/>
    <w:rsid w:val="00F83D69"/>
    <w:rsid w:val="00F8484A"/>
    <w:rsid w:val="00F84C4D"/>
    <w:rsid w:val="00F85580"/>
    <w:rsid w:val="00F856A4"/>
    <w:rsid w:val="00F86F18"/>
    <w:rsid w:val="00F941E2"/>
    <w:rsid w:val="00F94D85"/>
    <w:rsid w:val="00F95FEA"/>
    <w:rsid w:val="00F96182"/>
    <w:rsid w:val="00F965A1"/>
    <w:rsid w:val="00F966D9"/>
    <w:rsid w:val="00FA027A"/>
    <w:rsid w:val="00FA0E97"/>
    <w:rsid w:val="00FA225C"/>
    <w:rsid w:val="00FA2304"/>
    <w:rsid w:val="00FA4A29"/>
    <w:rsid w:val="00FA6DBE"/>
    <w:rsid w:val="00FB1382"/>
    <w:rsid w:val="00FB1422"/>
    <w:rsid w:val="00FB28E8"/>
    <w:rsid w:val="00FB2AF2"/>
    <w:rsid w:val="00FB3642"/>
    <w:rsid w:val="00FB37A8"/>
    <w:rsid w:val="00FB3B57"/>
    <w:rsid w:val="00FB3E04"/>
    <w:rsid w:val="00FB4A10"/>
    <w:rsid w:val="00FB567F"/>
    <w:rsid w:val="00FB5EEB"/>
    <w:rsid w:val="00FB71D8"/>
    <w:rsid w:val="00FB7C28"/>
    <w:rsid w:val="00FC031E"/>
    <w:rsid w:val="00FC13C9"/>
    <w:rsid w:val="00FC18E9"/>
    <w:rsid w:val="00FC199B"/>
    <w:rsid w:val="00FC3D68"/>
    <w:rsid w:val="00FC4C8F"/>
    <w:rsid w:val="00FC513D"/>
    <w:rsid w:val="00FC520B"/>
    <w:rsid w:val="00FC57E9"/>
    <w:rsid w:val="00FC5887"/>
    <w:rsid w:val="00FC639F"/>
    <w:rsid w:val="00FC64A9"/>
    <w:rsid w:val="00FD1632"/>
    <w:rsid w:val="00FD22C8"/>
    <w:rsid w:val="00FD22F0"/>
    <w:rsid w:val="00FD237C"/>
    <w:rsid w:val="00FD323F"/>
    <w:rsid w:val="00FD37ED"/>
    <w:rsid w:val="00FD4042"/>
    <w:rsid w:val="00FD46DE"/>
    <w:rsid w:val="00FD519D"/>
    <w:rsid w:val="00FD61B6"/>
    <w:rsid w:val="00FD6C01"/>
    <w:rsid w:val="00FD6CCF"/>
    <w:rsid w:val="00FD7D4F"/>
    <w:rsid w:val="00FE0B7E"/>
    <w:rsid w:val="00FE11BA"/>
    <w:rsid w:val="00FE16C9"/>
    <w:rsid w:val="00FE1B82"/>
    <w:rsid w:val="00FE207B"/>
    <w:rsid w:val="00FE233F"/>
    <w:rsid w:val="00FE2C5E"/>
    <w:rsid w:val="00FE386F"/>
    <w:rsid w:val="00FE3C74"/>
    <w:rsid w:val="00FE4458"/>
    <w:rsid w:val="00FE6975"/>
    <w:rsid w:val="00FE7FAB"/>
    <w:rsid w:val="00FF0E46"/>
    <w:rsid w:val="00FF112B"/>
    <w:rsid w:val="00FF2582"/>
    <w:rsid w:val="00FF3629"/>
    <w:rsid w:val="00FF47CE"/>
    <w:rsid w:val="00FF5DC9"/>
    <w:rsid w:val="00FF5EA8"/>
    <w:rsid w:val="00FF7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A38072"/>
  <w15:chartTrackingRefBased/>
  <w15:docId w15:val="{DFF0CD2D-4B62-444F-BC36-8091FDDBD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1B9"/>
    <w:rPr>
      <w:rFonts w:ascii="Times New Roman" w:hAnsi="Times New Roman"/>
      <w:kern w:val="0"/>
      <w:sz w:val="24"/>
      <w:szCs w:val="24"/>
      <w14:ligatures w14:val="none"/>
    </w:rPr>
  </w:style>
  <w:style w:type="paragraph" w:styleId="Heading1">
    <w:name w:val="heading 1"/>
    <w:basedOn w:val="Normal"/>
    <w:next w:val="Normal"/>
    <w:link w:val="Heading1Char"/>
    <w:uiPriority w:val="9"/>
    <w:qFormat/>
    <w:rsid w:val="004161B9"/>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161B9"/>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161B9"/>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161B9"/>
    <w:pPr>
      <w:keepNext/>
      <w:keepLines/>
      <w:spacing w:before="80" w:after="40"/>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4161B9"/>
    <w:pPr>
      <w:keepNext/>
      <w:keepLines/>
      <w:spacing w:before="80" w:after="40"/>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4161B9"/>
    <w:pPr>
      <w:keepNext/>
      <w:keepLines/>
      <w:spacing w:before="40" w:after="0"/>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4161B9"/>
    <w:pPr>
      <w:keepNext/>
      <w:keepLines/>
      <w:spacing w:before="40" w:after="0"/>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4161B9"/>
    <w:pPr>
      <w:keepNext/>
      <w:keepLines/>
      <w:spacing w:after="0"/>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4161B9"/>
    <w:pPr>
      <w:keepNext/>
      <w:keepLines/>
      <w:spacing w:after="0"/>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6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1B9"/>
    <w:rPr>
      <w:rFonts w:eastAsiaTheme="majorEastAsia" w:cstheme="majorBidi"/>
      <w:color w:val="272727" w:themeColor="text1" w:themeTint="D8"/>
    </w:rPr>
  </w:style>
  <w:style w:type="paragraph" w:styleId="Title">
    <w:name w:val="Title"/>
    <w:basedOn w:val="Normal"/>
    <w:next w:val="Normal"/>
    <w:link w:val="TitleChar"/>
    <w:uiPriority w:val="10"/>
    <w:qFormat/>
    <w:rsid w:val="004161B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16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1B9"/>
    <w:pPr>
      <w:numPr>
        <w:ilvl w:val="1"/>
      </w:numPr>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16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1B9"/>
    <w:pPr>
      <w:spacing w:before="160"/>
      <w:jc w:val="center"/>
    </w:pPr>
    <w:rPr>
      <w:rFonts w:asciiTheme="minorHAnsi" w:hAnsiTheme="minorHAns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4161B9"/>
    <w:rPr>
      <w:i/>
      <w:iCs/>
      <w:color w:val="404040" w:themeColor="text1" w:themeTint="BF"/>
    </w:rPr>
  </w:style>
  <w:style w:type="paragraph" w:styleId="ListParagraph">
    <w:name w:val="List Paragraph"/>
    <w:basedOn w:val="Normal"/>
    <w:uiPriority w:val="34"/>
    <w:qFormat/>
    <w:rsid w:val="004161B9"/>
    <w:pPr>
      <w:ind w:left="720"/>
      <w:contextualSpacing/>
    </w:pPr>
    <w:rPr>
      <w:rFonts w:asciiTheme="minorHAnsi" w:hAnsiTheme="minorHAnsi"/>
      <w:kern w:val="2"/>
      <w:sz w:val="22"/>
      <w:szCs w:val="22"/>
      <w14:ligatures w14:val="standardContextual"/>
    </w:rPr>
  </w:style>
  <w:style w:type="character" w:styleId="IntenseEmphasis">
    <w:name w:val="Intense Emphasis"/>
    <w:basedOn w:val="DefaultParagraphFont"/>
    <w:uiPriority w:val="21"/>
    <w:qFormat/>
    <w:rsid w:val="004161B9"/>
    <w:rPr>
      <w:i/>
      <w:iCs/>
      <w:color w:val="0F4761" w:themeColor="accent1" w:themeShade="BF"/>
    </w:rPr>
  </w:style>
  <w:style w:type="paragraph" w:styleId="IntenseQuote">
    <w:name w:val="Intense Quote"/>
    <w:basedOn w:val="Normal"/>
    <w:next w:val="Normal"/>
    <w:link w:val="IntenseQuoteChar"/>
    <w:uiPriority w:val="30"/>
    <w:qFormat/>
    <w:rsid w:val="004161B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4161B9"/>
    <w:rPr>
      <w:i/>
      <w:iCs/>
      <w:color w:val="0F4761" w:themeColor="accent1" w:themeShade="BF"/>
    </w:rPr>
  </w:style>
  <w:style w:type="character" w:styleId="IntenseReference">
    <w:name w:val="Intense Reference"/>
    <w:basedOn w:val="DefaultParagraphFont"/>
    <w:uiPriority w:val="32"/>
    <w:qFormat/>
    <w:rsid w:val="004161B9"/>
    <w:rPr>
      <w:b/>
      <w:bCs/>
      <w:smallCaps/>
      <w:color w:val="0F4761" w:themeColor="accent1" w:themeShade="BF"/>
      <w:spacing w:val="5"/>
    </w:rPr>
  </w:style>
  <w:style w:type="paragraph" w:styleId="NormalWeb">
    <w:name w:val="Normal (Web)"/>
    <w:basedOn w:val="Normal"/>
    <w:uiPriority w:val="99"/>
    <w:semiHidden/>
    <w:unhideWhenUsed/>
    <w:rsid w:val="00D07247"/>
    <w:pPr>
      <w:spacing w:before="100" w:beforeAutospacing="1" w:after="100" w:afterAutospacing="1" w:line="240" w:lineRule="auto"/>
    </w:pPr>
    <w:rPr>
      <w:rFonts w:eastAsia="Times New Roman" w:cs="Times New Roman"/>
    </w:rPr>
  </w:style>
  <w:style w:type="paragraph" w:styleId="Caption">
    <w:name w:val="caption"/>
    <w:basedOn w:val="Normal"/>
    <w:next w:val="Normal"/>
    <w:uiPriority w:val="35"/>
    <w:unhideWhenUsed/>
    <w:qFormat/>
    <w:rsid w:val="003663C6"/>
    <w:pPr>
      <w:spacing w:after="200" w:line="240" w:lineRule="auto"/>
    </w:pPr>
    <w:rPr>
      <w:rFonts w:asciiTheme="minorHAnsi" w:hAnsiTheme="minorHAnsi"/>
      <w:i/>
      <w:iCs/>
      <w:color w:val="0E2841" w:themeColor="text2"/>
      <w:sz w:val="18"/>
      <w:szCs w:val="18"/>
    </w:rPr>
  </w:style>
  <w:style w:type="character" w:styleId="Hyperlink">
    <w:name w:val="Hyperlink"/>
    <w:basedOn w:val="DefaultParagraphFont"/>
    <w:uiPriority w:val="99"/>
    <w:unhideWhenUsed/>
    <w:rsid w:val="002E310B"/>
    <w:rPr>
      <w:color w:val="0000FF"/>
      <w:u w:val="single"/>
    </w:rPr>
  </w:style>
  <w:style w:type="character" w:styleId="CommentReference">
    <w:name w:val="annotation reference"/>
    <w:basedOn w:val="DefaultParagraphFont"/>
    <w:uiPriority w:val="99"/>
    <w:semiHidden/>
    <w:unhideWhenUsed/>
    <w:rsid w:val="002A6F42"/>
    <w:rPr>
      <w:sz w:val="16"/>
      <w:szCs w:val="16"/>
    </w:rPr>
  </w:style>
  <w:style w:type="paragraph" w:styleId="CommentText">
    <w:name w:val="annotation text"/>
    <w:basedOn w:val="Normal"/>
    <w:link w:val="CommentTextChar"/>
    <w:uiPriority w:val="99"/>
    <w:unhideWhenUsed/>
    <w:rsid w:val="002A6F42"/>
    <w:pPr>
      <w:spacing w:line="240" w:lineRule="auto"/>
    </w:pPr>
    <w:rPr>
      <w:sz w:val="20"/>
      <w:szCs w:val="20"/>
    </w:rPr>
  </w:style>
  <w:style w:type="character" w:customStyle="1" w:styleId="CommentTextChar">
    <w:name w:val="Comment Text Char"/>
    <w:basedOn w:val="DefaultParagraphFont"/>
    <w:link w:val="CommentText"/>
    <w:uiPriority w:val="99"/>
    <w:rsid w:val="002A6F42"/>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A6F42"/>
    <w:rPr>
      <w:b/>
      <w:bCs/>
    </w:rPr>
  </w:style>
  <w:style w:type="character" w:customStyle="1" w:styleId="CommentSubjectChar">
    <w:name w:val="Comment Subject Char"/>
    <w:basedOn w:val="CommentTextChar"/>
    <w:link w:val="CommentSubject"/>
    <w:uiPriority w:val="99"/>
    <w:semiHidden/>
    <w:rsid w:val="002A6F42"/>
    <w:rPr>
      <w:rFonts w:ascii="Times New Roman" w:hAnsi="Times New Roman"/>
      <w:b/>
      <w:bCs/>
      <w:kern w:val="0"/>
      <w:sz w:val="20"/>
      <w:szCs w:val="20"/>
      <w14:ligatures w14:val="none"/>
    </w:rPr>
  </w:style>
  <w:style w:type="character" w:styleId="Strong">
    <w:name w:val="Strong"/>
    <w:basedOn w:val="DefaultParagraphFont"/>
    <w:uiPriority w:val="22"/>
    <w:qFormat/>
    <w:rsid w:val="00815231"/>
    <w:rPr>
      <w:b/>
      <w:bCs/>
    </w:rPr>
  </w:style>
  <w:style w:type="character" w:styleId="UnresolvedMention">
    <w:name w:val="Unresolved Mention"/>
    <w:basedOn w:val="DefaultParagraphFont"/>
    <w:uiPriority w:val="99"/>
    <w:semiHidden/>
    <w:unhideWhenUsed/>
    <w:rsid w:val="009962B8"/>
    <w:rPr>
      <w:color w:val="605E5C"/>
      <w:shd w:val="clear" w:color="auto" w:fill="E1DFDD"/>
    </w:rPr>
  </w:style>
  <w:style w:type="paragraph" w:styleId="Bibliography">
    <w:name w:val="Bibliography"/>
    <w:basedOn w:val="Normal"/>
    <w:next w:val="Normal"/>
    <w:uiPriority w:val="37"/>
    <w:unhideWhenUsed/>
    <w:rsid w:val="00186B2F"/>
    <w:pPr>
      <w:spacing w:after="0" w:line="240" w:lineRule="auto"/>
      <w:ind w:left="720" w:hanging="720"/>
    </w:pPr>
  </w:style>
  <w:style w:type="paragraph" w:styleId="HTMLPreformatted">
    <w:name w:val="HTML Preformatted"/>
    <w:basedOn w:val="Normal"/>
    <w:link w:val="HTMLPreformattedChar"/>
    <w:uiPriority w:val="99"/>
    <w:semiHidden/>
    <w:unhideWhenUsed/>
    <w:rsid w:val="002331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316E"/>
    <w:rPr>
      <w:rFonts w:ascii="Consolas" w:hAnsi="Consolas"/>
      <w:kern w:val="0"/>
      <w:sz w:val="20"/>
      <w:szCs w:val="20"/>
      <w14:ligatures w14:val="none"/>
    </w:rPr>
  </w:style>
  <w:style w:type="paragraph" w:styleId="Revision">
    <w:name w:val="Revision"/>
    <w:hidden/>
    <w:uiPriority w:val="99"/>
    <w:semiHidden/>
    <w:rsid w:val="000C3794"/>
    <w:pPr>
      <w:spacing w:after="0" w:line="240" w:lineRule="auto"/>
    </w:pPr>
    <w:rPr>
      <w:rFonts w:ascii="Times New Roman" w:hAnsi="Times New Roman"/>
      <w:kern w:val="0"/>
      <w:sz w:val="24"/>
      <w:szCs w:val="24"/>
      <w14:ligatures w14:val="none"/>
    </w:rPr>
  </w:style>
  <w:style w:type="character" w:styleId="LineNumber">
    <w:name w:val="line number"/>
    <w:basedOn w:val="DefaultParagraphFont"/>
    <w:uiPriority w:val="99"/>
    <w:semiHidden/>
    <w:unhideWhenUsed/>
    <w:rsid w:val="00995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07027">
      <w:bodyDiv w:val="1"/>
      <w:marLeft w:val="0"/>
      <w:marRight w:val="0"/>
      <w:marTop w:val="0"/>
      <w:marBottom w:val="0"/>
      <w:divBdr>
        <w:top w:val="none" w:sz="0" w:space="0" w:color="auto"/>
        <w:left w:val="none" w:sz="0" w:space="0" w:color="auto"/>
        <w:bottom w:val="none" w:sz="0" w:space="0" w:color="auto"/>
        <w:right w:val="none" w:sz="0" w:space="0" w:color="auto"/>
      </w:divBdr>
    </w:div>
    <w:div w:id="120461109">
      <w:bodyDiv w:val="1"/>
      <w:marLeft w:val="0"/>
      <w:marRight w:val="0"/>
      <w:marTop w:val="0"/>
      <w:marBottom w:val="0"/>
      <w:divBdr>
        <w:top w:val="none" w:sz="0" w:space="0" w:color="auto"/>
        <w:left w:val="none" w:sz="0" w:space="0" w:color="auto"/>
        <w:bottom w:val="none" w:sz="0" w:space="0" w:color="auto"/>
        <w:right w:val="none" w:sz="0" w:space="0" w:color="auto"/>
      </w:divBdr>
    </w:div>
    <w:div w:id="264963332">
      <w:bodyDiv w:val="1"/>
      <w:marLeft w:val="0"/>
      <w:marRight w:val="0"/>
      <w:marTop w:val="0"/>
      <w:marBottom w:val="0"/>
      <w:divBdr>
        <w:top w:val="none" w:sz="0" w:space="0" w:color="auto"/>
        <w:left w:val="none" w:sz="0" w:space="0" w:color="auto"/>
        <w:bottom w:val="none" w:sz="0" w:space="0" w:color="auto"/>
        <w:right w:val="none" w:sz="0" w:space="0" w:color="auto"/>
      </w:divBdr>
    </w:div>
    <w:div w:id="283199386">
      <w:bodyDiv w:val="1"/>
      <w:marLeft w:val="0"/>
      <w:marRight w:val="0"/>
      <w:marTop w:val="0"/>
      <w:marBottom w:val="0"/>
      <w:divBdr>
        <w:top w:val="none" w:sz="0" w:space="0" w:color="auto"/>
        <w:left w:val="none" w:sz="0" w:space="0" w:color="auto"/>
        <w:bottom w:val="none" w:sz="0" w:space="0" w:color="auto"/>
        <w:right w:val="none" w:sz="0" w:space="0" w:color="auto"/>
      </w:divBdr>
    </w:div>
    <w:div w:id="324550140">
      <w:bodyDiv w:val="1"/>
      <w:marLeft w:val="0"/>
      <w:marRight w:val="0"/>
      <w:marTop w:val="0"/>
      <w:marBottom w:val="0"/>
      <w:divBdr>
        <w:top w:val="none" w:sz="0" w:space="0" w:color="auto"/>
        <w:left w:val="none" w:sz="0" w:space="0" w:color="auto"/>
        <w:bottom w:val="none" w:sz="0" w:space="0" w:color="auto"/>
        <w:right w:val="none" w:sz="0" w:space="0" w:color="auto"/>
      </w:divBdr>
    </w:div>
    <w:div w:id="374895772">
      <w:bodyDiv w:val="1"/>
      <w:marLeft w:val="0"/>
      <w:marRight w:val="0"/>
      <w:marTop w:val="0"/>
      <w:marBottom w:val="0"/>
      <w:divBdr>
        <w:top w:val="none" w:sz="0" w:space="0" w:color="auto"/>
        <w:left w:val="none" w:sz="0" w:space="0" w:color="auto"/>
        <w:bottom w:val="none" w:sz="0" w:space="0" w:color="auto"/>
        <w:right w:val="none" w:sz="0" w:space="0" w:color="auto"/>
      </w:divBdr>
      <w:divsChild>
        <w:div w:id="430853017">
          <w:marLeft w:val="0"/>
          <w:marRight w:val="0"/>
          <w:marTop w:val="0"/>
          <w:marBottom w:val="0"/>
          <w:divBdr>
            <w:top w:val="none" w:sz="0" w:space="0" w:color="auto"/>
            <w:left w:val="none" w:sz="0" w:space="0" w:color="auto"/>
            <w:bottom w:val="none" w:sz="0" w:space="0" w:color="auto"/>
            <w:right w:val="none" w:sz="0" w:space="0" w:color="auto"/>
          </w:divBdr>
        </w:div>
        <w:div w:id="1005329452">
          <w:marLeft w:val="0"/>
          <w:marRight w:val="0"/>
          <w:marTop w:val="0"/>
          <w:marBottom w:val="0"/>
          <w:divBdr>
            <w:top w:val="none" w:sz="0" w:space="0" w:color="auto"/>
            <w:left w:val="none" w:sz="0" w:space="0" w:color="auto"/>
            <w:bottom w:val="none" w:sz="0" w:space="0" w:color="auto"/>
            <w:right w:val="none" w:sz="0" w:space="0" w:color="auto"/>
          </w:divBdr>
        </w:div>
        <w:div w:id="1539590644">
          <w:marLeft w:val="0"/>
          <w:marRight w:val="0"/>
          <w:marTop w:val="0"/>
          <w:marBottom w:val="0"/>
          <w:divBdr>
            <w:top w:val="none" w:sz="0" w:space="0" w:color="auto"/>
            <w:left w:val="none" w:sz="0" w:space="0" w:color="auto"/>
            <w:bottom w:val="none" w:sz="0" w:space="0" w:color="auto"/>
            <w:right w:val="none" w:sz="0" w:space="0" w:color="auto"/>
          </w:divBdr>
        </w:div>
        <w:div w:id="968164552">
          <w:marLeft w:val="0"/>
          <w:marRight w:val="0"/>
          <w:marTop w:val="0"/>
          <w:marBottom w:val="0"/>
          <w:divBdr>
            <w:top w:val="none" w:sz="0" w:space="0" w:color="auto"/>
            <w:left w:val="none" w:sz="0" w:space="0" w:color="auto"/>
            <w:bottom w:val="none" w:sz="0" w:space="0" w:color="auto"/>
            <w:right w:val="none" w:sz="0" w:space="0" w:color="auto"/>
          </w:divBdr>
        </w:div>
        <w:div w:id="2081707992">
          <w:marLeft w:val="0"/>
          <w:marRight w:val="0"/>
          <w:marTop w:val="0"/>
          <w:marBottom w:val="0"/>
          <w:divBdr>
            <w:top w:val="none" w:sz="0" w:space="0" w:color="auto"/>
            <w:left w:val="none" w:sz="0" w:space="0" w:color="auto"/>
            <w:bottom w:val="none" w:sz="0" w:space="0" w:color="auto"/>
            <w:right w:val="none" w:sz="0" w:space="0" w:color="auto"/>
          </w:divBdr>
        </w:div>
      </w:divsChild>
    </w:div>
    <w:div w:id="451823224">
      <w:bodyDiv w:val="1"/>
      <w:marLeft w:val="0"/>
      <w:marRight w:val="0"/>
      <w:marTop w:val="0"/>
      <w:marBottom w:val="0"/>
      <w:divBdr>
        <w:top w:val="none" w:sz="0" w:space="0" w:color="auto"/>
        <w:left w:val="none" w:sz="0" w:space="0" w:color="auto"/>
        <w:bottom w:val="none" w:sz="0" w:space="0" w:color="auto"/>
        <w:right w:val="none" w:sz="0" w:space="0" w:color="auto"/>
      </w:divBdr>
    </w:div>
    <w:div w:id="460154164">
      <w:bodyDiv w:val="1"/>
      <w:marLeft w:val="0"/>
      <w:marRight w:val="0"/>
      <w:marTop w:val="0"/>
      <w:marBottom w:val="0"/>
      <w:divBdr>
        <w:top w:val="none" w:sz="0" w:space="0" w:color="auto"/>
        <w:left w:val="none" w:sz="0" w:space="0" w:color="auto"/>
        <w:bottom w:val="none" w:sz="0" w:space="0" w:color="auto"/>
        <w:right w:val="none" w:sz="0" w:space="0" w:color="auto"/>
      </w:divBdr>
    </w:div>
    <w:div w:id="549150185">
      <w:bodyDiv w:val="1"/>
      <w:marLeft w:val="0"/>
      <w:marRight w:val="0"/>
      <w:marTop w:val="0"/>
      <w:marBottom w:val="0"/>
      <w:divBdr>
        <w:top w:val="none" w:sz="0" w:space="0" w:color="auto"/>
        <w:left w:val="none" w:sz="0" w:space="0" w:color="auto"/>
        <w:bottom w:val="none" w:sz="0" w:space="0" w:color="auto"/>
        <w:right w:val="none" w:sz="0" w:space="0" w:color="auto"/>
      </w:divBdr>
    </w:div>
    <w:div w:id="560555667">
      <w:bodyDiv w:val="1"/>
      <w:marLeft w:val="0"/>
      <w:marRight w:val="0"/>
      <w:marTop w:val="0"/>
      <w:marBottom w:val="0"/>
      <w:divBdr>
        <w:top w:val="none" w:sz="0" w:space="0" w:color="auto"/>
        <w:left w:val="none" w:sz="0" w:space="0" w:color="auto"/>
        <w:bottom w:val="none" w:sz="0" w:space="0" w:color="auto"/>
        <w:right w:val="none" w:sz="0" w:space="0" w:color="auto"/>
      </w:divBdr>
    </w:div>
    <w:div w:id="658315766">
      <w:bodyDiv w:val="1"/>
      <w:marLeft w:val="0"/>
      <w:marRight w:val="0"/>
      <w:marTop w:val="0"/>
      <w:marBottom w:val="0"/>
      <w:divBdr>
        <w:top w:val="none" w:sz="0" w:space="0" w:color="auto"/>
        <w:left w:val="none" w:sz="0" w:space="0" w:color="auto"/>
        <w:bottom w:val="none" w:sz="0" w:space="0" w:color="auto"/>
        <w:right w:val="none" w:sz="0" w:space="0" w:color="auto"/>
      </w:divBdr>
    </w:div>
    <w:div w:id="706610095">
      <w:bodyDiv w:val="1"/>
      <w:marLeft w:val="0"/>
      <w:marRight w:val="0"/>
      <w:marTop w:val="0"/>
      <w:marBottom w:val="0"/>
      <w:divBdr>
        <w:top w:val="none" w:sz="0" w:space="0" w:color="auto"/>
        <w:left w:val="none" w:sz="0" w:space="0" w:color="auto"/>
        <w:bottom w:val="none" w:sz="0" w:space="0" w:color="auto"/>
        <w:right w:val="none" w:sz="0" w:space="0" w:color="auto"/>
      </w:divBdr>
    </w:div>
    <w:div w:id="745079725">
      <w:bodyDiv w:val="1"/>
      <w:marLeft w:val="0"/>
      <w:marRight w:val="0"/>
      <w:marTop w:val="0"/>
      <w:marBottom w:val="0"/>
      <w:divBdr>
        <w:top w:val="none" w:sz="0" w:space="0" w:color="auto"/>
        <w:left w:val="none" w:sz="0" w:space="0" w:color="auto"/>
        <w:bottom w:val="none" w:sz="0" w:space="0" w:color="auto"/>
        <w:right w:val="none" w:sz="0" w:space="0" w:color="auto"/>
      </w:divBdr>
    </w:div>
    <w:div w:id="798256584">
      <w:bodyDiv w:val="1"/>
      <w:marLeft w:val="0"/>
      <w:marRight w:val="0"/>
      <w:marTop w:val="0"/>
      <w:marBottom w:val="0"/>
      <w:divBdr>
        <w:top w:val="none" w:sz="0" w:space="0" w:color="auto"/>
        <w:left w:val="none" w:sz="0" w:space="0" w:color="auto"/>
        <w:bottom w:val="none" w:sz="0" w:space="0" w:color="auto"/>
        <w:right w:val="none" w:sz="0" w:space="0" w:color="auto"/>
      </w:divBdr>
    </w:div>
    <w:div w:id="829755659">
      <w:bodyDiv w:val="1"/>
      <w:marLeft w:val="0"/>
      <w:marRight w:val="0"/>
      <w:marTop w:val="0"/>
      <w:marBottom w:val="0"/>
      <w:divBdr>
        <w:top w:val="none" w:sz="0" w:space="0" w:color="auto"/>
        <w:left w:val="none" w:sz="0" w:space="0" w:color="auto"/>
        <w:bottom w:val="none" w:sz="0" w:space="0" w:color="auto"/>
        <w:right w:val="none" w:sz="0" w:space="0" w:color="auto"/>
      </w:divBdr>
    </w:div>
    <w:div w:id="833715590">
      <w:bodyDiv w:val="1"/>
      <w:marLeft w:val="0"/>
      <w:marRight w:val="0"/>
      <w:marTop w:val="0"/>
      <w:marBottom w:val="0"/>
      <w:divBdr>
        <w:top w:val="none" w:sz="0" w:space="0" w:color="auto"/>
        <w:left w:val="none" w:sz="0" w:space="0" w:color="auto"/>
        <w:bottom w:val="none" w:sz="0" w:space="0" w:color="auto"/>
        <w:right w:val="none" w:sz="0" w:space="0" w:color="auto"/>
      </w:divBdr>
    </w:div>
    <w:div w:id="913931162">
      <w:bodyDiv w:val="1"/>
      <w:marLeft w:val="0"/>
      <w:marRight w:val="0"/>
      <w:marTop w:val="0"/>
      <w:marBottom w:val="0"/>
      <w:divBdr>
        <w:top w:val="none" w:sz="0" w:space="0" w:color="auto"/>
        <w:left w:val="none" w:sz="0" w:space="0" w:color="auto"/>
        <w:bottom w:val="none" w:sz="0" w:space="0" w:color="auto"/>
        <w:right w:val="none" w:sz="0" w:space="0" w:color="auto"/>
      </w:divBdr>
    </w:div>
    <w:div w:id="959799868">
      <w:bodyDiv w:val="1"/>
      <w:marLeft w:val="0"/>
      <w:marRight w:val="0"/>
      <w:marTop w:val="0"/>
      <w:marBottom w:val="0"/>
      <w:divBdr>
        <w:top w:val="none" w:sz="0" w:space="0" w:color="auto"/>
        <w:left w:val="none" w:sz="0" w:space="0" w:color="auto"/>
        <w:bottom w:val="none" w:sz="0" w:space="0" w:color="auto"/>
        <w:right w:val="none" w:sz="0" w:space="0" w:color="auto"/>
      </w:divBdr>
    </w:div>
    <w:div w:id="992022469">
      <w:bodyDiv w:val="1"/>
      <w:marLeft w:val="0"/>
      <w:marRight w:val="0"/>
      <w:marTop w:val="0"/>
      <w:marBottom w:val="0"/>
      <w:divBdr>
        <w:top w:val="none" w:sz="0" w:space="0" w:color="auto"/>
        <w:left w:val="none" w:sz="0" w:space="0" w:color="auto"/>
        <w:bottom w:val="none" w:sz="0" w:space="0" w:color="auto"/>
        <w:right w:val="none" w:sz="0" w:space="0" w:color="auto"/>
      </w:divBdr>
    </w:div>
    <w:div w:id="1015227227">
      <w:bodyDiv w:val="1"/>
      <w:marLeft w:val="0"/>
      <w:marRight w:val="0"/>
      <w:marTop w:val="0"/>
      <w:marBottom w:val="0"/>
      <w:divBdr>
        <w:top w:val="none" w:sz="0" w:space="0" w:color="auto"/>
        <w:left w:val="none" w:sz="0" w:space="0" w:color="auto"/>
        <w:bottom w:val="none" w:sz="0" w:space="0" w:color="auto"/>
        <w:right w:val="none" w:sz="0" w:space="0" w:color="auto"/>
      </w:divBdr>
    </w:div>
    <w:div w:id="1018432860">
      <w:bodyDiv w:val="1"/>
      <w:marLeft w:val="0"/>
      <w:marRight w:val="0"/>
      <w:marTop w:val="0"/>
      <w:marBottom w:val="0"/>
      <w:divBdr>
        <w:top w:val="none" w:sz="0" w:space="0" w:color="auto"/>
        <w:left w:val="none" w:sz="0" w:space="0" w:color="auto"/>
        <w:bottom w:val="none" w:sz="0" w:space="0" w:color="auto"/>
        <w:right w:val="none" w:sz="0" w:space="0" w:color="auto"/>
      </w:divBdr>
    </w:div>
    <w:div w:id="1024752461">
      <w:bodyDiv w:val="1"/>
      <w:marLeft w:val="0"/>
      <w:marRight w:val="0"/>
      <w:marTop w:val="0"/>
      <w:marBottom w:val="0"/>
      <w:divBdr>
        <w:top w:val="none" w:sz="0" w:space="0" w:color="auto"/>
        <w:left w:val="none" w:sz="0" w:space="0" w:color="auto"/>
        <w:bottom w:val="none" w:sz="0" w:space="0" w:color="auto"/>
        <w:right w:val="none" w:sz="0" w:space="0" w:color="auto"/>
      </w:divBdr>
    </w:div>
    <w:div w:id="1027608196">
      <w:bodyDiv w:val="1"/>
      <w:marLeft w:val="0"/>
      <w:marRight w:val="0"/>
      <w:marTop w:val="0"/>
      <w:marBottom w:val="0"/>
      <w:divBdr>
        <w:top w:val="none" w:sz="0" w:space="0" w:color="auto"/>
        <w:left w:val="none" w:sz="0" w:space="0" w:color="auto"/>
        <w:bottom w:val="none" w:sz="0" w:space="0" w:color="auto"/>
        <w:right w:val="none" w:sz="0" w:space="0" w:color="auto"/>
      </w:divBdr>
    </w:div>
    <w:div w:id="1082996205">
      <w:bodyDiv w:val="1"/>
      <w:marLeft w:val="0"/>
      <w:marRight w:val="0"/>
      <w:marTop w:val="0"/>
      <w:marBottom w:val="0"/>
      <w:divBdr>
        <w:top w:val="none" w:sz="0" w:space="0" w:color="auto"/>
        <w:left w:val="none" w:sz="0" w:space="0" w:color="auto"/>
        <w:bottom w:val="none" w:sz="0" w:space="0" w:color="auto"/>
        <w:right w:val="none" w:sz="0" w:space="0" w:color="auto"/>
      </w:divBdr>
    </w:div>
    <w:div w:id="1164738194">
      <w:bodyDiv w:val="1"/>
      <w:marLeft w:val="0"/>
      <w:marRight w:val="0"/>
      <w:marTop w:val="0"/>
      <w:marBottom w:val="0"/>
      <w:divBdr>
        <w:top w:val="none" w:sz="0" w:space="0" w:color="auto"/>
        <w:left w:val="none" w:sz="0" w:space="0" w:color="auto"/>
        <w:bottom w:val="none" w:sz="0" w:space="0" w:color="auto"/>
        <w:right w:val="none" w:sz="0" w:space="0" w:color="auto"/>
      </w:divBdr>
    </w:div>
    <w:div w:id="1209874139">
      <w:bodyDiv w:val="1"/>
      <w:marLeft w:val="0"/>
      <w:marRight w:val="0"/>
      <w:marTop w:val="0"/>
      <w:marBottom w:val="0"/>
      <w:divBdr>
        <w:top w:val="none" w:sz="0" w:space="0" w:color="auto"/>
        <w:left w:val="none" w:sz="0" w:space="0" w:color="auto"/>
        <w:bottom w:val="none" w:sz="0" w:space="0" w:color="auto"/>
        <w:right w:val="none" w:sz="0" w:space="0" w:color="auto"/>
      </w:divBdr>
    </w:div>
    <w:div w:id="1236862152">
      <w:bodyDiv w:val="1"/>
      <w:marLeft w:val="0"/>
      <w:marRight w:val="0"/>
      <w:marTop w:val="0"/>
      <w:marBottom w:val="0"/>
      <w:divBdr>
        <w:top w:val="none" w:sz="0" w:space="0" w:color="auto"/>
        <w:left w:val="none" w:sz="0" w:space="0" w:color="auto"/>
        <w:bottom w:val="none" w:sz="0" w:space="0" w:color="auto"/>
        <w:right w:val="none" w:sz="0" w:space="0" w:color="auto"/>
      </w:divBdr>
    </w:div>
    <w:div w:id="1365592160">
      <w:bodyDiv w:val="1"/>
      <w:marLeft w:val="0"/>
      <w:marRight w:val="0"/>
      <w:marTop w:val="0"/>
      <w:marBottom w:val="0"/>
      <w:divBdr>
        <w:top w:val="none" w:sz="0" w:space="0" w:color="auto"/>
        <w:left w:val="none" w:sz="0" w:space="0" w:color="auto"/>
        <w:bottom w:val="none" w:sz="0" w:space="0" w:color="auto"/>
        <w:right w:val="none" w:sz="0" w:space="0" w:color="auto"/>
      </w:divBdr>
    </w:div>
    <w:div w:id="1478835922">
      <w:bodyDiv w:val="1"/>
      <w:marLeft w:val="0"/>
      <w:marRight w:val="0"/>
      <w:marTop w:val="0"/>
      <w:marBottom w:val="0"/>
      <w:divBdr>
        <w:top w:val="none" w:sz="0" w:space="0" w:color="auto"/>
        <w:left w:val="none" w:sz="0" w:space="0" w:color="auto"/>
        <w:bottom w:val="none" w:sz="0" w:space="0" w:color="auto"/>
        <w:right w:val="none" w:sz="0" w:space="0" w:color="auto"/>
      </w:divBdr>
    </w:div>
    <w:div w:id="1570309561">
      <w:bodyDiv w:val="1"/>
      <w:marLeft w:val="0"/>
      <w:marRight w:val="0"/>
      <w:marTop w:val="0"/>
      <w:marBottom w:val="0"/>
      <w:divBdr>
        <w:top w:val="none" w:sz="0" w:space="0" w:color="auto"/>
        <w:left w:val="none" w:sz="0" w:space="0" w:color="auto"/>
        <w:bottom w:val="none" w:sz="0" w:space="0" w:color="auto"/>
        <w:right w:val="none" w:sz="0" w:space="0" w:color="auto"/>
      </w:divBdr>
    </w:div>
    <w:div w:id="1609506418">
      <w:bodyDiv w:val="1"/>
      <w:marLeft w:val="0"/>
      <w:marRight w:val="0"/>
      <w:marTop w:val="0"/>
      <w:marBottom w:val="0"/>
      <w:divBdr>
        <w:top w:val="none" w:sz="0" w:space="0" w:color="auto"/>
        <w:left w:val="none" w:sz="0" w:space="0" w:color="auto"/>
        <w:bottom w:val="none" w:sz="0" w:space="0" w:color="auto"/>
        <w:right w:val="none" w:sz="0" w:space="0" w:color="auto"/>
      </w:divBdr>
    </w:div>
    <w:div w:id="1683892627">
      <w:bodyDiv w:val="1"/>
      <w:marLeft w:val="0"/>
      <w:marRight w:val="0"/>
      <w:marTop w:val="0"/>
      <w:marBottom w:val="0"/>
      <w:divBdr>
        <w:top w:val="none" w:sz="0" w:space="0" w:color="auto"/>
        <w:left w:val="none" w:sz="0" w:space="0" w:color="auto"/>
        <w:bottom w:val="none" w:sz="0" w:space="0" w:color="auto"/>
        <w:right w:val="none" w:sz="0" w:space="0" w:color="auto"/>
      </w:divBdr>
    </w:div>
    <w:div w:id="1696272520">
      <w:bodyDiv w:val="1"/>
      <w:marLeft w:val="0"/>
      <w:marRight w:val="0"/>
      <w:marTop w:val="0"/>
      <w:marBottom w:val="0"/>
      <w:divBdr>
        <w:top w:val="none" w:sz="0" w:space="0" w:color="auto"/>
        <w:left w:val="none" w:sz="0" w:space="0" w:color="auto"/>
        <w:bottom w:val="none" w:sz="0" w:space="0" w:color="auto"/>
        <w:right w:val="none" w:sz="0" w:space="0" w:color="auto"/>
      </w:divBdr>
    </w:div>
    <w:div w:id="1816606559">
      <w:bodyDiv w:val="1"/>
      <w:marLeft w:val="0"/>
      <w:marRight w:val="0"/>
      <w:marTop w:val="0"/>
      <w:marBottom w:val="0"/>
      <w:divBdr>
        <w:top w:val="none" w:sz="0" w:space="0" w:color="auto"/>
        <w:left w:val="none" w:sz="0" w:space="0" w:color="auto"/>
        <w:bottom w:val="none" w:sz="0" w:space="0" w:color="auto"/>
        <w:right w:val="none" w:sz="0" w:space="0" w:color="auto"/>
      </w:divBdr>
    </w:div>
    <w:div w:id="1924334466">
      <w:bodyDiv w:val="1"/>
      <w:marLeft w:val="0"/>
      <w:marRight w:val="0"/>
      <w:marTop w:val="0"/>
      <w:marBottom w:val="0"/>
      <w:divBdr>
        <w:top w:val="none" w:sz="0" w:space="0" w:color="auto"/>
        <w:left w:val="none" w:sz="0" w:space="0" w:color="auto"/>
        <w:bottom w:val="none" w:sz="0" w:space="0" w:color="auto"/>
        <w:right w:val="none" w:sz="0" w:space="0" w:color="auto"/>
      </w:divBdr>
    </w:div>
    <w:div w:id="1942562250">
      <w:bodyDiv w:val="1"/>
      <w:marLeft w:val="0"/>
      <w:marRight w:val="0"/>
      <w:marTop w:val="0"/>
      <w:marBottom w:val="0"/>
      <w:divBdr>
        <w:top w:val="none" w:sz="0" w:space="0" w:color="auto"/>
        <w:left w:val="none" w:sz="0" w:space="0" w:color="auto"/>
        <w:bottom w:val="none" w:sz="0" w:space="0" w:color="auto"/>
        <w:right w:val="none" w:sz="0" w:space="0" w:color="auto"/>
      </w:divBdr>
    </w:div>
    <w:div w:id="1944336424">
      <w:bodyDiv w:val="1"/>
      <w:marLeft w:val="0"/>
      <w:marRight w:val="0"/>
      <w:marTop w:val="0"/>
      <w:marBottom w:val="0"/>
      <w:divBdr>
        <w:top w:val="none" w:sz="0" w:space="0" w:color="auto"/>
        <w:left w:val="none" w:sz="0" w:space="0" w:color="auto"/>
        <w:bottom w:val="none" w:sz="0" w:space="0" w:color="auto"/>
        <w:right w:val="none" w:sz="0" w:space="0" w:color="auto"/>
      </w:divBdr>
    </w:div>
    <w:div w:id="2020545968">
      <w:bodyDiv w:val="1"/>
      <w:marLeft w:val="0"/>
      <w:marRight w:val="0"/>
      <w:marTop w:val="0"/>
      <w:marBottom w:val="0"/>
      <w:divBdr>
        <w:top w:val="none" w:sz="0" w:space="0" w:color="auto"/>
        <w:left w:val="none" w:sz="0" w:space="0" w:color="auto"/>
        <w:bottom w:val="none" w:sz="0" w:space="0" w:color="auto"/>
        <w:right w:val="none" w:sz="0" w:space="0" w:color="auto"/>
      </w:divBdr>
    </w:div>
    <w:div w:id="2048724166">
      <w:bodyDiv w:val="1"/>
      <w:marLeft w:val="0"/>
      <w:marRight w:val="0"/>
      <w:marTop w:val="0"/>
      <w:marBottom w:val="0"/>
      <w:divBdr>
        <w:top w:val="none" w:sz="0" w:space="0" w:color="auto"/>
        <w:left w:val="none" w:sz="0" w:space="0" w:color="auto"/>
        <w:bottom w:val="none" w:sz="0" w:space="0" w:color="auto"/>
        <w:right w:val="none" w:sz="0" w:space="0" w:color="auto"/>
      </w:divBdr>
    </w:div>
    <w:div w:id="2070953745">
      <w:bodyDiv w:val="1"/>
      <w:marLeft w:val="0"/>
      <w:marRight w:val="0"/>
      <w:marTop w:val="0"/>
      <w:marBottom w:val="0"/>
      <w:divBdr>
        <w:top w:val="none" w:sz="0" w:space="0" w:color="auto"/>
        <w:left w:val="none" w:sz="0" w:space="0" w:color="auto"/>
        <w:bottom w:val="none" w:sz="0" w:space="0" w:color="auto"/>
        <w:right w:val="none" w:sz="0" w:space="0" w:color="auto"/>
      </w:divBdr>
    </w:div>
    <w:div w:id="2122530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xanthe.walker@nau.ed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DFE6BDB-1EE8-4015-971D-8898F0A35C60}">
  <ds:schemaRefs>
    <ds:schemaRef ds:uri="http://schemas.openxmlformats.org/officeDocument/2006/bibliography"/>
  </ds:schemaRefs>
</ds:datastoreItem>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1153</TotalTime>
  <Pages>46</Pages>
  <Words>11879</Words>
  <Characters>64909</Characters>
  <Application>Microsoft Office Word</Application>
  <DocSecurity>0</DocSecurity>
  <Lines>1319</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Xanthe Walker</dc:creator>
  <cp:keywords/>
  <dc:description/>
  <cp:lastModifiedBy>Xanthe J Walker</cp:lastModifiedBy>
  <cp:revision>51</cp:revision>
  <cp:lastPrinted>2025-03-21T16:52:00Z</cp:lastPrinted>
  <dcterms:created xsi:type="dcterms:W3CDTF">2025-03-19T20:47:00Z</dcterms:created>
  <dcterms:modified xsi:type="dcterms:W3CDTF">2025-03-21T18:53:00Z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526cd90c-d2df-4977-b10e-790bca92521f</vt:lpwstr>
  </property>
  <property fmtid="{D5CDD505-2E9C-101B-9397-08002B2CF9AE}" pid="3" name="ZOTERO_PREF_1">
    <vt:lpwstr>&lt;data data-version="3" zotero-version="7.0.15"&gt;&lt;session id="GCwkAQBt"/&gt;&lt;style id="http://www.zotero.org/styles/chicago-author-date" locale="en-US"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