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4E79" w:val="clear"/>
            <w:tcMar>
              <w:top w:type="dxa" w:w="500"/>
              <w:left w:type="dxa" w:w="600"/>
              <w:bottom w:type="dxa" w:w="500"/>
              <w:right w:type="dxa" w:w="600"/>
            </w:tcMar>
          </w:tcPr>
          <w:p>
            <w:pPr>
              <w:spacing w:after="120"/>
              <w:jc w:val="center"/>
            </w:pPr>
            <w:r>
              <w:rPr>
                <w:color w:val="7FB3D3"/>
                <w:sz w:val="36"/>
                <w:szCs w:val="36"/>
              </w:rPr>
              <w:t xml:space="preserve">♩  ♪  ♫  ♬</w:t>
            </w:r>
          </w:p>
          <w:p>
            <w:pPr>
              <w:spacing w:after="160"/>
              <w:jc w:val="center"/>
            </w:pPr>
            <w:r>
              <w:rPr>
                <w:i/>
                <w:iCs/>
                <w:color w:val="BDD7EE"/>
                <w:sz w:val="24"/>
                <w:szCs w:val="24"/>
              </w:rPr>
              <w:t xml:space="preserve">A Curriculum for the</w:t>
            </w:r>
          </w:p>
          <w:p>
            <w:pPr>
              <w:spacing w:after="120"/>
              <w:jc w:val="center"/>
            </w:pPr>
            <w:r>
              <w:rPr>
                <w:b/>
                <w:bCs/>
                <w:color w:val="FFFFFF"/>
                <w:sz w:val="52"/>
                <w:szCs w:val="52"/>
              </w:rPr>
              <w:t xml:space="preserve">Music Teacher &amp; Coach</w:t>
            </w:r>
          </w:p>
          <w:p>
            <w:pPr>
              <w:spacing w:after="200"/>
              <w:jc w:val="center"/>
            </w:pPr>
            <w:r>
              <w:rPr>
                <w:i/>
                <w:iCs/>
                <w:color w:val="BDD7EE"/>
                <w:sz w:val="26"/>
                <w:szCs w:val="26"/>
              </w:rPr>
              <w:t xml:space="preserve">A Reading Path Through Timeless Books</w:t>
            </w:r>
          </w:p>
          <w:p>
            <w:pPr>
              <w:jc w:val="center"/>
            </w:pPr>
            <w:r>
              <w:rPr>
                <w:color w:val="4A90C4"/>
                <w:sz w:val="24"/>
                <w:szCs w:val="24"/>
              </w:rPr>
              <w:t xml:space="preserve">________________________________________</w:t>
            </w:r>
          </w:p>
          <w:p>
            <w:pPr>
              <w:spacing w:before="160"/>
              <w:jc w:val="center"/>
            </w:pPr>
            <w:r>
              <w:rPr>
                <w:color w:val="BDD7EE"/>
                <w:sz w:val="20"/>
                <w:szCs w:val="20"/>
              </w:rPr>
              <w:t xml:space="preserve">Teaching  ·  Coaching  ·  Musicianship  ·  Psychology  ·  Artistry</w:t>
            </w:r>
          </w:p>
        </w:tc>
      </w:tr>
    </w:tbl>
    <w:p>
      <w:pPr>
        <w:spacing w:after="240"/>
      </w:pPr>
    </w:p>
    <w:p>
      <w:pPr>
        <w:pStyle w:val="Heading1"/>
      </w:pPr>
      <w:r>
        <w:t xml:space="preserve">Foreword: Teacher, Coach, or Both?</w:t>
      </w:r>
    </w:p>
    <w:p>
      <w:pPr>
        <w:pBdr>
          <w:bottom w:val="single" w:color="2E75B6" w:sz="6" w:space="1"/>
        </w:pBdr>
        <w:spacing w:after="160" w:before="80"/>
      </w:pPr>
    </w:p>
    <w:p>
      <w:pPr>
        <w:spacing w:after="120" w:before="0"/>
      </w:pPr>
      <w:r>
        <w:rPr>
          <w:color w:val="1A1A2E"/>
          <w:sz w:val="22"/>
          <w:szCs w:val="22"/>
        </w:rPr>
        <w:t xml:space="preserve">Before opening a single book, it is worth pausing on the question you wisely raised: what is the difference between a music teacher and a music coach? The distinction is real, though the two roles overlap enormously in practice.</w:t>
      </w:r>
    </w:p>
    <w:p>
      <w:pPr>
        <w:spacing w:after="80"/>
      </w:pPr>
    </w:p>
    <w:p>
      <w:pPr>
        <w:spacing w:after="120" w:before="0"/>
      </w:pPr>
      <w:r>
        <w:rPr>
          <w:color w:val="1A1A2E"/>
          <w:sz w:val="22"/>
          <w:szCs w:val="22"/>
        </w:rPr>
        <w:t xml:space="preserve">A teacher, in the classical sense, imparts knowledge and technique. She builds a student's musical vocabulary from the ground up — scales, theory, sight-reading, posture, the mechanics of an instrument or voice. The relationship is often long-term and sequential, moving through graded repertoire toward mastery of craft.</w:t>
      </w:r>
    </w:p>
    <w:p>
      <w:pPr>
        <w:spacing w:after="80"/>
      </w:pPr>
    </w:p>
    <w:p>
      <w:pPr>
        <w:spacing w:after="120" w:before="0"/>
      </w:pPr>
      <w:r>
        <w:rPr>
          <w:color w:val="1A1A2E"/>
          <w:sz w:val="22"/>
          <w:szCs w:val="22"/>
        </w:rPr>
        <w:t xml:space="preserve">A coach, by contrast, tends to work at the intersection of performance and psychology. He addresses what happens when the student already has the notes — how to interpret them, how to project conviction, how to manage nerves, how to bring something irreducibly personal to the music. Coaching draws heavily on sports psychology, somatics, and the kind of Socratic questioning associated with figures like Timothy Gallwey (whose Inner Game framework crossed from tennis into music with striking results).</w:t>
      </w:r>
    </w:p>
    <w:p>
      <w:pPr>
        <w:spacing w:after="80"/>
      </w:pPr>
    </w:p>
    <w:p>
      <w:pPr>
        <w:spacing w:after="120" w:before="0"/>
      </w:pPr>
      <w:r>
        <w:rPr>
          <w:color w:val="1A1A2E"/>
          <w:sz w:val="22"/>
          <w:szCs w:val="22"/>
        </w:rPr>
        <w:t xml:space="preserve">In reality, the finest music educators are always both. A teacher who never coaches produces technically capable but expressively inert players. A coach who cannot teach leaves students with beautiful intentions and shaky foundations. This curriculum treats the two as a unified art, while noting where particular books speak more to one side than the other.</w:t>
      </w:r>
    </w:p>
    <w:p>
      <w:pPr>
        <w:spacing w:after="80"/>
      </w:pPr>
    </w:p>
    <w:p>
      <w:pPr>
        <w:spacing w:after="120" w:before="0"/>
      </w:pPr>
      <w:r>
        <w:rPr>
          <w:color w:val="1A1A2E"/>
          <w:sz w:val="22"/>
          <w:szCs w:val="22"/>
        </w:rPr>
        <w:t xml:space="preserve">The books collected here span music pedagogy, general teaching philosophy, performance psychology, human learning, and the inner life of the musician. Many are decades or centuries old. All of them repay careful, repeated reading.</w:t>
      </w:r>
    </w:p>
    <w:p>
      <w:pPr>
        <w:spacing w:after="200"/>
      </w:pPr>
    </w:p>
    <w:p>
      <w:pPr>
        <w:pStyle w:val="Heading1"/>
      </w:pPr>
      <w:r>
        <w:t xml:space="preserve">How to Use This Curriculum</w:t>
      </w:r>
    </w:p>
    <w:p>
      <w:pPr>
        <w:pBdr>
          <w:bottom w:val="single" w:color="2E75B6" w:sz="6" w:space="1"/>
        </w:pBdr>
        <w:spacing w:after="160" w:before="80"/>
      </w:pPr>
    </w:p>
    <w:p>
      <w:pPr>
        <w:spacing w:after="120" w:before="0"/>
      </w:pPr>
      <w:r>
        <w:rPr>
          <w:color w:val="1A1A2E"/>
          <w:sz w:val="22"/>
          <w:szCs w:val="22"/>
        </w:rPr>
        <w:t xml:space="preserve">The curriculum is organized into five phases, each building on the last. You need not proceed strictly in order — a working teacher will find immediate value in any phase — but the sequence is intentional: it moves from the foundations of how people learn, through the specific craft of music teaching, into the psychology of performance, and finally toward the deeper questions of artistry and vocation.</w:t>
      </w:r>
    </w:p>
    <w:p>
      <w:pPr>
        <w:spacing w:after="100"/>
      </w:pPr>
    </w:p>
    <w:p>
      <w:pPr>
        <w:spacing w:after="120" w:before="0"/>
      </w:pPr>
      <w:r>
        <w:rPr>
          <w:color w:val="1A1A2E"/>
          <w:sz w:val="22"/>
          <w:szCs w:val="22"/>
        </w:rPr>
        <w:t xml:space="preserve">Alongside each book you will find a brief note on why it belongs here. A rough time estimate follows: this is a multi-year curriculum meant to be lived alongside teaching, not completed before it begins. Read slowly, teach, come back.</w:t>
      </w:r>
    </w:p>
    <w:p>
      <w:pPr>
        <w:spacing w:after="200"/>
      </w:pPr>
    </w:p>
    <w:p>
      <w:pPr>
        <w:pStyle w:val="Heading1"/>
      </w:pPr>
      <w:r>
        <w:t xml:space="preserve">The Five Phases at a Glance</w:t>
      </w:r>
    </w:p>
    <w:p>
      <w:pPr>
        <w:pBdr>
          <w:bottom w:val="single" w:color="2E75B6" w:sz="6" w:space="1"/>
        </w:pBdr>
        <w:spacing w:after="160" w:before="8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b/>
                <w:bCs/>
                <w:color w:val="FFFFFF"/>
                <w:sz w:val="32"/>
                <w:szCs w:val="32"/>
              </w:rPr>
              <w:t xml:space="preserve">I</w:t>
            </w:r>
          </w:p>
          <w:p>
            <w:pPr>
              <w:jc w:val="center"/>
            </w:pPr>
            <w:r>
              <w:rPr>
                <w:color w:val="FFFFFF"/>
                <w:sz w:val="16"/>
                <w:szCs w:val="16"/>
              </w:rPr>
              <w:t xml:space="preserve">PHASE</w:t>
            </w:r>
          </w:p>
        </w:tc>
        <w:tc>
          <w:tcPr>
            <w:tcW w:type="dxa" w:w="7920"/>
            <w:tcBorders>
              <w:top w:val="none" w:color="FFFFFF" w:sz="0"/>
              <w:left w:val="none" w:color="FFFFFF" w:sz="0"/>
              <w:bottom w:val="none" w:color="FFFFFF" w:sz="0"/>
              <w:right w:val="none" w:color="FFFFFF" w:sz="0"/>
            </w:tcBorders>
            <w:shd w:fill="EAF2FB" w:val="clear"/>
            <w:tcMar>
              <w:top w:type="dxa" w:w="120"/>
              <w:left w:type="dxa" w:w="200"/>
              <w:bottom w:type="dxa" w:w="120"/>
              <w:right w:type="dxa" w:w="160"/>
            </w:tcMar>
          </w:tcPr>
          <w:p>
            <w:r>
              <w:rPr>
                <w:b/>
                <w:bCs/>
                <w:color w:val="1F4E79"/>
                <w:sz w:val="26"/>
                <w:szCs w:val="26"/>
              </w:rPr>
              <w:t xml:space="preserve">Foundations of Learning</w:t>
            </w:r>
          </w:p>
          <w:p>
            <w:pPr>
              <w:spacing w:before="60"/>
            </w:pPr>
            <w:r>
              <w:rPr>
                <w:i/>
                <w:iCs/>
                <w:color w:val="1A1A2E"/>
                <w:sz w:val="20"/>
                <w:szCs w:val="20"/>
              </w:rPr>
              <w:t xml:space="preserve">How human beings actually acquire skills and knowledge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b/>
                <w:bCs/>
                <w:color w:val="FFFFFF"/>
                <w:sz w:val="32"/>
                <w:szCs w:val="32"/>
              </w:rPr>
              <w:t xml:space="preserve">II</w:t>
            </w:r>
          </w:p>
          <w:p>
            <w:pPr>
              <w:jc w:val="center"/>
            </w:pPr>
            <w:r>
              <w:rPr>
                <w:color w:val="FFFFFF"/>
                <w:sz w:val="16"/>
                <w:szCs w:val="16"/>
              </w:rPr>
              <w:t xml:space="preserve">PHASE</w:t>
            </w:r>
          </w:p>
        </w:tc>
        <w:tc>
          <w:tcPr>
            <w:tcW w:type="dxa" w:w="7920"/>
            <w:tcBorders>
              <w:top w:val="none" w:color="FFFFFF" w:sz="0"/>
              <w:left w:val="none" w:color="FFFFFF" w:sz="0"/>
              <w:bottom w:val="none" w:color="FFFFFF" w:sz="0"/>
              <w:right w:val="none" w:color="FFFFFF" w:sz="0"/>
            </w:tcBorders>
            <w:shd w:fill="F0F6FC" w:val="clear"/>
            <w:tcMar>
              <w:top w:type="dxa" w:w="120"/>
              <w:left w:type="dxa" w:w="200"/>
              <w:bottom w:type="dxa" w:w="120"/>
              <w:right w:type="dxa" w:w="160"/>
            </w:tcMar>
          </w:tcPr>
          <w:p>
            <w:r>
              <w:rPr>
                <w:b/>
                <w:bCs/>
                <w:color w:val="1F4E79"/>
                <w:sz w:val="26"/>
                <w:szCs w:val="26"/>
              </w:rPr>
              <w:t xml:space="preserve">The Art of Music Teaching</w:t>
            </w:r>
          </w:p>
          <w:p>
            <w:pPr>
              <w:spacing w:before="60"/>
            </w:pPr>
            <w:r>
              <w:rPr>
                <w:i/>
                <w:iCs/>
                <w:color w:val="1A1A2E"/>
                <w:sz w:val="20"/>
                <w:szCs w:val="20"/>
              </w:rPr>
              <w:t xml:space="preserve">Pedagogy, method, and the specific craft of the music studio</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vAlign w:val="center"/>
          </w:tcPr>
          <w:p>
            <w:pPr>
              <w:jc w:val="center"/>
            </w:pPr>
            <w:r>
              <w:rPr>
                <w:b/>
                <w:bCs/>
                <w:color w:val="FFFFFF"/>
                <w:sz w:val="32"/>
                <w:szCs w:val="32"/>
              </w:rPr>
              <w:t xml:space="preserve">III</w:t>
            </w:r>
          </w:p>
          <w:p>
            <w:pPr>
              <w:jc w:val="center"/>
            </w:pPr>
            <w:r>
              <w:rPr>
                <w:color w:val="FFFFFF"/>
                <w:sz w:val="16"/>
                <w:szCs w:val="16"/>
              </w:rPr>
              <w:t xml:space="preserve">PHASE</w:t>
            </w:r>
          </w:p>
        </w:tc>
        <w:tc>
          <w:tcPr>
            <w:tcW w:type="dxa" w:w="7920"/>
            <w:tcBorders>
              <w:top w:val="none" w:color="FFFFFF" w:sz="0"/>
              <w:left w:val="none" w:color="FFFFFF" w:sz="0"/>
              <w:bottom w:val="none" w:color="FFFFFF" w:sz="0"/>
              <w:right w:val="none" w:color="FFFFFF" w:sz="0"/>
            </w:tcBorders>
            <w:shd w:fill="E8F4F8" w:val="clear"/>
            <w:tcMar>
              <w:top w:type="dxa" w:w="120"/>
              <w:left w:type="dxa" w:w="200"/>
              <w:bottom w:type="dxa" w:w="120"/>
              <w:right w:type="dxa" w:w="160"/>
            </w:tcMar>
          </w:tcPr>
          <w:p>
            <w:r>
              <w:rPr>
                <w:b/>
                <w:bCs/>
                <w:color w:val="1F4E79"/>
                <w:sz w:val="26"/>
                <w:szCs w:val="26"/>
              </w:rPr>
              <w:t xml:space="preserve">The Inner Game</w:t>
            </w:r>
          </w:p>
          <w:p>
            <w:pPr>
              <w:spacing w:before="60"/>
            </w:pPr>
            <w:r>
              <w:rPr>
                <w:i/>
                <w:iCs/>
                <w:color w:val="1A1A2E"/>
                <w:sz w:val="20"/>
                <w:szCs w:val="20"/>
              </w:rPr>
              <w:t xml:space="preserve">Performance psychology, nerves, flow, and the coaching relationship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54360" w:val="clear"/>
            <w:tcMar>
              <w:top w:type="dxa" w:w="120"/>
              <w:left w:type="dxa" w:w="160"/>
              <w:bottom w:type="dxa" w:w="120"/>
              <w:right w:type="dxa" w:w="160"/>
            </w:tcMar>
            <w:vAlign w:val="center"/>
          </w:tcPr>
          <w:p>
            <w:pPr>
              <w:jc w:val="center"/>
            </w:pPr>
            <w:r>
              <w:rPr>
                <w:b/>
                <w:bCs/>
                <w:color w:val="FFFFFF"/>
                <w:sz w:val="32"/>
                <w:szCs w:val="32"/>
              </w:rPr>
              <w:t xml:space="preserve">IV</w:t>
            </w:r>
          </w:p>
          <w:p>
            <w:pPr>
              <w:jc w:val="center"/>
            </w:pPr>
            <w:r>
              <w:rPr>
                <w:color w:val="FFFFFF"/>
                <w:sz w:val="16"/>
                <w:szCs w:val="16"/>
              </w:rPr>
              <w:t xml:space="preserve">PHASE</w:t>
            </w:r>
          </w:p>
        </w:tc>
        <w:tc>
          <w:tcPr>
            <w:tcW w:type="dxa" w:w="7920"/>
            <w:tcBorders>
              <w:top w:val="none" w:color="FFFFFF" w:sz="0"/>
              <w:left w:val="none" w:color="FFFFFF" w:sz="0"/>
              <w:bottom w:val="none" w:color="FFFFFF" w:sz="0"/>
              <w:right w:val="none" w:color="FFFFFF" w:sz="0"/>
            </w:tcBorders>
            <w:shd w:fill="EBF5FB" w:val="clear"/>
            <w:tcMar>
              <w:top w:type="dxa" w:w="120"/>
              <w:left w:type="dxa" w:w="200"/>
              <w:bottom w:type="dxa" w:w="120"/>
              <w:right w:type="dxa" w:w="160"/>
            </w:tcMar>
          </w:tcPr>
          <w:p>
            <w:r>
              <w:rPr>
                <w:b/>
                <w:bCs/>
                <w:color w:val="1F4E79"/>
                <w:sz w:val="26"/>
                <w:szCs w:val="26"/>
              </w:rPr>
              <w:t xml:space="preserve">The Musician's Interior</w:t>
            </w:r>
          </w:p>
          <w:p>
            <w:pPr>
              <w:spacing w:before="60"/>
            </w:pPr>
            <w:r>
              <w:rPr>
                <w:i/>
                <w:iCs/>
                <w:color w:val="1A1A2E"/>
                <w:sz w:val="20"/>
                <w:szCs w:val="20"/>
              </w:rPr>
              <w:t xml:space="preserve">Listening, interpretation, artistry, and musical thought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E2D45" w:val="clear"/>
            <w:tcMar>
              <w:top w:type="dxa" w:w="120"/>
              <w:left w:type="dxa" w:w="160"/>
              <w:bottom w:type="dxa" w:w="120"/>
              <w:right w:type="dxa" w:w="160"/>
            </w:tcMar>
            <w:vAlign w:val="center"/>
          </w:tcPr>
          <w:p>
            <w:pPr>
              <w:jc w:val="center"/>
            </w:pPr>
            <w:r>
              <w:rPr>
                <w:b/>
                <w:bCs/>
                <w:color w:val="FFFFFF"/>
                <w:sz w:val="32"/>
                <w:szCs w:val="32"/>
              </w:rPr>
              <w:t xml:space="preserve">V</w:t>
            </w:r>
          </w:p>
          <w:p>
            <w:pPr>
              <w:jc w:val="center"/>
            </w:pPr>
            <w:r>
              <w:rPr>
                <w:color w:val="FFFFFF"/>
                <w:sz w:val="16"/>
                <w:szCs w:val="16"/>
              </w:rPr>
              <w:t xml:space="preserve">PHASE</w:t>
            </w:r>
          </w:p>
        </w:tc>
        <w:tc>
          <w:tcPr>
            <w:tcW w:type="dxa" w:w="7920"/>
            <w:tcBorders>
              <w:top w:val="none" w:color="FFFFFF" w:sz="0"/>
              <w:left w:val="none" w:color="FFFFFF" w:sz="0"/>
              <w:bottom w:val="none" w:color="FFFFFF" w:sz="0"/>
              <w:right w:val="none" w:color="FFFFFF" w:sz="0"/>
            </w:tcBorders>
            <w:shd w:fill="E5F0F8" w:val="clear"/>
            <w:tcMar>
              <w:top w:type="dxa" w:w="120"/>
              <w:left w:type="dxa" w:w="200"/>
              <w:bottom w:type="dxa" w:w="120"/>
              <w:right w:type="dxa" w:w="160"/>
            </w:tcMar>
          </w:tcPr>
          <w:p>
            <w:r>
              <w:rPr>
                <w:b/>
                <w:bCs/>
                <w:color w:val="1F4E79"/>
                <w:sz w:val="26"/>
                <w:szCs w:val="26"/>
              </w:rPr>
              <w:t xml:space="preserve">Teaching as a Vocation</w:t>
            </w:r>
          </w:p>
          <w:p>
            <w:pPr>
              <w:spacing w:before="60"/>
            </w:pPr>
            <w:r>
              <w:rPr>
                <w:i/>
                <w:iCs/>
                <w:color w:val="1A1A2E"/>
                <w:sz w:val="20"/>
                <w:szCs w:val="20"/>
              </w:rPr>
              <w:t xml:space="preserve">Philosophy, ethics, and the long view of a life in music education</w:t>
            </w:r>
          </w:p>
        </w:tc>
      </w:tr>
    </w:tbl>
    <w:p>
      <w:pPr>
        <w:spacing w:after="280"/>
      </w:pPr>
    </w:p>
    <w:p>
      <w:pPr>
        <w:pStyle w:val="Heading1"/>
      </w:pPr>
      <w:r>
        <w:t xml:space="preserve">Phase I — Foundations of Learning</w:t>
      </w:r>
    </w:p>
    <w:p>
      <w:pPr>
        <w:pBdr>
          <w:bottom w:val="single" w:color="2E75B6" w:sz="6" w:space="1"/>
        </w:pBdr>
        <w:spacing w:after="160" w:before="80"/>
      </w:pPr>
    </w:p>
    <w:p>
      <w:pPr>
        <w:spacing w:after="120" w:before="0"/>
      </w:pPr>
      <w:r>
        <w:rPr>
          <w:i w:val="false"/>
          <w:iCs w:val="false"/>
          <w:color w:val="1A1A2E"/>
          <w:sz w:val="22"/>
          <w:szCs w:val="22"/>
        </w:rPr>
        <w:t xml:space="preserve">Before you can teach music, you need a working theory of how human beings learn anything at all. These books provide it. They are not music-specific, but every page will illuminate your teaching.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000"/>
        <w:gridCol w:w="600"/>
        <w:gridCol w:w="3480"/>
      </w:tblGrid>
      <w:tr>
        <w:trPr>
          <w:tblHeader/>
        </w:trPr>
        <w:tc>
          <w:tcPr>
            <w:tcW w:type="dxa" w:w="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t>
            </w:r>
          </w:p>
        </w:tc>
        <w:tc>
          <w:tcPr>
            <w:tcW w:type="dxa" w:w="28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Title</w:t>
            </w:r>
          </w:p>
        </w:tc>
        <w:tc>
          <w:tcPr>
            <w:tcW w:type="dxa" w:w="20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Author</w:t>
            </w:r>
          </w:p>
        </w:tc>
        <w:tc>
          <w:tcPr>
            <w:tcW w:type="dxa" w:w="6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Year</w:t>
            </w:r>
          </w:p>
        </w:tc>
        <w:tc>
          <w:tcPr>
            <w:tcW w:type="dxa" w:w="3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Why It Matters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1</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Art of Teaching</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Gilbert Highet</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1950</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 classicist and great teacher meditates on what teaching actually is. Humane, literary, and full of enduring insight. Perhaps the finest general book on the subject.</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2</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Pedagogy of the Oppressed</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Paulo Freire</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1968</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Freire's critique of 'banking' education — depositing facts into passive students — is essential for any teacher who wants students to become active musicians rather than obedient imitators.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3</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How People Learn (NAS)</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National Academies</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2000</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The authoritative research synthesis on cognitive science and learning. Covers prior knowledge, metacognition, feedback, and transfer. Dense but foundational.</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4</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Mindset</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Carol S. Dweck</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2006</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Dweck's research on fixed vs. growth mindsets transformed how educators think about praise, effort, and resilience. Essential for teaching young musicians through inevitable plateaus.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5</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Make It Stick</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Brown, Roediger &amp; McDaniel</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2014</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Translates cognitive science into practice: retrieval practice, spaced repetition, interleaving. Many intuitions about efficient practice are simply wrong; this book corrects them.</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6</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Effortful Study (Ericsson)</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K. Anders Ericsson et al.</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1993</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The original research paper on deliberate practice. Dense and academic, but reading it firsthand clarifies what 'deliberate practice' actually means, as opposed to the popular distortions.</w:t>
            </w:r>
          </w:p>
        </w:tc>
      </w:tr>
    </w:tbl>
    <w:p>
      <w:pPr>
        <w:spacing w:after="100"/>
      </w:pPr>
    </w:p>
    <w:p>
      <w:pPr>
        <w:spacing w:after="120" w:before="0"/>
      </w:pPr>
      <w:r>
        <w:rPr>
          <w:i/>
          <w:iCs/>
          <w:color w:val="555555"/>
          <w:sz w:val="22"/>
          <w:szCs w:val="22"/>
        </w:rPr>
        <w:t xml:space="preserve">Supplementary for Phase I: John Holt's How Children Learn (1967) remains vivid and observant. Jerome Bruner's The Process of Education (1960) shaped American curriculum thought for decades.</w:t>
      </w:r>
    </w:p>
    <w:p>
      <w:pPr>
        <w:spacing w:after="280"/>
      </w:pPr>
    </w:p>
    <w:p>
      <w:pPr>
        <w:pStyle w:val="Heading1"/>
      </w:pPr>
      <w:r>
        <w:t xml:space="preserve">Phase II — The Art of Music Teaching</w:t>
      </w:r>
    </w:p>
    <w:p>
      <w:pPr>
        <w:pBdr>
          <w:bottom w:val="single" w:color="2E75B6" w:sz="6" w:space="1"/>
        </w:pBdr>
        <w:spacing w:after="160" w:before="80"/>
      </w:pPr>
    </w:p>
    <w:p>
      <w:pPr>
        <w:spacing w:after="120" w:before="0"/>
      </w:pPr>
      <w:r>
        <w:rPr>
          <w:i w:val="false"/>
          <w:iCs w:val="false"/>
          <w:color w:val="1A1A2E"/>
          <w:sz w:val="22"/>
          <w:szCs w:val="22"/>
        </w:rPr>
        <w:t xml:space="preserve">These books address the studio, the lesson, the rehearsal room. Some are method books by master teachers; others are reflective accounts of what teaching music actually demands.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000"/>
        <w:gridCol w:w="600"/>
        <w:gridCol w:w="3480"/>
      </w:tblGrid>
      <w:tr>
        <w:trPr>
          <w:tblHeader/>
        </w:trPr>
        <w:tc>
          <w:tcPr>
            <w:tcW w:type="dxa" w:w="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t>
            </w:r>
          </w:p>
        </w:tc>
        <w:tc>
          <w:tcPr>
            <w:tcW w:type="dxa" w:w="28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Title</w:t>
            </w:r>
          </w:p>
        </w:tc>
        <w:tc>
          <w:tcPr>
            <w:tcW w:type="dxa" w:w="20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Author</w:t>
            </w:r>
          </w:p>
        </w:tc>
        <w:tc>
          <w:tcPr>
            <w:tcW w:type="dxa" w:w="6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Year</w:t>
            </w:r>
          </w:p>
        </w:tc>
        <w:tc>
          <w:tcPr>
            <w:tcW w:type="dxa" w:w="3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Why It Matters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1</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Fundamentals of Musical Acoustics</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Arthur Benade</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1976</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For teachers of any instrument: an understanding of how sound actually works will transform how you diagnose problems in tone, intonation, and projection.</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2</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The Art of String Playing</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Carl Flesch</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1923</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Flesch on violin technique is the model of analytical precision. Non-string players should read it as a case study in how a master teacher anatomizes movement and sound.</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3</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Indirect Procedures</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Carlos Ching</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1996</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Draws on F.M. Alexander, Feldenkrais, and other somatic traditions to describe a non-coercive approach to teaching instrumental technique. Profound for teachers frustrated by students who cannot follow direct instruction.</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4</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The Musician's Way</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Gerald Klickstein</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2009</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A comprehensive, evidence-based guide to practice, performance, and teaching. Addresses injury prevention, memorization, and the psychology of the lesson. One of the most practically useful books on this list.</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5</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Teaching Music Through Performance</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Various</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1997–</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Multi-volume series examining major band/orchestra repertoire analytically. A model for how to study scores with teaching in mind.</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6</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Nadia Boulanger: A Life in Music</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Léonie Rosenstiel</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1982</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The biography of the 20th century's most celebrated composition teacher. Reading about Boulanger's methods is an education in itself — in high standards, Socratic pressure, and unconditional musical love.</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7</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Well-Tempered Music Teacher</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Sandra Rubinstein</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2003</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 practical and philosophical guide for private music teachers covering scheduling, repertoire selection, parent communication, and the long arc of student development.</w:t>
            </w:r>
          </w:p>
        </w:tc>
      </w:tr>
    </w:tbl>
    <w:p>
      <w:pPr>
        <w:spacing w:after="100"/>
      </w:pPr>
    </w:p>
    <w:p>
      <w:pPr>
        <w:spacing w:after="120" w:before="0"/>
      </w:pPr>
      <w:r>
        <w:rPr>
          <w:i/>
          <w:iCs/>
          <w:color w:val="555555"/>
          <w:sz w:val="22"/>
          <w:szCs w:val="22"/>
        </w:rPr>
        <w:t xml:space="preserve">On method systems specifically: Suzuki's Nurtured by Love (1969), Kodály's Selected Writings (1974), and Dalcroze's Rhythm, Music and Education (1921) are primary sources that should be read alongside scholarly commentary on each method.</w:t>
      </w:r>
    </w:p>
    <w:p>
      <w:pPr>
        <w:spacing w:after="280"/>
      </w:pPr>
    </w:p>
    <w:p>
      <w:pPr>
        <w:pStyle w:val="Heading1"/>
      </w:pPr>
      <w:r>
        <w:t xml:space="preserve">Phase III — The Inner Game</w:t>
      </w:r>
    </w:p>
    <w:p>
      <w:pPr>
        <w:pBdr>
          <w:bottom w:val="single" w:color="2E75B6" w:sz="6" w:space="1"/>
        </w:pBdr>
        <w:spacing w:after="160" w:before="80"/>
      </w:pPr>
    </w:p>
    <w:p>
      <w:pPr>
        <w:spacing w:after="120" w:before="0"/>
      </w:pPr>
      <w:r>
        <w:rPr>
          <w:i w:val="false"/>
          <w:iCs w:val="false"/>
          <w:color w:val="1A1A2E"/>
          <w:sz w:val="22"/>
          <w:szCs w:val="22"/>
        </w:rPr>
        <w:t xml:space="preserve">This is where teaching shades into coaching. The books here address performance anxiety, concentration, self-interference, and the psychological side of learning under pressure.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000"/>
        <w:gridCol w:w="600"/>
        <w:gridCol w:w="3480"/>
      </w:tblGrid>
      <w:tr>
        <w:trPr>
          <w:tblHeader/>
        </w:trPr>
        <w:tc>
          <w:tcPr>
            <w:tcW w:type="dxa" w:w="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t>
            </w:r>
          </w:p>
        </w:tc>
        <w:tc>
          <w:tcPr>
            <w:tcW w:type="dxa" w:w="28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Title</w:t>
            </w:r>
          </w:p>
        </w:tc>
        <w:tc>
          <w:tcPr>
            <w:tcW w:type="dxa" w:w="20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Author</w:t>
            </w:r>
          </w:p>
        </w:tc>
        <w:tc>
          <w:tcPr>
            <w:tcW w:type="dxa" w:w="6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Year</w:t>
            </w:r>
          </w:p>
        </w:tc>
        <w:tc>
          <w:tcPr>
            <w:tcW w:type="dxa" w:w="3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Why It Matters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1</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Inner Game of Tennis</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W. Timothy Gallwey</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1974</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The founding text of modern performance coaching. Gallwey's distinction between Self 1 (the critic) and Self 2 (the body's intelligence) maps perfectly onto musical performance. Read this before any other coaching book.</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2</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The Inner Game of Music</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Barry Green &amp; W.T. Gallwey</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1986</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Green applies Gallwey's framework directly to music. Less elegant than the original but full of concrete exercises and a necessary bridge for musicians skeptical of sports analogies.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3</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Choking: What the Secrets of the Brain Reveal</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Sian Beilock</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2010</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Neuroscience of performance failure. Beilock explains why over-thinking disrupts expert performance and what conditions allow skill to flow freely. Indispensable for teachers whose students fall apart under pressure.</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4</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Flow: The Psychology of Optimal Experience</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Mihaly Csikszentmihalyi</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1990</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The landmark study of intrinsic motivation and peak experience. Understanding flow states helps teachers calibrate challenge to skill — the precise balance that makes practice absorbing rather than tedious.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5</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Presence</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Amy Cuddy</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2015</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On the physiology and psychology of embodied confidence. Practical for students preparing for auditions and performances.</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6</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Practicing: A Musician's Return to Music</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Glenn Kurtz</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2007</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A memoiristic meditation on what happens when an adult musician returns to serious practice. Beautiful, honest, and quietly philosophical.</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7</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Courage to Teach</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Parker J. Palmer</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1997</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Palmer argues that good teaching comes from the teacher's inner life, not just methods. A book for the teacher's own psychological health and sense of vocation.</w:t>
            </w:r>
          </w:p>
        </w:tc>
      </w:tr>
    </w:tbl>
    <w:p>
      <w:pPr>
        <w:spacing w:after="280"/>
      </w:pPr>
    </w:p>
    <w:p>
      <w:pPr>
        <w:pStyle w:val="Heading1"/>
      </w:pPr>
      <w:r>
        <w:t xml:space="preserve">Phase IV — The Musician's Interior</w:t>
      </w:r>
    </w:p>
    <w:p>
      <w:pPr>
        <w:pBdr>
          <w:bottom w:val="single" w:color="2E75B6" w:sz="6" w:space="1"/>
        </w:pBdr>
        <w:spacing w:after="160" w:before="80"/>
      </w:pPr>
    </w:p>
    <w:p>
      <w:pPr>
        <w:spacing w:after="120" w:before="0"/>
      </w:pPr>
      <w:r>
        <w:rPr>
          <w:i w:val="false"/>
          <w:iCs w:val="false"/>
          <w:color w:val="1A1A2E"/>
          <w:sz w:val="22"/>
          <w:szCs w:val="22"/>
        </w:rPr>
        <w:t xml:space="preserve">These books concern musical thought itself: how musicians listen, how interpretation emerges, what it means to have something to say through music. A teacher who has never grappled with these questions will inadvertently produce students who play the notes without inhabiting them.</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000"/>
        <w:gridCol w:w="600"/>
        <w:gridCol w:w="3480"/>
      </w:tblGrid>
      <w:tr>
        <w:trPr>
          <w:tblHeader/>
        </w:trPr>
        <w:tc>
          <w:tcPr>
            <w:tcW w:type="dxa" w:w="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t>
            </w:r>
          </w:p>
        </w:tc>
        <w:tc>
          <w:tcPr>
            <w:tcW w:type="dxa" w:w="28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Title</w:t>
            </w:r>
          </w:p>
        </w:tc>
        <w:tc>
          <w:tcPr>
            <w:tcW w:type="dxa" w:w="20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Author</w:t>
            </w:r>
          </w:p>
        </w:tc>
        <w:tc>
          <w:tcPr>
            <w:tcW w:type="dxa" w:w="6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Year</w:t>
            </w:r>
          </w:p>
        </w:tc>
        <w:tc>
          <w:tcPr>
            <w:tcW w:type="dxa" w:w="3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Why It Matters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1</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Compleat Musician</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Steven Laitz</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2003</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An integrated approach to music theory and ear training. Teachers should know this material cold — not to teach it formulaically, but because theoretical literacy deepens interpretive intelligence.</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2</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Musical Thought</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Roger Sessions</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1950</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Lectures by a major American composer on the nature of musical experience, rhythm, and the act of musical hearing. Dense and rewarding.</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3</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Unanswered Question</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Leonard Bernstein</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1976</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Bernstein's Harvard Norton Lectures applying Chomsky's linguistics to music. A brilliant, idiosyncratic, occasionally maddening attempt to understand why music works. Enormously stimulating for teachers.</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4</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On Music</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Aaron Copland</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1952</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Copland's What to Listen For in Music remains the best introduction to active, structural listening. Essential background for teachers of any age group.</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5</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Rest Is Noise</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Alex Ross</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2007</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 comprehensive narrative of 20th-century music. Not pedagogy, but a teacher ignorant of musical history cannot contextualize repertoire. Ross is a pleasure to read.</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6</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Piano Notes</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Charles Rosen</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2002</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Rosen, pianist and musicologist, reflects on what piano playing actually requires. Illuminates the relationship between intellectual understanding and physical execution.</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7</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Nourishing the Soul of the Teacher</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Various</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Anthologies of this kind, from Parker Palmer's Center for Courage &amp; Renewal, keep the inner life of teaching alive. Seek out collections that speak to your instrument and aesthetic.</w:t>
            </w:r>
          </w:p>
        </w:tc>
      </w:tr>
    </w:tbl>
    <w:p>
      <w:pPr>
        <w:spacing w:after="280"/>
      </w:pPr>
    </w:p>
    <w:p>
      <w:pPr>
        <w:pStyle w:val="Heading1"/>
      </w:pPr>
      <w:r>
        <w:t xml:space="preserve">Phase V — Teaching as a Vocation</w:t>
      </w:r>
    </w:p>
    <w:p>
      <w:pPr>
        <w:pBdr>
          <w:bottom w:val="single" w:color="2E75B6" w:sz="6" w:space="1"/>
        </w:pBdr>
        <w:spacing w:after="160" w:before="80"/>
      </w:pPr>
    </w:p>
    <w:p>
      <w:pPr>
        <w:spacing w:after="120" w:before="0"/>
      </w:pPr>
      <w:r>
        <w:rPr>
          <w:i w:val="false"/>
          <w:iCs w:val="false"/>
          <w:color w:val="1A1A2E"/>
          <w:sz w:val="22"/>
          <w:szCs w:val="22"/>
        </w:rPr>
        <w:t xml:space="preserve">The final phase steps back from technique and psychology to ask larger questions: What is music education for? What do we owe our students? What sustains a teacher across a lifetime? These books are for the long haul.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2000"/>
        <w:gridCol w:w="600"/>
        <w:gridCol w:w="3480"/>
      </w:tblGrid>
      <w:tr>
        <w:trPr>
          <w:tblHeader/>
        </w:trPr>
        <w:tc>
          <w:tcPr>
            <w:tcW w:type="dxa" w:w="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t>
            </w:r>
          </w:p>
        </w:tc>
        <w:tc>
          <w:tcPr>
            <w:tcW w:type="dxa" w:w="28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Title</w:t>
            </w:r>
          </w:p>
        </w:tc>
        <w:tc>
          <w:tcPr>
            <w:tcW w:type="dxa" w:w="20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Author</w:t>
            </w:r>
          </w:p>
        </w:tc>
        <w:tc>
          <w:tcPr>
            <w:tcW w:type="dxa" w:w="6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Year</w:t>
            </w:r>
          </w:p>
        </w:tc>
        <w:tc>
          <w:tcPr>
            <w:tcW w:type="dxa" w:w="3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Why It Matters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1</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To Know as We Are Known</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Parker J. Palmer</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1983</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Palmer's earlier, more philosophical meditation on education as a spiritual practice. Argues that genuine teaching requires the teacher to be known as well as knowing.</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2</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Letters to a Young Poet</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Rainer Maria Rilke</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1929</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Rilke's letters to a young student of poetry are, at a deeper level, letters about vocation, patience, and the long preparation required by any serious art. Every music teacher should read them.</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3</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Children of Willesden Lane</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Mona Golabek &amp; Lee Cohen</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2002</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 story of music, survival, and teaching in extremity. A reminder of what music can mean in a human life.</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4</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On Teaching and Learning</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J. Krishnamurti</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1956</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Krishnamurti's radical challenge to conventional education. Not everyone will agree with him, but every teacher should encounter this voice.</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5</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Excellence and Equity (NASM)</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Various</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Position papers and conference proceedings from national music education bodies ground the individual teacher in the larger conversation about access, equity, and the social role of music education.</w:t>
            </w:r>
          </w:p>
        </w:tc>
      </w:tr>
      <w:tr>
        <w:tc>
          <w:tcPr>
            <w:tcW w:type="dxa" w:w="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6</w:t>
            </w:r>
          </w:p>
        </w:tc>
        <w:tc>
          <w:tcPr>
            <w:tcW w:type="dxa" w:w="28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A1A2E"/>
                <w:sz w:val="19"/>
                <w:szCs w:val="19"/>
              </w:rPr>
              <w:t xml:space="preserve">Musicking</w:t>
            </w:r>
          </w:p>
        </w:tc>
        <w:tc>
          <w:tcPr>
            <w:tcW w:type="dxa" w:w="20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Christopher Small</w:t>
            </w:r>
          </w:p>
        </w:tc>
        <w:tc>
          <w:tcPr>
            <w:tcW w:type="dxa" w:w="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1998</w:t>
            </w:r>
          </w:p>
        </w:tc>
        <w:tc>
          <w:tcPr>
            <w:tcW w:type="dxa" w:w="3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val="false"/>
                <w:bCs w:val="false"/>
                <w:color w:val="1A1A2E"/>
                <w:sz w:val="19"/>
                <w:szCs w:val="19"/>
              </w:rPr>
              <w:t xml:space="preserve">Small argues that music is not a thing but an activity — and that how we arrange musical events encodes values about human relationships. A provocative framework for thinking about what a lesson or recital actually is.</w:t>
            </w:r>
          </w:p>
        </w:tc>
      </w:tr>
      <w:tr>
        <w:tc>
          <w:tcPr>
            <w:tcW w:type="dxa" w:w="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7</w:t>
            </w:r>
          </w:p>
        </w:tc>
        <w:tc>
          <w:tcPr>
            <w:tcW w:type="dxa" w:w="28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A1A2E"/>
                <w:sz w:val="19"/>
                <w:szCs w:val="19"/>
              </w:rPr>
              <w:t xml:space="preserve">The Examined Life</w:t>
            </w:r>
          </w:p>
        </w:tc>
        <w:tc>
          <w:tcPr>
            <w:tcW w:type="dxa" w:w="20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Stephen Grosz</w:t>
            </w:r>
          </w:p>
        </w:tc>
        <w:tc>
          <w:tcPr>
            <w:tcW w:type="dxa" w:w="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2013</w:t>
            </w:r>
          </w:p>
        </w:tc>
        <w:tc>
          <w:tcPr>
            <w:tcW w:type="dxa" w:w="3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val="false"/>
                <w:bCs w:val="false"/>
                <w:color w:val="1A1A2E"/>
                <w:sz w:val="19"/>
                <w:szCs w:val="19"/>
              </w:rPr>
              <w:t xml:space="preserve">A psychoanalyst's case studies. Included because the coaching relationship has psychological depths, and a teacher who reads thoughtfully about how human beings change (and resist changing) will be a wiser guide.</w:t>
            </w:r>
          </w:p>
        </w:tc>
      </w:tr>
    </w:tbl>
    <w:p>
      <w:pPr>
        <w:spacing w:after="100"/>
      </w:pPr>
    </w:p>
    <w:p>
      <w:pPr>
        <w:spacing w:after="120" w:before="0"/>
      </w:pPr>
      <w:r>
        <w:rPr>
          <w:i/>
          <w:iCs/>
          <w:color w:val="555555"/>
          <w:sz w:val="22"/>
          <w:szCs w:val="22"/>
        </w:rPr>
        <w:t xml:space="preserve">A final note on rereading: the mark of a book truly worth your time is that it reads differently at forty than at twenty-five, differently in year fifteen of teaching than in year two. Plan to return. The books that repay rereading are the ones worth reading first.</w:t>
      </w:r>
    </w:p>
    <w:p>
      <w:pPr>
        <w:spacing w:after="280"/>
      </w:pPr>
    </w:p>
    <w:p>
      <w:pPr>
        <w:pStyle w:val="Heading1"/>
      </w:pPr>
      <w:r>
        <w:t xml:space="preserve">Suggested Reading Sequence &amp; Pacing</w:t>
      </w:r>
    </w:p>
    <w:p>
      <w:pPr>
        <w:pBdr>
          <w:bottom w:val="single" w:color="2E75B6" w:sz="6" w:space="1"/>
        </w:pBdr>
        <w:spacing w:after="160" w:before="80"/>
      </w:pPr>
    </w:p>
    <w:p>
      <w:pPr>
        <w:spacing w:after="120" w:before="0"/>
      </w:pPr>
      <w:r>
        <w:rPr>
          <w:color w:val="1A1A2E"/>
          <w:sz w:val="22"/>
          <w:szCs w:val="22"/>
        </w:rPr>
        <w:t xml:space="preserve">This is a multi-year curriculum, best pursued while actively teaching. A reasonable pace for a working teacher: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4480"/>
      </w:tblGrid>
      <w:tr>
        <w:trPr>
          <w:tblHeader/>
        </w:trPr>
        <w:tc>
          <w:tcPr>
            <w:tcW w:type="dxa" w:w="160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Period</w:t>
            </w:r>
          </w:p>
        </w:tc>
        <w:tc>
          <w:tcPr>
            <w:tcW w:type="dxa" w:w="32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Recommended Reading</w:t>
            </w:r>
          </w:p>
        </w:tc>
        <w:tc>
          <w:tcPr>
            <w:tcW w:type="dxa" w:w="4480"/>
            <w:tcBorders>
              <w:top w:val="single" w:color="AECCE8" w:sz="1"/>
              <w:left w:val="single" w:color="AECCE8" w:sz="1"/>
              <w:bottom w:val="single" w:color="AECCE8" w:sz="1"/>
              <w:right w:val="single" w:color="AECCE8" w:sz="1"/>
            </w:tcBorders>
            <w:shd w:fill="1F4E79" w:val="clear"/>
            <w:tcMar>
              <w:top w:type="dxa" w:w="100"/>
              <w:left w:type="dxa" w:w="140"/>
              <w:bottom w:type="dxa" w:w="100"/>
              <w:right w:type="dxa" w:w="140"/>
            </w:tcMar>
          </w:tcPr>
          <w:p>
            <w:r>
              <w:rPr>
                <w:b/>
                <w:bCs/>
                <w:color w:val="FFFFFF"/>
                <w:sz w:val="19"/>
                <w:szCs w:val="19"/>
              </w:rPr>
              <w:t xml:space="preserve">Focus</w:t>
            </w:r>
          </w:p>
        </w:tc>
      </w:tr>
      <w:tr>
        <w:tc>
          <w:tcPr>
            <w:tcW w:type="dxa" w:w="1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F4E79"/>
                <w:sz w:val="19"/>
                <w:szCs w:val="19"/>
              </w:rPr>
              <w:t xml:space="preserve">Year 1</w:t>
            </w:r>
          </w:p>
        </w:tc>
        <w:tc>
          <w:tcPr>
            <w:tcW w:type="dxa" w:w="32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color w:val="1A1A2E"/>
                <w:sz w:val="19"/>
                <w:szCs w:val="19"/>
              </w:rPr>
              <w:t xml:space="preserve">Phases I &amp; III</w:t>
            </w:r>
          </w:p>
        </w:tc>
        <w:tc>
          <w:tcPr>
            <w:tcW w:type="dxa" w:w="4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color w:val="1A1A2E"/>
                <w:sz w:val="19"/>
                <w:szCs w:val="19"/>
              </w:rPr>
              <w:t xml:space="preserve">Understand how people learn and how performance psychology works before entrenching habits.</w:t>
            </w:r>
          </w:p>
        </w:tc>
      </w:tr>
      <w:tr>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F4E79"/>
                <w:sz w:val="19"/>
                <w:szCs w:val="19"/>
              </w:rPr>
              <w:t xml:space="preserve">Year 2</w:t>
            </w:r>
          </w:p>
        </w:tc>
        <w:tc>
          <w:tcPr>
            <w:tcW w:type="dxa" w:w="32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color w:val="1A1A2E"/>
                <w:sz w:val="19"/>
                <w:szCs w:val="19"/>
              </w:rPr>
              <w:t xml:space="preserve">Phase II</w:t>
            </w:r>
          </w:p>
        </w:tc>
        <w:tc>
          <w:tcPr>
            <w:tcW w:type="dxa" w:w="4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color w:val="1A1A2E"/>
                <w:sz w:val="19"/>
                <w:szCs w:val="19"/>
              </w:rPr>
              <w:t xml:space="preserve">Build your pedagogical toolkit. Apply immediately to lessons; return to these books after each teaching challenge.</w:t>
            </w:r>
          </w:p>
        </w:tc>
      </w:tr>
      <w:tr>
        <w:tc>
          <w:tcPr>
            <w:tcW w:type="dxa" w:w="160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b/>
                <w:bCs/>
                <w:color w:val="1F4E79"/>
                <w:sz w:val="19"/>
                <w:szCs w:val="19"/>
              </w:rPr>
              <w:t xml:space="preserve">Year 3</w:t>
            </w:r>
          </w:p>
        </w:tc>
        <w:tc>
          <w:tcPr>
            <w:tcW w:type="dxa" w:w="32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color w:val="1A1A2E"/>
                <w:sz w:val="19"/>
                <w:szCs w:val="19"/>
              </w:rPr>
              <w:t xml:space="preserve">Phase IV</w:t>
            </w:r>
          </w:p>
        </w:tc>
        <w:tc>
          <w:tcPr>
            <w:tcW w:type="dxa" w:w="4480"/>
            <w:tcBorders>
              <w:top w:val="single" w:color="AECCE8" w:sz="1"/>
              <w:left w:val="single" w:color="AECCE8" w:sz="1"/>
              <w:bottom w:val="single" w:color="AECCE8" w:sz="1"/>
              <w:right w:val="single" w:color="AECCE8" w:sz="1"/>
            </w:tcBorders>
            <w:shd w:fill="EAF2FB" w:val="clear"/>
            <w:tcMar>
              <w:top w:type="dxa" w:w="80"/>
              <w:left w:type="dxa" w:w="140"/>
              <w:bottom w:type="dxa" w:w="80"/>
              <w:right w:type="dxa" w:w="140"/>
            </w:tcMar>
          </w:tcPr>
          <w:p>
            <w:r>
              <w:rPr>
                <w:color w:val="1A1A2E"/>
                <w:sz w:val="19"/>
                <w:szCs w:val="19"/>
              </w:rPr>
              <w:t xml:space="preserve">Deepen musical thought. Begin reading scores analytically; attend more concerts with pencil in hand.</w:t>
            </w:r>
          </w:p>
        </w:tc>
      </w:tr>
      <w:tr>
        <w:tc>
          <w:tcPr>
            <w:tcW w:type="dxa" w:w="160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b/>
                <w:bCs/>
                <w:color w:val="1F4E79"/>
                <w:sz w:val="19"/>
                <w:szCs w:val="19"/>
              </w:rPr>
              <w:t xml:space="preserve">Year 4+</w:t>
            </w:r>
          </w:p>
        </w:tc>
        <w:tc>
          <w:tcPr>
            <w:tcW w:type="dxa" w:w="32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color w:val="1A1A2E"/>
                <w:sz w:val="19"/>
                <w:szCs w:val="19"/>
              </w:rPr>
              <w:t xml:space="preserve">Phase V &amp; return</w:t>
            </w:r>
          </w:p>
        </w:tc>
        <w:tc>
          <w:tcPr>
            <w:tcW w:type="dxa" w:w="4480"/>
            <w:tcBorders>
              <w:top w:val="single" w:color="AECCE8" w:sz="1"/>
              <w:left w:val="single" w:color="AECCE8" w:sz="1"/>
              <w:bottom w:val="single" w:color="AECCE8" w:sz="1"/>
              <w:right w:val="single" w:color="AECCE8" w:sz="1"/>
            </w:tcBorders>
            <w:shd w:fill="FFFFFF" w:val="clear"/>
            <w:tcMar>
              <w:top w:type="dxa" w:w="80"/>
              <w:left w:type="dxa" w:w="140"/>
              <w:bottom w:type="dxa" w:w="80"/>
              <w:right w:type="dxa" w:w="140"/>
            </w:tcMar>
          </w:tcPr>
          <w:p>
            <w:r>
              <w:rPr>
                <w:color w:val="1A1A2E"/>
                <w:sz w:val="19"/>
                <w:szCs w:val="19"/>
              </w:rPr>
              <w:t xml:space="preserve">The long-game books. Revisit earlier phases. What you could not absorb at the start will now land differently.</w:t>
            </w:r>
          </w:p>
        </w:tc>
      </w:tr>
    </w:tbl>
    <w:p>
      <w:pPr>
        <w:spacing w:after="280"/>
      </w:pPr>
    </w:p>
    <w:p>
      <w:pPr>
        <w:pStyle w:val="Heading1"/>
      </w:pPr>
      <w:r>
        <w:t xml:space="preserve">A Closing Word</w:t>
      </w:r>
    </w:p>
    <w:p>
      <w:pPr>
        <w:pBdr>
          <w:bottom w:val="single" w:color="2E75B6" w:sz="6" w:space="1"/>
        </w:pBdr>
        <w:spacing w:after="160" w:before="80"/>
      </w:pPr>
    </w:p>
    <w:p>
      <w:pPr>
        <w:spacing w:after="120" w:before="0"/>
      </w:pPr>
      <w:r>
        <w:rPr>
          <w:color w:val="1A1A2E"/>
          <w:sz w:val="22"/>
          <w:szCs w:val="22"/>
        </w:rPr>
        <w:t xml:space="preserve">The greatest music teachers on record — Boulanger, Leschetizky, Carl Flesch, Dorothy DeLay, the legendary Joachim — shared one characteristic that no book can fully convey: they listened with extraordinary attention. They heard not just the notes but the student behind the notes — their fear, their longing, their specific physical habits, their particular musical imagination.</w:t>
      </w:r>
    </w:p>
    <w:p>
      <w:pPr>
        <w:spacing w:after="80"/>
      </w:pPr>
    </w:p>
    <w:p>
      <w:pPr>
        <w:spacing w:after="120" w:before="0"/>
      </w:pPr>
      <w:r>
        <w:rPr>
          <w:color w:val="1A1A2E"/>
          <w:sz w:val="22"/>
          <w:szCs w:val="22"/>
        </w:rPr>
        <w:t xml:space="preserve">Books can sharpen your thinking, expand your empathy, and give you frameworks that survive your first instincts. But the curriculum ultimately lives in the studio, in the patient hour after hour of attending to another human being trying to make something beautiful. Read widely; teach humbly; listen closely.</w:t>
      </w:r>
    </w:p>
    <w:p>
      <w:pPr>
        <w:spacing w:after="200"/>
      </w:pPr>
    </w:p>
    <w:p>
      <w:pPr>
        <w:jc w:val="center"/>
      </w:pPr>
      <w:r>
        <w:rPr>
          <w:color w:val="2E75B6"/>
          <w:sz w:val="28"/>
          <w:szCs w:val="28"/>
        </w:rPr>
        <w:t xml:space="preserve">♩  ♪  ♫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pPr>
    <w:r>
      <w:rPr>
        <w:i/>
        <w:iCs/>
        <w:color w:val="888888"/>
        <w:sz w:val="18"/>
        <w:szCs w:val="18"/>
      </w:rPr>
      <w:t xml:space="preserve">A Curriculum for the Music Teacher &amp; Coach  </w:t>
    </w:r>
    <w:r>
      <w:rPr>
        <w:sz w:val="18"/>
        <w:szCs w:val="18"/>
      </w:rP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color w:val="2E75B6"/>
        <w:sz w:val="18"/>
        <w:szCs w:val="18"/>
      </w:rPr>
    </w:lvl>
  </w:abstractNum>
  <w:abstractNum w:abstractNumId="3" w15:restartNumberingAfterBreak="0">
    <w:multiLevelType w:val="hybridMultilevel"/>
    <w:lvl w:ilvl="0" w15:tentative="1">
      <w:start w:val="1"/>
      <w:numFmt w:val="bullet"/>
      <w:lvlText w:val="–"/>
      <w:lvlJc w:val="left"/>
      <w:pPr>
        <w:spacing w:after="60"/>
        <w:ind w:left="1080" w:hanging="360"/>
      </w:pPr>
      <w:rPr>
        <w:color w:val="1A1A2E"/>
        <w:sz w:val="18"/>
        <w:szCs w:val="1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F4E79"/>
      <w:sz w:val="34"/>
      <w:szCs w:val="34"/>
    </w:rPr>
  </w:style>
  <w:style w:type="paragraph" w:styleId="Heading2">
    <w:name w:val="Heading 2"/>
    <w:basedOn w:val="Normal"/>
    <w:next w:val="Normal"/>
    <w:qFormat/>
    <w:pPr>
      <w:spacing w:before="280" w:after="120"/>
      <w:outlineLvl w:val="1"/>
    </w:pPr>
    <w:rPr>
      <w:rFonts w:ascii="Georgia" w:cs="Georgia" w:eastAsia="Georgia" w:hAnsi="Georgia"/>
      <w:b/>
      <w:bCs/>
      <w:color w:val="2E75B6"/>
      <w:sz w:val="26"/>
      <w:szCs w:val="26"/>
    </w:rPr>
  </w:style>
  <w:style w:type="paragraph" w:styleId="Heading3">
    <w:name w:val="Heading 3"/>
    <w:basedOn w:val="Normal"/>
    <w:next w:val="Normal"/>
    <w:qFormat/>
    <w:pPr>
      <w:spacing w:before="200" w:after="80"/>
      <w:outlineLvl w:val="2"/>
    </w:pPr>
    <w:rPr>
      <w:rFonts w:ascii="Georgia" w:cs="Georgia" w:eastAsia="Georgia" w:hAnsi="Georgia"/>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2026-03-07T13:26:12.128Z</dcterms:created>
  <dcterms:modified xsi:type="dcterms:W3CDTF">2026-03-07T13:26:12.129Z</dcterms:modified>
</cp:coreProperties>
</file>

<file path=docProps/custom.xml><?xml version="1.0" encoding="utf-8"?>
<Properties xmlns="http://schemas.openxmlformats.org/officeDocument/2006/custom-properties" xmlns:vt="http://schemas.openxmlformats.org/officeDocument/2006/docPropsVTypes"/>
</file>