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asurement-handbook"/>
    <w:p>
      <w:pPr>
        <w:pStyle w:val="Heading1"/>
      </w:pPr>
      <w:r>
        <w:t xml:space="preserve">Measurement Handbook</w:t>
      </w:r>
    </w:p>
    <w:bookmarkStart w:id="20" w:name="governing-rule"/>
    <w:p>
      <w:pPr>
        <w:pStyle w:val="Heading2"/>
      </w:pPr>
      <w:r>
        <w:t xml:space="preserve">Governing rule</w:t>
      </w:r>
    </w:p>
    <w:p>
      <w:pPr>
        <w:pStyle w:val="FirstParagraph"/>
      </w:pPr>
      <w:r>
        <w:t xml:space="preserve">A metric is not a construct.</w:t>
      </w:r>
    </w:p>
    <w:bookmarkEnd w:id="20"/>
    <w:bookmarkStart w:id="21" w:name="measurement-contract"/>
    <w:p>
      <w:pPr>
        <w:pStyle w:val="Heading2"/>
      </w:pPr>
      <w:r>
        <w:t xml:space="preserve">Measurement contract</w:t>
      </w:r>
    </w:p>
    <w:p>
      <w:pPr>
        <w:pStyle w:val="FirstParagraph"/>
      </w:pPr>
      <w:r>
        <w:t xml:space="preserve">For every measurement declare: construct, measurand, unit, level of analysis, observation model, instrument, operationalization, coding, estimator, scale type, permissible transformations, uncertainty, reliability, validity evidence, comparison population, task, projection, context, and prohibited interpretations.</w:t>
      </w:r>
    </w:p>
    <w:bookmarkEnd w:id="21"/>
    <w:bookmarkStart w:id="22" w:name="evidence-levels"/>
    <w:p>
      <w:pPr>
        <w:pStyle w:val="Heading2"/>
      </w:pPr>
      <w:r>
        <w:t xml:space="preserve">Evidence levels</w:t>
      </w:r>
    </w:p>
    <w:p>
      <w:pPr>
        <w:pStyle w:val="Compact"/>
        <w:numPr>
          <w:ilvl w:val="0"/>
          <w:numId w:val="1001"/>
        </w:numPr>
      </w:pPr>
      <w:r>
        <w:t xml:space="preserve">Raw record.</w:t>
      </w:r>
    </w:p>
    <w:p>
      <w:pPr>
        <w:pStyle w:val="Compact"/>
        <w:numPr>
          <w:ilvl w:val="0"/>
          <w:numId w:val="1001"/>
        </w:numPr>
      </w:pPr>
      <w:r>
        <w:t xml:space="preserve">Verified observation.</w:t>
      </w:r>
    </w:p>
    <w:p>
      <w:pPr>
        <w:pStyle w:val="Compact"/>
        <w:numPr>
          <w:ilvl w:val="0"/>
          <w:numId w:val="1001"/>
        </w:numPr>
      </w:pPr>
      <w:r>
        <w:t xml:space="preserve">Coded observation.</w:t>
      </w:r>
    </w:p>
    <w:p>
      <w:pPr>
        <w:pStyle w:val="Compact"/>
        <w:numPr>
          <w:ilvl w:val="0"/>
          <w:numId w:val="1001"/>
        </w:numPr>
      </w:pPr>
      <w:r>
        <w:t xml:space="preserve">Derived measure.</w:t>
      </w:r>
    </w:p>
    <w:p>
      <w:pPr>
        <w:pStyle w:val="Compact"/>
        <w:numPr>
          <w:ilvl w:val="0"/>
          <w:numId w:val="1001"/>
        </w:numPr>
      </w:pPr>
      <w:r>
        <w:t xml:space="preserve">Model-based estimate.</w:t>
      </w:r>
    </w:p>
    <w:p>
      <w:pPr>
        <w:pStyle w:val="Compact"/>
        <w:numPr>
          <w:ilvl w:val="0"/>
          <w:numId w:val="1001"/>
        </w:numPr>
      </w:pPr>
      <w:r>
        <w:t xml:space="preserve">Construct evidence.</w:t>
      </w:r>
    </w:p>
    <w:p>
      <w:pPr>
        <w:pStyle w:val="Compact"/>
        <w:numPr>
          <w:ilvl w:val="0"/>
          <w:numId w:val="1001"/>
        </w:numPr>
      </w:pPr>
      <w:r>
        <w:t xml:space="preserve">Mechanism evidence.</w:t>
      </w:r>
    </w:p>
    <w:p>
      <w:pPr>
        <w:pStyle w:val="Compact"/>
        <w:numPr>
          <w:ilvl w:val="0"/>
          <w:numId w:val="1001"/>
        </w:numPr>
      </w:pPr>
      <w:r>
        <w:t xml:space="preserve">Generalized claim.</w:t>
      </w:r>
    </w:p>
    <w:bookmarkEnd w:id="22"/>
    <w:bookmarkStart w:id="23" w:name="canonical-metric-families"/>
    <w:p>
      <w:pPr>
        <w:pStyle w:val="Heading2"/>
      </w:pPr>
      <w:r>
        <w:t xml:space="preserve">Canonical metric families</w:t>
      </w:r>
    </w:p>
    <w:p>
      <w:pPr>
        <w:pStyle w:val="FirstParagraph"/>
      </w:pPr>
      <w:r>
        <w:t xml:space="preserve">Timing; frequency; sequence; path; accuracy; completion; discovery; belief calibration; opportunity mismatch; recovery; reversibility; strategy diversity; transfer; prediction calibration; accessibility; measurement quality.</w:t>
      </w:r>
    </w:p>
    <w:bookmarkEnd w:id="23"/>
    <w:bookmarkStart w:id="24" w:name="quality-checks"/>
    <w:p>
      <w:pPr>
        <w:pStyle w:val="Heading2"/>
      </w:pPr>
      <w:r>
        <w:t xml:space="preserve">Quality checks</w:t>
      </w:r>
    </w:p>
    <w:p>
      <w:pPr>
        <w:pStyle w:val="FirstParagraph"/>
      </w:pPr>
      <w:r>
        <w:t xml:space="preserve">Instrument calibration; inter-rater reliability; test-retest reliability; construct validity; convergent/discriminant evidence; measurement invariance; sensitivity analysis; missingness analysis; uncertainty budget; preregistered equivalence bounds.</w:t>
      </w:r>
    </w:p>
    <w:bookmarkEnd w:id="24"/>
    <w:bookmarkEnd w:id="25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2026-07-15T23:47:58Z</dcterms:created>
  <dcterms:modified xsi:type="dcterms:W3CDTF">2026-07-15T23:47:58Z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