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ference-maintenance-guide"/>
    <w:p>
      <w:pPr>
        <w:pStyle w:val="Heading1"/>
      </w:pPr>
      <w:r>
        <w:t xml:space="preserve">Reference Maintenance Guide</w:t>
      </w:r>
    </w:p>
    <w:p>
      <w:pPr>
        <w:pStyle w:val="Compact"/>
        <w:numPr>
          <w:ilvl w:val="0"/>
          <w:numId w:val="1001"/>
        </w:numPr>
      </w:pPr>
      <w:r>
        <w:t xml:space="preserve">The master BibTeX file is the system of record.</w:t>
      </w:r>
    </w:p>
    <w:p>
      <w:pPr>
        <w:pStyle w:val="Compact"/>
        <w:numPr>
          <w:ilvl w:val="0"/>
          <w:numId w:val="1001"/>
        </w:numPr>
      </w:pPr>
      <w:r>
        <w:t xml:space="preserve">Add a reference only after title, creator, year, and work type are verified.</w:t>
      </w:r>
    </w:p>
    <w:p>
      <w:pPr>
        <w:pStyle w:val="Compact"/>
        <w:numPr>
          <w:ilvl w:val="0"/>
          <w:numId w:val="1001"/>
        </w:numPr>
      </w:pPr>
      <w:r>
        <w:t xml:space="preserve">Prefer publisher pages, Crossref, DataCite, library catalogs, standards bodies, and the work itself.</w:t>
      </w:r>
    </w:p>
    <w:p>
      <w:pPr>
        <w:pStyle w:val="Compact"/>
        <w:numPr>
          <w:ilvl w:val="0"/>
          <w:numId w:val="1001"/>
        </w:numPr>
      </w:pPr>
      <w:r>
        <w:t xml:space="preserve">Normalize DOI as the bare identifier; store resolvable URL separately if needed.</w:t>
      </w:r>
    </w:p>
    <w:p>
      <w:pPr>
        <w:pStyle w:val="Compact"/>
        <w:numPr>
          <w:ilvl w:val="0"/>
          <w:numId w:val="1001"/>
        </w:numPr>
      </w:pPr>
      <w:r>
        <w:t xml:space="preserve">Validate ISBN checksums and edition specificity.</w:t>
      </w:r>
    </w:p>
    <w:p>
      <w:pPr>
        <w:pStyle w:val="Compact"/>
        <w:numPr>
          <w:ilvl w:val="0"/>
          <w:numId w:val="1001"/>
        </w:numPr>
      </w:pPr>
      <w:r>
        <w:t xml:space="preserve">Never infer issue or page ranges from neighboring records.</w:t>
      </w:r>
    </w:p>
    <w:p>
      <w:pPr>
        <w:pStyle w:val="Compact"/>
        <w:numPr>
          <w:ilvl w:val="0"/>
          <w:numId w:val="1001"/>
        </w:numPr>
      </w:pPr>
      <w:r>
        <w:t xml:space="preserve">Merge duplicates only after work identity is confirmed.</w:t>
      </w:r>
    </w:p>
    <w:p>
      <w:pPr>
        <w:pStyle w:val="Compact"/>
        <w:numPr>
          <w:ilvl w:val="0"/>
          <w:numId w:val="1001"/>
        </w:numPr>
      </w:pPr>
      <w:r>
        <w:t xml:space="preserve">Preserve aliases and retired citation keys in a migration table.</w:t>
      </w:r>
    </w:p>
    <w:p>
      <w:pPr>
        <w:pStyle w:val="Compact"/>
        <w:numPr>
          <w:ilvl w:val="0"/>
          <w:numId w:val="1001"/>
        </w:numPr>
      </w:pPr>
      <w:r>
        <w:t xml:space="preserve">Regenerate CSL JSON and formatted references after each approved change.</w:t>
      </w:r>
    </w:p>
    <w:p>
      <w:pPr>
        <w:pStyle w:val="Compact"/>
        <w:numPr>
          <w:ilvl w:val="0"/>
          <w:numId w:val="1001"/>
        </w:numPr>
      </w:pPr>
      <w:r>
        <w:t xml:space="preserve">Run completeness, duplicate, identifier-format, and link checks before release.</w:t>
      </w:r>
    </w:p>
    <w:bookmarkEnd w:id="20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2026-07-15T23:48:09Z</dcterms:created>
  <dcterms:modified xsi:type="dcterms:W3CDTF">2026-07-15T23:48:09Z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