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ublication-readiness-assessment"/>
    <w:p>
      <w:pPr>
        <w:pStyle w:val="Heading1"/>
      </w:pPr>
      <w:r>
        <w:t xml:space="preserve">Publication Readiness Assessment</w:t>
      </w:r>
    </w:p>
    <w:p>
      <w:pPr>
        <w:pStyle w:val="FirstParagraph"/>
      </w:pPr>
      <w:r>
        <w:rPr>
          <w:b/>
          <w:bCs/>
        </w:rPr>
        <w:t xml:space="preserve">Determination: publication infrastructure is suitable for internal Version 1.0 use, subject to bibliographic and evidential verification before external scholarly publication.</w:t>
      </w:r>
    </w:p>
    <w:p>
      <w:pPr>
        <w:pStyle w:val="BodyText"/>
      </w:pPr>
      <w:r>
        <w:t xml:space="preserve">The package provides the requested infrastructure without modifying theory. It is sufficient for controlled authoring, study design, replication planning, data structuring, and reference maintenance. It is not a claim that all 600 bibliographic records have been authority-validated or that all canonical constructs have empirical validation.</w:t>
      </w:r>
    </w:p>
    <w:bookmarkStart w:id="20" w:name="blocking-items-for-external-release"/>
    <w:p>
      <w:pPr>
        <w:pStyle w:val="Heading2"/>
      </w:pPr>
      <w:r>
        <w:t xml:space="preserve">Blocking items for external release</w:t>
      </w:r>
    </w:p>
    <w:p>
      <w:pPr>
        <w:pStyle w:val="Compact"/>
        <w:numPr>
          <w:ilvl w:val="0"/>
          <w:numId w:val="1001"/>
        </w:numPr>
      </w:pPr>
      <w:r>
        <w:t xml:space="preserve">Authority validation of references most central to canonical claims.</w:t>
      </w:r>
    </w:p>
    <w:p>
      <w:pPr>
        <w:pStyle w:val="Compact"/>
        <w:numPr>
          <w:ilvl w:val="0"/>
          <w:numId w:val="1001"/>
        </w:numPr>
      </w:pPr>
      <w:r>
        <w:t xml:space="preserve">Human review of duplicate groups and candidate DOI/ISBN metadata.</w:t>
      </w:r>
    </w:p>
    <w:p>
      <w:pPr>
        <w:pStyle w:val="Compact"/>
        <w:numPr>
          <w:ilvl w:val="0"/>
          <w:numId w:val="1001"/>
        </w:numPr>
      </w:pPr>
      <w:r>
        <w:t xml:space="preserve">Ratification of concept-source mappings and evidence confidence.</w:t>
      </w:r>
    </w:p>
    <w:p>
      <w:pPr>
        <w:pStyle w:val="Compact"/>
        <w:numPr>
          <w:ilvl w:val="0"/>
          <w:numId w:val="1001"/>
        </w:numPr>
      </w:pPr>
      <w:r>
        <w:t xml:space="preserve">Figure licensing, captions, editable sources, and accessibility text.</w:t>
      </w:r>
    </w:p>
    <w:p>
      <w:pPr>
        <w:pStyle w:val="Compact"/>
        <w:numPr>
          <w:ilvl w:val="0"/>
          <w:numId w:val="1001"/>
        </w:numPr>
      </w:pPr>
      <w:r>
        <w:t xml:space="preserve">Pilot validation of schemas and templates.</w:t>
      </w:r>
    </w:p>
    <w:bookmarkEnd w:id="20"/>
    <w:bookmarkEnd w:id="21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2026-07-15T23:48:13Z</dcterms:created>
  <dcterms:modified xsi:type="dcterms:W3CDTF">2026-07-15T23:48:13Z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