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26788525e07f2b7e7f633570d76acc6b33bfd83"/>
    <w:p>
      <w:pPr>
        <w:pStyle w:val="Heading1"/>
      </w:pPr>
      <w:r>
        <w:t xml:space="preserve">Computational Interaction Science Publication Infrastructure v1.1.1</w:t>
      </w:r>
    </w:p>
    <w:p>
      <w:pPr>
        <w:pStyle w:val="BlockText"/>
      </w:pPr>
      <w:r>
        <w:t xml:space="preserve">Editorial normalization release. Version 1.0 theory, ontology, contracts, and formal semantics are unchanged.</w:t>
      </w:r>
    </w:p>
    <w:p>
      <w:pPr>
        <w:pStyle w:val="FirstParagraph"/>
      </w:pPr>
      <w:r>
        <w:t xml:space="preserve">This package improves supporting research infrastructure without changing Version 1.0 theory.</w:t>
      </w:r>
    </w:p>
    <w:bookmarkStart w:id="20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Bibliography and audits</w:t>
      </w:r>
    </w:p>
    <w:p>
      <w:pPr>
        <w:pStyle w:val="Compact"/>
        <w:numPr>
          <w:ilvl w:val="0"/>
          <w:numId w:val="1001"/>
        </w:numPr>
      </w:pPr>
      <w:r>
        <w:t xml:space="preserve">Citation map, source matrix, and evidence register</w:t>
      </w:r>
    </w:p>
    <w:p>
      <w:pPr>
        <w:pStyle w:val="Compact"/>
        <w:numPr>
          <w:ilvl w:val="0"/>
          <w:numId w:val="1001"/>
        </w:numPr>
      </w:pPr>
      <w:r>
        <w:t xml:space="preserve">Experimental, measurement, and replication handbooks</w:t>
      </w:r>
    </w:p>
    <w:p>
      <w:pPr>
        <w:pStyle w:val="Compact"/>
        <w:numPr>
          <w:ilvl w:val="0"/>
          <w:numId w:val="1001"/>
        </w:numPr>
      </w:pPr>
      <w:r>
        <w:t xml:space="preserve">Reporting and contract templates</w:t>
      </w:r>
    </w:p>
    <w:p>
      <w:pPr>
        <w:pStyle w:val="Compact"/>
        <w:numPr>
          <w:ilvl w:val="0"/>
          <w:numId w:val="1001"/>
        </w:numPr>
      </w:pPr>
      <w:r>
        <w:t xml:space="preserve">Dataset schema and data dictionary</w:t>
      </w:r>
    </w:p>
    <w:p>
      <w:pPr>
        <w:pStyle w:val="Compact"/>
        <w:numPr>
          <w:ilvl w:val="0"/>
          <w:numId w:val="1001"/>
        </w:numPr>
      </w:pPr>
      <w:r>
        <w:t xml:space="preserve">Figure library and catalog</w:t>
      </w:r>
    </w:p>
    <w:p>
      <w:pPr>
        <w:pStyle w:val="Compact"/>
        <w:numPr>
          <w:ilvl w:val="0"/>
          <w:numId w:val="1001"/>
        </w:numPr>
      </w:pPr>
      <w:r>
        <w:t xml:space="preserve">Author and maintenance guides</w:t>
      </w:r>
    </w:p>
    <w:p>
      <w:pPr>
        <w:pStyle w:val="Compact"/>
        <w:numPr>
          <w:ilvl w:val="0"/>
          <w:numId w:val="1001"/>
        </w:numPr>
      </w:pPr>
      <w:r>
        <w:t xml:space="preserve">Completeness, quality, maintenance, and readiness reports</w:t>
      </w:r>
    </w:p>
    <w:bookmarkEnd w:id="20"/>
    <w:bookmarkStart w:id="21" w:name="corpus-statistics"/>
    <w:p>
      <w:pPr>
        <w:pStyle w:val="Heading2"/>
      </w:pPr>
      <w:r>
        <w:t xml:space="preserve">Corpus statistics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"with_doi"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"doi_valid_format"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"with_valid_isbn"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"with_volume"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"with_issue"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"with_pages"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"duplicate_groups"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"complete_core"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312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validation-boundary"/>
    <w:p>
      <w:pPr>
        <w:pStyle w:val="Heading2"/>
      </w:pPr>
      <w:r>
        <w:t xml:space="preserve">Validation boundary</w:t>
      </w:r>
    </w:p>
    <w:p>
      <w:pPr>
        <w:pStyle w:val="FirstParagraph"/>
      </w:pPr>
      <w:r>
        <w:t xml:space="preserve">Identifier format, ISBN checksum, duplicate-title, and metadata-completeness checks are automated. Publisher/Crossref authority validation is not claimed for unresolved records. No missing metadata was invented.</w:t>
      </w:r>
    </w:p>
    <w:bookmarkEnd w:id="22"/>
    <w:bookmarkEnd w:id="23"/>
    <w:sectPr w:rsidR="00FC693F" w:rsidRPr="0006063C" w:rsidSect="00034616">
      <w:pgSz w:h="15840" w:w="12240"/>
      <w:pgMar w:bottom="1080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4454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Arial" w:asciiTheme="majorHAnsi" w:cstheme="majorBidi" w:eastAsia="Arial" w:eastAsiaTheme="majorEastAsia" w:hAnsi="Arial" w:hAnsiTheme="majorHAnsi"/>
      <w:b/>
      <w:color w:val="1F4E78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asciiTheme="majorHAnsi" w:cstheme="majorBidi" w:eastAsia="Arial" w:eastAsiaTheme="majorEastAsia" w:hAnsi="Arial" w:hAnsiTheme="majorHAnsi"/>
      <w:b/>
      <w:i/>
      <w:iCs/>
      <w:color w:val="44546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2026-07-15T23:53:30Z</dcterms:created>
  <dcterms:modified xsi:type="dcterms:W3CDTF">2026-07-15T23:53:30Z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