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erminology-normalization-report"/>
    <w:p>
      <w:pPr>
        <w:pStyle w:val="Heading1"/>
      </w:pPr>
      <w:r>
        <w:t xml:space="preserve">Terminology Normalization Report</w:t>
      </w:r>
    </w:p>
    <w:bookmarkStart w:id="20" w:name="canonical-policy"/>
    <w:p>
      <w:pPr>
        <w:pStyle w:val="Heading2"/>
      </w:pPr>
      <w:r>
        <w:t xml:space="preserve">Canonical policy</w:t>
      </w:r>
    </w:p>
    <w:p>
      <w:pPr>
        <w:pStyle w:val="FirstParagraph"/>
      </w:pPr>
      <w:r>
        <w:t xml:space="preserve">Named contracts are capitalized as canonical artifacts. Canonical concepts retain their established spelling. Generic concepts remain lower case in ordinary prose.</w:t>
      </w:r>
    </w:p>
    <w:bookmarkEnd w:id="20"/>
    <w:bookmarkStart w:id="21" w:name="applied-normalizations"/>
    <w:p>
      <w:pPr>
        <w:pStyle w:val="Heading2"/>
      </w:pPr>
      <w:r>
        <w:t xml:space="preserve">Applied normalizations</w:t>
      </w:r>
    </w:p>
    <w:p>
      <w:pPr>
        <w:pStyle w:val="FirstParagraph"/>
      </w:pPr>
      <w:r>
        <w:t xml:space="preserve">Projection Contract, Interaction Contract, Measurement Contract, Behavioral Evidence Contract, Similarity Contract, Transfer Contract, Strategy Contract, Prediction Contract, and Comparison Contract were normalized where present.</w:t>
      </w:r>
    </w:p>
    <w:bookmarkEnd w:id="21"/>
    <w:bookmarkStart w:id="22" w:name="prohibited-changes"/>
    <w:p>
      <w:pPr>
        <w:pStyle w:val="Heading2"/>
      </w:pPr>
      <w:r>
        <w:t xml:space="preserve">Prohibited changes</w:t>
      </w:r>
    </w:p>
    <w:p>
      <w:pPr>
        <w:pStyle w:val="FirstParagraph"/>
      </w:pPr>
      <w:r>
        <w:t xml:space="preserve">No canonical definition, concept identifier, ontology relation, or formal symbol was changed.</w:t>
      </w:r>
    </w:p>
    <w:bookmarkEnd w:id="22"/>
    <w:bookmarkEnd w:id="23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2026-07-15T23:53:28Z</dcterms:created>
  <dcterms:modified xsi:type="dcterms:W3CDTF">2026-07-15T23:53:28Z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